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60325</wp:posOffset>
            </wp:positionV>
            <wp:extent cx="24098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69215</wp:posOffset>
            </wp:positionV>
            <wp:extent cx="24098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4180" w:right="2920" w:hanging="4172"/>
        <w:spacing w:after="0" w:line="264" w:lineRule="auto"/>
        <w:tabs>
          <w:tab w:leader="none" w:pos="516"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spacing w:after="0" w:line="20"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sz w:val="24"/>
          <w:szCs w:val="24"/>
          <w:color w:val="auto"/>
        </w:rPr>
      </w:pPr>
    </w:p>
    <w:p>
      <w:pPr>
        <w:ind w:left="40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3928745</wp:posOffset>
            </wp:positionH>
            <wp:positionV relativeFrom="paragraph">
              <wp:posOffset>-12065</wp:posOffset>
            </wp:positionV>
            <wp:extent cx="754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No. 001-37627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71755</wp:posOffset>
            </wp:positionV>
            <wp:extent cx="2409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WAVE LIFE SCIENCES LTD.</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52070</wp:posOffset>
            </wp:positionV>
            <wp:extent cx="2409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5640" w:type="dxa"/>
            <w:vAlign w:val="bottom"/>
            <w:gridSpan w:val="3"/>
          </w:tcPr>
          <w:p>
            <w:pPr>
              <w:jc w:val="center"/>
              <w:ind w:right="1740"/>
              <w:spacing w:after="0"/>
              <w:rPr>
                <w:sz w:val="20"/>
                <w:szCs w:val="20"/>
                <w:color w:val="auto"/>
              </w:rPr>
            </w:pPr>
            <w:r>
              <w:rPr>
                <w:rFonts w:ascii="Arial" w:cs="Arial" w:eastAsia="Arial" w:hAnsi="Arial"/>
                <w:sz w:val="16"/>
                <w:szCs w:val="16"/>
                <w:b w:val="1"/>
                <w:bCs w:val="1"/>
                <w:color w:val="auto"/>
                <w:w w:val="89"/>
              </w:rPr>
              <w:t>Singapore</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80" w:type="dxa"/>
            <w:vAlign w:val="bottom"/>
          </w:tcPr>
          <w:p>
            <w:pPr>
              <w:jc w:val="center"/>
              <w:ind w:right="906"/>
              <w:spacing w:after="0"/>
              <w:rPr>
                <w:sz w:val="20"/>
                <w:szCs w:val="20"/>
                <w:color w:val="auto"/>
              </w:rPr>
            </w:pPr>
            <w:r>
              <w:rPr>
                <w:rFonts w:ascii="Arial" w:cs="Arial" w:eastAsia="Arial" w:hAnsi="Arial"/>
                <w:sz w:val="16"/>
                <w:szCs w:val="16"/>
                <w:b w:val="1"/>
                <w:bCs w:val="1"/>
                <w:color w:val="auto"/>
                <w:w w:val="93"/>
              </w:rPr>
              <w:t>Not applicable</w:t>
            </w:r>
          </w:p>
        </w:tc>
      </w:tr>
      <w:tr>
        <w:trPr>
          <w:trHeight w:val="149"/>
        </w:trPr>
        <w:tc>
          <w:tcPr>
            <w:tcW w:w="920" w:type="dxa"/>
            <w:vAlign w:val="bottom"/>
          </w:tcPr>
          <w:p>
            <w:pPr>
              <w:spacing w:after="0"/>
              <w:rPr>
                <w:sz w:val="12"/>
                <w:szCs w:val="12"/>
                <w:color w:val="auto"/>
              </w:rPr>
            </w:pPr>
          </w:p>
        </w:tc>
        <w:tc>
          <w:tcPr>
            <w:tcW w:w="5640" w:type="dxa"/>
            <w:vAlign w:val="bottom"/>
            <w:gridSpan w:val="3"/>
          </w:tcPr>
          <w:p>
            <w:pPr>
              <w:jc w:val="center"/>
              <w:ind w:right="17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80" w:type="dxa"/>
            <w:vAlign w:val="bottom"/>
          </w:tcPr>
          <w:p>
            <w:pPr>
              <w:jc w:val="center"/>
              <w:ind w:right="88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920" w:type="dxa"/>
            <w:vAlign w:val="bottom"/>
          </w:tcPr>
          <w:p>
            <w:pPr>
              <w:spacing w:after="0"/>
              <w:rPr>
                <w:sz w:val="16"/>
                <w:szCs w:val="16"/>
                <w:color w:val="auto"/>
              </w:rPr>
            </w:pPr>
          </w:p>
        </w:tc>
        <w:tc>
          <w:tcPr>
            <w:tcW w:w="56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4"/>
              </w:rPr>
              <w:t>incorporation or organization)</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80" w:type="dxa"/>
            <w:vAlign w:val="bottom"/>
          </w:tcPr>
          <w:p>
            <w:pPr>
              <w:jc w:val="center"/>
              <w:ind w:right="906"/>
              <w:spacing w:after="0"/>
              <w:rPr>
                <w:sz w:val="20"/>
                <w:szCs w:val="20"/>
                <w:color w:val="auto"/>
              </w:rPr>
            </w:pPr>
            <w:r>
              <w:rPr>
                <w:rFonts w:ascii="Arial" w:cs="Arial" w:eastAsia="Arial" w:hAnsi="Arial"/>
                <w:sz w:val="14"/>
                <w:szCs w:val="14"/>
                <w:b w:val="1"/>
                <w:bCs w:val="1"/>
                <w:color w:val="auto"/>
                <w:w w:val="96"/>
              </w:rPr>
              <w:t>Identification No.)</w:t>
            </w:r>
          </w:p>
        </w:tc>
      </w:tr>
      <w:tr>
        <w:trPr>
          <w:trHeight w:val="214"/>
        </w:trPr>
        <w:tc>
          <w:tcPr>
            <w:tcW w:w="920" w:type="dxa"/>
            <w:vAlign w:val="bottom"/>
          </w:tcPr>
          <w:p>
            <w:pPr>
              <w:spacing w:after="0"/>
              <w:rPr>
                <w:sz w:val="18"/>
                <w:szCs w:val="18"/>
                <w:color w:val="auto"/>
              </w:rPr>
            </w:pPr>
          </w:p>
        </w:tc>
        <w:tc>
          <w:tcPr>
            <w:tcW w:w="5640" w:type="dxa"/>
            <w:vAlign w:val="bottom"/>
            <w:gridSpan w:val="3"/>
          </w:tcPr>
          <w:p>
            <w:pPr>
              <w:jc w:val="center"/>
              <w:ind w:right="1740"/>
              <w:spacing w:after="0"/>
              <w:rPr>
                <w:sz w:val="20"/>
                <w:szCs w:val="20"/>
                <w:color w:val="auto"/>
              </w:rPr>
            </w:pPr>
            <w:r>
              <w:rPr>
                <w:rFonts w:ascii="Arial" w:cs="Arial" w:eastAsia="Arial" w:hAnsi="Arial"/>
                <w:sz w:val="16"/>
                <w:szCs w:val="16"/>
                <w:b w:val="1"/>
                <w:bCs w:val="1"/>
                <w:color w:val="auto"/>
                <w:w w:val="93"/>
              </w:rPr>
              <w:t>7 Straits View #12-00, Marina One East Tower</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194"/>
        </w:trPr>
        <w:tc>
          <w:tcPr>
            <w:tcW w:w="920" w:type="dxa"/>
            <w:vAlign w:val="bottom"/>
          </w:tcPr>
          <w:p>
            <w:pPr>
              <w:spacing w:after="0"/>
              <w:rPr>
                <w:sz w:val="16"/>
                <w:szCs w:val="16"/>
                <w:color w:val="auto"/>
              </w:rPr>
            </w:pPr>
          </w:p>
        </w:tc>
        <w:tc>
          <w:tcPr>
            <w:tcW w:w="5640" w:type="dxa"/>
            <w:vAlign w:val="bottom"/>
            <w:gridSpan w:val="3"/>
          </w:tcPr>
          <w:p>
            <w:pPr>
              <w:jc w:val="center"/>
              <w:ind w:right="1740"/>
              <w:spacing w:after="0"/>
              <w:rPr>
                <w:sz w:val="20"/>
                <w:szCs w:val="20"/>
                <w:color w:val="auto"/>
              </w:rPr>
            </w:pPr>
            <w:r>
              <w:rPr>
                <w:rFonts w:ascii="Arial" w:cs="Arial" w:eastAsia="Arial" w:hAnsi="Arial"/>
                <w:sz w:val="16"/>
                <w:szCs w:val="16"/>
                <w:b w:val="1"/>
                <w:bCs w:val="1"/>
                <w:color w:val="auto"/>
                <w:w w:val="89"/>
              </w:rPr>
              <w:t>Singapore</w:t>
            </w:r>
          </w:p>
        </w:tc>
        <w:tc>
          <w:tcPr>
            <w:tcW w:w="3940" w:type="dxa"/>
            <w:vAlign w:val="bottom"/>
            <w:gridSpan w:val="3"/>
          </w:tcPr>
          <w:p>
            <w:pPr>
              <w:jc w:val="center"/>
              <w:ind w:left="3"/>
              <w:spacing w:after="0"/>
              <w:rPr>
                <w:sz w:val="20"/>
                <w:szCs w:val="20"/>
                <w:color w:val="auto"/>
              </w:rPr>
            </w:pPr>
            <w:r>
              <w:rPr>
                <w:rFonts w:ascii="Arial" w:cs="Arial" w:eastAsia="Arial" w:hAnsi="Arial"/>
                <w:sz w:val="16"/>
                <w:szCs w:val="16"/>
                <w:b w:val="1"/>
                <w:bCs w:val="1"/>
                <w:color w:val="auto"/>
                <w:w w:val="93"/>
              </w:rPr>
              <w:t>018936</w:t>
            </w:r>
          </w:p>
        </w:tc>
      </w:tr>
      <w:tr>
        <w:trPr>
          <w:trHeight w:val="186"/>
        </w:trPr>
        <w:tc>
          <w:tcPr>
            <w:tcW w:w="920" w:type="dxa"/>
            <w:vAlign w:val="bottom"/>
          </w:tcPr>
          <w:p>
            <w:pPr>
              <w:spacing w:after="0"/>
              <w:rPr>
                <w:sz w:val="16"/>
                <w:szCs w:val="16"/>
                <w:color w:val="auto"/>
              </w:rPr>
            </w:pPr>
          </w:p>
        </w:tc>
        <w:tc>
          <w:tcPr>
            <w:tcW w:w="5640" w:type="dxa"/>
            <w:vAlign w:val="bottom"/>
            <w:gridSpan w:val="3"/>
          </w:tcPr>
          <w:p>
            <w:pPr>
              <w:jc w:val="center"/>
              <w:ind w:right="17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80" w:type="dxa"/>
            <w:vAlign w:val="bottom"/>
          </w:tcPr>
          <w:p>
            <w:pPr>
              <w:jc w:val="center"/>
              <w:ind w:right="906"/>
              <w:spacing w:after="0"/>
              <w:rPr>
                <w:sz w:val="20"/>
                <w:szCs w:val="20"/>
                <w:color w:val="auto"/>
              </w:rPr>
            </w:pPr>
            <w:r>
              <w:rPr>
                <w:rFonts w:ascii="Arial" w:cs="Arial" w:eastAsia="Arial" w:hAnsi="Arial"/>
                <w:sz w:val="14"/>
                <w:szCs w:val="14"/>
                <w:b w:val="1"/>
                <w:bCs w:val="1"/>
                <w:color w:val="auto"/>
                <w:w w:val="92"/>
              </w:rPr>
              <w:t>(Zip code)</w:t>
            </w:r>
          </w:p>
        </w:tc>
      </w:tr>
      <w:tr>
        <w:trPr>
          <w:trHeight w:val="205"/>
        </w:trPr>
        <w:tc>
          <w:tcPr>
            <w:tcW w:w="6560" w:type="dxa"/>
            <w:vAlign w:val="bottom"/>
            <w:gridSpan w:val="4"/>
          </w:tcPr>
          <w:p>
            <w:pPr>
              <w:jc w:val="center"/>
              <w:ind w:left="4785"/>
              <w:spacing w:after="0"/>
              <w:rPr>
                <w:sz w:val="20"/>
                <w:szCs w:val="20"/>
                <w:color w:val="auto"/>
              </w:rPr>
            </w:pPr>
            <w:r>
              <w:rPr>
                <w:rFonts w:ascii="Arial" w:cs="Arial" w:eastAsia="Arial" w:hAnsi="Arial"/>
                <w:sz w:val="16"/>
                <w:szCs w:val="16"/>
                <w:b w:val="1"/>
                <w:bCs w:val="1"/>
                <w:color w:val="auto"/>
                <w:w w:val="91"/>
              </w:rPr>
              <w:t>+65 6236 3388</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186"/>
        </w:trPr>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80" w:type="dxa"/>
            <w:vAlign w:val="bottom"/>
            <w:gridSpan w:val="5"/>
          </w:tcPr>
          <w:p>
            <w:pPr>
              <w:jc w:val="center"/>
              <w:ind w:right="282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89"/>
        </w:trPr>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680" w:type="dxa"/>
            <w:vAlign w:val="bottom"/>
            <w:gridSpan w:val="5"/>
          </w:tcPr>
          <w:p>
            <w:pPr>
              <w:jc w:val="center"/>
              <w:ind w:right="2806"/>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74"/>
        </w:trPr>
        <w:tc>
          <w:tcPr>
            <w:tcW w:w="920" w:type="dxa"/>
            <w:vAlign w:val="bottom"/>
          </w:tcPr>
          <w:p>
            <w:pPr>
              <w:spacing w:after="0"/>
              <w:rPr>
                <w:sz w:val="15"/>
                <w:szCs w:val="15"/>
                <w:color w:val="auto"/>
              </w:rPr>
            </w:pPr>
          </w:p>
        </w:tc>
        <w:tc>
          <w:tcPr>
            <w:tcW w:w="564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3"/>
              </w:rPr>
              <w:t>Title of Each Class</w:t>
            </w:r>
          </w:p>
        </w:tc>
        <w:tc>
          <w:tcPr>
            <w:tcW w:w="60" w:type="dxa"/>
            <w:vAlign w:val="bottom"/>
          </w:tcPr>
          <w:p>
            <w:pPr>
              <w:spacing w:after="0"/>
              <w:rPr>
                <w:sz w:val="15"/>
                <w:szCs w:val="15"/>
                <w:color w:val="auto"/>
              </w:rPr>
            </w:pPr>
          </w:p>
        </w:tc>
        <w:tc>
          <w:tcPr>
            <w:tcW w:w="3880" w:type="dxa"/>
            <w:vAlign w:val="bottom"/>
            <w:gridSpan w:val="2"/>
          </w:tcPr>
          <w:p>
            <w:pPr>
              <w:ind w:left="6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55"/>
        </w:trPr>
        <w:tc>
          <w:tcPr>
            <w:tcW w:w="920" w:type="dxa"/>
            <w:vAlign w:val="bottom"/>
          </w:tcPr>
          <w:p>
            <w:pPr>
              <w:spacing w:after="0"/>
              <w:rPr>
                <w:sz w:val="13"/>
                <w:szCs w:val="13"/>
                <w:color w:val="auto"/>
              </w:rPr>
            </w:pPr>
          </w:p>
        </w:tc>
        <w:tc>
          <w:tcPr>
            <w:tcW w:w="39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$0 Par Value Ordinary Shares</w:t>
            </w: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tcPr>
          <w:p>
            <w:pPr>
              <w:jc w:val="center"/>
              <w:ind w:right="926"/>
              <w:spacing w:after="0" w:line="155" w:lineRule="exact"/>
              <w:rPr>
                <w:sz w:val="20"/>
                <w:szCs w:val="20"/>
                <w:color w:val="auto"/>
              </w:rPr>
            </w:pPr>
            <w:r>
              <w:rPr>
                <w:rFonts w:ascii="Arial" w:cs="Arial" w:eastAsia="Arial" w:hAnsi="Arial"/>
                <w:sz w:val="14"/>
                <w:szCs w:val="14"/>
                <w:b w:val="1"/>
                <w:bCs w:val="1"/>
                <w:color w:val="auto"/>
                <w:w w:val="95"/>
              </w:rPr>
              <w:t>The Nasdaq Global Market</w:t>
            </w:r>
          </w:p>
        </w:tc>
      </w:tr>
      <w:tr>
        <w:trPr>
          <w:trHeight w:val="210"/>
        </w:trPr>
        <w:tc>
          <w:tcPr>
            <w:tcW w:w="920" w:type="dxa"/>
            <w:vAlign w:val="bottom"/>
          </w:tcPr>
          <w:p>
            <w:pPr>
              <w:spacing w:after="0"/>
              <w:rPr>
                <w:sz w:val="18"/>
                <w:szCs w:val="18"/>
                <w:color w:val="auto"/>
              </w:rPr>
            </w:pPr>
          </w:p>
        </w:tc>
        <w:tc>
          <w:tcPr>
            <w:tcW w:w="95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r>
      <w:tr>
        <w:trPr>
          <w:trHeight w:val="87"/>
        </w:trPr>
        <w:tc>
          <w:tcPr>
            <w:tcW w:w="3820" w:type="dxa"/>
            <w:vAlign w:val="bottom"/>
            <w:gridSpan w:val="2"/>
          </w:tcPr>
          <w:p>
            <w:pPr>
              <w:spacing w:after="0"/>
              <w:rPr>
                <w:sz w:val="7"/>
                <w:szCs w:val="7"/>
                <w:color w:val="auto"/>
              </w:rPr>
            </w:pPr>
          </w:p>
        </w:tc>
        <w:tc>
          <w:tcPr>
            <w:tcW w:w="2740" w:type="dxa"/>
            <w:vAlign w:val="bottom"/>
            <w:tcBorders>
              <w:bottom w:val="single" w:sz="8" w:color="auto"/>
            </w:tcBorders>
            <w:gridSpan w:val="2"/>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80" w:type="dxa"/>
            <w:vAlign w:val="bottom"/>
          </w:tcPr>
          <w:p>
            <w:pPr>
              <w:spacing w:after="0"/>
              <w:rPr>
                <w:sz w:val="7"/>
                <w:szCs w:val="7"/>
                <w:color w:val="auto"/>
              </w:rPr>
            </w:pPr>
          </w:p>
        </w:tc>
      </w:tr>
      <w:tr>
        <w:trPr>
          <w:trHeight w:val="204"/>
        </w:trPr>
        <w:tc>
          <w:tcPr>
            <w:tcW w:w="6560" w:type="dxa"/>
            <w:vAlign w:val="bottom"/>
            <w:gridSpan w:val="4"/>
          </w:tcPr>
          <w:p>
            <w:pPr>
              <w:spacing w:after="0"/>
              <w:rPr>
                <w:sz w:val="20"/>
                <w:szCs w:val="20"/>
                <w:color w:val="auto"/>
              </w:rPr>
            </w:pPr>
            <w:r>
              <w:rPr>
                <w:rFonts w:ascii="Arial" w:cs="Arial" w:eastAsia="Arial" w:hAnsi="Arial"/>
                <w:sz w:val="14"/>
                <w:szCs w:val="14"/>
                <w:color w:val="auto"/>
                <w:w w:val="90"/>
              </w:rPr>
              <w:t>Indicate by check mark if the registrant is a well-known seasoned issuer, as defined in Rule 405 of the Securities Act.</w:t>
            </w:r>
          </w:p>
        </w:tc>
        <w:tc>
          <w:tcPr>
            <w:tcW w:w="60" w:type="dxa"/>
            <w:vAlign w:val="bottom"/>
          </w:tcPr>
          <w:p>
            <w:pPr>
              <w:spacing w:after="0"/>
              <w:rPr>
                <w:sz w:val="17"/>
                <w:szCs w:val="17"/>
                <w:color w:val="auto"/>
              </w:rPr>
            </w:pPr>
          </w:p>
        </w:tc>
        <w:tc>
          <w:tcPr>
            <w:tcW w:w="3880" w:type="dxa"/>
            <w:vAlign w:val="bottom"/>
            <w:gridSpan w:val="2"/>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26"/>
        </w:trPr>
        <w:tc>
          <w:tcPr>
            <w:tcW w:w="6560" w:type="dxa"/>
            <w:vAlign w:val="bottom"/>
            <w:gridSpan w:val="4"/>
          </w:tcPr>
          <w:p>
            <w:pPr>
              <w:spacing w:after="0"/>
              <w:rPr>
                <w:sz w:val="20"/>
                <w:szCs w:val="20"/>
                <w:color w:val="auto"/>
              </w:rPr>
            </w:pPr>
            <w:r>
              <w:rPr>
                <w:rFonts w:ascii="Arial" w:cs="Arial" w:eastAsia="Arial" w:hAnsi="Arial"/>
                <w:sz w:val="14"/>
                <w:szCs w:val="14"/>
                <w:color w:val="auto"/>
                <w:w w:val="96"/>
              </w:rPr>
              <w:t>Indicate by check mark if the registrant is not required to file reports pursuant to Section 13 or 15(d) of the Act.</w:t>
            </w:r>
          </w:p>
        </w:tc>
        <w:tc>
          <w:tcPr>
            <w:tcW w:w="394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4"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560"/>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298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298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18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5140" w:type="dxa"/>
            <w:vAlign w:val="bottom"/>
          </w:tcPr>
          <w:p>
            <w:pPr>
              <w:ind w:left="2980"/>
              <w:spacing w:after="0"/>
              <w:rPr>
                <w:sz w:val="20"/>
                <w:szCs w:val="20"/>
                <w:color w:val="auto"/>
              </w:rPr>
            </w:pPr>
            <w:r>
              <w:rPr>
                <w:rFonts w:ascii="Arial" w:cs="Arial" w:eastAsia="Arial" w:hAnsi="Arial"/>
                <w:sz w:val="14"/>
                <w:szCs w:val="14"/>
                <w:color w:val="auto"/>
              </w:rPr>
              <w:t>Emerging growth company</w:t>
            </w:r>
          </w:p>
        </w:tc>
        <w:tc>
          <w:tcPr>
            <w:tcW w:w="7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ind w:right="10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9" w:lineRule="exact"/>
        <w:rPr>
          <w:sz w:val="24"/>
          <w:szCs w:val="24"/>
          <w:color w:val="auto"/>
        </w:rPr>
      </w:pPr>
    </w:p>
    <w:p>
      <w:pPr>
        <w:ind w:right="20"/>
        <w:spacing w:after="0" w:line="238" w:lineRule="auto"/>
        <w:rPr>
          <w:sz w:val="20"/>
          <w:szCs w:val="20"/>
          <w:color w:val="auto"/>
        </w:rPr>
      </w:pPr>
      <w:r>
        <w:rPr>
          <w:rFonts w:ascii="Arial" w:cs="Arial" w:eastAsia="Arial" w:hAnsi="Arial"/>
          <w:sz w:val="14"/>
          <w:szCs w:val="14"/>
          <w:color w:val="auto"/>
        </w:rPr>
        <w:t>The aggregate market value of the registrant’s voting and non-voting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(June 29, 2018) was $746,006,159. The number of outstanding ordinary shares of the registrant as of February 26, 2019 was 34,192,106.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33655</wp:posOffset>
            </wp:positionV>
            <wp:extent cx="2409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right="140"/>
        <w:spacing w:after="0" w:line="234" w:lineRule="auto"/>
        <w:rPr>
          <w:sz w:val="20"/>
          <w:szCs w:val="20"/>
          <w:color w:val="auto"/>
        </w:rPr>
      </w:pPr>
      <w:r>
        <w:rPr>
          <w:rFonts w:ascii="Arial" w:cs="Arial" w:eastAsia="Arial" w:hAnsi="Arial"/>
          <w:sz w:val="14"/>
          <w:szCs w:val="14"/>
          <w:color w:val="auto"/>
        </w:rPr>
        <w:t>If the Registrant’s Definitive Proxy Statement relating to the 2019 Annual General Meeting of Shareholders (the “Proxy Statement”) is filed with the Commission within 120 days after the end of the fiscal year covered by this Annual Report on Form 10-K, then portions of the Proxy Statement will be incorporated by reference into Part III of this Annual Report on Form 10-K. If the Proxy Statement is not filed within such 120-day period, then the Registrant will file an amendment to this Annual Report within such 120-day period that will contain the information required to be included or incorporated by reference into Part III of this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166370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2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w w:val="99"/>
              </w:rPr>
              <w:t>WAVE LIFE SCIENCES LTD.</w:t>
            </w:r>
          </w:p>
        </w:tc>
        <w:tc>
          <w:tcPr>
            <w:tcW w:w="86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20" w:type="dxa"/>
            <w:vAlign w:val="bottom"/>
            <w:gridSpan w:val="11"/>
          </w:tcPr>
          <w:p>
            <w:pPr>
              <w:jc w:val="center"/>
              <w:ind w:right="3080"/>
              <w:spacing w:after="0"/>
              <w:rPr>
                <w:sz w:val="20"/>
                <w:szCs w:val="20"/>
                <w:color w:val="auto"/>
              </w:rPr>
            </w:pPr>
            <w:r>
              <w:rPr>
                <w:rFonts w:ascii="Arial" w:cs="Arial" w:eastAsia="Arial" w:hAnsi="Arial"/>
                <w:sz w:val="18"/>
                <w:szCs w:val="18"/>
                <w:b w:val="1"/>
                <w:bCs w:val="1"/>
                <w:color w:val="auto"/>
                <w:w w:val="99"/>
              </w:rPr>
              <w:t>ANNUAL REPORT ON FORM 10-K</w:t>
            </w:r>
          </w:p>
        </w:tc>
        <w:tc>
          <w:tcPr>
            <w:tcW w:w="86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20" w:type="dxa"/>
            <w:vAlign w:val="bottom"/>
            <w:gridSpan w:val="11"/>
          </w:tcPr>
          <w:p>
            <w:pPr>
              <w:jc w:val="center"/>
              <w:ind w:right="3060"/>
              <w:spacing w:after="0"/>
              <w:rPr>
                <w:sz w:val="20"/>
                <w:szCs w:val="20"/>
                <w:color w:val="auto"/>
              </w:rPr>
            </w:pPr>
            <w:r>
              <w:rPr>
                <w:rFonts w:ascii="Arial" w:cs="Arial" w:eastAsia="Arial" w:hAnsi="Arial"/>
                <w:sz w:val="18"/>
                <w:szCs w:val="18"/>
                <w:b w:val="1"/>
                <w:bCs w:val="1"/>
                <w:color w:val="auto"/>
                <w:w w:val="98"/>
              </w:rPr>
              <w:t>TABLE OF CONTENTS</w:t>
            </w:r>
          </w:p>
        </w:tc>
        <w:tc>
          <w:tcPr>
            <w:tcW w:w="860" w:type="dxa"/>
            <w:vAlign w:val="bottom"/>
          </w:tcPr>
          <w:p>
            <w:pPr>
              <w:spacing w:after="0"/>
              <w:rPr>
                <w:sz w:val="24"/>
                <w:szCs w:val="24"/>
                <w:color w:val="auto"/>
              </w:rPr>
            </w:pPr>
          </w:p>
        </w:tc>
      </w:tr>
      <w:tr>
        <w:trPr>
          <w:trHeight w:val="392"/>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2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86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Risk Factors</w:t>
              </w:r>
            </w:hyperlink>
          </w:p>
        </w:tc>
        <w:tc>
          <w:tcPr>
            <w:tcW w:w="7760" w:type="dxa"/>
            <w:vAlign w:val="bottom"/>
            <w:gridSpan w:val="1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Unresolved Staff Comments</w:t>
              </w:r>
            </w:hyperlink>
          </w:p>
        </w:tc>
        <w:tc>
          <w:tcPr>
            <w:tcW w:w="6620" w:type="dxa"/>
            <w:vAlign w:val="bottom"/>
            <w:gridSpan w:val="11"/>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Properties</w:t>
              </w:r>
            </w:hyperlink>
          </w:p>
        </w:tc>
        <w:tc>
          <w:tcPr>
            <w:tcW w:w="7940" w:type="dxa"/>
            <w:vAlign w:val="bottom"/>
            <w:gridSpan w:val="1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Legal Proceedings</w:t>
              </w:r>
            </w:hyperlink>
          </w:p>
        </w:tc>
        <w:tc>
          <w:tcPr>
            <w:tcW w:w="7340" w:type="dxa"/>
            <w:vAlign w:val="bottom"/>
            <w:gridSpan w:val="16"/>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8680" w:type="dxa"/>
            <w:vAlign w:val="bottom"/>
            <w:gridSpan w:val="2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Mine Safety Disclosures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412"/>
        </w:trPr>
        <w:tc>
          <w:tcPr>
            <w:tcW w:w="1880" w:type="dxa"/>
            <w:vAlign w:val="bottom"/>
            <w:gridSpan w:val="7"/>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8680" w:type="dxa"/>
            <w:vAlign w:val="bottom"/>
            <w:gridSpan w:val="21"/>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Market for Registrant’s Common Equity, Related Stockholder Matters and Issuer Purchases of Equity Securities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8680" w:type="dxa"/>
            <w:vAlign w:val="bottom"/>
            <w:gridSpan w:val="21"/>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Management’s Discussion and Analysis of Financial Condition and Results of Operations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2220" w:type="dxa"/>
            <w:vAlign w:val="bottom"/>
            <w:gridSpan w:val="4"/>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Financial Statements and Supplementary Data</w:t>
              </w:r>
            </w:hyperlink>
          </w:p>
        </w:tc>
        <w:tc>
          <w:tcPr>
            <w:tcW w:w="5340" w:type="dxa"/>
            <w:vAlign w:val="bottom"/>
            <w:gridSpan w:val="8"/>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8680" w:type="dxa"/>
            <w:vAlign w:val="bottom"/>
            <w:gridSpan w:val="21"/>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Changes in and Disagreements with Accountants on Accounting and Financial Disclosure</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200" w:type="dxa"/>
            <w:vAlign w:val="bottom"/>
            <w:gridSpan w:val="3"/>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8680" w:type="dxa"/>
            <w:vAlign w:val="bottom"/>
            <w:gridSpan w:val="21"/>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412"/>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III</w:t>
              </w:r>
            </w:hyperlink>
          </w:p>
        </w:tc>
        <w:tc>
          <w:tcPr>
            <w:tcW w:w="11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8680" w:type="dxa"/>
            <w:vAlign w:val="bottom"/>
            <w:gridSpan w:val="2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Directors, Executive Officers and Corporate Governance</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Executive Compensation</w:t>
              </w:r>
            </w:hyperlink>
          </w:p>
        </w:tc>
        <w:tc>
          <w:tcPr>
            <w:tcW w:w="4580" w:type="dxa"/>
            <w:vAlign w:val="bottom"/>
            <w:gridSpan w:val="7"/>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4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Security Ownership of Certain Beneficial Owners and Management and Related Stockholder Matters</w:t>
              </w:r>
            </w:hyperlink>
          </w:p>
        </w:tc>
        <w:tc>
          <w:tcPr>
            <w:tcW w:w="1380" w:type="dxa"/>
            <w:vAlign w:val="bottom"/>
            <w:gridSpan w:val="2"/>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Certain Relationships and Related Transactions, and Director Independence</w:t>
              </w:r>
            </w:hyperlink>
          </w:p>
        </w:tc>
        <w:tc>
          <w:tcPr>
            <w:tcW w:w="3220" w:type="dxa"/>
            <w:vAlign w:val="bottom"/>
            <w:gridSpan w:val="5"/>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8680" w:type="dxa"/>
            <w:vAlign w:val="bottom"/>
            <w:gridSpan w:val="2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Accounting Fees and Services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412"/>
        </w:trPr>
        <w:tc>
          <w:tcPr>
            <w:tcW w:w="1880" w:type="dxa"/>
            <w:vAlign w:val="bottom"/>
            <w:gridSpan w:val="7"/>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78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8680" w:type="dxa"/>
            <w:vAlign w:val="bottom"/>
            <w:gridSpan w:val="2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Exhibits, Financial Statement Schedules</w:t>
              </w:r>
            </w:hyperlink>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440" w:type="dxa"/>
            <w:vAlign w:val="bottom"/>
          </w:tcPr>
          <w:p>
            <w:pPr>
              <w:spacing w:after="0"/>
              <w:rPr>
                <w:sz w:val="17"/>
                <w:szCs w:val="17"/>
                <w:color w:val="auto"/>
              </w:rPr>
            </w:pPr>
          </w:p>
        </w:tc>
        <w:tc>
          <w:tcPr>
            <w:tcW w:w="144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Form 10-K Summary</w:t>
              </w:r>
            </w:hyperlink>
          </w:p>
        </w:tc>
        <w:tc>
          <w:tcPr>
            <w:tcW w:w="5780" w:type="dxa"/>
            <w:vAlign w:val="bottom"/>
            <w:gridSpan w:val="9"/>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440" w:type="dxa"/>
            <w:vAlign w:val="bottom"/>
          </w:tcPr>
          <w:p>
            <w:pPr>
              <w:spacing w:after="0"/>
              <w:rPr>
                <w:sz w:val="17"/>
                <w:szCs w:val="17"/>
                <w:color w:val="auto"/>
              </w:rPr>
            </w:pPr>
          </w:p>
        </w:tc>
        <w:tc>
          <w:tcPr>
            <w:tcW w:w="7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07">
              <w:r>
                <w:rPr>
                  <w:rFonts w:ascii="Arial" w:cs="Arial" w:eastAsia="Arial" w:hAnsi="Arial"/>
                  <w:sz w:val="18"/>
                  <w:szCs w:val="18"/>
                  <w:color w:val="0000EE"/>
                  <w:w w:val="85"/>
                </w:rPr>
                <w:t>Signatures</w:t>
              </w:r>
            </w:hyperlink>
          </w:p>
        </w:tc>
        <w:tc>
          <w:tcPr>
            <w:tcW w:w="6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the “Exchange Act,” that involve substantial risks and uncertainties. In some cases, forward-looking statements are identified by the words “anticipate,” “believe,” “continue,” “could,” “estimate,” “expect,” “future,” “goals,” “intend,” “likely,” “may,” “might,” “ongoing,” “objective,” “plan,” “potential,” “predict,” “project,” “seek,” “should,” “strategy,” “target,” “will” and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on Form 10-K, such statements are based on a combination of facts and factors currently known by us and our expectations of the future, about which we cannot be certain. Forward-looking statements include statements about our ability to fund our working capital requirements; our success, cost and timing of our product development activities and clinical trials; the timing of, and our ability to, obtain and maintain regulatory approvals for any of our product candidates; our ability to identify and develop new product candidates; our intellectual property position; our commercialization, marketing and manufacturing capabilities and strategy; our ability to develop sales and marketing capabilities; our estimates regarding future expenses and needs for additional financing; our ability to identify, recruit and retain key personnel; our financial performance; and developments and projections relating to our competitors in the industry. You should refer to the “Risk Factors” section of this Annual Report to Form 10-K and in our other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Annual Report on Form 10-K will prove to be accurate. Furthermore, if our forward-looking statements prove to be inaccurate, the inaccuracy may be material. In light of the significant uncertainties in these forward-looking statements, these statements should not be regarded as representations or warranties by us or any other person that we will achieve our objectives and plans in any specified timeframe, or at all. We undertake no obligation to publicly update any forward-looking statements, whether as a result of new information, future events or otherwise, except as required by law.</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used in this Annual Report on Form 10-K, unless otherwise stated or the context otherwise indicates, references to “Wave,” the “Company,” “we,” “our,” “us” or similar terms refer to Wave Life Sciences Ltd. and our wholly-owned subsidiaries.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Wave Life Sciences Ltd. and Wave Life Sciences Pte. Ltd. names, the Wave Life Sciences mark, PRISM and the other registered and pending trademarks, trade names and service marks of Wave Life Sciences Ltd. appearing in this Annual Report on Form 10-K are the property of Wave Life Sciences Ltd. This Annual Report on Form 10-K also contains additional trade names, trademarks and service marks belonging to Wave Life Sciences Ltd. and to other companies. We do not intend our use or display of other parties’ trademarks, trade names or service marks to imply, and such use or display should not be construed to imply, a relationship with, or endorsement or sponsorship of us by, these other parties. Solely for convenience, the trademarks and trade names in this Annual Report on Form 10-K are referred to without the ® and ™ symbols, but such reference should not be construed as any indicator that their respective owners will not assert, to the fullest extent under applicable law, their rights thereto.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are a clinical-stage genetic medicines company committed to delivering life-changing treatments for people battling devastating diseases. Using PRISM, our proprietary discovery and drug development platform that enables the precise design, optimization and production of novel stereopure oligonucleotides, we aspire to develop best in class medicines across multiple therapeutic modalities.</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Nucleic acid therapeutics, including oligonucleotides, are a growing and innovative class of drugs comprised of a sequence of nucleotides that are linked together by a backbone of chemical bonds. We are initially developing oligonucleotides that target the ribonucleic acid (“RNA”) to either reduce the expression of disease-promoting proteins or transform the production of dysfunctional mutant proteins into the production of functional proteins. RNA is a critical molecule that can adopt complex three-dimensional structures and affect various cellular functions. By intervening at the RNA level, we have the potential to address diseases that have historically been difficult to treat with small molecules or biologics. Oligonucleotides have additional advantages as a therapeutic class including the ability to target multiple tissue types, often without the need for a delivery vehicle, and the ability to modulate the frequency of dosing to ensure broad distribution within tissues and account for cell turnover. Oligonucleotides also have well-established manufacturing processes and validated test methods based on decades of improvements.</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oligonucleotides we are developing with PRISM are stereopure. A stereopure oligonucleotide is comprised of molecules with atoms precisely arranged in three-dimensional orientations at each linkage. We believe that controlling the position of the sulfur atom following phosphorothioate (“PS”) modification will optimize the pharmacological profile of our oligonucleotides by maximizing the potential therapeutic benefit while minimizing the potential for side effects and safety risks. The stereopure oligonucleotides we are developing differ from the mixture-based oligonucleotides currently on the market or in development by others. Our preclinical studies have demonstrated that our stereopure oligonucleotides may achieve superior pharmacological properties compared with mixture-based oligonucleotides. Through our work in developing stereopure oligonucleotides, we have created and continue to evolve PRISM, our proprietary discovery and drug development platform.</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PRISM enables us to target genetically defined diseases with stereopure oligonucleotides across multiple therapeutic modalities. PRISM combines our unique ability to construct stereopure oligonucleotides with a deep understanding of how the interplay among oligonucleotide sequence, chemistry and backbone stereochemistry impacts key pharmacological properties. By exploring these interactions through iterative analysis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outcomes and artificial intelligence-driven predictive modeling, we continue to define design principles that we deploy across programs to rapidly develop and manufacture clinical candidates that meet pre-defined product profiles.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goal is to develop and commercialize disease-modifying medicines for genetically defined diseases with a high degree of unmet medical need, and to become a fully integrated genetic medicines company. Our initial focus for our clinical development programs is in neurology, which we broadly define as genetic diseases within the neuromuscular system and central nervous system. We are conducting clinical trials of our lead program in Duchenne muscular dystrophy (“DMD”) targeting exon 51 and our two lead programs in Huntington’s disease (“HD”). We are advancing three additional development programs, targeting exon 53 in DMD and C9ORF72 in amyotrophic lateral sclerosis and frontotemporal dementia, and, subject to our submission of clinical trial applications and approval to proceed, we would expect topline clinical data readouts from these programs in the second half of 2020. In addition to neurology, we are advancing discovery research in ophthalmologic disorders, specifically inherited retinal diseases, and in hepatic diseases, and we expect to make continued investments in expanding the breadth of our portfolio. In further support of our pipeline, we continue to make substantial investments in, and leverage, PRISM to potentially develop the next generation of stereopure oligonucleotides. We have also established and continue to enhance our internal current good manufacturing practices (“cGMP”) manufacturing capabilities to increase control and visibility of our drug substance supply chain. These investments further improve our ability to secure drug substance for current and future development activities and may provide commercial-scale manufacturing capabilities.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152400</wp:posOffset>
            </wp:positionV>
            <wp:extent cx="6165850" cy="3267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65850"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regarding our programs are set forth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Neurology: Muscle</w:t>
      </w:r>
    </w:p>
    <w:p>
      <w:pPr>
        <w:spacing w:after="0" w:line="117" w:lineRule="exact"/>
        <w:rPr>
          <w:sz w:val="20"/>
          <w:szCs w:val="20"/>
          <w:color w:val="auto"/>
        </w:rPr>
      </w:pPr>
    </w:p>
    <w:p>
      <w:pPr>
        <w:ind w:left="1040" w:hanging="519"/>
        <w:spacing w:after="0" w:line="284"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DMD is a genetic disorder caused by mutations in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that result in dysfunctional dystrophin protein. DMD impacts approximately one in every 5,000 newborn boys each year, resulting in approximately 20,000 new cases worldwide annually. In DMD, we are advancing suvodirsen (WVE-210201), which targets exon 51, a region within the precursor messenger RNA (“pre-mRNA”) that is transcribed from the dystrophin gene (also referred to as the “</w:t>
      </w:r>
      <w:r>
        <w:rPr>
          <w:rFonts w:ascii="Arial" w:cs="Arial" w:eastAsia="Arial" w:hAnsi="Arial"/>
          <w:sz w:val="16"/>
          <w:szCs w:val="16"/>
          <w:i w:val="1"/>
          <w:iCs w:val="1"/>
          <w:color w:val="auto"/>
        </w:rPr>
        <w:t>DMD</w:t>
      </w:r>
      <w:r>
        <w:rPr>
          <w:rFonts w:ascii="Arial" w:cs="Arial" w:eastAsia="Arial" w:hAnsi="Arial"/>
          <w:sz w:val="16"/>
          <w:szCs w:val="16"/>
          <w:color w:val="auto"/>
        </w:rPr>
        <w:t>” gene). In November 2017, we initiated a global, multicenter, double-blind, randomized, placebo-controlled, single-ascending dose Phase 1 clinical trial of suvodirsen administered intravenously. The primary endpoint of the trial was safety and tolerability. The Phase 1 inclusion criteria allowed for participation by patients who are amenable to exon 51 skipping, ages 5-18, ambulatory and non-ambulatory, as well as those previously treated with eteplirsen or ataluren following an appropriate washout period. On December 6, 2018, we announced that the safety and tolerability data from the Phase 1 trial support initiation of a Phase 2/3 clinical trial of suvodirsen and that we selected a dose for the Phase 2/3 trial. We plan to present the results from the Phase 1 trial, as well as details of the Phase 2/3 trial design, at upcoming scientific meetings. As patients complete the Phase 1 trial, they have the option to enroll in an ongoing open label extension study (“OLE”) in which they continue to receive suvodirsen. The OLE is expected to enroll up to 40 patients who previously participated in the Phase 1 trial. Patients in the OLE are undergoing quarterly clinical assessments using validated clinical outcome measures and are having muscle biopsies taken so that an interim analysis may be conducted by measuring dystrophin expression using a standardized Western blot. Data from this interim analysis are intended to be an important component of a submission to the U.S. Food and Drug Administration (“FDA”) for accelerated approval of suvodirsen in the United States, and we remain on track to deliver these data in the second half of 2019. We anticipate initiating the global, placebo-controlled Phase 2/3 efficacy and safety clinical trial of suvodirsen in 2019. The Phase 2/3 trial is designed to measure clinical efficacy and dystrophin expression, and we intend to use the results of this trial to seek regulatory approvals globally. On January 3, 2019, we announced that the Phase 2/3 trial of suvodirsen had been selected for the FDA pilot program for complex innovative trial designs (“CID pilot program”). In evaluating submissions for the CID pilot program, the FDA considered two key criteria: the innovative features of the Phase 2/3 trial design and the therapeutic need (i.e., therapeutics being developed for use in disease areas where there are limited or no treatment options). Through the CID pilot program, we intend to reduce the number of patients required to deliver conclusive clinical efficacy results, thereby minimizing the number of patients required in the placebo treatment arm and potentially accelerating completion of the trial. This marks the first time that the FDA has selected clinical protocols for its CID pilot program that was announced in August 2018.</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ind w:left="1040" w:right="16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second development program in DMD, WVE-N531, targets exon 53. Subject to our submission of clinical trial applications and approval to proceed, we would expect to deliver topline clinical data for WVE-N531 in the second half of 2020.</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Also in DMD, we are exploring programs targeting DMD exons 44, 45, 52, 54 and 55 and investigating alternative forms of delivery, including subcutaneous administration, for our existing and future DMD programs.</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DMD, we are conducting research to identify potential targets for other neuromuscular diseases where PRISM, our proprietary discovery and drug development platform may be most effective.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Neurology: Central Nervous System (“CNS”)</w:t>
      </w:r>
    </w:p>
    <w:p>
      <w:pPr>
        <w:spacing w:after="0" w:line="117" w:lineRule="exact"/>
        <w:rPr>
          <w:sz w:val="20"/>
          <w:szCs w:val="20"/>
          <w:color w:val="auto"/>
        </w:rPr>
      </w:pPr>
    </w:p>
    <w:p>
      <w:pPr>
        <w:ind w:left="1040" w:hanging="519"/>
        <w:spacing w:after="0" w:line="267"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 HD, we are advancing two programs, WVE-120101 and WVE-120102, each targeting a disease-associated single nucleotide polymorphism (“SNP”) within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w:t>
      </w:r>
      <w:r>
        <w:rPr>
          <w:rFonts w:ascii="Arial" w:cs="Arial" w:eastAsia="Arial" w:hAnsi="Arial"/>
          <w:sz w:val="17"/>
          <w:szCs w:val="17"/>
          <w:i w:val="1"/>
          <w:iCs w:val="1"/>
          <w:color w:val="auto"/>
        </w:rPr>
        <w:t>HTT</w:t>
      </w:r>
      <w:r>
        <w:rPr>
          <w:rFonts w:ascii="Arial" w:cs="Arial" w:eastAsia="Arial" w:hAnsi="Arial"/>
          <w:sz w:val="17"/>
          <w:szCs w:val="17"/>
          <w:color w:val="auto"/>
        </w:rPr>
        <w:t xml:space="preserve">”): rs362307 (“HTT SNP1”) and rs362331 (“HTT SNP2”), respectively. Targeting mRNA transcript with these SNPs allows us to lower the mutant allele transcript, while leaving the healthy transcript relatively intact. We commonly refer to this method (or approach) as “allele specific targeting.” SNPs are naturally occurring variations within a given genetic sequence and in certain instances can be used to distinguish between two related copies of a gene where only one is associated with the expression of a disease-causing protein. We have shown that by targeting HTT SNP1 and HTT SNP2 in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the production of disease-causing proteins associated with HD can be reduced. As part of ongoing, required and routine toxicology support of our clinical programs, we continue to conduct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nonclinical toxicology studies for WVE-120101 and WVE-120102. A recent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micronucleus assay yielded results that require additional nonclinical studies that we are planning to conduct. In July 2017, we initiated PRECISION-HD, a global clinical program consisting of the PRECISION-HD1 and PRECISION-HD2 clinical trials. PRECISION-HD1 and PRECISION-HD2 are two parallel, multicenter, double-blind, randomized, placebo-controlled Phase 1b/2a clinical trials evaluating WVE-120101 and WVE-120102, respectively, administered intrathecally, consisting of single-ascending dose and multiple-ascending dose portions. The primary objective of these two trials is to assess the safety and tolerability of intrathecal doses of WVE-120101 and WVE-120102, respectively, in early manifest HD patients. Additional objectives include measurement of total HTT protein and mutant HTT protein, and exploratory pharmacokinetic, pharmacodynamic, clinical and MRI endpoints. Each trial is expected to enroll approximately 50 Stage I or Stage II HD patients, ages 25-65, who have screened positively for the presence of SNP1 or SNP2. Outside of the United States, we are enrolling patients in both the single-ascending dose and multiple-ascending dose portions of the PRECISION-HD1 and PRECISION-HD2 trials. In the United States, we received approvals to proceed with the single-dose portions of both trials. However, the FDA indicated to us that we cannot progress to the multiple-ascending dose portions of these trials in the United States unless we conduct an additional preclinical study and present the resulting data to the FDA for its review. For the single-dose portion of the PRECISION-HD1 trial in the United States, escalation to our highest proposed doses is subject to the FDA’s review and approval of additional monitoring plans. We expect to deliver topline clinical data from the PRECISION-HD trials in the first half of 2019.</w:t>
      </w:r>
    </w:p>
    <w:p>
      <w:pPr>
        <w:spacing w:after="0" w:line="77" w:lineRule="exact"/>
        <w:rPr>
          <w:rFonts w:ascii="Arial" w:cs="Arial" w:eastAsia="Arial" w:hAnsi="Arial"/>
          <w:sz w:val="17"/>
          <w:szCs w:val="17"/>
          <w:color w:val="auto"/>
        </w:rPr>
      </w:pPr>
    </w:p>
    <w:p>
      <w:pPr>
        <w:ind w:left="1040" w:hanging="519"/>
        <w:spacing w:after="0" w:line="255"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amyotrophic lateral sclerosis (“ALS”) and frontotemporal dementia (“FTD”), we are advancing WVE-3972-01, which preferentially targets the transcript containing the GGGGCC (“G4C2”) expansion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WVE-3972-01 is designed to minimize the impact on normal C9ORF72 protein in patients, thereby reducing potential on-target risk. The G4C2 expansion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is the most common cause of familial ALS and FTD and is a strong genetic risk factor for non-inherited (sporadic) forms of ALS and FTD. Subject to our submission of clinical trial applications and approval to proceed, we would expect to deliver topline clinical data for WVE-3972-01 in the second half of 2020.</w:t>
      </w:r>
    </w:p>
    <w:p>
      <w:pPr>
        <w:spacing w:after="0" w:line="85" w:lineRule="exact"/>
        <w:rPr>
          <w:rFonts w:ascii="Arial" w:cs="Arial" w:eastAsia="Arial" w:hAnsi="Arial"/>
          <w:sz w:val="18"/>
          <w:szCs w:val="18"/>
          <w:color w:val="auto"/>
        </w:rPr>
      </w:pPr>
    </w:p>
    <w:p>
      <w:pPr>
        <w:ind w:left="1040" w:right="260" w:hanging="519"/>
        <w:spacing w:after="0" w:line="308"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 spinocerebellar ataxia 3 (“SCA3”), we are advancing a lead candidate targeting </w:t>
      </w:r>
      <w:r>
        <w:rPr>
          <w:rFonts w:ascii="Arial" w:cs="Arial" w:eastAsia="Arial" w:hAnsi="Arial"/>
          <w:sz w:val="17"/>
          <w:szCs w:val="17"/>
          <w:i w:val="1"/>
          <w:iCs w:val="1"/>
          <w:color w:val="auto"/>
        </w:rPr>
        <w:t>ATXN3</w:t>
      </w:r>
      <w:r>
        <w:rPr>
          <w:rFonts w:ascii="Arial" w:cs="Arial" w:eastAsia="Arial" w:hAnsi="Arial"/>
          <w:sz w:val="17"/>
          <w:szCs w:val="17"/>
          <w:color w:val="auto"/>
        </w:rPr>
        <w:t xml:space="preserve">. SCA3 is a rare, hereditary (autosomal dominant), progressive, neurodegenerative disorder that is caused by a CAG-repeat expansion in the </w:t>
      </w:r>
      <w:r>
        <w:rPr>
          <w:rFonts w:ascii="Arial" w:cs="Arial" w:eastAsia="Arial" w:hAnsi="Arial"/>
          <w:sz w:val="17"/>
          <w:szCs w:val="17"/>
          <w:i w:val="1"/>
          <w:iCs w:val="1"/>
          <w:color w:val="auto"/>
        </w:rPr>
        <w:t>ATXN3</w:t>
      </w:r>
      <w:r>
        <w:rPr>
          <w:rFonts w:ascii="Arial" w:cs="Arial" w:eastAsia="Arial" w:hAnsi="Arial"/>
          <w:sz w:val="17"/>
          <w:szCs w:val="17"/>
          <w:color w:val="auto"/>
        </w:rPr>
        <w:t xml:space="preserve"> gene.</w:t>
      </w:r>
    </w:p>
    <w:p>
      <w:pPr>
        <w:spacing w:after="0" w:line="38" w:lineRule="exact"/>
        <w:rPr>
          <w:rFonts w:ascii="Arial" w:cs="Arial" w:eastAsia="Arial" w:hAnsi="Arial"/>
          <w:sz w:val="17"/>
          <w:szCs w:val="17"/>
          <w:color w:val="auto"/>
        </w:rPr>
      </w:pPr>
    </w:p>
    <w:p>
      <w:pPr>
        <w:ind w:left="1040" w:right="100" w:hanging="519"/>
        <w:spacing w:after="0" w:line="259"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collaborating with Takeda Pharmaceutical Company Limited (“Takeda”) to advance genetically defined targets for the treatment of other CNS disorders, including Alzheimer’s disease and Parkinson’s disease. Under the terms of the agreement, we may collaborate with Takeda on up to six preclinical programs at any one time, during a four-year term. Takeda is entitled to exclusively license multiple preclinical programs from us during the term.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Ophthalmology</w:t>
      </w:r>
    </w:p>
    <w:p>
      <w:pPr>
        <w:spacing w:after="0" w:line="117" w:lineRule="exact"/>
        <w:rPr>
          <w:sz w:val="20"/>
          <w:szCs w:val="20"/>
          <w:color w:val="auto"/>
        </w:rPr>
      </w:pPr>
    </w:p>
    <w:p>
      <w:pPr>
        <w:ind w:left="1040" w:right="20" w:hanging="519"/>
        <w:spacing w:after="0" w:line="255"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designing and advancing stereopure oligonucleotides for the potential treatment of rare, inherited eye diseases. Our research is assessing four inherited retinal diseases, which typically begin in childhood or adolescence and commonly lead to progressive vision loss: retinitis pigmentosa due to a P23H mutation in the RHO gene, Stargardt disease, Usher syndrome type 2A and Leber congenital amaurosis 10. Our preclinical data demonstrate that a single intravitreal injection of stereopure oligonucleotide in the eye of non-human primates resulted in greater than 95% knockdown of a target RNA in the retina for at least four months. Based on these data, we are working to design candidates that could achieve a therapeutic effect with only two doses per year. We expect to announce our first ophthalmology candidate in the second half of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Hepatic</w:t>
      </w:r>
    </w:p>
    <w:p>
      <w:pPr>
        <w:spacing w:after="0" w:line="117" w:lineRule="exact"/>
        <w:rPr>
          <w:sz w:val="20"/>
          <w:szCs w:val="20"/>
          <w:color w:val="auto"/>
        </w:rPr>
      </w:pPr>
    </w:p>
    <w:p>
      <w:pPr>
        <w:ind w:left="1040" w:hanging="519"/>
        <w:spacing w:after="0" w:line="255"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collaborating with Pfizer to advance genetically defined targets for the treatment of metabolic diseases, bringing together our proprietary drug development platform across antisense and single-stranded RNAi modalities, along with GalNAc and Pfizer’s hepatic targeting technology for delivery to the liver. Pfizer has selected five targets, including Apolipoprotein C-III (APOC3), which is the maximum number of targets that Pfizer may select under the terms of the agreement. We will advance five targets from discovery through the selection of clinical candidates, at which point Pfizer may elect to exclusively license the programs and undertake further development and potential commercialization.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are building a fully integrated genetic medicines company by leveraging PRISM to design, develop and commercialize optimized disease-modifying medicines for indications with a high degree of unmet medical need in genetically defined diseases. Our initial programs are focused in neurology and are aimed at addressing DMD, HD, ALS, FTD and SCA3. In parallel to our neurology programs, we are advancing preclinical programs in ophthalmology and hepatic diseases as well as exploring additional therapeutic areas that may benefit from the application of our platform.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key components of our strategy are as follows:</w:t>
      </w:r>
    </w:p>
    <w:p>
      <w:pPr>
        <w:spacing w:after="0" w:line="117" w:lineRule="exact"/>
        <w:rPr>
          <w:sz w:val="20"/>
          <w:szCs w:val="20"/>
          <w:color w:val="auto"/>
        </w:rPr>
      </w:pPr>
    </w:p>
    <w:p>
      <w:pPr>
        <w:ind w:left="1040" w:right="20" w:hanging="519"/>
        <w:spacing w:after="0" w:line="279"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Maintain and extend our leadership in oligonucleotides</w:t>
      </w:r>
      <w:r>
        <w:rPr>
          <w:rFonts w:ascii="Arial" w:cs="Arial" w:eastAsia="Arial" w:hAnsi="Arial"/>
          <w:sz w:val="17"/>
          <w:szCs w:val="17"/>
          <w:color w:val="auto"/>
        </w:rPr>
        <w:t>. We intend to establish a dominant position in the field of oligonucleotides, advancing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basic research and pharmacology using stereochemistry across multiple therapeutic modalities and target classes. Through PRISM, our efforts continue to reveal structure-activity relationships among sequence, chemistry and backbone stereochemistry that may allow us to tune the activity of our oligonucleotides in a previously unexplored modality-specific manner.</w:t>
      </w:r>
    </w:p>
    <w:p>
      <w:pPr>
        <w:spacing w:after="0" w:line="63" w:lineRule="exact"/>
        <w:rPr>
          <w:rFonts w:ascii="Arial" w:cs="Arial" w:eastAsia="Arial" w:hAnsi="Arial"/>
          <w:sz w:val="17"/>
          <w:szCs w:val="17"/>
          <w:color w:val="auto"/>
        </w:rPr>
      </w:pPr>
    </w:p>
    <w:p>
      <w:pPr>
        <w:jc w:val="both"/>
        <w:ind w:left="1040" w:right="40" w:hanging="519"/>
        <w:spacing w:after="0" w:line="25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Rapidly advance our clinical development programs. </w:t>
      </w:r>
      <w:r>
        <w:rPr>
          <w:rFonts w:ascii="Arial" w:cs="Arial" w:eastAsia="Arial" w:hAnsi="Arial"/>
          <w:sz w:val="18"/>
          <w:szCs w:val="18"/>
          <w:color w:val="auto"/>
        </w:rPr>
        <w:t>We are advancing three programs currently in clinical development: suvodirsen targeting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exon 51 in DMD and WVE-120101 and WVE-120102, targeting HTT SNP1 and HTT SNP2, respectively, in HD. We expect to deliver topline data from our two Phase 1b/2a trials in HD in the first half of 2019. In DMD, we expect to deliver an interim analysis of dystrophin expression from the OLE for suvodirsen in the second half of 2019.</w:t>
      </w:r>
    </w:p>
    <w:p>
      <w:pPr>
        <w:spacing w:after="0" w:line="78" w:lineRule="exact"/>
        <w:rPr>
          <w:rFonts w:ascii="Arial" w:cs="Arial" w:eastAsia="Arial" w:hAnsi="Arial"/>
          <w:sz w:val="18"/>
          <w:szCs w:val="18"/>
          <w:color w:val="auto"/>
        </w:rPr>
      </w:pPr>
    </w:p>
    <w:p>
      <w:pPr>
        <w:ind w:left="1040" w:hanging="519"/>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Sustain our leadership in neurology. </w:t>
      </w:r>
      <w:r>
        <w:rPr>
          <w:rFonts w:ascii="Arial" w:cs="Arial" w:eastAsia="Arial" w:hAnsi="Arial"/>
          <w:sz w:val="18"/>
          <w:szCs w:val="18"/>
          <w:color w:val="auto"/>
        </w:rPr>
        <w:t>We are committed to transforming the care of rare genetic diseases in neurology, which we broadly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neuromuscular system and the CNS. Our current neurology development programs offer a foundation from which to transform our company into a fully integrated commercial organization. We also believe there are additional areas within neurology, specifically neurodegenerative movement disorders, neuromuscular diseases beyond DMD and neurodegenerative dementias, that we can uniquely address with PRISM to reach underserved patient populations.</w:t>
      </w:r>
    </w:p>
    <w:p>
      <w:pPr>
        <w:spacing w:after="0" w:line="80" w:lineRule="exact"/>
        <w:rPr>
          <w:rFonts w:ascii="Arial" w:cs="Arial" w:eastAsia="Arial" w:hAnsi="Arial"/>
          <w:sz w:val="18"/>
          <w:szCs w:val="18"/>
          <w:color w:val="auto"/>
        </w:rPr>
      </w:pPr>
    </w:p>
    <w:p>
      <w:pPr>
        <w:ind w:left="1040" w:right="160" w:hanging="519"/>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pipeline. </w:t>
      </w:r>
      <w:r>
        <w:rPr>
          <w:rFonts w:ascii="Arial" w:cs="Arial" w:eastAsia="Arial" w:hAnsi="Arial"/>
          <w:sz w:val="18"/>
          <w:szCs w:val="18"/>
          <w:color w:val="auto"/>
        </w:rPr>
        <w:t>We remain intent on making disciplined investments in our platform to enable a sustainable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for future growth. We believe PRISM will yield optimized oligonucleotide candidates to deepen our pipeline in neurologic and hepatic diseases, as well as to allow us to broaden our pipeline into additional therapeutic areas, such as ophthalmology, where our initial focus is in rare, inherited retinal diseases. We will continue to pursue these investments through wholly-owned programs as well as through potential partnerships and collaborations.</w:t>
      </w:r>
    </w:p>
    <w:p>
      <w:pPr>
        <w:spacing w:after="0" w:line="80" w:lineRule="exact"/>
        <w:rPr>
          <w:rFonts w:ascii="Arial" w:cs="Arial" w:eastAsia="Arial" w:hAnsi="Arial"/>
          <w:sz w:val="18"/>
          <w:szCs w:val="18"/>
          <w:color w:val="auto"/>
        </w:rPr>
      </w:pPr>
    </w:p>
    <w:p>
      <w:pPr>
        <w:ind w:left="1040" w:right="20" w:hanging="519"/>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manufacturing leadership in stereopure oligonucleotides. </w:t>
      </w:r>
      <w:r>
        <w:rPr>
          <w:rFonts w:ascii="Arial" w:cs="Arial" w:eastAsia="Arial" w:hAnsi="Arial"/>
          <w:sz w:val="18"/>
          <w:szCs w:val="18"/>
          <w:color w:val="auto"/>
        </w:rPr>
        <w:t>We have built a hybrid internal / external manufacturing model that gives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the capability to produce stereopure oligonucleotides at scales from one micromole to potential commercial scale. We believe that leveraging our internal manufacturing capabilities based in our Lexington, Massachusetts facility along with expertise from established Contract Manufacturing Organizations (“CMOs”) facilitates our growth and enhances our ability to secure drug substance for current and future development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Oligonucleotides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majority of traditional therapeutics, such as small molecules and biologics, work by interacting with proteins that contribute to the disease. However, there are thought to be a limited number of “druggable” proteins; it is currently estimated that approximately 80% of human protein targets cannot be addressed by these conventional approaches. In contrast, we believe that directing medicines to the RNA, which is critical to the production of proteins, rather than to the proteins themselves, has the potential to significantly increase the number of druggable targets. We also believe that utilizing and building upon the established scientific, regulatory, operational and commercial knowledge base with regard to genetic medicines that target RNA gives us the best chance of success to rapidly deliver therapies to the patients who need them.</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Nucleic acid therapeutics, including oligonucleotides, are an innovative class of drugs that can modulate the function of target RNAs to ultimately affect the production of disease-associated proteins or prevent the accumulation of pathogenic RNA species, which are emerging as important factors in human disease. Oligonucleotides can regulate protein and RNA via several different molecular mechanisms. These mechanisms can be broadly categorized as silencing, those that promote degradation of the target RNA, including antisense and RNAi; splicing, those that involve binding to the target RNA and modulating its function by promoting exon skipping; and RNA-guided gene editing.</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unique capability of oligonucleotides to address a wide range of genomic targets that impact multiple therapeutic areas creates potentially significant market opportunities for us to develop molecules to treat a broad spectrum of human diseases, including diseases where no medicines currently exist or for which existing treatments are not optimal.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oligonucleotides we are currently developing employ the following molecular mechanisms:</w:t>
      </w:r>
    </w:p>
    <w:p>
      <w:pPr>
        <w:spacing w:after="0" w:line="113" w:lineRule="exact"/>
        <w:rPr>
          <w:sz w:val="20"/>
          <w:szCs w:val="20"/>
          <w:color w:val="auto"/>
        </w:rPr>
      </w:pPr>
    </w:p>
    <w:p>
      <w:pPr>
        <w:ind w:left="1040" w:right="200" w:hanging="519"/>
        <w:spacing w:after="0" w:line="314"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Antisense</w:t>
      </w:r>
      <w:r>
        <w:rPr>
          <w:rFonts w:ascii="Arial" w:cs="Arial" w:eastAsia="Arial" w:hAnsi="Arial"/>
          <w:sz w:val="16"/>
          <w:szCs w:val="16"/>
          <w:color w:val="auto"/>
        </w:rPr>
        <w:t>, which uses a therapeutic oligonucleotide designed to bind to a specific sequence in a target RNA strand that encodes a disease-associated protein or pathogenic RNA. The resulting two-stranded molecule (“duplex”) is then recognized by a cellular enzyme called RNase H, which cleaves, or cuts, the target RNA in the duplex, thereby preventing the disease-associated protein from being made.</w:t>
      </w:r>
    </w:p>
    <w:p>
      <w:pPr>
        <w:spacing w:after="0" w:line="34" w:lineRule="exact"/>
        <w:rPr>
          <w:rFonts w:ascii="Arial" w:cs="Arial" w:eastAsia="Arial" w:hAnsi="Arial"/>
          <w:sz w:val="16"/>
          <w:szCs w:val="16"/>
          <w:color w:val="auto"/>
        </w:rPr>
      </w:pPr>
    </w:p>
    <w:p>
      <w:pPr>
        <w:ind w:left="1040" w:right="20" w:hanging="519"/>
        <w:spacing w:after="0" w:line="266"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RNA interference </w:t>
      </w:r>
      <w:r>
        <w:rPr>
          <w:rFonts w:ascii="Arial" w:cs="Arial" w:eastAsia="Arial" w:hAnsi="Arial"/>
          <w:sz w:val="18"/>
          <w:szCs w:val="18"/>
          <w:color w:val="auto"/>
        </w:rPr>
        <w:t>(“RNAi”), which uses a therapeutic oligonucleotide designed to recognize a specific sequence and engages RNAi</w:t>
      </w:r>
      <w:r>
        <w:rPr>
          <w:rFonts w:ascii="Arial" w:cs="Arial" w:eastAsia="Arial" w:hAnsi="Arial"/>
          <w:sz w:val="18"/>
          <w:szCs w:val="18"/>
          <w:b w:val="1"/>
          <w:bCs w:val="1"/>
          <w:color w:val="auto"/>
        </w:rPr>
        <w:t xml:space="preserve"> </w:t>
      </w:r>
      <w:r>
        <w:rPr>
          <w:rFonts w:ascii="Arial" w:cs="Arial" w:eastAsia="Arial" w:hAnsi="Arial"/>
          <w:sz w:val="18"/>
          <w:szCs w:val="18"/>
          <w:color w:val="auto"/>
        </w:rPr>
        <w:t>machinery known as the RNA-induced silencing complex (“RISC”) to silence a target RNA that is either pathogenic itself or encodes a disease-associated protein, thereby preventing the accumulation of the pathogenic species (RNA or protein).</w:t>
      </w:r>
    </w:p>
    <w:p>
      <w:pPr>
        <w:spacing w:after="0" w:line="68" w:lineRule="exact"/>
        <w:rPr>
          <w:rFonts w:ascii="Arial" w:cs="Arial" w:eastAsia="Arial" w:hAnsi="Arial"/>
          <w:sz w:val="18"/>
          <w:szCs w:val="18"/>
          <w:color w:val="auto"/>
        </w:rPr>
      </w:pPr>
    </w:p>
    <w:p>
      <w:pPr>
        <w:ind w:left="1040" w:right="280" w:hanging="519"/>
        <w:spacing w:after="0" w:line="282"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Splicing</w:t>
      </w:r>
      <w:r>
        <w:rPr>
          <w:rFonts w:ascii="Arial" w:cs="Arial" w:eastAsia="Arial" w:hAnsi="Arial"/>
          <w:sz w:val="18"/>
          <w:szCs w:val="18"/>
          <w:color w:val="auto"/>
        </w:rPr>
        <w:t>, which is the processing of a nascent pre-mRNA transcript into messenger RNA (“mRNA”) by removing introns and joining exons</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w:t>
      </w:r>
    </w:p>
    <w:p>
      <w:pPr>
        <w:spacing w:after="0" w:line="53" w:lineRule="exact"/>
        <w:rPr>
          <w:rFonts w:ascii="Arial" w:cs="Arial" w:eastAsia="Arial" w:hAnsi="Arial"/>
          <w:sz w:val="18"/>
          <w:szCs w:val="18"/>
          <w:color w:val="auto"/>
        </w:rPr>
      </w:pPr>
    </w:p>
    <w:p>
      <w:pPr>
        <w:ind w:left="1040" w:right="40" w:hanging="519"/>
        <w:spacing w:after="0" w:line="258"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Exon skipping</w:t>
      </w:r>
      <w:r>
        <w:rPr>
          <w:rFonts w:ascii="Arial" w:cs="Arial" w:eastAsia="Arial" w:hAnsi="Arial"/>
          <w:sz w:val="18"/>
          <w:szCs w:val="18"/>
          <w:color w:val="auto"/>
        </w:rPr>
        <w:t>, which uses a therapeutic oligonucleotide designed to bind to a particular sequence within a target pre-mRNA and direct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cellular machinery to delete, or splice out, certain specific regions of that RNA. Often, the underlying mutation in the target RNA leads to a “stop” instruction, so that, absent the therapeutic oligonucleotide, non-productive mRNA yields no functional protein. Use of the exon-skipping modality permits the cellular machinery to correct the “stop” instruction and assemble a partially functional protein, thereby mitigating or alleviating the disease that would otherwise result.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Design of Oligonucleotides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Oligonucleotides are largely comprised of chemically modified, short-length RNA or deoxyribonucleic acid (“DNA”) strands, commonly known as oligonucleotides. Oligonucleotides are comprised of a sequence of nucleotides—the building blocks of RNA and DNA—that are linked together by a backbone of chemical bonds. In nucleic acid molecules that have not been modified for therapeutic use, the nucleotides are linked by phosphodiester (“PO”) bonds,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127635</wp:posOffset>
            </wp:positionV>
            <wp:extent cx="4545330" cy="1689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45330"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Such unmodified nucleic acid molecules are unsuitable for use as therapeutics because they are rapidly degraded by enzymes called nucleases that are widely distributed in the human body, are rapidly cleared by the kidneys and are taken up poorly by targeted cells. The industry has employed chemical modifications of the nucleotides and PO bonds that improve the stability, biodistribution and cellular uptake of oligonucleotides.</w:t>
      </w:r>
    </w:p>
    <w:p>
      <w:pPr>
        <w:spacing w:after="0" w:line="166"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phosphorothioate (“PS”) modification was one of the earliest and remains one of the most common backbone modifications used in oligonucleotides. When introducing a PS modification, one of the nonbridging oxygen (O) atoms bonded to a phosphorus (P) atom is replaced with a sulfur (S) atom. This modification improves the stability of oligonucleotides by making them less susceptible to enzymatic degradation. Further, PS bond-containing oligonucleotides increase binding to plasma proteins, which improves biodistribution by preventing rapid renal excretion of these molecules.</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Whereas traditional chemistry platforms for oligonucleotides require the full replacement of the naturally occurring PO with PS, we can judiciously use a combination of PO and PS in our stereopure nucleic acids. We believe this flexibility to selectively employ PS modifications only where desired may provide control over pharmacodynamics and may improve the safety of our product candidates.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first FDA approval of a nucleic acid therapeutic occurred in 1998, and the most recent was in 2018. Nucleic acid therapeutic candidates that employ PS modifications are being developed by several different companies. PS modification is accepted as a state-of-the-art advancement in the field. We believe that PS modification will remain a key component of nucleic acid therapeutic development.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 Modification Results in Complex Drug Mixtures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 consequence of introducing PS modifications into an oligonucleotide is that it also introduces a chiral center at each phosphorus, creating stereoisomers designated as either an “Sp” or “Rp” isomer. As shown below, these stereoisomers have identical chemical compositions but different three-dimensional arrangements of their atoms and consequently different chemical and biological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124460</wp:posOffset>
            </wp:positionV>
            <wp:extent cx="4193540" cy="156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9354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right="320"/>
        <w:spacing w:after="0" w:line="273" w:lineRule="auto"/>
        <w:rPr>
          <w:sz w:val="20"/>
          <w:szCs w:val="20"/>
          <w:color w:val="auto"/>
        </w:rPr>
      </w:pPr>
      <w:r>
        <w:rPr>
          <w:rFonts w:ascii="Arial" w:cs="Arial" w:eastAsia="Arial" w:hAnsi="Arial"/>
          <w:sz w:val="17"/>
          <w:szCs w:val="17"/>
          <w:color w:val="auto"/>
        </w:rPr>
        <w:t>The isomeric configuration at each PS modification is random (either Rp or Sp) during conventional nucleic acid therapeutic synthesis. Because oligonucleotides contain a string of nucleotides with associated PS modifications, the synthesis process generates a complex mixture containing many stereoisomers. Specifically, each PS linkage doubles the number of stereoisomers in the product, so that a conventional preparation of a PS-containing oligonucleotide contains 2</w:t>
      </w:r>
      <w:r>
        <w:rPr>
          <w:rFonts w:ascii="Arial" w:cs="Arial" w:eastAsia="Arial" w:hAnsi="Arial"/>
          <w:sz w:val="14"/>
          <w:szCs w:val="14"/>
          <w:color w:val="auto"/>
        </w:rPr>
        <w:t>N</w:t>
      </w:r>
      <w:r>
        <w:rPr>
          <w:rFonts w:ascii="Arial" w:cs="Arial" w:eastAsia="Arial" w:hAnsi="Arial"/>
          <w:sz w:val="17"/>
          <w:szCs w:val="17"/>
          <w:color w:val="auto"/>
        </w:rPr>
        <w:t xml:space="preserve"> stereoisomers, where N represents the number of PS modifications. As shown below, a conventional, fully PS-modified oligonucleotide (20 nucleotides in length, 19 PS modifications) is a mixture of over 500,000 stereoisomers, each having the same nucleotide sequence but differing in the stereochemistry along their backbones.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122555</wp:posOffset>
            </wp:positionV>
            <wp:extent cx="3035935" cy="1818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3593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Stereoisomers can possess different chemical and pharmacological properties. For example, certain stereoisomers can drive the therapeutic effects of a drug while others can be less beneficial or can even contribute to undesirable side effects. The greater the variation among a drug’s constituent stereoisomers, the greater the potential to diminish the drug’s efficacy and safety.</w:t>
      </w:r>
    </w:p>
    <w:p>
      <w:pPr>
        <w:spacing w:after="0" w:line="16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Prior to the development of our technology, it was not possible to create stereopure PS-modified oligonucleotides, meaning molecules where the configuration of each chiral PS linkage is precisely controlled during chemical synthesis. Moreover, because of the sheer number of stereoisomers present in a mixture, it would be impractical, if not impossible, to physically isolate the most therapeutically optimal stereoisomer from within a mixture. For these reasons, all PS-modified oligonucleotides currently on the market and in development by others are mixtures of many stereoisomers, which we believe are not optimized for stability, catalytic activity, efficacy or toxicity.</w:t>
      </w:r>
    </w:p>
    <w:p>
      <w:pPr>
        <w:spacing w:after="0" w:line="162"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In small molecule therapeutics, U.S. regulators have long sought to eliminate the risks potentially posed by drug mixtures containing multiple stereoisomers. Since 1992, the FDA has recommended full molecular characterization of stereoisomers within small-molecule drug mixtures. Historically, it has not been possible to achieve such characterization for nucleic acid therapeutic drug mixtures, which can contain tens of thousands to millions of distinct pharmacological entities. Based on our published and ongoing preclinical studies, we believe that we can design and synthesize stereopure PS-modified oligonucleotides that demonstrate superior pharmacological properties compared with mixture-based oligonucleotides. We believe that PRISM has the potential to set a new industry standard for the molecular characterization of complex nucleic acid therapeutic drug mixtures.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 PRISM</w:t>
      </w:r>
    </w:p>
    <w:p>
      <w:pPr>
        <w:spacing w:after="0" w:line="81"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 xml:space="preserve">We have developed proprietary chemistry that enables the development of novel PO/PS-modified oligonucleotides in which stereochemistry is precisely controlled. This degree of control enables us to both rationally design and synthesize optimized stereopure oligonucleotides. We have published both our proprietary chemistry platform and its application to synthesize stereopure oligonucleotides in </w:t>
      </w:r>
      <w:r>
        <w:rPr>
          <w:rFonts w:ascii="Arial" w:cs="Arial" w:eastAsia="Arial" w:hAnsi="Arial"/>
          <w:sz w:val="18"/>
          <w:szCs w:val="18"/>
          <w:i w:val="1"/>
          <w:iCs w:val="1"/>
          <w:color w:val="auto"/>
        </w:rPr>
        <w:t>Nature Biotechnology</w:t>
      </w:r>
      <w:r>
        <w:rPr>
          <w:rFonts w:ascii="Arial" w:cs="Arial" w:eastAsia="Arial" w:hAnsi="Arial"/>
          <w:sz w:val="18"/>
          <w:szCs w:val="18"/>
          <w:color w:val="auto"/>
        </w:rPr>
        <w:t xml:space="preserve"> (Iwamoto N, et al. Nature Biotechnol. 2017;35(9):845-851).</w:t>
      </w:r>
    </w:p>
    <w:p>
      <w:pPr>
        <w:spacing w:after="0" w:line="163" w:lineRule="exact"/>
        <w:rPr>
          <w:sz w:val="20"/>
          <w:szCs w:val="20"/>
          <w:color w:val="auto"/>
        </w:rPr>
      </w:pPr>
    </w:p>
    <w:p>
      <w:pPr>
        <w:ind w:right="320"/>
        <w:spacing w:after="0" w:line="226" w:lineRule="auto"/>
        <w:rPr>
          <w:sz w:val="20"/>
          <w:szCs w:val="20"/>
          <w:color w:val="auto"/>
        </w:rPr>
      </w:pPr>
      <w:r>
        <w:rPr>
          <w:rFonts w:ascii="Arial" w:cs="Arial" w:eastAsia="Arial" w:hAnsi="Arial"/>
          <w:sz w:val="17"/>
          <w:szCs w:val="17"/>
          <w:color w:val="auto"/>
        </w:rPr>
        <w:t xml:space="preserve">Through PRISM, our proprietary discovery and drug development platform, we have discovered and expect to continuously elaborate on the relationships between the chemical makeup of an oligonucleotide, including the three-dimensional orientation or arrangement of its atoms, and its pharmacology (i.e., stability of the drug, activity against the target, specificity for the target and immunogenicity of the drug). Our initial findings relating the stereochemical make up of oligonucleotides to their pharmacology were also featured in our </w:t>
      </w:r>
      <w:r>
        <w:rPr>
          <w:rFonts w:ascii="Arial" w:cs="Arial" w:eastAsia="Arial" w:hAnsi="Arial"/>
          <w:sz w:val="17"/>
          <w:szCs w:val="17"/>
          <w:i w:val="1"/>
          <w:iCs w:val="1"/>
          <w:color w:val="auto"/>
        </w:rPr>
        <w:t>Nature Biotechnology</w:t>
      </w:r>
      <w:r>
        <w:rPr>
          <w:rFonts w:ascii="Arial" w:cs="Arial" w:eastAsia="Arial" w:hAnsi="Arial"/>
          <w:sz w:val="17"/>
          <w:szCs w:val="17"/>
          <w:color w:val="auto"/>
        </w:rPr>
        <w:t xml:space="preserve"> publication. In addition, we have defined relationships between various 2’-sugar modifications to the nucleotide (such as methoxy, methoxyethyl, fluoro, locked), and the stereochemistry of the backbone that enhances oligonucleotide pharmacology, providing an enhanced therapeutic profile.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0" w:name="page11"/>
    <w:bookmarkEnd w:id="10"/>
    <w:p>
      <w:pPr>
        <w:ind w:right="60"/>
        <w:spacing w:after="0" w:line="219" w:lineRule="auto"/>
        <w:rPr>
          <w:sz w:val="20"/>
          <w:szCs w:val="20"/>
          <w:color w:val="auto"/>
        </w:rPr>
      </w:pPr>
      <w:r>
        <w:rPr>
          <w:rFonts w:ascii="Arial" w:cs="Arial" w:eastAsia="Arial" w:hAnsi="Arial"/>
          <w:sz w:val="18"/>
          <w:szCs w:val="18"/>
          <w:color w:val="auto"/>
        </w:rPr>
        <w:t>Our rational process for designing stereopure oligonucleotides, which is based on the interplay among oligonucleotide sequence, chemistry and backbone stereochemistry, allows us to selectively optimize for the molecular mechanism in order to generate best-in-class oligonucleotides. We are using these ongoing discoveries to guide our drug development activities that we believe will lead to medicines that can be dosed at lower concentrations, less frequently, or both, as well as with improved therapeutic profiles.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Our Approach</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PRISM is a significant advancement in the development of oligonucleotides. The advantages of our approach include:</w:t>
      </w:r>
    </w:p>
    <w:p>
      <w:pPr>
        <w:spacing w:after="0" w:line="90" w:lineRule="exact"/>
        <w:rPr>
          <w:sz w:val="20"/>
          <w:szCs w:val="20"/>
          <w:color w:val="auto"/>
        </w:rPr>
      </w:pPr>
    </w:p>
    <w:p>
      <w:pPr>
        <w:ind w:left="1040" w:right="40" w:hanging="519"/>
        <w:spacing w:after="0" w:line="293"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Ability to rationally design product candidates with optimized pharmacological properties</w:t>
      </w:r>
      <w:r>
        <w:rPr>
          <w:rFonts w:ascii="Arial" w:cs="Arial" w:eastAsia="Arial" w:hAnsi="Arial"/>
          <w:sz w:val="16"/>
          <w:szCs w:val="16"/>
          <w:color w:val="auto"/>
        </w:rPr>
        <w:t>. PRISM, our proprietary discovery and drug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platform, enables us to target genetically defined diseases with stereopure oligonucleotides across multiple therapeutic modalities. PRISM combines our unique ability to construct stereopure oligonucleotides with a deep understanding of how the interplay among oligonucleotide sequence, chemistry and backbone stereochemistry impacts key pharmacological properties. By exploring these interactions through iterative analysis of in vitro and in vivo outcomes and artificial intelligence-driven predictive modeling, we continue to define design principles that we deploy across programs to rapidly develop and manufacture clinical candidates that meet pre-defined product profiles.</w:t>
      </w:r>
    </w:p>
    <w:p>
      <w:pPr>
        <w:spacing w:after="0" w:line="56" w:lineRule="exact"/>
        <w:rPr>
          <w:rFonts w:ascii="Arial" w:cs="Arial" w:eastAsia="Arial" w:hAnsi="Arial"/>
          <w:sz w:val="16"/>
          <w:szCs w:val="16"/>
          <w:color w:val="auto"/>
        </w:rPr>
      </w:pPr>
    </w:p>
    <w:p>
      <w:pPr>
        <w:jc w:val="both"/>
        <w:ind w:left="1040" w:right="44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Broad applicability</w:t>
      </w:r>
      <w:r>
        <w:rPr>
          <w:rFonts w:ascii="Arial" w:cs="Arial" w:eastAsia="Arial" w:hAnsi="Arial"/>
          <w:sz w:val="18"/>
          <w:szCs w:val="18"/>
          <w:color w:val="auto"/>
        </w:rPr>
        <w:t>. PRISM is applicable to oligonucleotides acting via multiple molecular mechanisms, including antisense, RNAi, exon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skipping, splicing, RNA-guided gene editing, microRNA and others, and is compatible with a broad range of chemical modifications and targeting moieties.</w:t>
      </w:r>
    </w:p>
    <w:p>
      <w:pPr>
        <w:spacing w:after="0" w:line="73" w:lineRule="exact"/>
        <w:rPr>
          <w:rFonts w:ascii="Arial" w:cs="Arial" w:eastAsia="Arial" w:hAnsi="Arial"/>
          <w:sz w:val="18"/>
          <w:szCs w:val="18"/>
          <w:color w:val="auto"/>
        </w:rPr>
      </w:pPr>
    </w:p>
    <w:p>
      <w:pPr>
        <w:jc w:val="both"/>
        <w:ind w:left="1040" w:right="20" w:hanging="519"/>
        <w:spacing w:after="0" w:line="259"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production of stereopure oligonucleotides</w:t>
      </w:r>
      <w:r>
        <w:rPr>
          <w:rFonts w:ascii="Arial" w:cs="Arial" w:eastAsia="Arial" w:hAnsi="Arial"/>
          <w:sz w:val="18"/>
          <w:szCs w:val="18"/>
          <w:color w:val="auto"/>
        </w:rPr>
        <w:t>. Our scientists have developed expertise in the techniques required to produce adequate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supplies of PS-modified, stereopure oligonucleotide materials for our preclinical and planned clinical activities. In addition, we believe we have the intellectual property position and know-how necessary to protect, advance and scale these production processes to support our clinical trials and potential future commercial supply.</w:t>
      </w:r>
    </w:p>
    <w:p>
      <w:pPr>
        <w:spacing w:after="0" w:line="78" w:lineRule="exact"/>
        <w:rPr>
          <w:rFonts w:ascii="Arial" w:cs="Arial" w:eastAsia="Arial" w:hAnsi="Arial"/>
          <w:sz w:val="18"/>
          <w:szCs w:val="18"/>
          <w:color w:val="auto"/>
        </w:rPr>
      </w:pPr>
    </w:p>
    <w:p>
      <w:pPr>
        <w:ind w:left="1040" w:right="160" w:hanging="519"/>
        <w:spacing w:after="0" w:line="31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and Manufacturing. </w:t>
      </w:r>
      <w:r>
        <w:rPr>
          <w:rFonts w:ascii="Arial" w:cs="Arial" w:eastAsia="Arial" w:hAnsi="Arial"/>
          <w:sz w:val="16"/>
          <w:szCs w:val="16"/>
          <w:color w:val="auto"/>
        </w:rPr>
        <w:t>Our manufacturing process and technical expertise in designing stereopure oligonucleotides is unique.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our scalable synthesis processes will allow us to meet demand for cGMP-qualified clinical trial supply, as well as the potential for commercial manufacturing at a cost of goods and potential cost-per-patient that are comparable to stereorandom oligonucleotides.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Chemistry – Proof of Concept</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preclinical models, which we believe are predictive of human biology, we have demonstrated that stereochemistry and pharmacology are directly related, and that these relationships inform the rational design and production of oligonucleotides. In proof-of-concept studies, we have used PRISM to design and synthesize diverse sets of oligonucleotides, which allowed us to characterize and compare the behavior of various stereoisomers. These preclinical studies, some of which have been published in </w:t>
      </w:r>
      <w:r>
        <w:rPr>
          <w:rFonts w:ascii="Arial" w:cs="Arial" w:eastAsia="Arial" w:hAnsi="Arial"/>
          <w:sz w:val="17"/>
          <w:szCs w:val="17"/>
          <w:i w:val="1"/>
          <w:iCs w:val="1"/>
          <w:color w:val="auto"/>
        </w:rPr>
        <w:t>Nature Biotechnology</w:t>
      </w:r>
      <w:r>
        <w:rPr>
          <w:rFonts w:ascii="Arial" w:cs="Arial" w:eastAsia="Arial" w:hAnsi="Arial"/>
          <w:sz w:val="17"/>
          <w:szCs w:val="17"/>
          <w:color w:val="auto"/>
        </w:rPr>
        <w:t xml:space="preserve">, have demonstrated that by controlling stereochemistry, we can optimize multiple aspects of pharmacology, including stability, catalytic activity, efficacy, specificity, immunogenicity, enhanced delivery, and broad tissue distribution, which in turn, we believe will lead to an enhanced therapeutic profile. As with any drug under development, we cannot be certain that the same favorable pharmacological properties we have observed in preclinical studies for our stereopure oligonucleotides will translate to humans. See </w:t>
      </w:r>
      <w:r>
        <w:rPr>
          <w:rFonts w:ascii="Arial" w:cs="Arial" w:eastAsia="Arial" w:hAnsi="Arial"/>
          <w:sz w:val="17"/>
          <w:szCs w:val="17"/>
          <w:i w:val="1"/>
          <w:iCs w:val="1"/>
          <w:color w:val="auto"/>
        </w:rPr>
        <w:t>“Risk Factors – Risks Related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Discovery, Manufacturing, Development and Commercialization of Our Product Candidates” </w:t>
      </w:r>
      <w:r>
        <w:rPr>
          <w:rFonts w:ascii="Arial" w:cs="Arial" w:eastAsia="Arial" w:hAnsi="Arial"/>
          <w:sz w:val="17"/>
          <w:szCs w:val="17"/>
          <w:color w:val="auto"/>
        </w:rPr>
        <w:t>for a discussion of the risks associated with the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pharmaceuticals, and oligonucleotides in particular.</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our </w:t>
      </w:r>
      <w:r>
        <w:rPr>
          <w:rFonts w:ascii="Arial" w:cs="Arial" w:eastAsia="Arial" w:hAnsi="Arial"/>
          <w:sz w:val="16"/>
          <w:szCs w:val="16"/>
          <w:i w:val="1"/>
          <w:iCs w:val="1"/>
          <w:color w:val="auto"/>
        </w:rPr>
        <w:t>Nature Biotechnology</w:t>
      </w:r>
      <w:r>
        <w:rPr>
          <w:rFonts w:ascii="Arial" w:cs="Arial" w:eastAsia="Arial" w:hAnsi="Arial"/>
          <w:sz w:val="16"/>
          <w:szCs w:val="16"/>
          <w:color w:val="auto"/>
        </w:rPr>
        <w:t xml:space="preserve"> paper, we describe our studies using stereopure oligonucleotides and oligonucleotide mixtures based on mipomersen. We studied mipomersen because, at that time, it was the only systemically administered nucleic acid therapeutic approved for commercialization, and documents from the regulatory bodies that evaluated mipomersen for marketing approval were publicly available. Mipomersen (currently marketed by Kastle Therapeutics and formerly marketed by Sanofi Genzyme, under the brand name Kynamro) is approved for the treatment of homozygous familial hypercholesterolemia and is designed to silence production of Apolipoprotein B (“APOB”) via an antisense mechanism. Although mipomersen received marketing authorization in the United States in 2012, concerns about the drug’s tolerability and liver and cardiovascular safety led the European Medicines Agency (“EMA”) to refuse to grant marketing authorization for the drug in the European Union. One of the EMA’s central concerns about mipomersen was that a high proportion of patients stopped taking the drug within two years, mainly due to side effects such as flu-like symptoms, injection-site reactions and liver toxicity. The EMA considered these side effects important because mipomersen is intended for long-term treatment to maintain its cholesterol-lowering effect.</w:t>
      </w:r>
    </w:p>
    <w:p>
      <w:pPr>
        <w:spacing w:after="0" w:line="16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Mipomersen, an oligonucleotide containing 20 nucleotides and 19 PS modifications, is synthesized by traditional oligonucleotide chemistry; thus, it is actually a mixture of over 500,000 different stereoisomers (2</w:t>
      </w:r>
      <w:r>
        <w:rPr>
          <w:rFonts w:ascii="Arial" w:cs="Arial" w:eastAsia="Arial" w:hAnsi="Arial"/>
          <w:sz w:val="13"/>
          <w:szCs w:val="13"/>
          <w:color w:val="auto"/>
        </w:rPr>
        <w:t>19</w:t>
      </w:r>
      <w:r>
        <w:rPr>
          <w:rFonts w:ascii="Arial" w:cs="Arial" w:eastAsia="Arial" w:hAnsi="Arial"/>
          <w:sz w:val="16"/>
          <w:szCs w:val="16"/>
          <w:color w:val="auto"/>
        </w:rPr>
        <w:t xml:space="preserve"> = 524,288). We rationally designed and synthesized individual stereoisomers of mipomersen, each having position-specific and distinct stereochemistry, and conducted studies comparing these defined stereoisomers with the mipomersen stereomixture.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Stability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investigated the relationship between stereochemistry and stability by exposing our panel of individual stereoisomers and the stereomixture to metabolic enzymes, including nucleases, in rat liver homogenate or rat serum. We incubated each stereoisomer or the stereomixture separately in rat whole-liver homogenate for five days at physiological temperature and measured the percentage of each full-length stereoisomer and the stereomixture remaining daily. We found that stereochemistry had a profound impact on oligonucleotide stability.</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shown in the graph below, by day five, less than 15% of the stereomixture (mipomersen) remained. By contrast at day five, over 50% of our stereopure isomers 1, 2, 3 and 4 remained, with isomer 1 showing minimal degradation, indicating that these individual stereopure isomers have greater stability than the stereomixture. The mipomersen stereomixture, however, was more stable than several other stereoisomers (i.e., 5, 6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114300</wp:posOffset>
            </wp:positionV>
            <wp:extent cx="4467860" cy="2229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6786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obtained similar results when we assessed the stability of the stereomixture and selected stereoisomers in rat serum. Overall, we found that increasing the proportion of Sp isomers increased the stability of the oligonucleotides.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Catalytic Activity</w:t>
      </w:r>
    </w:p>
    <w:p>
      <w:pPr>
        <w:spacing w:after="0" w:line="11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We investigated the relationship between stereochemistry and catalytic activity, which, in the case of the antisense modality, is a measure of the efficiency with which the drug leads to the knockdown of the target. In the human body, antisense drugs like mipomersen rely on the enzyme RNase H to degrade or knockdown the target mRNA. Yielding efficient RNase H catalytic activity is an essential pharmacological feature for drugs like mipomersen.</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We evaluated the catalytic activity of the same panel of stereoisomers described above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enzymatic assays using human RNase H. We added RNase H to pre-formed duplexes containing the stereoisomers or the stereomixture bound to the target </w:t>
      </w:r>
      <w:r>
        <w:rPr>
          <w:rFonts w:ascii="Arial" w:cs="Arial" w:eastAsia="Arial" w:hAnsi="Arial"/>
          <w:sz w:val="16"/>
          <w:szCs w:val="16"/>
          <w:i w:val="1"/>
          <w:iCs w:val="1"/>
          <w:color w:val="auto"/>
        </w:rPr>
        <w:t>APOB</w:t>
      </w:r>
      <w:r>
        <w:rPr>
          <w:rFonts w:ascii="Arial" w:cs="Arial" w:eastAsia="Arial" w:hAnsi="Arial"/>
          <w:sz w:val="16"/>
          <w:szCs w:val="16"/>
          <w:color w:val="auto"/>
        </w:rPr>
        <w:t xml:space="preserve"> mRNA, and we assessed the relative rates of target RNA degradation. To do this, we stopped the reactions at designated time points and quantified the amount of full-length </w:t>
      </w:r>
      <w:r>
        <w:rPr>
          <w:rFonts w:ascii="Arial" w:cs="Arial" w:eastAsia="Arial" w:hAnsi="Arial"/>
          <w:sz w:val="16"/>
          <w:szCs w:val="16"/>
          <w:i w:val="1"/>
          <w:iCs w:val="1"/>
          <w:color w:val="auto"/>
        </w:rPr>
        <w:t>APOB</w:t>
      </w:r>
      <w:r>
        <w:rPr>
          <w:rFonts w:ascii="Arial" w:cs="Arial" w:eastAsia="Arial" w:hAnsi="Arial"/>
          <w:sz w:val="16"/>
          <w:szCs w:val="16"/>
          <w:color w:val="auto"/>
        </w:rPr>
        <w:t xml:space="preserve"> mRNA remaining.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2" w:name="page13"/>
    <w:bookmarkEnd w:id="12"/>
    <w:p>
      <w:pPr>
        <w:ind w:right="220"/>
        <w:spacing w:after="0" w:line="302" w:lineRule="auto"/>
        <w:rPr>
          <w:sz w:val="20"/>
          <w:szCs w:val="20"/>
          <w:color w:val="auto"/>
        </w:rPr>
      </w:pPr>
      <w:r>
        <w:rPr>
          <w:rFonts w:ascii="Arial" w:cs="Arial" w:eastAsia="Arial" w:hAnsi="Arial"/>
          <w:sz w:val="16"/>
          <w:szCs w:val="16"/>
          <w:color w:val="auto"/>
        </w:rPr>
        <w:t>As shown below, the catalytic activity of the stereoisomers and the stereomixture differed considerably, as demonstrated by their efficiency in reducing the amount of the full-length target remaining over time. Certain stereoisomers, most notably stereoisomer 4, was far more catalytically active than the stereomixture as well as other stereoisomers. Importantly, stereoisomer 4 contains a pattern of PS stereochemistry denoted 3’-SpSpRp-5’ (“SSR”). We also identified stereoisomers with distinct patterns of PS stereochemistry that were less catalytically active than the stereomixture, most notably isomer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107315</wp:posOffset>
            </wp:positionV>
            <wp:extent cx="5265420" cy="2632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65420"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Based on these and other data, we have established key design principles (i.e., the SSR motif) relating stereochemistry to RNase H catalytic activity. These principles can now be applied across antisense therapeutics and are compatible with a broad range of additional chemical modifications to the drug molecule.</w:t>
      </w:r>
    </w:p>
    <w:p>
      <w:pPr>
        <w:spacing w:after="0" w:line="12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Based on these studies and others, we believe we can synthesize stereopure oligonucleotides that possesses increased stability and catalytic activity, independent of nucleotide sequence.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Efficacy</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We assessed whether improved stability and catalytic activity of our stereoisomers would translate into greater efficacy in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pharmacological study. We administered our panel of stereoisomers and the stereomixture to transgenic mice that express human </w:t>
      </w:r>
      <w:r>
        <w:rPr>
          <w:rFonts w:ascii="Arial" w:cs="Arial" w:eastAsia="Arial" w:hAnsi="Arial"/>
          <w:sz w:val="18"/>
          <w:szCs w:val="18"/>
          <w:i w:val="1"/>
          <w:iCs w:val="1"/>
          <w:color w:val="auto"/>
        </w:rPr>
        <w:t>APOB</w:t>
      </w:r>
      <w:r>
        <w:rPr>
          <w:rFonts w:ascii="Arial" w:cs="Arial" w:eastAsia="Arial" w:hAnsi="Arial"/>
          <w:sz w:val="18"/>
          <w:szCs w:val="18"/>
          <w:color w:val="auto"/>
        </w:rPr>
        <w:t>. This validated animal model was included in the preclinical package used for the regulatory approval of mipomersen in the United States.</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We injected mice twice weekly with 10 mg/kg of stereoisomer 3, stereoisomer 5, or the stereomixture over a four-week period. We measured APOB protein levels in the serum weekly for six weeks. This treatment protocol and study design replicates the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study that was included in the regulatory submission for mipomersen.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line="297" w:lineRule="auto"/>
        <w:rPr>
          <w:sz w:val="20"/>
          <w:szCs w:val="20"/>
          <w:color w:val="auto"/>
        </w:rPr>
      </w:pPr>
      <w:r>
        <w:rPr>
          <w:rFonts w:ascii="Arial" w:cs="Arial" w:eastAsia="Arial" w:hAnsi="Arial"/>
          <w:sz w:val="16"/>
          <w:szCs w:val="16"/>
          <w:color w:val="auto"/>
        </w:rPr>
        <w:t xml:space="preserve">In the experiment, stereoisomer 3, which demonstrated increased catalytic activity and stability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compared with the stereomixture and stereoisomer 5, led to greater reduction in serum APOB protein than either the stereomixture or stereoisomer 5. These data are illustrated in the graph below, where levels of APOB in serum, expressed as a percentage of APOB at baseline, is plotted with respect to time (days). Knockdown of APOB by the stereomixture (mipomersen) and stereoisomer 5 decreased dramatically following final dose (after day 28). In contrast, stereoisomer 3 demonstrated efficient and sustained target engagement, as evidenced by the magnitude and duration of knockdown, which persisted for over two weeks after the final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247015</wp:posOffset>
            </wp:positionV>
            <wp:extent cx="5213985" cy="2607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Specificity</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By controlling stereochemistry, we have discovered that we can change the pattern of RNase H cleavage in the target mRNA that is caused by PS-modified antisense. Indeed, we can use stereochemistry to direct cleavage toward specific positions within the target. This precision control enables us to design PS-modified nucleic acids that can direct RNase H to differentiate between two very similar targets. This level of specificity is desirable in cases where cleavage of one target is expected to have disease-modifying impacts, but cleavage of a closely related target is undesirable or potentially unsafe.</w:t>
      </w:r>
    </w:p>
    <w:p>
      <w:pPr>
        <w:spacing w:after="0" w:line="15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For example, HD is caused by mutations in one allele (which is one of two or more versions of a gene) of the </w:t>
      </w:r>
      <w:r>
        <w:rPr>
          <w:rFonts w:ascii="Arial" w:cs="Arial" w:eastAsia="Arial" w:hAnsi="Arial"/>
          <w:sz w:val="18"/>
          <w:szCs w:val="18"/>
          <w:i w:val="1"/>
          <w:iCs w:val="1"/>
          <w:color w:val="auto"/>
        </w:rPr>
        <w:t>HTT</w:t>
      </w:r>
      <w:r>
        <w:rPr>
          <w:rFonts w:ascii="Arial" w:cs="Arial" w:eastAsia="Arial" w:hAnsi="Arial"/>
          <w:sz w:val="18"/>
          <w:szCs w:val="18"/>
          <w:color w:val="auto"/>
        </w:rPr>
        <w:t xml:space="preserve"> gene, resulting in the production of a disease-causing protein, while the other allele encodes a healthy protein. By optimizing stereochemistry, we can direct cleavage towards the mutated </w:t>
      </w:r>
      <w:r>
        <w:rPr>
          <w:rFonts w:ascii="Arial" w:cs="Arial" w:eastAsia="Arial" w:hAnsi="Arial"/>
          <w:sz w:val="18"/>
          <w:szCs w:val="18"/>
          <w:i w:val="1"/>
          <w:iCs w:val="1"/>
          <w:color w:val="auto"/>
        </w:rPr>
        <w:t>HTT</w:t>
      </w:r>
      <w:r>
        <w:rPr>
          <w:rFonts w:ascii="Arial" w:cs="Arial" w:eastAsia="Arial" w:hAnsi="Arial"/>
          <w:sz w:val="18"/>
          <w:szCs w:val="18"/>
          <w:color w:val="auto"/>
        </w:rPr>
        <w:t xml:space="preserve"> allele based on a single-nucleotide difference between the disease-causing allele and the normal allele.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8"/>
          <w:szCs w:val="18"/>
          <w:color w:val="auto"/>
        </w:rPr>
        <w:t xml:space="preserve">In the experiment illustrated below, we performed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RNase H enzymatic reactions similar to those presented previously. As before, we added RNase H to stereopure oligonucleotides or stereorandom oligonucleotides that were duplexed with mutant or healthy </w:t>
      </w:r>
      <w:r>
        <w:rPr>
          <w:rFonts w:ascii="Arial" w:cs="Arial" w:eastAsia="Arial" w:hAnsi="Arial"/>
          <w:sz w:val="18"/>
          <w:szCs w:val="18"/>
          <w:i w:val="1"/>
          <w:iCs w:val="1"/>
          <w:color w:val="auto"/>
        </w:rPr>
        <w:t>HTT</w:t>
      </w:r>
      <w:r>
        <w:rPr>
          <w:rFonts w:ascii="Arial" w:cs="Arial" w:eastAsia="Arial" w:hAnsi="Arial"/>
          <w:sz w:val="18"/>
          <w:szCs w:val="18"/>
          <w:color w:val="auto"/>
        </w:rPr>
        <w:t xml:space="preserve"> RNA. We stopped the reactions at designated time points and quantified the amount of full-length mutant or healthy </w:t>
      </w:r>
      <w:r>
        <w:rPr>
          <w:rFonts w:ascii="Arial" w:cs="Arial" w:eastAsia="Arial" w:hAnsi="Arial"/>
          <w:sz w:val="18"/>
          <w:szCs w:val="18"/>
          <w:i w:val="1"/>
          <w:iCs w:val="1"/>
          <w:color w:val="auto"/>
        </w:rPr>
        <w:t>HTT</w:t>
      </w:r>
      <w:r>
        <w:rPr>
          <w:rFonts w:ascii="Arial" w:cs="Arial" w:eastAsia="Arial" w:hAnsi="Arial"/>
          <w:sz w:val="18"/>
          <w:szCs w:val="18"/>
          <w:color w:val="auto"/>
        </w:rPr>
        <w:t xml:space="preserve"> RNA remaining. The stereorandom oligonucleotide (left panel) caused substantial reductions in both the mutant and healthy </w:t>
      </w:r>
      <w:r>
        <w:rPr>
          <w:rFonts w:ascii="Arial" w:cs="Arial" w:eastAsia="Arial" w:hAnsi="Arial"/>
          <w:sz w:val="18"/>
          <w:szCs w:val="18"/>
          <w:i w:val="1"/>
          <w:iCs w:val="1"/>
          <w:color w:val="auto"/>
        </w:rPr>
        <w:t>HTT</w:t>
      </w:r>
      <w:r>
        <w:rPr>
          <w:rFonts w:ascii="Arial" w:cs="Arial" w:eastAsia="Arial" w:hAnsi="Arial"/>
          <w:sz w:val="18"/>
          <w:szCs w:val="18"/>
          <w:color w:val="auto"/>
        </w:rPr>
        <w:t xml:space="preserve"> RNA, whereas the optimized stereopure oligonucleotide (right panel) preferentially cleaved mutant </w:t>
      </w:r>
      <w:r>
        <w:rPr>
          <w:rFonts w:ascii="Arial" w:cs="Arial" w:eastAsia="Arial" w:hAnsi="Arial"/>
          <w:sz w:val="18"/>
          <w:szCs w:val="18"/>
          <w:i w:val="1"/>
          <w:iCs w:val="1"/>
          <w:color w:val="auto"/>
        </w:rPr>
        <w:t>HTT</w:t>
      </w:r>
      <w:r>
        <w:rPr>
          <w:rFonts w:ascii="Arial" w:cs="Arial" w:eastAsia="Arial" w:hAnsi="Arial"/>
          <w:sz w:val="18"/>
          <w:szCs w:val="18"/>
          <w:color w:val="auto"/>
        </w:rPr>
        <w:t xml:space="preserve"> RNA while largely sparing the healthy </w:t>
      </w:r>
      <w:r>
        <w:rPr>
          <w:rFonts w:ascii="Arial" w:cs="Arial" w:eastAsia="Arial" w:hAnsi="Arial"/>
          <w:sz w:val="18"/>
          <w:szCs w:val="18"/>
          <w:i w:val="1"/>
          <w:iCs w:val="1"/>
          <w:color w:val="auto"/>
        </w:rPr>
        <w:t>HTT</w:t>
      </w:r>
      <w:r>
        <w:rPr>
          <w:rFonts w:ascii="Arial" w:cs="Arial" w:eastAsia="Arial" w:hAnsi="Arial"/>
          <w:sz w:val="18"/>
          <w:szCs w:val="18"/>
          <w:color w:val="auto"/>
        </w:rPr>
        <w:t xml:space="preserve"> 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128905</wp:posOffset>
            </wp:positionV>
            <wp:extent cx="6165850" cy="2907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6585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We believe that our ability to use stereochemistry to precisely control the RNase H cleavage patterns resulting from PS-modified nucleic acids allows us to mitigate unwanted activity </w:t>
      </w:r>
      <w:r>
        <w:rPr>
          <w:rFonts w:ascii="Arial" w:cs="Arial" w:eastAsia="Arial" w:hAnsi="Arial"/>
          <w:sz w:val="18"/>
          <w:szCs w:val="18"/>
          <w:i w:val="1"/>
          <w:iCs w:val="1"/>
          <w:color w:val="auto"/>
        </w:rPr>
        <w:t>in vivo</w:t>
      </w:r>
      <w:r>
        <w:rPr>
          <w:rFonts w:ascii="Arial" w:cs="Arial" w:eastAsia="Arial" w:hAnsi="Arial"/>
          <w:sz w:val="18"/>
          <w:szCs w:val="18"/>
          <w:color w:val="auto"/>
        </w:rPr>
        <w:t>. This affords us a unique position to make allele-specific targeting (meaning the preferential interaction of an oligonucleotide with RNA transcribed from only one allele of a given gene) possible.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Through these preclinical studies, we have demonstrated the ability to use stereochemistry to precisely control cleavage and reduce off-target cleavage. We believe these findings can be applied in the design of nucleic acid therapies for a range of disease targets.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Immunogenicity</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investigated the relationship between stereochemistry and immunogenicity, which is the ability of a substance to activate an immune response. Immune activation has been observed with PS-modified oligonucleotides in preclinical toxicology studies. Flu-like symptoms and injection-site reactions in clinical studies are believed to be immune mediated.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Using NHP serum, we analyzed the activation of the complement system following exposure to our panel of individual stereopure isomers and the parent stereomixture. We incubated each isomer and stereomixture at physiological temperature in NHP serum from three individual animals. We removed samples from these incubations at designated times, and we assessed complement activation by measuring the increase in the amount of protein C3a. Protein C3a is formed when the complement system is activated and complement component 3 is cleaved. C3a levels in serum increase in direct proportion to the amount of pathway activation. We quantified serum C3a levels using the enzyme-linked immunosorbent assay (“ELISA”) analytical method, a technique used to determine the amount of a specific protein present in a biological sample.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ind w:right="80"/>
        <w:spacing w:after="0" w:line="308" w:lineRule="auto"/>
        <w:rPr>
          <w:sz w:val="20"/>
          <w:szCs w:val="20"/>
          <w:color w:val="auto"/>
        </w:rPr>
      </w:pPr>
      <w:r>
        <w:rPr>
          <w:rFonts w:ascii="Arial" w:cs="Arial" w:eastAsia="Arial" w:hAnsi="Arial"/>
          <w:sz w:val="17"/>
          <w:szCs w:val="17"/>
          <w:color w:val="auto"/>
        </w:rPr>
        <w:t>As shown below, the stereoisomers and the stereomixture yielded different levels of complement pathway activation as measured by C3a production. Certain stereoisomers, such as stereoisomers 1 and 2, showed less than half of the C3a production compared with the stereomixture (shown in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102235</wp:posOffset>
            </wp:positionV>
            <wp:extent cx="5377180" cy="2435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7718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also assayed immune activation of stereoisomers and the parent stereomixture in a human TLR9 reporter assay (left panel below) and a human peripheral blood mononuclear cell (“PBMC”) cytokine panel (right panel below, IL-6 and MIP-1β are key cytokines in B-cell and macrophage activation, respectively). In the TLR9 assay, the 5’methylcytosine (“5mC”)-modified stereomixture activated TLR9 activity, whereas our stereopure isomer did not. Similarly, the 5mC-modified stereomixture (Isomer-1) led to IL-6 and MIP-1β secretion from PBMCs, where our stereopure isomer (Isomer-2) did not. Prior research has indicated that 5mC and 2’-modifications to a nucleic acid therapeutic containing the immune-activating CpG motif are sufficient to limit immune activation. However, substantial immune activation persists even when these modifications are incorporated, as seen in these experiments. PRISM allows us to design stereoisomers that yield notably less activation of the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814695" cy="19037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1469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Based on these studies, we believe that it is possible to modulate complement activation and potentially reduce the immunogenicity of PS-modified oligonucleotides by controlling stereochemistry.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Enhanced Delivery</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also investigated the relationship between stereochemistry and cellular uptake, which is the ability of oligonucleotides to penetrate cells and access the appropriate subcellular compartment (i.e., the nucleus) for them to engage with their intended target. Designing oligonucleotides that enter cells at sufficient concentrations to provide a therapeutic effect has been a challenge for the oligonucleotides field.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t xml:space="preserve">As shown below, we performed an intracellular trafficking assay using differentiating myoblast cell lines to compare the cellular localization of stereopure and stereorandom oligonucleotides </w:t>
      </w:r>
      <w:r>
        <w:rPr>
          <w:rFonts w:ascii="Arial" w:cs="Arial" w:eastAsia="Arial" w:hAnsi="Arial"/>
          <w:sz w:val="18"/>
          <w:szCs w:val="18"/>
          <w:i w:val="1"/>
          <w:iCs w:val="1"/>
          <w:color w:val="auto"/>
        </w:rPr>
        <w:t>in vitro</w:t>
      </w:r>
      <w:r>
        <w:rPr>
          <w:rFonts w:ascii="Arial" w:cs="Arial" w:eastAsia="Arial" w:hAnsi="Arial"/>
          <w:sz w:val="18"/>
          <w:szCs w:val="18"/>
          <w:color w:val="auto"/>
        </w:rPr>
        <w:t>. We washed and fixed treated cells and detected the oligonucleotides using a ViewRNA assay and an immunofluorescence microscope with deconvolution capabilities. Z-stacks were taken to eliminate artifacts. We compared the number of oligonucleotide foci (red, left panel below) in the nucleus (blue) of cultured cells that we treated with either a stereorandom oligonucleotide or one of our stereopure oligonucleotides. We detected substantially more foci per nucleus for our stereopure oligonucleotide compared with a stereorandom oligonucleotide of comparable sequence (right panel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337820</wp:posOffset>
            </wp:positionV>
            <wp:extent cx="5394325" cy="2212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9432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Tissue Distribution</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Using PRISM, we are able to design oligonucleotides that do not need delivery vehicles, such as conjugates or viral vectors, to reach many tissues. Our oligonucleotides can be delivered via multiple routes of administration and distributed to multiple tissues at levels sufficient to potently impact the expression of a target gene (e.g., </w:t>
      </w:r>
      <w:r>
        <w:rPr>
          <w:rFonts w:ascii="Arial" w:cs="Arial" w:eastAsia="Arial" w:hAnsi="Arial"/>
          <w:sz w:val="16"/>
          <w:szCs w:val="16"/>
          <w:i w:val="1"/>
          <w:iCs w:val="1"/>
          <w:color w:val="auto"/>
        </w:rPr>
        <w:t>MALAT1</w:t>
      </w:r>
      <w:r>
        <w:rPr>
          <w:rFonts w:ascii="Arial" w:cs="Arial" w:eastAsia="Arial" w:hAnsi="Arial"/>
          <w:sz w:val="16"/>
          <w:szCs w:val="16"/>
          <w:color w:val="auto"/>
        </w:rPr>
        <w:t>). As shown below, we achieved broad tissue distribution in CNS, eye and muscle tissue in mice with no delivery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102235</wp:posOffset>
            </wp:positionV>
            <wp:extent cx="5685790" cy="254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579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CNS and eye tissues were harvested 1-week post-dose. Muscle tissue was collected 3-days post-dose. All tissues were processed, and mRNA was quantified by qPCR. Plots show percentage of mRNA remaining (</w:t>
      </w:r>
      <w:r>
        <w:rPr>
          <w:rFonts w:ascii="Arial" w:cs="Arial" w:eastAsia="Arial" w:hAnsi="Arial"/>
          <w:sz w:val="16"/>
          <w:szCs w:val="16"/>
          <w:i w:val="1"/>
          <w:iCs w:val="1"/>
          <w:color w:val="auto"/>
        </w:rPr>
        <w:t>Malat1</w:t>
      </w:r>
      <w:r>
        <w:rPr>
          <w:rFonts w:ascii="Arial" w:cs="Arial" w:eastAsia="Arial" w:hAnsi="Arial"/>
          <w:sz w:val="16"/>
          <w:szCs w:val="16"/>
          <w:color w:val="auto"/>
        </w:rPr>
        <w:t>) with respect to control mRNA (</w:t>
      </w:r>
      <w:r>
        <w:rPr>
          <w:rFonts w:ascii="Arial" w:cs="Arial" w:eastAsia="Arial" w:hAnsi="Arial"/>
          <w:sz w:val="16"/>
          <w:szCs w:val="16"/>
          <w:i w:val="1"/>
          <w:iCs w:val="1"/>
          <w:color w:val="auto"/>
        </w:rPr>
        <w:t>Hprt</w:t>
      </w:r>
      <w:r>
        <w:rPr>
          <w:rFonts w:ascii="Arial" w:cs="Arial" w:eastAsia="Arial" w:hAnsi="Arial"/>
          <w:sz w:val="16"/>
          <w:szCs w:val="16"/>
          <w:color w:val="auto"/>
        </w:rPr>
        <w:t>). For CNS and muscle, each symbol represents one animal; for eye, each symbol represents one eye. SR: Stereorandom, ICV: intracerebroventricular, IVT: intravitreal, SC: subcutaneous.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7" w:name="page18"/>
    <w:bookmarkEnd w:id="17"/>
    <w:p>
      <w:pPr>
        <w:ind w:right="1020"/>
        <w:spacing w:after="0" w:line="277" w:lineRule="auto"/>
        <w:rPr>
          <w:sz w:val="20"/>
          <w:szCs w:val="20"/>
          <w:color w:val="auto"/>
        </w:rPr>
      </w:pPr>
      <w:r>
        <w:rPr>
          <w:rFonts w:ascii="Arial" w:cs="Arial" w:eastAsia="Arial" w:hAnsi="Arial"/>
          <w:sz w:val="18"/>
          <w:szCs w:val="18"/>
          <w:color w:val="auto"/>
        </w:rPr>
        <w:t>In the CNS, we observe broad distribution of naked (unconjugated) oligonucleotides in mice after a single intracerebroventricular injection. Our oligonucleotides in clinical trials and in development for CNS programs are delivered by intrathecal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-19050</wp:posOffset>
            </wp:positionV>
            <wp:extent cx="2624455" cy="2693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24455"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 xml:space="preserve">Mice received a single 100 ug ICV injection of unconjugated, stereopure ASO targeting </w:t>
      </w:r>
      <w:r>
        <w:rPr>
          <w:rFonts w:ascii="Arial" w:cs="Arial" w:eastAsia="Arial" w:hAnsi="Arial"/>
          <w:sz w:val="17"/>
          <w:szCs w:val="17"/>
          <w:i w:val="1"/>
          <w:iCs w:val="1"/>
          <w:color w:val="auto"/>
        </w:rPr>
        <w:t>MALAT1</w:t>
      </w:r>
      <w:r>
        <w:rPr>
          <w:rFonts w:ascii="Arial" w:cs="Arial" w:eastAsia="Arial" w:hAnsi="Arial"/>
          <w:sz w:val="17"/>
          <w:szCs w:val="17"/>
          <w:color w:val="auto"/>
        </w:rPr>
        <w:t>. 10-weeks post-dose, CNS tissues were processed, and mRNA was quantified by qPCR. Plots show percentage of mRNA remaining (</w:t>
      </w:r>
      <w:r>
        <w:rPr>
          <w:rFonts w:ascii="Arial" w:cs="Arial" w:eastAsia="Arial" w:hAnsi="Arial"/>
          <w:sz w:val="17"/>
          <w:szCs w:val="17"/>
          <w:i w:val="1"/>
          <w:iCs w:val="1"/>
          <w:color w:val="auto"/>
        </w:rPr>
        <w:t>Malat1</w:t>
      </w:r>
      <w:r>
        <w:rPr>
          <w:rFonts w:ascii="Arial" w:cs="Arial" w:eastAsia="Arial" w:hAnsi="Arial"/>
          <w:sz w:val="17"/>
          <w:szCs w:val="17"/>
          <w:color w:val="auto"/>
        </w:rPr>
        <w:t>) with respect to control mRNA (</w:t>
      </w:r>
      <w:r>
        <w:rPr>
          <w:rFonts w:ascii="Arial" w:cs="Arial" w:eastAsia="Arial" w:hAnsi="Arial"/>
          <w:sz w:val="17"/>
          <w:szCs w:val="17"/>
          <w:i w:val="1"/>
          <w:iCs w:val="1"/>
          <w:color w:val="auto"/>
        </w:rPr>
        <w:t>Hprt</w:t>
      </w:r>
      <w:r>
        <w:rPr>
          <w:rFonts w:ascii="Arial" w:cs="Arial" w:eastAsia="Arial" w:hAnsi="Arial"/>
          <w:sz w:val="17"/>
          <w:szCs w:val="17"/>
          <w:color w:val="auto"/>
        </w:rPr>
        <w:t>). Each symbol represents one animal. Ctx: cortex, Str: striatum, Cb: cerebellum, Hp: hippocampus, SC: spinal cord, ICV: intracerebroventricular.</w:t>
      </w:r>
    </w:p>
    <w:p>
      <w:pPr>
        <w:spacing w:after="0" w:line="20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we have expanded our investigations into the impact that stereochemistry has on the pharmacological properties of oligonucleotides, we have deployed the same patterns of backbone stereochemistry in the context of new and more diverse sequences and in the presence of distinct chemical modifications to the nucleoside. In these investigations, we have discovered an interplay between oligonucleotide sequence, chemistry and backbone stereochemistry: the impact that a particular pattern of backbone stereochemistry has on any one pharmacological property of an oligonucleotide can be augmented or curtailed by the oligonucleotide sequence or the accompanying chemical modifications. Our discovery efforts continuously elaborate on these relationships and have already revealed design rules that expedite the development of new candidates based on modality. The discovery of this interplay and delineation of design rules affords us an important advantage: to generate oligonucleotides that meet our desired product profiles, we can modulate a new and critical dimension of oligonucleotide therapeutics through the control of backbone stereochemistry, and we can modulate the sequence and chemistry. In certain situations, for example, when targeting a sequence containing a single-nucleotide polymorphism (SNP), the ability to modulate the target sequence can be limited. In these circumstances, our ability to control both backbone stereochemistry and chemistry increases the likelihood that we can develop a candidate that matches our desired product profile.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Initial Therapeutic Programs</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Our most advanced therapeutic programs are in neurology, which we broadly define as genetic diseases within the neuromuscular system and CNS. Within neurology, we are focused on DMD, HD, ALS, FTD and SCA3. We have initiated clinical trials of suvodirsen, our lead program in DMD targeting exon 51, and our two lead programs in HD. We are advancing several other programs, including WVE-N531 targeting exon 53 in DMD, WVE-3972-01 targeting </w:t>
      </w:r>
      <w:r>
        <w:rPr>
          <w:rFonts w:ascii="Arial" w:cs="Arial" w:eastAsia="Arial" w:hAnsi="Arial"/>
          <w:sz w:val="17"/>
          <w:szCs w:val="17"/>
          <w:i w:val="1"/>
          <w:iCs w:val="1"/>
          <w:color w:val="auto"/>
        </w:rPr>
        <w:t xml:space="preserve">C9ORF72 </w:t>
      </w:r>
      <w:r>
        <w:rPr>
          <w:rFonts w:ascii="Arial" w:cs="Arial" w:eastAsia="Arial" w:hAnsi="Arial"/>
          <w:sz w:val="17"/>
          <w:szCs w:val="17"/>
          <w:color w:val="auto"/>
        </w:rPr>
        <w:t>in ALS and FTD and a program targeting</w:t>
      </w:r>
      <w:r>
        <w:rPr>
          <w:rFonts w:ascii="Arial" w:cs="Arial" w:eastAsia="Arial" w:hAnsi="Arial"/>
          <w:sz w:val="17"/>
          <w:szCs w:val="17"/>
          <w:i w:val="1"/>
          <w:iCs w:val="1"/>
          <w:color w:val="auto"/>
        </w:rPr>
        <w:t xml:space="preserve"> ATXN3 </w:t>
      </w:r>
      <w:r>
        <w:rPr>
          <w:rFonts w:ascii="Arial" w:cs="Arial" w:eastAsia="Arial" w:hAnsi="Arial"/>
          <w:sz w:val="17"/>
          <w:szCs w:val="17"/>
          <w:color w:val="auto"/>
        </w:rPr>
        <w:t>in SCA3. We are also conducting preclinical research to develop a lead candidate in</w:t>
      </w:r>
      <w:r>
        <w:rPr>
          <w:rFonts w:ascii="Arial" w:cs="Arial" w:eastAsia="Arial" w:hAnsi="Arial"/>
          <w:sz w:val="17"/>
          <w:szCs w:val="17"/>
          <w:i w:val="1"/>
          <w:iCs w:val="1"/>
          <w:color w:val="auto"/>
        </w:rPr>
        <w:t xml:space="preserve"> </w:t>
      </w:r>
      <w:r>
        <w:rPr>
          <w:rFonts w:ascii="Arial" w:cs="Arial" w:eastAsia="Arial" w:hAnsi="Arial"/>
          <w:sz w:val="17"/>
          <w:szCs w:val="17"/>
          <w:color w:val="auto"/>
        </w:rPr>
        <w:t>ophthalmology and continue to explore additional targets in CNS, neuromuscular and hepatic disorders.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See below for more information on these programs and the diseases we are targeting.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DMD is a rare, genetic progressive neuromuscular disorder caused by mutations in the </w:t>
      </w:r>
      <w:r>
        <w:rPr>
          <w:rFonts w:ascii="Arial" w:cs="Arial" w:eastAsia="Arial" w:hAnsi="Arial"/>
          <w:sz w:val="17"/>
          <w:szCs w:val="17"/>
          <w:i w:val="1"/>
          <w:iCs w:val="1"/>
          <w:color w:val="auto"/>
        </w:rPr>
        <w:t>DMD</w:t>
      </w:r>
      <w:r>
        <w:rPr>
          <w:rFonts w:ascii="Arial" w:cs="Arial" w:eastAsia="Arial" w:hAnsi="Arial"/>
          <w:sz w:val="17"/>
          <w:szCs w:val="17"/>
          <w:color w:val="auto"/>
        </w:rPr>
        <w:t xml:space="preserve"> gene on the X chromosome that affects approximately one in 5,000 newborn boys around the world (approximately 20,000 new cases annually). The dystrophin protein is part of a protein complex called the dystrophin-associated protein complex that acts as an anchor, connecting each muscle cell’s structural framework with a lattice of proteins and other molecules outside the cell through the muscle cell membrane. The dystrophin-associated protein complex protects the muscle from injury during contraction and relaxation. Patients with DMD typically develop muscle weakness in the early years of life and become wheelchair-bound in their early teens. As the disease progresses, DMD patients typically develop respiratory, orthopedic and cardiac complications. Cardiomyopathy and breathing difficulties usually begin by the age of 20, and few individuals with DMD live beyond their thirties.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While there are approved therapies for DMD, there is no cure, and there continues to be significant unmet medical need. In most countries, corticosteroids are the standard drug therapy, which slows the progression of muscle weakness and delays loss of ambulation by two to three years. In February 2017, the FDA approved Emflaza (deflazacort), the first corticosteroid approved as a treatment in the United States for DMD patients older than five years of age.</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2016, Sarepta Therapeutics’ Exondys 51™ </w:t>
      </w:r>
      <w:r>
        <w:rPr>
          <w:rFonts w:ascii="Arial" w:cs="Arial" w:eastAsia="Arial" w:hAnsi="Arial"/>
          <w:sz w:val="16"/>
          <w:szCs w:val="16"/>
          <w:i w:val="1"/>
          <w:iCs w:val="1"/>
          <w:color w:val="auto"/>
        </w:rPr>
        <w:t>(</w:t>
      </w:r>
      <w:r>
        <w:rPr>
          <w:rFonts w:ascii="Arial" w:cs="Arial" w:eastAsia="Arial" w:hAnsi="Arial"/>
          <w:sz w:val="16"/>
          <w:szCs w:val="16"/>
          <w:color w:val="auto"/>
        </w:rPr>
        <w:t xml:space="preserve">eteplirsen) received accelerated approval in the United States. The FDA concluded that the data submitted demonstrated an increase in dystrophin production that is reasonably likely to confer clinical benefit in some patients with DMD, who have a confirmed mutation of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amenable to exon 51 skipping. According to U.S. accelerated approval guidelines, no clinical benefit needs to be established at the time of FDA approval, and no clinical benefit of eteplirsen has yet been established. Thus, consistent with the FDA’s accelerated approval regulations, eteplirsen is being evaluated in a post-marketing approval clinical trial to verify and describe the drug’s clinical benefit. The required clinical trial is designed to assess whether eteplirsen improves motor function of DMD patients, who have a confirmed mutation of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amenable to exon 51 skipping. Another exon-skipping nucleic acid therapeutic candidate for DMD, BioMarin Pharmaceutical’s drisapersen, received a complete response letter (“CRL”) from the FDA in January 2016, indicating that the review cycle was complete and that the application was not ready for approval in its present form.</w:t>
      </w:r>
    </w:p>
    <w:p>
      <w:pPr>
        <w:spacing w:after="0" w:line="166"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 xml:space="preserve">In 2014, PTC Therapeutics’ Translarna™ (ataluren) was the first disease-modifying treatment to receive conditional approval by the EMA for the treatment of ambulatory DMD patients over 5 years of age who have a nonsense mutation (12% of DMD cases) in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In 2016, the EMA did not allow ataluren to convert to full marketing authorization, rather it granted a renewal of the conditional approval. In 2018, EMA expanded the conditional approval for Translarna to include treatment of ambulatory DMD patients ≤2 years of age who have a nonsense mutation in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DMD, we are advancing suvodirsen (WVE-210201), which targets exon 51, a region within the precursor messenger RNA (“pre-mRNA”) that is transcribed from the dystrophin gene (also referred to as the “</w:t>
      </w:r>
      <w:r>
        <w:rPr>
          <w:rFonts w:ascii="Arial" w:cs="Arial" w:eastAsia="Arial" w:hAnsi="Arial"/>
          <w:sz w:val="16"/>
          <w:szCs w:val="16"/>
          <w:i w:val="1"/>
          <w:iCs w:val="1"/>
          <w:color w:val="auto"/>
        </w:rPr>
        <w:t>DMD</w:t>
      </w:r>
      <w:r>
        <w:rPr>
          <w:rFonts w:ascii="Arial" w:cs="Arial" w:eastAsia="Arial" w:hAnsi="Arial"/>
          <w:sz w:val="16"/>
          <w:szCs w:val="16"/>
          <w:color w:val="auto"/>
        </w:rPr>
        <w:t>” gene). In November 2017, we initiated a global, multicenter, double-blind, randomized, placebo-controlled, single-ascending dose Phase 1 clinical trial of suvodirsen administered intravenously. The primary endpoint of the trial was safety and tolerability. The Phase 1 inclusion criteria allowed for participation by patients who are amenable to exon 51 skipping, ages 5-18, ambulatory and non-ambulatory, as well as those previously treated with eteplirsen or ataluren following an appropriate washout period. On December 6, 2018, we announced that the safety and tolerability data from the Phase 1 trial support initiation of a Phase 2/3 clinical trial of suvodirsen and that we selected a dose for the Phase 2/3 trial. We plan to present the results from the Phase 1 trial, as well as details of the Phase 2/3 trial design, at upcoming scientific meetings. As patients complete the Phase 1 trial, they have the option to enroll in an ongoing open label extension study (“OLE”) in which they continue to receive suvodirsen. The OLE is expected to enroll up to 40 patients who previously participated in the Phase 1 trial. Patients in the OLE are undergoing quarterly clinical assessments using validated clinical outcome measures and are having muscle biopsies taken so that an interim analysis may be conducted by measuring dystrophin expression using a standardized Western blot. Data from this interim analysis are intended to be an important component of a submission to the FDA for accelerated approval of suvodirsen in the United States, and we remain on track to deliver these data in the second half of 2019. Suvodirsen has been granted orphan drug designation for the treatment of DMD by the FDA and the European Commission, as well as rare pediatric disease designation by the FDA. We anticipate initiating the global, placebo-controlled Phase 2/3 efficacy and safety clinical trial of suvodirsen in 2019. The Phase 2/3 trial is designed to measure clinical efficacy and dystrophin expression, and we intend to use the results of this trial to seek regulatory approvals globally. On January 3, 2019, we announced that the Phase 2/3 trial of suvodirsen had been selected for the FDA pilot program for complex innovative trial designs (“CID pilot program”). In evaluating submissions for the CID pilot program, the FDA considered two key criteria: the innovative features of the Phase 2/3 trial design and the therapeutic need (i.e., therapeutics being developed for use in disease areas where there are limited or no treatment options). Through the CID pilot program, we intend to reduce the number of patients required to deliver conclusive clinical efficacy results, thereby minimizing the number of patients required in the placebo treatment arm and potentially accelerating completion of the trial. This marks the first time that the FDA has selected clinical protocols for its CID pilot program that was announced in August 2018.</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ind w:right="60"/>
        <w:spacing w:after="0" w:line="277" w:lineRule="auto"/>
        <w:rPr>
          <w:sz w:val="20"/>
          <w:szCs w:val="20"/>
          <w:color w:val="auto"/>
        </w:rPr>
      </w:pPr>
      <w:r>
        <w:rPr>
          <w:rFonts w:ascii="Arial" w:cs="Arial" w:eastAsia="Arial" w:hAnsi="Arial"/>
          <w:sz w:val="18"/>
          <w:szCs w:val="18"/>
          <w:color w:val="auto"/>
        </w:rPr>
        <w:t>Our second development program in DMD, WVE-N531, targets exon 53. Subject to our submission of clinical trial applications and approval to proceed, we would expect to deliver topline clinical data for WVE-N531 in the second half of 2020.</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Also in DMD, we are exploring programs targeting DMD exons 44, 45, 52, 54 and 55 and investigating alternative forms of delivery, including subcutaneous administration, for our existing and future DMD programs.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Exon 51</w:t>
      </w:r>
    </w:p>
    <w:p>
      <w:pPr>
        <w:spacing w:after="0" w:line="121"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Suvodirsen was selected for clinical development, in part, based on its ability to demonstrate high exon 51 skipping efficiency and dystrophin protein restoration in patient-derived muscle cells. Efficiency at skipping exon 51 was determined by quantitative RT-PCR following exposure to equal concentrations of oligonucleotides. As shown below, suvodirsen demonstrated dose-dependent and more potent increases in exon skipping efficiency compared with analogs of eteplirsen and drisapersen.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264795</wp:posOffset>
            </wp:positionV>
            <wp:extent cx="3593465" cy="25126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9346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Using patient-derived muscle cells, we analyzed suvodirsen’s impact on protein expression by Western blot after gymnotic uptake, meaning delivery of drug candidate to the cell in the absence of any carriers or conjugation. Results show that suvodirsen induced a clear dose-dependent restoration of dystrophin protein expression (Western blot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124460</wp:posOffset>
            </wp:positionV>
            <wp:extent cx="3738880" cy="27444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3888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 w:name="page21"/>
    <w:bookmarkEnd w:id="20"/>
    <w:p>
      <w:pPr>
        <w:ind w:right="180"/>
        <w:spacing w:after="0" w:line="257" w:lineRule="auto"/>
        <w:rPr>
          <w:sz w:val="20"/>
          <w:szCs w:val="20"/>
          <w:color w:val="auto"/>
        </w:rPr>
      </w:pPr>
      <w:r>
        <w:rPr>
          <w:rFonts w:ascii="Arial" w:cs="Arial" w:eastAsia="Arial" w:hAnsi="Arial"/>
          <w:sz w:val="18"/>
          <w:szCs w:val="18"/>
          <w:color w:val="auto"/>
        </w:rPr>
        <w:t xml:space="preserve">At a 10 µM concentration of each compound (suvodirsen, other Wave isomers and analogs of drisapersen and eteplirsen), we quantified the extent of dystrophin protein restoration </w:t>
      </w:r>
      <w:r>
        <w:rPr>
          <w:rFonts w:ascii="Arial" w:cs="Arial" w:eastAsia="Arial" w:hAnsi="Arial"/>
          <w:sz w:val="18"/>
          <w:szCs w:val="18"/>
          <w:i w:val="1"/>
          <w:iCs w:val="1"/>
          <w:color w:val="auto"/>
        </w:rPr>
        <w:t>in vitro</w:t>
      </w:r>
      <w:r>
        <w:rPr>
          <w:rFonts w:ascii="Arial" w:cs="Arial" w:eastAsia="Arial" w:hAnsi="Arial"/>
          <w:sz w:val="18"/>
          <w:szCs w:val="18"/>
          <w:color w:val="auto"/>
        </w:rPr>
        <w:t>, and found that suvodirsen and other Wave isomers (WV-isomer 2 and WV-isomer 3) restored dystrophin protein expression to between 50% and 100% of that in normal skeletal lysates (Western blot shown below). Specifically, suvodirsen restored dystrophin protein expression to 52% of the levels found in normal skeletal muscle tissue lysates versus the approximate 1% restoration observed with other exon-skipping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266065</wp:posOffset>
            </wp:positionV>
            <wp:extent cx="4193540" cy="2967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9354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confirmed target engagement of suvodirsen in an NHP study. We dosed animals with five 30 mg/kg weekly subcutaneous injections of suvodirsen over four weeks. Tissue samples were collected two days after the final dose, and nested PCR was performed to assess the presence of skipped RNA transcripts. As shown below, we detected skipped transcripts in all treated muscles that we assessed (right panel), indicating that suvodirsen successfully engaged with </w:t>
      </w:r>
      <w:r>
        <w:rPr>
          <w:rFonts w:ascii="Arial" w:cs="Arial" w:eastAsia="Arial" w:hAnsi="Arial"/>
          <w:sz w:val="18"/>
          <w:szCs w:val="18"/>
          <w:i w:val="1"/>
          <w:iCs w:val="1"/>
          <w:color w:val="auto"/>
        </w:rPr>
        <w:t>DMD</w:t>
      </w:r>
      <w:r>
        <w:rPr>
          <w:rFonts w:ascii="Arial" w:cs="Arial" w:eastAsia="Arial" w:hAnsi="Arial"/>
          <w:sz w:val="18"/>
          <w:szCs w:val="18"/>
          <w:color w:val="auto"/>
        </w:rPr>
        <w:t xml:space="preserve"> pre-mRNA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264795</wp:posOffset>
            </wp:positionV>
            <wp:extent cx="4965700" cy="2487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6570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66" w:right="479" w:bottom="1440" w:gutter="0" w:footer="0" w:header="0"/>
        </w:sectPr>
      </w:pPr>
    </w:p>
    <w:bookmarkStart w:id="21" w:name="page22"/>
    <w:bookmarkEnd w:id="21"/>
    <w:p>
      <w:pPr>
        <w:ind w:right="40"/>
        <w:spacing w:after="0" w:line="264" w:lineRule="auto"/>
        <w:rPr>
          <w:sz w:val="20"/>
          <w:szCs w:val="20"/>
          <w:color w:val="auto"/>
        </w:rPr>
      </w:pPr>
      <w:r>
        <w:rPr>
          <w:rFonts w:ascii="Arial" w:cs="Arial" w:eastAsia="Arial" w:hAnsi="Arial"/>
          <w:sz w:val="18"/>
          <w:szCs w:val="18"/>
          <w:color w:val="auto"/>
        </w:rPr>
        <w:t>As conventional oligonucleotides tend to accumulate in the liver and kidney, we also assessed the accumulation of WVE-210201 in the liver and kidney of a dystrophin-deficient mouse model (mdx-23 mice) after a single intravenous 30 mg/kg dose. As shown below, there was significantly less accumulation of suvodirsen in these tissues up to eight days after dosing compared with an analog of drisapersen.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124460</wp:posOffset>
            </wp:positionV>
            <wp:extent cx="3524885" cy="2958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2488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Exon 53</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second development program in DMD, WVE-N531, targets exon 53. Subject to our submission of clinical trial applications and approval to proceed, we would expect to deliver topline clinical data for WVE-N531 in the second half of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vitro</w:t>
      </w:r>
      <w:r>
        <w:rPr>
          <w:rFonts w:ascii="Arial" w:cs="Arial" w:eastAsia="Arial" w:hAnsi="Arial"/>
          <w:sz w:val="18"/>
          <w:szCs w:val="18"/>
          <w:color w:val="auto"/>
        </w:rPr>
        <w:t>, WVE-N531 induced dose-dependent exon 53 skipping up to 49% and dystrophin protein restoration up to 71% in DMD patient-derived myoblasts</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 deletion of exons 45-52. In these experiments, cells were exposed to WVE-N531 at 0.1 µM-10 µM under gymnotic conditions. After four days of oligonucleotide treatment, efficiency at skipping exon 53 was determined by quantitative RT-PCR. After six days of oligonucleotide treatment, protein lysate was analyzed by western blot for dystrophin protein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127635</wp:posOffset>
            </wp:positionV>
            <wp:extent cx="4330700" cy="2769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30700"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2" w:name="page23"/>
    <w:bookmarkEnd w:id="22"/>
    <w:p>
      <w:pPr>
        <w:jc w:val="both"/>
        <w:ind w:right="80"/>
        <w:spacing w:after="0" w:line="312" w:lineRule="auto"/>
        <w:rPr>
          <w:sz w:val="20"/>
          <w:szCs w:val="20"/>
          <w:color w:val="auto"/>
        </w:rPr>
      </w:pPr>
      <w:r>
        <w:rPr>
          <w:rFonts w:ascii="Arial" w:cs="Arial" w:eastAsia="Arial" w:hAnsi="Arial"/>
          <w:sz w:val="16"/>
          <w:szCs w:val="16"/>
          <w:color w:val="auto"/>
        </w:rPr>
        <w:t xml:space="preserve">To further study the effects of stereopure oligonucleotides for DMD in vivo and determine the relationship between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effects, we conducted studies in </w:t>
      </w:r>
      <w:r>
        <w:rPr>
          <w:rFonts w:ascii="Arial" w:cs="Arial" w:eastAsia="Arial" w:hAnsi="Arial"/>
          <w:sz w:val="16"/>
          <w:szCs w:val="16"/>
          <w:i w:val="1"/>
          <w:iCs w:val="1"/>
          <w:color w:val="auto"/>
        </w:rPr>
        <w:t>mdx23</w:t>
      </w:r>
      <w:r>
        <w:rPr>
          <w:rFonts w:ascii="Arial" w:cs="Arial" w:eastAsia="Arial" w:hAnsi="Arial"/>
          <w:sz w:val="16"/>
          <w:szCs w:val="16"/>
          <w:color w:val="auto"/>
        </w:rPr>
        <w:t xml:space="preserve"> mice, a longstanding animal model of DMD. We developed surrogate oligonucleotides that have similar chemistry to suvodirsen and WVE-N531 but target exon 23 for study in </w:t>
      </w:r>
      <w:r>
        <w:rPr>
          <w:rFonts w:ascii="Arial" w:cs="Arial" w:eastAsia="Arial" w:hAnsi="Arial"/>
          <w:sz w:val="16"/>
          <w:szCs w:val="16"/>
          <w:i w:val="1"/>
          <w:iCs w:val="1"/>
          <w:color w:val="auto"/>
        </w:rPr>
        <w:t>mdx23</w:t>
      </w:r>
      <w:r>
        <w:rPr>
          <w:rFonts w:ascii="Arial" w:cs="Arial" w:eastAsia="Arial" w:hAnsi="Arial"/>
          <w:sz w:val="16"/>
          <w:szCs w:val="16"/>
          <w:color w:val="auto"/>
        </w:rPr>
        <w:t xml:space="preserve"> mice. The </w:t>
      </w:r>
      <w:r>
        <w:rPr>
          <w:rFonts w:ascii="Arial" w:cs="Arial" w:eastAsia="Arial" w:hAnsi="Arial"/>
          <w:sz w:val="16"/>
          <w:szCs w:val="16"/>
          <w:i w:val="1"/>
          <w:iCs w:val="1"/>
          <w:color w:val="auto"/>
        </w:rPr>
        <w:t>mdx23</w:t>
      </w:r>
      <w:r>
        <w:rPr>
          <w:rFonts w:ascii="Arial" w:cs="Arial" w:eastAsia="Arial" w:hAnsi="Arial"/>
          <w:sz w:val="16"/>
          <w:szCs w:val="16"/>
          <w:color w:val="auto"/>
        </w:rPr>
        <w:t xml:space="preserve"> mice have a defect in exon 23 of the DMD gene and lack functional dystrophin.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 this study, stereopure oligonucleotides with similar chemistry to WVE-N531 reached the myonuclei in gastrocnemius tissue of </w:t>
      </w:r>
      <w:r>
        <w:rPr>
          <w:rFonts w:ascii="Arial" w:cs="Arial" w:eastAsia="Arial" w:hAnsi="Arial"/>
          <w:sz w:val="18"/>
          <w:szCs w:val="18"/>
          <w:i w:val="1"/>
          <w:iCs w:val="1"/>
          <w:color w:val="auto"/>
        </w:rPr>
        <w:t>mdx23</w:t>
      </w:r>
      <w:r>
        <w:rPr>
          <w:rFonts w:ascii="Arial" w:cs="Arial" w:eastAsia="Arial" w:hAnsi="Arial"/>
          <w:sz w:val="18"/>
          <w:szCs w:val="18"/>
          <w:color w:val="auto"/>
        </w:rPr>
        <w:t xml:space="preserve"> mice within 24 hours following a single IV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117475</wp:posOffset>
            </wp:positionV>
            <wp:extent cx="4528185" cy="21526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2818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Four weekly IV doses of surrogate exon-53 targeting oligonucleotides induced efficient, dose-dependent exon skipping up to 20% in target muscle tissues of </w:t>
      </w:r>
      <w:r>
        <w:rPr>
          <w:rFonts w:ascii="Arial" w:cs="Arial" w:eastAsia="Arial" w:hAnsi="Arial"/>
          <w:sz w:val="18"/>
          <w:szCs w:val="18"/>
          <w:i w:val="1"/>
          <w:iCs w:val="1"/>
          <w:color w:val="auto"/>
        </w:rPr>
        <w:t xml:space="preserve">mdx23 </w:t>
      </w:r>
      <w:r>
        <w:rPr>
          <w:rFonts w:ascii="Arial" w:cs="Arial" w:eastAsia="Arial" w:hAnsi="Arial"/>
          <w:sz w:val="18"/>
          <w:szCs w:val="18"/>
          <w:color w:val="auto"/>
        </w:rPr>
        <w:t>mice, including gastronumus, diaphragm, and quadriceps, and restored dystrophin protein by up to 70-90% of that in healthy mice. In</w:t>
      </w:r>
      <w:r>
        <w:rPr>
          <w:rFonts w:ascii="Arial" w:cs="Arial" w:eastAsia="Arial" w:hAnsi="Arial"/>
          <w:sz w:val="18"/>
          <w:szCs w:val="18"/>
          <w:i w:val="1"/>
          <w:iCs w:val="1"/>
          <w:color w:val="auto"/>
        </w:rPr>
        <w:t xml:space="preserve"> mdx23 </w:t>
      </w:r>
      <w:r>
        <w:rPr>
          <w:rFonts w:ascii="Arial" w:cs="Arial" w:eastAsia="Arial" w:hAnsi="Arial"/>
          <w:sz w:val="18"/>
          <w:szCs w:val="18"/>
          <w:color w:val="auto"/>
        </w:rPr>
        <w:t>mice,</w:t>
      </w:r>
      <w:r>
        <w:rPr>
          <w:rFonts w:ascii="Arial" w:cs="Arial" w:eastAsia="Arial" w:hAnsi="Arial"/>
          <w:sz w:val="18"/>
          <w:szCs w:val="18"/>
          <w:i w:val="1"/>
          <w:iCs w:val="1"/>
          <w:color w:val="auto"/>
        </w:rPr>
        <w:t xml:space="preserve"> </w:t>
      </w:r>
      <w:r>
        <w:rPr>
          <w:rFonts w:ascii="Arial" w:cs="Arial" w:eastAsia="Arial" w:hAnsi="Arial"/>
          <w:sz w:val="18"/>
          <w:szCs w:val="18"/>
          <w:color w:val="auto"/>
        </w:rPr>
        <w:t>surrogate exon 53–targeting ASOs reduced serum enzymes elevated in DMD; serum creatine kinase levels were reduced by 87% compared with untreated mice, after 4 weekly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264795</wp:posOffset>
            </wp:positionV>
            <wp:extent cx="5308600" cy="3241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0860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3" w:name="page24"/>
    <w:bookmarkEnd w:id="23"/>
    <w:p>
      <w:pPr>
        <w:ind w:right="220"/>
        <w:spacing w:after="0" w:line="312" w:lineRule="auto"/>
        <w:rPr>
          <w:sz w:val="20"/>
          <w:szCs w:val="20"/>
          <w:color w:val="auto"/>
        </w:rPr>
      </w:pPr>
      <w:r>
        <w:rPr>
          <w:rFonts w:ascii="Arial" w:cs="Arial" w:eastAsia="Arial" w:hAnsi="Arial"/>
          <w:sz w:val="16"/>
          <w:szCs w:val="16"/>
          <w:color w:val="auto"/>
        </w:rPr>
        <w:t xml:space="preserve">Dose relationships of exon skipping induced by stereopure oligonucleotides were similar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Transcript levels observed with free uptake of oligonucleotides in cultured myoblasts were predictive of transcript and dystrophin protein levels in the </w:t>
      </w:r>
      <w:r>
        <w:rPr>
          <w:rFonts w:ascii="Arial" w:cs="Arial" w:eastAsia="Arial" w:hAnsi="Arial"/>
          <w:sz w:val="16"/>
          <w:szCs w:val="16"/>
          <w:i w:val="1"/>
          <w:iCs w:val="1"/>
          <w:color w:val="auto"/>
        </w:rPr>
        <w:t>mdx23</w:t>
      </w:r>
      <w:r>
        <w:rPr>
          <w:rFonts w:ascii="Arial" w:cs="Arial" w:eastAsia="Arial" w:hAnsi="Arial"/>
          <w:sz w:val="16"/>
          <w:szCs w:val="16"/>
          <w:color w:val="auto"/>
        </w:rPr>
        <w:t xml:space="preserve"> mouse model. These consistent data from </w:t>
      </w:r>
      <w:r>
        <w:rPr>
          <w:rFonts w:ascii="Arial" w:cs="Arial" w:eastAsia="Arial" w:hAnsi="Arial"/>
          <w:sz w:val="16"/>
          <w:szCs w:val="16"/>
          <w:i w:val="1"/>
          <w:iCs w:val="1"/>
          <w:color w:val="auto"/>
        </w:rPr>
        <w:t xml:space="preserve">mdx23 </w:t>
      </w:r>
      <w:r>
        <w:rPr>
          <w:rFonts w:ascii="Arial" w:cs="Arial" w:eastAsia="Arial" w:hAnsi="Arial"/>
          <w:sz w:val="16"/>
          <w:szCs w:val="16"/>
          <w:color w:val="auto"/>
        </w:rPr>
        <w:t>mice support Wave’s approach of selecting clinical candidates targeting exon 51 and exon 53 using a cellular free-uptake model.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Huntington’s Disease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HD is a rare hereditary neurodegenerative disease that results in early death and for which there is no cure. HD is caused by a mutation (i.e., an expanded CAG triplet repeat) in the </w:t>
      </w:r>
      <w:r>
        <w:rPr>
          <w:rFonts w:ascii="Arial" w:cs="Arial" w:eastAsia="Arial" w:hAnsi="Arial"/>
          <w:sz w:val="18"/>
          <w:szCs w:val="18"/>
          <w:i w:val="1"/>
          <w:iCs w:val="1"/>
          <w:color w:val="auto"/>
        </w:rPr>
        <w:t>HTT</w:t>
      </w:r>
      <w:r>
        <w:rPr>
          <w:rFonts w:ascii="Arial" w:cs="Arial" w:eastAsia="Arial" w:hAnsi="Arial"/>
          <w:sz w:val="18"/>
          <w:szCs w:val="18"/>
          <w:color w:val="auto"/>
        </w:rPr>
        <w:t xml:space="preserve"> gene, which results in production of mutant HTT (“mHTT”) protein. Accumulation of mHTT protein causes progressive loss of neurons in the brain, and can lead to neuronal cell death, causing cognitive, psychiatric and motor disability. HD patients still possess wild-type (healthy) HTT (“wtHTT”) protein, which is believed to be critical for neuronal function. Accordingly, suppression of wtHTT may have detrimental long-term consequences. Absence of wtHTT protein has been shown to be embryonically lethal in mice.</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Symptoms of HD typically appear between the ages of 30 and 50 and worsen over the next 10 to 20 years. Many describe the symptoms of HD as similar to having amyotrophic lateral sclerosis (ALS), Parkinson’s Disease (PD) and Alzheimer’s Disease (AD) simultaneously. Patients experience a reduction in motor function and psychological disturbances. Life expectancy after symptom onset is approximately 20 years. In the most symptomatic stages, often lasting over 10 years, affected persons become fully dependent upon others to manage all activities of daily living; they lose the ability to make decisions, feed themselves and walk, often requiring premature placement in a long-term care facility. It is estimated that approximately 30,000 people in the United States have symptomatic HD and more than 200,000 others have a 50% risk for inheriting the disorder from their affected parent.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are no approved treatments that can reverse or slow HD progression. Current pharmacological therapies only address HD symptoms. Antipsychotics are used to manage depression, irritability and chorea (involuntary movements). Xenazine (tetrabenazine) and Austedo (deutetrabenazine) are the only two therapies approved for the treatment of chorea associated with HD in the United States.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HD, we are advancing two programs, WVE-120101 and WVE-120102, each targeting a disease-associated single nucleotide polymorphism (“SNP”) within the </w:t>
      </w:r>
      <w:r>
        <w:rPr>
          <w:rFonts w:ascii="Arial" w:cs="Arial" w:eastAsia="Arial" w:hAnsi="Arial"/>
          <w:sz w:val="16"/>
          <w:szCs w:val="16"/>
          <w:i w:val="1"/>
          <w:iCs w:val="1"/>
          <w:color w:val="auto"/>
        </w:rPr>
        <w:t>huntingtin</w:t>
      </w:r>
      <w:r>
        <w:rPr>
          <w:rFonts w:ascii="Arial" w:cs="Arial" w:eastAsia="Arial" w:hAnsi="Arial"/>
          <w:sz w:val="16"/>
          <w:szCs w:val="16"/>
          <w:color w:val="auto"/>
        </w:rPr>
        <w:t xml:space="preserve"> gene (“</w:t>
      </w:r>
      <w:r>
        <w:rPr>
          <w:rFonts w:ascii="Arial" w:cs="Arial" w:eastAsia="Arial" w:hAnsi="Arial"/>
          <w:sz w:val="16"/>
          <w:szCs w:val="16"/>
          <w:i w:val="1"/>
          <w:iCs w:val="1"/>
          <w:color w:val="auto"/>
        </w:rPr>
        <w:t>HTT</w:t>
      </w:r>
      <w:r>
        <w:rPr>
          <w:rFonts w:ascii="Arial" w:cs="Arial" w:eastAsia="Arial" w:hAnsi="Arial"/>
          <w:sz w:val="16"/>
          <w:szCs w:val="16"/>
          <w:color w:val="auto"/>
        </w:rPr>
        <w:t>”): rs362307 (“HTT SNP1”) and rs362331 (“HTT SNP2”), respectively. Targeting mRNA transcript with these SNPs allows us to lower the mutant allele transcript, while leaving the healthy transcript relatively intact (see figure below). We commonly refer to this method (or approach) as “allele specific targeting.” SNPs are naturally occurring variations within a given genetic sequence and in certain instances can be used to distinguish between two related copies of a gene where only one is associated with the expression of a disease-causing protein. HTT SNP1 and HTT SNP2 are two of the most common SNPs associated with the m</w:t>
      </w:r>
      <w:r>
        <w:rPr>
          <w:rFonts w:ascii="Arial" w:cs="Arial" w:eastAsia="Arial" w:hAnsi="Arial"/>
          <w:sz w:val="16"/>
          <w:szCs w:val="16"/>
          <w:i w:val="1"/>
          <w:iCs w:val="1"/>
          <w:color w:val="auto"/>
        </w:rPr>
        <w:t>HTT</w:t>
      </w:r>
      <w:r>
        <w:rPr>
          <w:rFonts w:ascii="Arial" w:cs="Arial" w:eastAsia="Arial" w:hAnsi="Arial"/>
          <w:sz w:val="16"/>
          <w:szCs w:val="16"/>
          <w:color w:val="auto"/>
        </w:rPr>
        <w:t xml:space="preserve"> allele, which are believed to encompass up to 70% of the HD patient population. We have shown that by targeting HTT SNP1 and HTT SNP2 in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the production of disease-causing proteins associated with HD can be reduced. As part of ongoing, required and routine toxicology support of our clinical programs, we continue to conduct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nonclinical toxicology studies for WVE-120101 and WVE-120102. A recent in vivo micronucleus assay yielded results that require additional nonclinical studies that we are planning to conduct. WVE-120101 and WVE-120102 have been granted orphan drug designation for the treatment of HD by the FDA.</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July 2017, we initiated PRECISION-HD, a global clinical program consisting of the PRECISION-HD1 and PRECISION-HD2 clinical trials. PRECISION-HD1and PRECISION-HD2 are two parallel, multicenter, double-blind, randomized, placebo-controlled Phase 1b/2a clinical trials evaluating WVE-</w:t>
      </w:r>
    </w:p>
    <w:p>
      <w:pPr>
        <w:ind w:right="20"/>
        <w:spacing w:after="0" w:line="268" w:lineRule="auto"/>
        <w:rPr>
          <w:sz w:val="20"/>
          <w:szCs w:val="20"/>
          <w:color w:val="auto"/>
        </w:rPr>
      </w:pPr>
      <w:r>
        <w:rPr>
          <w:rFonts w:ascii="Arial" w:cs="Arial" w:eastAsia="Arial" w:hAnsi="Arial"/>
          <w:sz w:val="17"/>
          <w:szCs w:val="17"/>
          <w:color w:val="auto"/>
        </w:rPr>
        <w:t>120101 and WVE-120102, respectively, administered intrathecally, consisting of single-ascending dose and multiple-ascending dose portions. The primary objective of these two trials is to assess the safety and tolerability of intrathecal doses of WVE-120101 and WVE-120102, respectively, in early manifest HD patients. Additional objectives include measurement of total HTT protein and mutant HTT protein, and exploratory pharmacokinetic, pharmacodynamic, clinical and MRI endpoints. Each trial is expected to enroll approximately 50 Stage I or Stage II HD patients, ages 25-65, who have screened positively for the presence of SNP1 or SNP2. Outside of the United States, we are enrolling patients in both the single-ascending dose and multiple-ascending dose portions of the PRECISION-HD1 and PRECISION-HD2 trials. In the United States, we received approvals to proceed with the single-dose portions of both trials. However, the FDA indicated to us that we cannot progress to the multiple-ascending dose portions of these trials in the United States unless we conduct an additional preclinical study and present the resulting data to the FDA for its review. For the single-dose portion of the PRECISION-HD1 trial in the United States, escalation to our highest proposed doses is subject to the FDA’s review and approval of additional monitoring plans. We expect to deliver topline clinical data from the PRECISION-HD trials in the first half of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24" w:name="page25"/>
    <w:bookmarkEnd w:id="24"/>
    <w:p>
      <w:pPr>
        <w:ind w:right="20"/>
        <w:spacing w:after="0" w:line="312" w:lineRule="auto"/>
        <w:rPr>
          <w:sz w:val="20"/>
          <w:szCs w:val="20"/>
          <w:color w:val="auto"/>
        </w:rPr>
      </w:pPr>
      <w:r>
        <w:rPr>
          <w:rFonts w:ascii="Arial" w:cs="Arial" w:eastAsia="Arial" w:hAnsi="Arial"/>
          <w:sz w:val="16"/>
          <w:szCs w:val="16"/>
          <w:color w:val="auto"/>
        </w:rPr>
        <w:t xml:space="preserve">Using PRISM, we are also designing investigational oligonucleotides to target a third SNP (SNP3) associated with the expanded CAG repeat on the mHTT allele. Preliminary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show that these oligonucleotides preferentially target the mHTT transcript, while leaving the wtHTT mRNA largely intact in human neuronal systems. The ability of these oligonucleotides to reduce mHTT mRNA is dependent on the specific positioning of the </w:t>
      </w:r>
      <w:r>
        <w:rPr>
          <w:rFonts w:ascii="Arial" w:cs="Arial" w:eastAsia="Arial" w:hAnsi="Arial"/>
          <w:sz w:val="16"/>
          <w:szCs w:val="16"/>
          <w:i w:val="1"/>
          <w:iCs w:val="1"/>
          <w:color w:val="auto"/>
        </w:rPr>
        <w:t>R</w:t>
      </w:r>
      <w:r>
        <w:rPr>
          <w:rFonts w:ascii="Arial" w:cs="Arial" w:eastAsia="Arial" w:hAnsi="Arial"/>
          <w:sz w:val="16"/>
          <w:szCs w:val="16"/>
          <w:color w:val="auto"/>
        </w:rPr>
        <w:t>p stereochemistry.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102235</wp:posOffset>
            </wp:positionV>
            <wp:extent cx="3481705" cy="2701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81705"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preclinical studies, as shown below, the stereopure oligonucleotide WVE-120101 (circles) or a stereorandom oligonucleotide (triangles) were bound to wt</w:t>
      </w:r>
      <w:r>
        <w:rPr>
          <w:rFonts w:ascii="Arial" w:cs="Arial" w:eastAsia="Arial" w:hAnsi="Arial"/>
          <w:sz w:val="18"/>
          <w:szCs w:val="18"/>
          <w:i w:val="1"/>
          <w:iCs w:val="1"/>
          <w:color w:val="auto"/>
        </w:rPr>
        <w:t>HTT</w:t>
      </w:r>
      <w:r>
        <w:rPr>
          <w:rFonts w:ascii="Arial" w:cs="Arial" w:eastAsia="Arial" w:hAnsi="Arial"/>
          <w:sz w:val="18"/>
          <w:szCs w:val="18"/>
          <w:color w:val="auto"/>
        </w:rPr>
        <w:t xml:space="preserve"> or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and incubated with human RNase H (left panel). WVE-120101 produced greater knockdown of m</w:t>
      </w:r>
      <w:r>
        <w:rPr>
          <w:rFonts w:ascii="Arial" w:cs="Arial" w:eastAsia="Arial" w:hAnsi="Arial"/>
          <w:sz w:val="18"/>
          <w:szCs w:val="18"/>
          <w:i w:val="1"/>
          <w:iCs w:val="1"/>
          <w:color w:val="auto"/>
        </w:rPr>
        <w:t>HTT</w:t>
      </w:r>
      <w:r>
        <w:rPr>
          <w:rFonts w:ascii="Arial" w:cs="Arial" w:eastAsia="Arial" w:hAnsi="Arial"/>
          <w:sz w:val="18"/>
          <w:szCs w:val="18"/>
          <w:color w:val="auto"/>
        </w:rPr>
        <w:t xml:space="preserve"> compared with the stereorandom oligonucleotide. In addition, WVE-120101 was selective for m</w:t>
      </w:r>
      <w:r>
        <w:rPr>
          <w:rFonts w:ascii="Arial" w:cs="Arial" w:eastAsia="Arial" w:hAnsi="Arial"/>
          <w:sz w:val="18"/>
          <w:szCs w:val="18"/>
          <w:i w:val="1"/>
          <w:iCs w:val="1"/>
          <w:color w:val="auto"/>
        </w:rPr>
        <w:t>HTT</w:t>
      </w:r>
      <w:r>
        <w:rPr>
          <w:rFonts w:ascii="Arial" w:cs="Arial" w:eastAsia="Arial" w:hAnsi="Arial"/>
          <w:sz w:val="18"/>
          <w:szCs w:val="18"/>
          <w:color w:val="auto"/>
        </w:rPr>
        <w:t xml:space="preserve"> over wt</w:t>
      </w:r>
      <w:r>
        <w:rPr>
          <w:rFonts w:ascii="Arial" w:cs="Arial" w:eastAsia="Arial" w:hAnsi="Arial"/>
          <w:sz w:val="18"/>
          <w:szCs w:val="18"/>
          <w:i w:val="1"/>
          <w:iCs w:val="1"/>
          <w:color w:val="auto"/>
        </w:rPr>
        <w:t>HTT,</w:t>
      </w:r>
      <w:r>
        <w:rPr>
          <w:rFonts w:ascii="Arial" w:cs="Arial" w:eastAsia="Arial" w:hAnsi="Arial"/>
          <w:sz w:val="18"/>
          <w:szCs w:val="18"/>
          <w:color w:val="auto"/>
        </w:rPr>
        <w:t xml:space="preserve"> producing relatively little knockdown of wt</w:t>
      </w:r>
      <w:r>
        <w:rPr>
          <w:rFonts w:ascii="Arial" w:cs="Arial" w:eastAsia="Arial" w:hAnsi="Arial"/>
          <w:sz w:val="18"/>
          <w:szCs w:val="18"/>
          <w:i w:val="1"/>
          <w:iCs w:val="1"/>
          <w:color w:val="auto"/>
        </w:rPr>
        <w:t>HTT</w:t>
      </w:r>
      <w:r>
        <w:rPr>
          <w:rFonts w:ascii="Arial" w:cs="Arial" w:eastAsia="Arial" w:hAnsi="Arial"/>
          <w:sz w:val="18"/>
          <w:szCs w:val="18"/>
          <w:color w:val="auto"/>
        </w:rPr>
        <w:t>. The stereorandom oligonucleotide was not selective and knocked down both wt</w:t>
      </w:r>
      <w:r>
        <w:rPr>
          <w:rFonts w:ascii="Arial" w:cs="Arial" w:eastAsia="Arial" w:hAnsi="Arial"/>
          <w:sz w:val="18"/>
          <w:szCs w:val="18"/>
          <w:i w:val="1"/>
          <w:iCs w:val="1"/>
          <w:color w:val="auto"/>
        </w:rPr>
        <w:t>HTT</w:t>
      </w:r>
      <w:r>
        <w:rPr>
          <w:rFonts w:ascii="Arial" w:cs="Arial" w:eastAsia="Arial" w:hAnsi="Arial"/>
          <w:sz w:val="18"/>
          <w:szCs w:val="18"/>
          <w:color w:val="auto"/>
        </w:rPr>
        <w:t xml:space="preserve"> and m</w:t>
      </w:r>
      <w:r>
        <w:rPr>
          <w:rFonts w:ascii="Arial" w:cs="Arial" w:eastAsia="Arial" w:hAnsi="Arial"/>
          <w:sz w:val="18"/>
          <w:szCs w:val="18"/>
          <w:i w:val="1"/>
          <w:iCs w:val="1"/>
          <w:color w:val="auto"/>
        </w:rPr>
        <w:t>HTT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127635</wp:posOffset>
            </wp:positionV>
            <wp:extent cx="5471160" cy="2461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7116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Using NHP serum, we analyzed the activation of the complement system following exposure to a panel of stereopure oligonucleotides and the parent stereorandom oligonucleotide, which were designed to target </w:t>
      </w:r>
      <w:r>
        <w:rPr>
          <w:rFonts w:ascii="Arial" w:cs="Arial" w:eastAsia="Arial" w:hAnsi="Arial"/>
          <w:sz w:val="18"/>
          <w:szCs w:val="18"/>
          <w:i w:val="1"/>
          <w:iCs w:val="1"/>
          <w:color w:val="auto"/>
        </w:rPr>
        <w:t>HTT</w:t>
      </w:r>
      <w:r>
        <w:rPr>
          <w:rFonts w:ascii="Arial" w:cs="Arial" w:eastAsia="Arial" w:hAnsi="Arial"/>
          <w:sz w:val="18"/>
          <w:szCs w:val="18"/>
          <w:color w:val="auto"/>
        </w:rPr>
        <w:t xml:space="preserve">. Each oligonucleotide was incubated at physiological temperature in NHP serum from three individual animals. Samples were removed at the indicated times, and complement activation was measured by the increase in C3a levels using the ELISA analytical method. As shown above (right panel), certain stereopure oligonucleotides and the stereorandom oligonucleotide demonstrated increased production of C3a; however, there was no production of C3a following exposure to WVE-120101, which also discriminated between wild-type and mutant </w:t>
      </w:r>
      <w:r>
        <w:rPr>
          <w:rFonts w:ascii="Arial" w:cs="Arial" w:eastAsia="Arial" w:hAnsi="Arial"/>
          <w:sz w:val="18"/>
          <w:szCs w:val="18"/>
          <w:i w:val="1"/>
          <w:iCs w:val="1"/>
          <w:color w:val="auto"/>
        </w:rPr>
        <w:t>HTT.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5" w:name="page26"/>
    <w:bookmarkEnd w:id="25"/>
    <w:p>
      <w:pPr>
        <w:ind w:right="60"/>
        <w:spacing w:after="0" w:line="255" w:lineRule="auto"/>
        <w:rPr>
          <w:sz w:val="20"/>
          <w:szCs w:val="20"/>
          <w:color w:val="auto"/>
        </w:rPr>
      </w:pPr>
      <w:r>
        <w:rPr>
          <w:rFonts w:ascii="Arial" w:cs="Arial" w:eastAsia="Arial" w:hAnsi="Arial"/>
          <w:sz w:val="18"/>
          <w:szCs w:val="18"/>
          <w:color w:val="auto"/>
        </w:rPr>
        <w:t>WVE-120101 was tested for potency and selectivity of knocking down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in a cellular reporter assay. WVE-120101 targeting the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was co-transfected into HEK293 cells with two reporter plasmids: a plasmid with V5-tagged full-length </w:t>
      </w:r>
      <w:r>
        <w:rPr>
          <w:rFonts w:ascii="Arial" w:cs="Arial" w:eastAsia="Arial" w:hAnsi="Arial"/>
          <w:sz w:val="18"/>
          <w:szCs w:val="18"/>
          <w:i w:val="1"/>
          <w:iCs w:val="1"/>
          <w:color w:val="auto"/>
        </w:rPr>
        <w:t>HTT</w:t>
      </w:r>
      <w:r>
        <w:rPr>
          <w:rFonts w:ascii="Arial" w:cs="Arial" w:eastAsia="Arial" w:hAnsi="Arial"/>
          <w:sz w:val="18"/>
          <w:szCs w:val="18"/>
          <w:color w:val="auto"/>
        </w:rPr>
        <w:t xml:space="preserve"> containing the U-variant SNP1 (mutant) and a plasmid with FLAG-tagged full-length HTT containing the C-variant SNP1 (wild-type). Knockdown of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and mHTT protein was determined by quantitative reverse transcription PCR (RT-qPCR) and Western blot analysis, respectively. All results were normalized to a non-specific stereorandom oligonucleotide as a control. As shown below, WVE-120101 potently reduced m</w:t>
      </w:r>
      <w:r>
        <w:rPr>
          <w:rFonts w:ascii="Arial" w:cs="Arial" w:eastAsia="Arial" w:hAnsi="Arial"/>
          <w:sz w:val="18"/>
          <w:szCs w:val="18"/>
          <w:i w:val="1"/>
          <w:iCs w:val="1"/>
          <w:color w:val="auto"/>
        </w:rPr>
        <w:t>HTT</w:t>
      </w:r>
      <w:r>
        <w:rPr>
          <w:rFonts w:ascii="Arial" w:cs="Arial" w:eastAsia="Arial" w:hAnsi="Arial"/>
          <w:sz w:val="18"/>
          <w:szCs w:val="18"/>
          <w:color w:val="auto"/>
        </w:rPr>
        <w:t xml:space="preserve"> mRNA (left panel) and mHTT protein (right panel) and exhibited significant selectivity for m</w:t>
      </w:r>
      <w:r>
        <w:rPr>
          <w:rFonts w:ascii="Arial" w:cs="Arial" w:eastAsia="Arial" w:hAnsi="Arial"/>
          <w:sz w:val="18"/>
          <w:szCs w:val="18"/>
          <w:i w:val="1"/>
          <w:iCs w:val="1"/>
          <w:color w:val="auto"/>
        </w:rPr>
        <w:t>HTT</w:t>
      </w:r>
      <w:r>
        <w:rPr>
          <w:rFonts w:ascii="Arial" w:cs="Arial" w:eastAsia="Arial" w:hAnsi="Arial"/>
          <w:sz w:val="18"/>
          <w:szCs w:val="18"/>
          <w:color w:val="auto"/>
        </w:rPr>
        <w:t xml:space="preserve"> at all doses tested. This study demonstrates the ability to knock down the m</w:t>
      </w:r>
      <w:r>
        <w:rPr>
          <w:rFonts w:ascii="Arial" w:cs="Arial" w:eastAsia="Arial" w:hAnsi="Arial"/>
          <w:sz w:val="18"/>
          <w:szCs w:val="18"/>
          <w:i w:val="1"/>
          <w:iCs w:val="1"/>
          <w:color w:val="auto"/>
        </w:rPr>
        <w:t>HTT</w:t>
      </w:r>
      <w:r>
        <w:rPr>
          <w:rFonts w:ascii="Arial" w:cs="Arial" w:eastAsia="Arial" w:hAnsi="Arial"/>
          <w:sz w:val="18"/>
          <w:szCs w:val="18"/>
          <w:color w:val="auto"/>
        </w:rPr>
        <w:t xml:space="preserve"> allele while leaving the wt</w:t>
      </w:r>
      <w:r>
        <w:rPr>
          <w:rFonts w:ascii="Arial" w:cs="Arial" w:eastAsia="Arial" w:hAnsi="Arial"/>
          <w:sz w:val="18"/>
          <w:szCs w:val="18"/>
          <w:i w:val="1"/>
          <w:iCs w:val="1"/>
          <w:color w:val="auto"/>
        </w:rPr>
        <w:t>HTT</w:t>
      </w:r>
      <w:r>
        <w:rPr>
          <w:rFonts w:ascii="Arial" w:cs="Arial" w:eastAsia="Arial" w:hAnsi="Arial"/>
          <w:sz w:val="18"/>
          <w:szCs w:val="18"/>
          <w:color w:val="auto"/>
        </w:rPr>
        <w:t xml:space="preserve"> (healthy) allele relatively unaffected.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129540</wp:posOffset>
            </wp:positionV>
            <wp:extent cx="4965700" cy="2341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657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Following these promising preclinical experiments, we investigated distribution characteristics of WVE-120101 in NHPs. Based on our preclinical studies, we believe stereochemistry enables improved protein binding and distribution. The figure below demonstrates meaningful distribution of WVE-120101 in an NHP study. In this preclinical study, we employed an </w:t>
      </w:r>
      <w:r>
        <w:rPr>
          <w:rFonts w:ascii="Arial" w:cs="Arial" w:eastAsia="Arial" w:hAnsi="Arial"/>
          <w:sz w:val="17"/>
          <w:szCs w:val="17"/>
          <w:i w:val="1"/>
          <w:iCs w:val="1"/>
          <w:color w:val="auto"/>
        </w:rPr>
        <w:t>in situ</w:t>
      </w:r>
      <w:r>
        <w:rPr>
          <w:rFonts w:ascii="Arial" w:cs="Arial" w:eastAsia="Arial" w:hAnsi="Arial"/>
          <w:sz w:val="17"/>
          <w:szCs w:val="17"/>
          <w:color w:val="auto"/>
        </w:rPr>
        <w:t xml:space="preserve"> hybridization (“ISH”) ViewRNA assay. The ViewRNA assay provides us with the ability to stain oligonucleotides, allowing increased visibility and understanding of the distribution of WVE-120101 in the brain. As shown below, we found perinuclear and nuclear distribution of WVE-120101 (red) in NHP gray matter structures following intrathecal administration. The NHP ViewRNA assay demonstrated broad tissue distribution, including in the cortex and striatum. These findings are encouraging as we believe that distribution and penetration into several areas of the brain will be critical for the successful treatment of 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190500</wp:posOffset>
            </wp:positionV>
            <wp:extent cx="5702935" cy="1526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2935" cy="1526540"/>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Red dots are WVE-120101 oligonucleotide.</w:t>
      </w:r>
    </w:p>
    <w:p>
      <w:pPr>
        <w:ind w:left="40"/>
        <w:spacing w:after="0"/>
        <w:rPr>
          <w:sz w:val="20"/>
          <w:szCs w:val="20"/>
          <w:color w:val="auto"/>
        </w:rPr>
      </w:pPr>
      <w:r>
        <w:rPr>
          <w:rFonts w:ascii="Arial" w:cs="Arial" w:eastAsia="Arial" w:hAnsi="Arial"/>
          <w:sz w:val="11"/>
          <w:szCs w:val="11"/>
          <w:color w:val="auto"/>
        </w:rPr>
        <w:t>Arrow points to nuclear and perinuclear distribution of WVE- 120101 in cingulate cortex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Red dots are WVE-120102 oligonucleotide.</w:t>
      </w:r>
    </w:p>
    <w:p>
      <w:pPr>
        <w:spacing w:after="0"/>
        <w:rPr>
          <w:sz w:val="20"/>
          <w:szCs w:val="20"/>
          <w:color w:val="auto"/>
        </w:rPr>
      </w:pPr>
      <w:r>
        <w:rPr>
          <w:rFonts w:ascii="Arial" w:cs="Arial" w:eastAsia="Arial" w:hAnsi="Arial"/>
          <w:sz w:val="11"/>
          <w:szCs w:val="11"/>
          <w:color w:val="auto"/>
        </w:rPr>
        <w:t>Arrow points to nuclear and perinuclear distribution of WVE-120102 in caudate nucleus</w:t>
      </w:r>
    </w:p>
    <w:p>
      <w:pPr>
        <w:spacing w:after="0" w:line="174" w:lineRule="exact"/>
        <w:rPr>
          <w:sz w:val="20"/>
          <w:szCs w:val="20"/>
          <w:color w:val="auto"/>
        </w:rPr>
      </w:pPr>
    </w:p>
    <w:p>
      <w:pPr>
        <w:sectPr>
          <w:pgSz w:w="11900" w:h="16838" w:orient="portrait"/>
          <w:cols w:equalWidth="0" w:num="2">
            <w:col w:w="5100" w:space="720"/>
            <w:col w:w="5600"/>
          </w:cols>
          <w:pgMar w:left="240" w:top="166" w:right="239" w:bottom="1440" w:gutter="0" w:footer="0" w:header="0"/>
          <w:type w:val="continuous"/>
        </w:sectPr>
      </w:pPr>
    </w:p>
    <w:p>
      <w:pPr>
        <w:jc w:val="center"/>
        <w:ind w:right="60"/>
        <w:spacing w:after="0"/>
        <w:rPr>
          <w:sz w:val="20"/>
          <w:szCs w:val="20"/>
          <w:color w:val="auto"/>
        </w:rPr>
      </w:pPr>
      <w:r>
        <w:rPr>
          <w:rFonts w:ascii="Arial" w:cs="Arial" w:eastAsia="Arial" w:hAnsi="Arial"/>
          <w:sz w:val="16"/>
          <w:szCs w:val="16"/>
          <w:color w:val="auto"/>
        </w:rPr>
        <w:t>Preclinical studies on WVE-120102 showed similar results with regard to RNase H-mediated activity, m</w:t>
      </w:r>
      <w:r>
        <w:rPr>
          <w:rFonts w:ascii="Arial" w:cs="Arial" w:eastAsia="Arial" w:hAnsi="Arial"/>
          <w:sz w:val="16"/>
          <w:szCs w:val="16"/>
          <w:i w:val="1"/>
          <w:iCs w:val="1"/>
          <w:color w:val="auto"/>
        </w:rPr>
        <w:t>HTT</w:t>
      </w:r>
      <w:r>
        <w:rPr>
          <w:rFonts w:ascii="Arial" w:cs="Arial" w:eastAsia="Arial" w:hAnsi="Arial"/>
          <w:sz w:val="16"/>
          <w:szCs w:val="16"/>
          <w:color w:val="auto"/>
        </w:rPr>
        <w:t xml:space="preserve"> allele specificity, and distribution in NHP brain.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Amyotrophic Lateral Sclerosis and Frontotemporal Dementia</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 hexanucleotide G</w:t>
      </w:r>
      <w:r>
        <w:rPr>
          <w:rFonts w:ascii="Arial" w:cs="Arial" w:eastAsia="Arial" w:hAnsi="Arial"/>
          <w:sz w:val="15"/>
          <w:szCs w:val="15"/>
          <w:color w:val="auto"/>
        </w:rPr>
        <w:t>4</w:t>
      </w:r>
      <w:r>
        <w:rPr>
          <w:rFonts w:ascii="Arial" w:cs="Arial" w:eastAsia="Arial" w:hAnsi="Arial"/>
          <w:sz w:val="18"/>
          <w:szCs w:val="18"/>
          <w:color w:val="auto"/>
        </w:rPr>
        <w:t>C</w:t>
      </w:r>
      <w:r>
        <w:rPr>
          <w:rFonts w:ascii="Arial" w:cs="Arial" w:eastAsia="Arial" w:hAnsi="Arial"/>
          <w:sz w:val="15"/>
          <w:szCs w:val="15"/>
          <w:color w:val="auto"/>
        </w:rPr>
        <w:t>2</w:t>
      </w:r>
      <w:r>
        <w:rPr>
          <w:rFonts w:ascii="Arial" w:cs="Arial" w:eastAsia="Arial" w:hAnsi="Arial"/>
          <w:sz w:val="18"/>
          <w:szCs w:val="18"/>
          <w:color w:val="auto"/>
        </w:rPr>
        <w:t xml:space="preserve"> expansion found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is the most common cause of familial ALS and FTD and is a strong genetic risk factor for non-inherited (sporadic) forms of ALS and FTD. Some patients exhibit characteristics of both ALS and FTD, indicating that these diseases form part of a continuum of neurological disease with some overlap in symptoms between them.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ALS Background and Market Opportunity</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ALS is a neurodegenerative disease characterized by the progression and degeneration of motor neurons in the brain and spinal cord. Diagnosis may take up to 12 months and is made clinically by assessing the signs of upper and lower motor neuron degeneration in the same region of the body. Patients initially present with limb-onset disease (approximately 70% of patients), bulbar-onset disease (approximately 25% of patients) or with initial trunk or respiratory involvement (approximately 5% of patients). Age of onset is generally in the mid-to-late 50’s, and median survival is three years; however, up to 24% of patients survive for five to ten years. Survival in patients with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ALS may be shorter than in patients with sporadic ALS.</w:t>
      </w:r>
    </w:p>
    <w:p>
      <w:pPr>
        <w:spacing w:after="0" w:line="158"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In the United States and Europe combined, there are approximately three to five ALS patients per 100,000 people. This translates to approximately 13,000 diagnosed patients in the United States, although the total prevalence may be around 20,000. There are one or two newly diagnosed cases of ALS per year, per 100,000 people in the United States and Europe combined, resulting in approximately 5,000 newly diagnosed patients in the United States each year.</w:t>
      </w:r>
    </w:p>
    <w:p>
      <w:pPr>
        <w:ind w:right="220"/>
        <w:spacing w:after="0" w:line="323" w:lineRule="auto"/>
        <w:rPr>
          <w:sz w:val="20"/>
          <w:szCs w:val="20"/>
          <w:color w:val="auto"/>
        </w:rPr>
      </w:pPr>
      <w:r>
        <w:rPr>
          <w:rFonts w:ascii="Arial" w:cs="Arial" w:eastAsia="Arial" w:hAnsi="Arial"/>
          <w:sz w:val="16"/>
          <w:szCs w:val="16"/>
          <w:color w:val="auto"/>
        </w:rPr>
        <w:t xml:space="preserve">While the majority of ALS cases are sporadic, approximately 10% of cases are found to be familial in nature. The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gene mutation is currently the most common demonstrated mutation related to ALS and is present in approximately 40% of familial ALS and 8-10% of sporadic ALS patients.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ALS Current Treatments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is significant unmet need for the treatment of ALS. Two medicines are currently approved in the United States for the treatment of ALS. Rilutek (riluzole), an inhibitor of glutamate release, was approved in 1995 for the treatment of patients with ALS. It was demonstrated to extend survival by three to six months. Radicava (edaravone) was approved in 2017 for the treatment of ALS. Administration of edaravone resulted in a significantly smaller decline in the ALS Functional Ration Scale-Revised (ALSFRS-R) through six months of treatment.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FTD Background and Market Opportunity</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FTD is a neurodegenerative disorder of the frontal and anterior temporal lobes of the brain. It is characterized by changes in personality, cognition (e.g., language impairment and executive dysfunction), and behavior (e.g., disinhibition, apathy and compulsivity). Diagnostic criteria categorize FTD into either the behavioral variant (approximately 60% of patients) or speech/language variant (approximately 40% of patients) based on the primary symptom observed at presentation; however, FTD results in dementia in all patients. The majority of FTD associated with the G</w:t>
      </w:r>
      <w:r>
        <w:rPr>
          <w:rFonts w:ascii="Arial" w:cs="Arial" w:eastAsia="Arial" w:hAnsi="Arial"/>
          <w:sz w:val="14"/>
          <w:szCs w:val="14"/>
          <w:color w:val="auto"/>
        </w:rPr>
        <w:t>4</w:t>
      </w:r>
      <w:r>
        <w:rPr>
          <w:rFonts w:ascii="Arial" w:cs="Arial" w:eastAsia="Arial" w:hAnsi="Arial"/>
          <w:sz w:val="17"/>
          <w:szCs w:val="17"/>
          <w:color w:val="auto"/>
        </w:rPr>
        <w:t>C</w:t>
      </w:r>
      <w:r>
        <w:rPr>
          <w:rFonts w:ascii="Arial" w:cs="Arial" w:eastAsia="Arial" w:hAnsi="Arial"/>
          <w:sz w:val="14"/>
          <w:szCs w:val="14"/>
          <w:color w:val="auto"/>
        </w:rPr>
        <w:t>2</w:t>
      </w:r>
      <w:r>
        <w:rPr>
          <w:rFonts w:ascii="Arial" w:cs="Arial" w:eastAsia="Arial" w:hAnsi="Arial"/>
          <w:sz w:val="17"/>
          <w:szCs w:val="17"/>
          <w:color w:val="auto"/>
        </w:rPr>
        <w:t xml:space="preserve"> expansion in the </w:t>
      </w:r>
      <w:r>
        <w:rPr>
          <w:rFonts w:ascii="Arial" w:cs="Arial" w:eastAsia="Arial" w:hAnsi="Arial"/>
          <w:sz w:val="17"/>
          <w:szCs w:val="17"/>
          <w:i w:val="1"/>
          <w:iCs w:val="1"/>
          <w:color w:val="auto"/>
        </w:rPr>
        <w:t>C9ORF72</w:t>
      </w:r>
      <w:r>
        <w:rPr>
          <w:rFonts w:ascii="Arial" w:cs="Arial" w:eastAsia="Arial" w:hAnsi="Arial"/>
          <w:sz w:val="17"/>
          <w:szCs w:val="17"/>
          <w:color w:val="auto"/>
        </w:rPr>
        <w:t xml:space="preserve"> gene is categorized as the behavioral variant. FTD frequently has an onset in mid-life, and death typically occurs within three to 14 years of onset. FTD is the second most common form of early-onset dementia in people under the age of 65, after AD.</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In FTD,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mutations appear in approximately 38% of familial cases and approximately 6% of sporadic cases. FTD affects approximately 55,000 people in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FTD Current Treatments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are currently no disease-modifying therapies approved for the treatment of FTD. Treatment to date has involved use of medications for symptomatic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amyotrophic lateral sclerosis (“ALS”) and frontotemporal dementia (“FTD”), we are advancing WVE-3972-01, which preferentially targets the transcript containing the GGGGCC (“G4C2”) expansion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WVE-3972-01 is designed to minimize the impact on normal C9ORF72 protein in patients, thereby reducing potential on-target risk. The G4C2 expansion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is the most common cause of familial ALS and FTD and is a strong genetic risk factor for non-inherited (sporadic) forms of ALS and FTD. Subject to our submission of clinical trial applications and approval to proceed, we would expect to deliver topline clinical data for WVE-3972-01 in the second half of 2020.</w:t>
      </w:r>
    </w:p>
    <w:p>
      <w:pPr>
        <w:spacing w:after="0" w:line="8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Expansion of the G</w:t>
      </w:r>
      <w:r>
        <w:rPr>
          <w:rFonts w:ascii="Arial" w:cs="Arial" w:eastAsia="Arial" w:hAnsi="Arial"/>
          <w:sz w:val="15"/>
          <w:szCs w:val="15"/>
          <w:color w:val="auto"/>
        </w:rPr>
        <w:t>4</w:t>
      </w:r>
      <w:r>
        <w:rPr>
          <w:rFonts w:ascii="Arial" w:cs="Arial" w:eastAsia="Arial" w:hAnsi="Arial"/>
          <w:sz w:val="18"/>
          <w:szCs w:val="18"/>
          <w:color w:val="auto"/>
        </w:rPr>
        <w:t>C</w:t>
      </w:r>
      <w:r>
        <w:rPr>
          <w:rFonts w:ascii="Arial" w:cs="Arial" w:eastAsia="Arial" w:hAnsi="Arial"/>
          <w:sz w:val="15"/>
          <w:szCs w:val="15"/>
          <w:color w:val="auto"/>
        </w:rPr>
        <w:t>2</w:t>
      </w:r>
      <w:r>
        <w:rPr>
          <w:rFonts w:ascii="Arial" w:cs="Arial" w:eastAsia="Arial" w:hAnsi="Arial"/>
          <w:sz w:val="18"/>
          <w:szCs w:val="18"/>
          <w:color w:val="auto"/>
        </w:rPr>
        <w:t xml:space="preserve"> repeat alters the normal expression of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and causes the production of repeat-containing RNAs. These RNAs accumulate in cellular nuclei in the form of RNA foci and can be translated into dipeptide repeat (“DPR”) proteins. Neuronal degeneration associated with the expression of the repeat expansion is hypothesized to arise either from a toxic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right="420"/>
        <w:spacing w:after="0" w:line="277" w:lineRule="auto"/>
        <w:rPr>
          <w:sz w:val="20"/>
          <w:szCs w:val="20"/>
          <w:color w:val="auto"/>
        </w:rPr>
      </w:pPr>
      <w:r>
        <w:rPr>
          <w:rFonts w:ascii="Arial" w:cs="Arial" w:eastAsia="Arial" w:hAnsi="Arial"/>
          <w:sz w:val="18"/>
          <w:szCs w:val="18"/>
          <w:color w:val="auto"/>
        </w:rPr>
        <w:t>loss-of-function mechanism due to a reduction in C9ORF72 protein or a toxic RNA gain-of-function mechanism through the accumulation of RNA foci and/or DPRs in the brain and spinal cord.</w:t>
      </w:r>
    </w:p>
    <w:p>
      <w:pPr>
        <w:spacing w:after="0" w:line="170" w:lineRule="exact"/>
        <w:rPr>
          <w:sz w:val="20"/>
          <w:szCs w:val="20"/>
          <w:color w:val="auto"/>
        </w:rPr>
      </w:pPr>
    </w:p>
    <w:p>
      <w:pPr>
        <w:ind w:right="40"/>
        <w:spacing w:after="0" w:line="223" w:lineRule="exact"/>
        <w:rPr>
          <w:sz w:val="20"/>
          <w:szCs w:val="20"/>
          <w:color w:val="auto"/>
        </w:rPr>
      </w:pPr>
      <w:r>
        <w:rPr>
          <w:rFonts w:ascii="Arial" w:cs="Arial" w:eastAsia="Arial" w:hAnsi="Arial"/>
          <w:sz w:val="18"/>
          <w:szCs w:val="18"/>
          <w:color w:val="auto"/>
        </w:rPr>
        <w:t>By targeting the mRNA transcripts that contain the G</w:t>
      </w:r>
      <w:r>
        <w:rPr>
          <w:rFonts w:ascii="Arial" w:cs="Arial" w:eastAsia="Arial" w:hAnsi="Arial"/>
          <w:sz w:val="15"/>
          <w:szCs w:val="15"/>
          <w:color w:val="auto"/>
        </w:rPr>
        <w:t>4</w:t>
      </w:r>
      <w:r>
        <w:rPr>
          <w:rFonts w:ascii="Arial" w:cs="Arial" w:eastAsia="Arial" w:hAnsi="Arial"/>
          <w:sz w:val="18"/>
          <w:szCs w:val="18"/>
          <w:color w:val="auto"/>
        </w:rPr>
        <w:t>C</w:t>
      </w:r>
      <w:r>
        <w:rPr>
          <w:rFonts w:ascii="Arial" w:cs="Arial" w:eastAsia="Arial" w:hAnsi="Arial"/>
          <w:sz w:val="15"/>
          <w:szCs w:val="15"/>
          <w:color w:val="auto"/>
        </w:rPr>
        <w:t>2</w:t>
      </w:r>
      <w:r>
        <w:rPr>
          <w:rFonts w:ascii="Arial" w:cs="Arial" w:eastAsia="Arial" w:hAnsi="Arial"/>
          <w:sz w:val="18"/>
          <w:szCs w:val="18"/>
          <w:color w:val="auto"/>
        </w:rPr>
        <w:t xml:space="preserve"> expansion found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WVE</w:t>
      </w:r>
      <w:r>
        <w:rPr>
          <w:rFonts w:ascii="MS PGothic" w:cs="MS PGothic" w:eastAsia="MS PGothic" w:hAnsi="MS PGothic"/>
          <w:sz w:val="18"/>
          <w:szCs w:val="18"/>
          <w:color w:val="auto"/>
        </w:rPr>
        <w:t>‑</w:t>
      </w:r>
      <w:r>
        <w:rPr>
          <w:rFonts w:ascii="Arial" w:cs="Arial" w:eastAsia="Arial" w:hAnsi="Arial"/>
          <w:sz w:val="18"/>
          <w:szCs w:val="18"/>
          <w:color w:val="auto"/>
        </w:rPr>
        <w:t>3972</w:t>
      </w:r>
      <w:r>
        <w:rPr>
          <w:rFonts w:ascii="MS PGothic" w:cs="MS PGothic" w:eastAsia="MS PGothic" w:hAnsi="MS PGothic"/>
          <w:sz w:val="18"/>
          <w:szCs w:val="18"/>
          <w:color w:val="auto"/>
        </w:rPr>
        <w:t>‑</w:t>
      </w:r>
      <w:r>
        <w:rPr>
          <w:rFonts w:ascii="Arial" w:cs="Arial" w:eastAsia="Arial" w:hAnsi="Arial"/>
          <w:sz w:val="18"/>
          <w:szCs w:val="18"/>
          <w:color w:val="auto"/>
        </w:rPr>
        <w:t>01 has the potential to reduce both RNA-based and protein-based toxicity, thereby impacting the disease course and slowing the progression of ALS or FTD.</w:t>
      </w:r>
    </w:p>
    <w:p>
      <w:pPr>
        <w:spacing w:after="0" w:line="23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WVE-3972-01 preferentially reduces G</w:t>
      </w:r>
      <w:r>
        <w:rPr>
          <w:rFonts w:ascii="Arial" w:cs="Arial" w:eastAsia="Arial" w:hAnsi="Arial"/>
          <w:sz w:val="13"/>
          <w:szCs w:val="13"/>
          <w:color w:val="auto"/>
        </w:rPr>
        <w:t>4</w:t>
      </w:r>
      <w:r>
        <w:rPr>
          <w:rFonts w:ascii="Arial" w:cs="Arial" w:eastAsia="Arial" w:hAnsi="Arial"/>
          <w:sz w:val="16"/>
          <w:szCs w:val="16"/>
          <w:color w:val="auto"/>
        </w:rPr>
        <w:t>C</w:t>
      </w:r>
      <w:r>
        <w:rPr>
          <w:rFonts w:ascii="Arial" w:cs="Arial" w:eastAsia="Arial" w:hAnsi="Arial"/>
          <w:sz w:val="13"/>
          <w:szCs w:val="13"/>
          <w:color w:val="auto"/>
        </w:rPr>
        <w:t>2</w:t>
      </w:r>
      <w:r>
        <w:rPr>
          <w:rFonts w:ascii="Arial" w:cs="Arial" w:eastAsia="Arial" w:hAnsi="Arial"/>
          <w:sz w:val="16"/>
          <w:szCs w:val="16"/>
          <w:color w:val="auto"/>
        </w:rPr>
        <w:t xml:space="preserve">-repeat containing transcript levels in several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models. For example, as shown below, administration of WVE-3972-01 to C9ORF72-ALS patient-derived induced pluripotent stem cell (iPSC) neurons under gymnotic conditions showed preferential knock down of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repeat-containing transcripts relative to total transcripts. A clear dose-dependent decrease in repeat-containing transcripts was observed, with a calculated IC</w:t>
      </w:r>
      <w:r>
        <w:rPr>
          <w:rFonts w:ascii="Arial" w:cs="Arial" w:eastAsia="Arial" w:hAnsi="Arial"/>
          <w:sz w:val="13"/>
          <w:szCs w:val="13"/>
          <w:color w:val="auto"/>
        </w:rPr>
        <w:t>50</w:t>
      </w:r>
      <w:r>
        <w:rPr>
          <w:rFonts w:ascii="Arial" w:cs="Arial" w:eastAsia="Arial" w:hAnsi="Arial"/>
          <w:sz w:val="16"/>
          <w:szCs w:val="16"/>
          <w:color w:val="auto"/>
        </w:rPr>
        <w:t xml:space="preserve"> of 0.4 μM. In contrast, total transcripts were only slightly reduced and only at the highest doses tested, with a maximal reduction of 42% at 10 μM. Notably, approximately 20% of the reduction in </w:t>
      </w:r>
      <w:r>
        <w:rPr>
          <w:rFonts w:ascii="Arial" w:cs="Arial" w:eastAsia="Arial" w:hAnsi="Arial"/>
          <w:sz w:val="16"/>
          <w:szCs w:val="16"/>
          <w:i w:val="1"/>
          <w:iCs w:val="1"/>
          <w:color w:val="auto"/>
        </w:rPr>
        <w:t>C9ORF72</w:t>
      </w:r>
      <w:r>
        <w:rPr>
          <w:rFonts w:ascii="Arial" w:cs="Arial" w:eastAsia="Arial" w:hAnsi="Arial"/>
          <w:sz w:val="16"/>
          <w:szCs w:val="16"/>
          <w:color w:val="auto"/>
        </w:rPr>
        <w:t xml:space="preserve"> total transcripts can be attributed to the reduction in the repeat-containing transcripts.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109220</wp:posOffset>
            </wp:positionV>
            <wp:extent cx="4776470" cy="2298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7647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xml:space="preserve">Importantly, WVE-3972-01 led to preferential knockdown of repeat-containing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transcripts in a mouse model. In the transgenic model, mice express the human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from a bacterial artificial chromosome (“BAC”). In these mice, WVE-3972-01 engaged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across cell types in regions of the CNS critically implicated in ALS. The figure below shows that our stereopure oligonucleotides (stereopure) led to preferential reduction of repeat-containing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transcripts (right panel) in the spinal cord compared with all transcripts (left panel) in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transgenic mice. The stereorandom oligonucleotide (random) was neither selective for the repeat-containing transcripts nor as potent as the stereopure oligonucleotides against repeat-containing transcripts.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131445</wp:posOffset>
            </wp:positionV>
            <wp:extent cx="5917565" cy="26244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1756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8" w:name="page29"/>
    <w:bookmarkEnd w:id="28"/>
    <w:p>
      <w:pPr>
        <w:spacing w:after="0" w:line="257" w:lineRule="auto"/>
        <w:rPr>
          <w:sz w:val="20"/>
          <w:szCs w:val="20"/>
          <w:color w:val="auto"/>
        </w:rPr>
      </w:pPr>
      <w:r>
        <w:rPr>
          <w:rFonts w:ascii="Arial" w:cs="Arial" w:eastAsia="Arial" w:hAnsi="Arial"/>
          <w:sz w:val="18"/>
          <w:szCs w:val="18"/>
          <w:color w:val="auto"/>
        </w:rPr>
        <w:t>In addition, in animal models, WVE-3972-01 produced substantial reductions in DPR proteins and RNA foci, which remained low through eight weeks, the last observed time point (shown in the figures below). DPR proteins were reduced 76% and 87% in the spinal cord and the cortex, respectively. RNA foci were reduced by 70% in the spinal cord. These data have been replicated in blinded preclinical studies in an independent laboratory through our collaboration with Dr. Robert H. Brown, Jr., the Leo P. and Theresa M. LaChance Chair in Medical Research and Chair of the Department of Neurology at the University of Massachusetts Medical School (“UMMS”), Worcester,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128905</wp:posOffset>
            </wp:positionV>
            <wp:extent cx="6165850" cy="6071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65850" cy="6071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Spinocerebellar ataxia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Market Opportunity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SCA3 is a rare, hereditary (autosomal dominant) progressive neurodegenerative disorder that results in a lack of muscle control and coordination of the upper and lower extremities. Signs and symptoms of SCA3 may begin between childhood and late adulthood, and they vary greatly. Symptoms may include progressive clumsiness in the arms and legs, spasticity, difficulty with gait, and impaired speaking, swallowing and eye movements. Symptoms of the disease worsen over time, eventually leading to paralysis. Some patients with SCA3 develop dystonia or symptoms similar to those of PD, including twitching of the face or tongue, and nerve damage (neuropathy). Life expectancy ranges from the mid-30s in the more severe forms, to a nearly normal life expectancy for those with milder forms of the disease.</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SCA3 is caused by a CAG-repeat expansion in the </w:t>
      </w:r>
      <w:r>
        <w:rPr>
          <w:rFonts w:ascii="Arial" w:cs="Arial" w:eastAsia="Arial" w:hAnsi="Arial"/>
          <w:sz w:val="18"/>
          <w:szCs w:val="18"/>
          <w:i w:val="1"/>
          <w:iCs w:val="1"/>
          <w:color w:val="auto"/>
        </w:rPr>
        <w:t>ATXN3</w:t>
      </w:r>
      <w:r>
        <w:rPr>
          <w:rFonts w:ascii="Arial" w:cs="Arial" w:eastAsia="Arial" w:hAnsi="Arial"/>
          <w:sz w:val="18"/>
          <w:szCs w:val="18"/>
          <w:color w:val="auto"/>
        </w:rPr>
        <w:t xml:space="preserve"> gene, resulting in an abnormally long polyglutamine stretch in the encoded ataxin-3 protein. Mutant ataxin-3 protein is thought to cause widespread neuronal loss in the brain and spinal cord, likely through a toxic gain-of-function mechanism. SCA3 is the most common dominantly inherited form of ataxia. The prevalence of SCA3 is believed to be one to two cases in 100,000 people with significant geographic and ethnic variations.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Treatments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currently no disease-modifying therapies approved for treatment of SCA3. Treatment to date has involved the use of medications for symptomatic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SCA3, we are advancing a lead candidate targeting </w:t>
      </w:r>
      <w:r>
        <w:rPr>
          <w:rFonts w:ascii="Arial" w:cs="Arial" w:eastAsia="Arial" w:hAnsi="Arial"/>
          <w:sz w:val="18"/>
          <w:szCs w:val="18"/>
          <w:i w:val="1"/>
          <w:iCs w:val="1"/>
          <w:color w:val="auto"/>
        </w:rPr>
        <w:t>ATXN3</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We are designing and advancing stereopure oligonucleotides for the potential treatment of rare, inherited eye diseases. Our research is assessing four inherited retinal diseases, which typically begin in childhood or adolescence and commonly lead to progressive vision loss: retinitis pigmentosa due to a P23H mutation in the </w:t>
      </w:r>
      <w:r>
        <w:rPr>
          <w:rFonts w:ascii="Arial" w:cs="Arial" w:eastAsia="Arial" w:hAnsi="Arial"/>
          <w:sz w:val="17"/>
          <w:szCs w:val="17"/>
          <w:i w:val="1"/>
          <w:iCs w:val="1"/>
          <w:color w:val="auto"/>
        </w:rPr>
        <w:t>RHO</w:t>
      </w:r>
      <w:r>
        <w:rPr>
          <w:rFonts w:ascii="Arial" w:cs="Arial" w:eastAsia="Arial" w:hAnsi="Arial"/>
          <w:sz w:val="17"/>
          <w:szCs w:val="17"/>
          <w:color w:val="auto"/>
        </w:rPr>
        <w:t xml:space="preserve"> gene, Stargardt disease, Usher syndrome type 2A and Leber congenital amaurosis 10. Our preclinical data demonstrate that a single intravitreal injection of stereopure oligonucleotide in the eye of non-human primates resulted in greater than 95% knockdown of a target RNA in the retina for at least four months. Based on these data, we are working to design candidates that could achieve a therapeutic effect with only two doses per year. We expect to announce our first ophthalmology candidate in the second half of 2019.</w:t>
      </w:r>
    </w:p>
    <w:p>
      <w:pPr>
        <w:spacing w:after="0" w:line="17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believe PRISM affords us a unique opportunity to address these challenging inherited retinal diseases. Oligonucleotides developed based on PRISM demonstrate superior potency and durability as compared to stereorandom oligonucleotides and are optimized to minimize immune activity and can yield selective activity against closely related sequences.</w:t>
      </w:r>
    </w:p>
    <w:p>
      <w:pPr>
        <w:spacing w:after="0" w:line="18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We have demonstrated with preclinical, proof of concept studies with oligonucleotides targeting </w:t>
      </w:r>
      <w:r>
        <w:rPr>
          <w:rFonts w:ascii="Arial" w:cs="Arial" w:eastAsia="Arial" w:hAnsi="Arial"/>
          <w:sz w:val="17"/>
          <w:szCs w:val="17"/>
          <w:i w:val="1"/>
          <w:iCs w:val="1"/>
          <w:color w:val="auto"/>
        </w:rPr>
        <w:t>MALAT1</w:t>
      </w:r>
      <w:r>
        <w:rPr>
          <w:rFonts w:ascii="Arial" w:cs="Arial" w:eastAsia="Arial" w:hAnsi="Arial"/>
          <w:sz w:val="17"/>
          <w:szCs w:val="17"/>
          <w:color w:val="auto"/>
        </w:rPr>
        <w:t xml:space="preserve"> that our stereopure compounds exhibit these desirable properties specifically in the eye. These studies (see below) give us confidence that we can develop therapeutic candidates with the potential to be potently and durably active, which would allow for less frequent administration via intravitreal (“IVT”) injection and would give us an advantage over molecules delivered via subretinal injection or that are less potent and require frequent IVT injection.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research is initially assessing four inherited retinal diseases:</w:t>
      </w:r>
    </w:p>
    <w:p>
      <w:pPr>
        <w:spacing w:after="0" w:line="113" w:lineRule="exact"/>
        <w:rPr>
          <w:sz w:val="20"/>
          <w:szCs w:val="20"/>
          <w:color w:val="auto"/>
        </w:rPr>
      </w:pPr>
    </w:p>
    <w:p>
      <w:pPr>
        <w:jc w:val="both"/>
        <w:ind w:left="1040" w:right="220" w:hanging="519"/>
        <w:spacing w:after="0" w:line="314"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Retinitis pigmentosa due to a P23H mutation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RHO</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the way the retina responds to light. Patients experience initial symptoms in</w:t>
      </w:r>
      <w:r>
        <w:rPr>
          <w:rFonts w:ascii="Arial" w:cs="Arial" w:eastAsia="Arial" w:hAnsi="Arial"/>
          <w:sz w:val="16"/>
          <w:szCs w:val="16"/>
          <w:b w:val="1"/>
          <w:bCs w:val="1"/>
          <w:color w:val="auto"/>
        </w:rPr>
        <w:t xml:space="preserve"> </w:t>
      </w:r>
      <w:r>
        <w:rPr>
          <w:rFonts w:ascii="Arial" w:cs="Arial" w:eastAsia="Arial" w:hAnsi="Arial"/>
          <w:sz w:val="16"/>
          <w:szCs w:val="16"/>
          <w:color w:val="auto"/>
        </w:rPr>
        <w:t>early to late childhood, which include problems with night vision, with blind spots developing in the peripheral vision over time. These blind spots converge to produce tunnel vision as the disease continues to progress, causing many patients to become legally blind in adulthood.</w:t>
      </w:r>
    </w:p>
    <w:p>
      <w:pPr>
        <w:spacing w:after="0" w:line="34" w:lineRule="exact"/>
        <w:rPr>
          <w:rFonts w:ascii="Arial" w:cs="Arial" w:eastAsia="Arial" w:hAnsi="Arial"/>
          <w:sz w:val="16"/>
          <w:szCs w:val="16"/>
          <w:color w:val="auto"/>
        </w:rPr>
      </w:pPr>
    </w:p>
    <w:p>
      <w:pPr>
        <w:ind w:left="1040" w:right="400" w:hanging="519"/>
        <w:spacing w:after="0" w:line="347"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Usher syndrome 2A </w:t>
      </w:r>
      <w:r>
        <w:rPr>
          <w:rFonts w:ascii="Arial" w:cs="Arial" w:eastAsia="Arial" w:hAnsi="Arial"/>
          <w:sz w:val="16"/>
          <w:szCs w:val="16"/>
          <w:color w:val="auto"/>
        </w:rPr>
        <w:t>is caused by mutation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USH2A</w:t>
      </w:r>
      <w:r>
        <w:rPr>
          <w:rFonts w:ascii="Arial" w:cs="Arial" w:eastAsia="Arial" w:hAnsi="Arial"/>
          <w:sz w:val="16"/>
          <w:szCs w:val="16"/>
          <w:b w:val="1"/>
          <w:bCs w:val="1"/>
          <w:color w:val="auto"/>
        </w:rPr>
        <w:t xml:space="preserve"> </w:t>
      </w:r>
      <w:r>
        <w:rPr>
          <w:rFonts w:ascii="Arial" w:cs="Arial" w:eastAsia="Arial" w:hAnsi="Arial"/>
          <w:sz w:val="16"/>
          <w:szCs w:val="16"/>
          <w:color w:val="auto"/>
        </w:rPr>
        <w:t>gene. Patients experience hearing loss, starting at birth, followed by progressive</w:t>
      </w:r>
      <w:r>
        <w:rPr>
          <w:rFonts w:ascii="Arial" w:cs="Arial" w:eastAsia="Arial" w:hAnsi="Arial"/>
          <w:sz w:val="16"/>
          <w:szCs w:val="16"/>
          <w:b w:val="1"/>
          <w:bCs w:val="1"/>
          <w:color w:val="auto"/>
        </w:rPr>
        <w:t xml:space="preserve"> </w:t>
      </w:r>
      <w:r>
        <w:rPr>
          <w:rFonts w:ascii="Arial" w:cs="Arial" w:eastAsia="Arial" w:hAnsi="Arial"/>
          <w:sz w:val="16"/>
          <w:szCs w:val="16"/>
          <w:color w:val="auto"/>
        </w:rPr>
        <w:t>vision loss that begins in adolescence or adulthood. Night vision problems and peripheral blind spots develop as the disease progresses.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left="1040" w:right="120" w:hanging="519"/>
        <w:spacing w:after="0" w:line="289"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Stargardt disease </w:t>
      </w:r>
      <w:r>
        <w:rPr>
          <w:rFonts w:ascii="Arial" w:cs="Arial" w:eastAsia="Arial" w:hAnsi="Arial"/>
          <w:sz w:val="17"/>
          <w:szCs w:val="17"/>
          <w:color w:val="auto"/>
        </w:rPr>
        <w:t>results from a mutation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ABCA4</w:t>
      </w:r>
      <w:r>
        <w:rPr>
          <w:rFonts w:ascii="Arial" w:cs="Arial" w:eastAsia="Arial" w:hAnsi="Arial"/>
          <w:sz w:val="17"/>
          <w:szCs w:val="17"/>
          <w:b w:val="1"/>
          <w:bCs w:val="1"/>
          <w:color w:val="auto"/>
        </w:rPr>
        <w:t xml:space="preserve"> </w:t>
      </w:r>
      <w:r>
        <w:rPr>
          <w:rFonts w:ascii="Arial" w:cs="Arial" w:eastAsia="Arial" w:hAnsi="Arial"/>
          <w:sz w:val="17"/>
          <w:szCs w:val="17"/>
          <w:color w:val="auto"/>
        </w:rPr>
        <w:t>gene and is characterized by progressive build-up of a fatty yellow pigment called</w:t>
      </w:r>
      <w:r>
        <w:rPr>
          <w:rFonts w:ascii="Arial" w:cs="Arial" w:eastAsia="Arial" w:hAnsi="Arial"/>
          <w:sz w:val="17"/>
          <w:szCs w:val="17"/>
          <w:b w:val="1"/>
          <w:bCs w:val="1"/>
          <w:color w:val="auto"/>
        </w:rPr>
        <w:t xml:space="preserve"> </w:t>
      </w:r>
      <w:r>
        <w:rPr>
          <w:rFonts w:ascii="Arial" w:cs="Arial" w:eastAsia="Arial" w:hAnsi="Arial"/>
          <w:sz w:val="17"/>
          <w:szCs w:val="17"/>
          <w:color w:val="auto"/>
        </w:rPr>
        <w:t>lipofuscin in the cells underlying the macula. Over time, this accumulation damages the cells that are responsible for clear central vision. This damage causes patients to experience blurry vision, difficulty with night vision, or impaired color vision.</w:t>
      </w:r>
    </w:p>
    <w:p>
      <w:pPr>
        <w:spacing w:after="0" w:line="50" w:lineRule="exact"/>
        <w:rPr>
          <w:rFonts w:ascii="Arial" w:cs="Arial" w:eastAsia="Arial" w:hAnsi="Arial"/>
          <w:sz w:val="17"/>
          <w:szCs w:val="17"/>
          <w:color w:val="auto"/>
        </w:rPr>
      </w:pPr>
    </w:p>
    <w:p>
      <w:pPr>
        <w:ind w:left="1040" w:right="80" w:hanging="519"/>
        <w:spacing w:after="0" w:line="314"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Leber congenital amaurosis 10 </w:t>
      </w:r>
      <w:r>
        <w:rPr>
          <w:rFonts w:ascii="Arial" w:cs="Arial" w:eastAsia="Arial" w:hAnsi="Arial"/>
          <w:sz w:val="16"/>
          <w:szCs w:val="16"/>
          <w:color w:val="auto"/>
        </w:rPr>
        <w:t>is caused by autosomal recessive mutations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CEP290</w:t>
      </w:r>
      <w:r>
        <w:rPr>
          <w:rFonts w:ascii="Arial" w:cs="Arial" w:eastAsia="Arial" w:hAnsi="Arial"/>
          <w:sz w:val="16"/>
          <w:szCs w:val="16"/>
          <w:b w:val="1"/>
          <w:bCs w:val="1"/>
          <w:color w:val="auto"/>
        </w:rPr>
        <w:t xml:space="preserve"> </w:t>
      </w:r>
      <w:r>
        <w:rPr>
          <w:rFonts w:ascii="Arial" w:cs="Arial" w:eastAsia="Arial" w:hAnsi="Arial"/>
          <w:sz w:val="16"/>
          <w:szCs w:val="16"/>
          <w:color w:val="auto"/>
        </w:rPr>
        <w:t>gene, which encodes a protein required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survival and proper function of photoreceptor cells. Affected infants are often blind at birth. Other symptoms patients may experience include: crossed eyes; rapid, involuntary eye movements; unusual sensitivity to light; clouding of the lenses; and a cone shape to the front of the eye.</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Our discovery research has tested the hypothesis that controlling the chirality of PS linkages in the backbones of oligonucleotides will provide a benefit in potency, distribution and duration of effect in the eye. In these studies, we have employed </w:t>
      </w:r>
      <w:r>
        <w:rPr>
          <w:rFonts w:ascii="Arial" w:cs="Arial" w:eastAsia="Arial" w:hAnsi="Arial"/>
          <w:sz w:val="17"/>
          <w:szCs w:val="17"/>
          <w:i w:val="1"/>
          <w:iCs w:val="1"/>
          <w:color w:val="auto"/>
        </w:rPr>
        <w:t>MALAT1</w:t>
      </w:r>
      <w:r>
        <w:rPr>
          <w:rFonts w:ascii="Arial" w:cs="Arial" w:eastAsia="Arial" w:hAnsi="Arial"/>
          <w:sz w:val="17"/>
          <w:szCs w:val="17"/>
          <w:color w:val="auto"/>
        </w:rPr>
        <w:t xml:space="preserve"> as a surrogate target. We generated stereopure compounds targeting </w:t>
      </w:r>
      <w:r>
        <w:rPr>
          <w:rFonts w:ascii="Arial" w:cs="Arial" w:eastAsia="Arial" w:hAnsi="Arial"/>
          <w:sz w:val="17"/>
          <w:szCs w:val="17"/>
          <w:i w:val="1"/>
          <w:iCs w:val="1"/>
          <w:color w:val="auto"/>
        </w:rPr>
        <w:t>MALAT1</w:t>
      </w:r>
      <w:r>
        <w:rPr>
          <w:rFonts w:ascii="Arial" w:cs="Arial" w:eastAsia="Arial" w:hAnsi="Arial"/>
          <w:sz w:val="17"/>
          <w:szCs w:val="17"/>
          <w:color w:val="auto"/>
        </w:rPr>
        <w:t xml:space="preserve">, a nuclear-enriched, long non-coding RNA and evaluated them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 iCell neurons under gymnotic conditions. We successfully delivered stereopure </w:t>
      </w:r>
      <w:r>
        <w:rPr>
          <w:rFonts w:ascii="Arial" w:cs="Arial" w:eastAsia="Arial" w:hAnsi="Arial"/>
          <w:sz w:val="17"/>
          <w:szCs w:val="17"/>
          <w:i w:val="1"/>
          <w:iCs w:val="1"/>
          <w:color w:val="auto"/>
        </w:rPr>
        <w:t>MALAT1</w:t>
      </w:r>
      <w:r>
        <w:rPr>
          <w:rFonts w:ascii="Arial" w:cs="Arial" w:eastAsia="Arial" w:hAnsi="Arial"/>
          <w:sz w:val="17"/>
          <w:szCs w:val="17"/>
          <w:color w:val="auto"/>
        </w:rPr>
        <w:t xml:space="preserve"> oligonucleotides under gymnotic conditions to iCell neurons, with our best-performing compounds exhibiting IC</w:t>
      </w:r>
      <w:r>
        <w:rPr>
          <w:rFonts w:ascii="Arial" w:cs="Arial" w:eastAsia="Arial" w:hAnsi="Arial"/>
          <w:sz w:val="14"/>
          <w:szCs w:val="14"/>
          <w:color w:val="auto"/>
        </w:rPr>
        <w:t>50</w:t>
      </w:r>
      <w:r>
        <w:rPr>
          <w:rFonts w:ascii="Arial" w:cs="Arial" w:eastAsia="Arial" w:hAnsi="Arial"/>
          <w:sz w:val="17"/>
          <w:szCs w:val="17"/>
          <w:color w:val="auto"/>
        </w:rPr>
        <w:t xml:space="preserve"> values approximately 24-fold lower than those of stereorandom oligonucleotides of comparable sequence and chemistry. We then evaluated lead stereopure oligonucleotides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following a single IVT injection (5 µg or 50 µg) in the mouse eye. We assessed expression of </w:t>
      </w:r>
      <w:r>
        <w:rPr>
          <w:rFonts w:ascii="Arial" w:cs="Arial" w:eastAsia="Arial" w:hAnsi="Arial"/>
          <w:sz w:val="17"/>
          <w:szCs w:val="17"/>
          <w:i w:val="1"/>
          <w:iCs w:val="1"/>
          <w:color w:val="auto"/>
        </w:rPr>
        <w:t>MALAT1</w:t>
      </w:r>
      <w:r>
        <w:rPr>
          <w:rFonts w:ascii="Arial" w:cs="Arial" w:eastAsia="Arial" w:hAnsi="Arial"/>
          <w:sz w:val="17"/>
          <w:szCs w:val="17"/>
          <w:color w:val="auto"/>
        </w:rPr>
        <w:t xml:space="preserve"> RNA by qPCR, levels and distribution of oligonucleotides by hybridization ELISA and IHC, and duration of effect over a 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121920</wp:posOffset>
            </wp:positionV>
            <wp:extent cx="6114415" cy="2049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the back of the eye (shown in the figure above), the stereorandom oligonucleotide (SR+, 50 µg) produced a 75% knockdown of </w:t>
      </w:r>
      <w:r>
        <w:rPr>
          <w:rFonts w:ascii="Arial" w:cs="Arial" w:eastAsia="Arial" w:hAnsi="Arial"/>
          <w:sz w:val="18"/>
          <w:szCs w:val="18"/>
          <w:i w:val="1"/>
          <w:iCs w:val="1"/>
          <w:color w:val="auto"/>
        </w:rPr>
        <w:t>MALAT1</w:t>
      </w:r>
      <w:r>
        <w:rPr>
          <w:rFonts w:ascii="Arial" w:cs="Arial" w:eastAsia="Arial" w:hAnsi="Arial"/>
          <w:sz w:val="18"/>
          <w:szCs w:val="18"/>
          <w:color w:val="auto"/>
        </w:rPr>
        <w:t xml:space="preserve"> mRNA, which was maintained for two weeks. By one month, </w:t>
      </w:r>
      <w:r>
        <w:rPr>
          <w:rFonts w:ascii="Arial" w:cs="Arial" w:eastAsia="Arial" w:hAnsi="Arial"/>
          <w:sz w:val="18"/>
          <w:szCs w:val="18"/>
          <w:i w:val="1"/>
          <w:iCs w:val="1"/>
          <w:color w:val="auto"/>
        </w:rPr>
        <w:t>MALAT1</w:t>
      </w:r>
      <w:r>
        <w:rPr>
          <w:rFonts w:ascii="Arial" w:cs="Arial" w:eastAsia="Arial" w:hAnsi="Arial"/>
          <w:sz w:val="18"/>
          <w:szCs w:val="18"/>
          <w:color w:val="auto"/>
        </w:rPr>
        <w:t xml:space="preserve"> expression recovered to 50% of normal, and this level of expression was maintained for at least three months. At the same dose (50 µg), the stereopure oligonucleotide achieved an 85% reduction in </w:t>
      </w:r>
      <w:r>
        <w:rPr>
          <w:rFonts w:ascii="Arial" w:cs="Arial" w:eastAsia="Arial" w:hAnsi="Arial"/>
          <w:sz w:val="18"/>
          <w:szCs w:val="18"/>
          <w:i w:val="1"/>
          <w:iCs w:val="1"/>
          <w:color w:val="auto"/>
        </w:rPr>
        <w:t>MALAT1</w:t>
      </w:r>
      <w:r>
        <w:rPr>
          <w:rFonts w:ascii="Arial" w:cs="Arial" w:eastAsia="Arial" w:hAnsi="Arial"/>
          <w:sz w:val="18"/>
          <w:szCs w:val="18"/>
          <w:color w:val="auto"/>
        </w:rPr>
        <w:t xml:space="preserve"> by seven days post-single IVT injection, which was maintained at one month. At three months post-dose, a 62% reduction persisted. At a 10-fold lower dose (5 µg), the stereopure oligonucleotide still exhibited greater knockdown of </w:t>
      </w:r>
      <w:r>
        <w:rPr>
          <w:rFonts w:ascii="Arial" w:cs="Arial" w:eastAsia="Arial" w:hAnsi="Arial"/>
          <w:sz w:val="18"/>
          <w:szCs w:val="18"/>
          <w:i w:val="1"/>
          <w:iCs w:val="1"/>
          <w:color w:val="auto"/>
        </w:rPr>
        <w:t>MALAT1</w:t>
      </w:r>
      <w:r>
        <w:rPr>
          <w:rFonts w:ascii="Arial" w:cs="Arial" w:eastAsia="Arial" w:hAnsi="Arial"/>
          <w:sz w:val="18"/>
          <w:szCs w:val="18"/>
          <w:color w:val="auto"/>
        </w:rPr>
        <w:t xml:space="preserve"> RNA through one month (70% vs. 50% knockdown) and three months (62% vs. 53%) than the stereorandom oligonucleotide. By six months, </w:t>
      </w:r>
      <w:r>
        <w:rPr>
          <w:rFonts w:ascii="Arial" w:cs="Arial" w:eastAsia="Arial" w:hAnsi="Arial"/>
          <w:sz w:val="18"/>
          <w:szCs w:val="18"/>
          <w:i w:val="1"/>
          <w:iCs w:val="1"/>
          <w:color w:val="auto"/>
        </w:rPr>
        <w:t>MALAT1</w:t>
      </w:r>
      <w:r>
        <w:rPr>
          <w:rFonts w:ascii="Arial" w:cs="Arial" w:eastAsia="Arial" w:hAnsi="Arial"/>
          <w:sz w:val="18"/>
          <w:szCs w:val="18"/>
          <w:color w:val="auto"/>
        </w:rPr>
        <w:t xml:space="preserve"> expression levels returned to normal at all doses for both stereorandom and stereopure oligonucleotides. In summary, the stereopure oligonucleotide achieved at least a 10-fold enhancement in potency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compared with a stereorandom oligonucleotide, and this effect was sustained through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268605</wp:posOffset>
            </wp:positionV>
            <wp:extent cx="1809750" cy="1431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1" w:name="page32"/>
    <w:bookmarkEnd w:id="31"/>
    <w:p>
      <w:pPr>
        <w:jc w:val="both"/>
        <w:ind w:right="340"/>
        <w:spacing w:after="0" w:line="264" w:lineRule="auto"/>
        <w:rPr>
          <w:sz w:val="20"/>
          <w:szCs w:val="20"/>
          <w:color w:val="auto"/>
        </w:rPr>
      </w:pPr>
      <w:r>
        <w:rPr>
          <w:rFonts w:ascii="Arial" w:cs="Arial" w:eastAsia="Arial" w:hAnsi="Arial"/>
          <w:sz w:val="18"/>
          <w:szCs w:val="18"/>
          <w:color w:val="auto"/>
        </w:rPr>
        <w:t xml:space="preserve">We assessed the pharmacokinetic (PK)-pharmacodynamic (PD) relationship for the stereorandom and stereopure </w:t>
      </w:r>
      <w:r>
        <w:rPr>
          <w:rFonts w:ascii="Arial" w:cs="Arial" w:eastAsia="Arial" w:hAnsi="Arial"/>
          <w:sz w:val="18"/>
          <w:szCs w:val="18"/>
          <w:i w:val="1"/>
          <w:iCs w:val="1"/>
          <w:color w:val="auto"/>
        </w:rPr>
        <w:t>MALAT1</w:t>
      </w:r>
      <w:r>
        <w:rPr>
          <w:rFonts w:ascii="Arial" w:cs="Arial" w:eastAsia="Arial" w:hAnsi="Arial"/>
          <w:sz w:val="18"/>
          <w:szCs w:val="18"/>
          <w:color w:val="auto"/>
        </w:rPr>
        <w:t xml:space="preserve"> oligonucleotides (shown in the figure above). This comparison revealed that the stereopure oligonucleotide yields both higher tissue exposure and greater </w:t>
      </w:r>
      <w:r>
        <w:rPr>
          <w:rFonts w:ascii="Arial" w:cs="Arial" w:eastAsia="Arial" w:hAnsi="Arial"/>
          <w:sz w:val="18"/>
          <w:szCs w:val="18"/>
          <w:i w:val="1"/>
          <w:iCs w:val="1"/>
          <w:color w:val="auto"/>
        </w:rPr>
        <w:t>MALAT1</w:t>
      </w:r>
      <w:r>
        <w:rPr>
          <w:rFonts w:ascii="Arial" w:cs="Arial" w:eastAsia="Arial" w:hAnsi="Arial"/>
          <w:sz w:val="18"/>
          <w:szCs w:val="18"/>
          <w:color w:val="auto"/>
        </w:rPr>
        <w:t xml:space="preserve"> knockdown than the stereorandom oligonucleotide in the posterior mouse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124460</wp:posOffset>
            </wp:positionV>
            <wp:extent cx="6062980" cy="2049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6298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the front of the eye (shown in the figure above), the stereorandom oligonucleotide (SR, 50 μg) yielded a 65% knockdown of </w:t>
      </w:r>
      <w:r>
        <w:rPr>
          <w:rFonts w:ascii="Arial" w:cs="Arial" w:eastAsia="Arial" w:hAnsi="Arial"/>
          <w:sz w:val="18"/>
          <w:szCs w:val="18"/>
          <w:i w:val="1"/>
          <w:iCs w:val="1"/>
          <w:color w:val="auto"/>
        </w:rPr>
        <w:t>MALAT1</w:t>
      </w:r>
      <w:r>
        <w:rPr>
          <w:rFonts w:ascii="Arial" w:cs="Arial" w:eastAsia="Arial" w:hAnsi="Arial"/>
          <w:sz w:val="18"/>
          <w:szCs w:val="18"/>
          <w:color w:val="auto"/>
        </w:rPr>
        <w:t xml:space="preserve">. By two weeks, </w:t>
      </w:r>
      <w:r>
        <w:rPr>
          <w:rFonts w:ascii="Arial" w:cs="Arial" w:eastAsia="Arial" w:hAnsi="Arial"/>
          <w:sz w:val="18"/>
          <w:szCs w:val="18"/>
          <w:i w:val="1"/>
          <w:iCs w:val="1"/>
          <w:color w:val="auto"/>
        </w:rPr>
        <w:t xml:space="preserve">MALAT1 </w:t>
      </w:r>
      <w:r>
        <w:rPr>
          <w:rFonts w:ascii="Arial" w:cs="Arial" w:eastAsia="Arial" w:hAnsi="Arial"/>
          <w:sz w:val="18"/>
          <w:szCs w:val="18"/>
          <w:color w:val="auto"/>
        </w:rPr>
        <w:t>levels recovered to 50% of normal, which persisted through one month. By two months,</w:t>
      </w:r>
      <w:r>
        <w:rPr>
          <w:rFonts w:ascii="Arial" w:cs="Arial" w:eastAsia="Arial" w:hAnsi="Arial"/>
          <w:sz w:val="18"/>
          <w:szCs w:val="18"/>
          <w:i w:val="1"/>
          <w:iCs w:val="1"/>
          <w:color w:val="auto"/>
        </w:rPr>
        <w:t xml:space="preserve"> MALAT1 </w:t>
      </w:r>
      <w:r>
        <w:rPr>
          <w:rFonts w:ascii="Arial" w:cs="Arial" w:eastAsia="Arial" w:hAnsi="Arial"/>
          <w:sz w:val="18"/>
          <w:szCs w:val="18"/>
          <w:color w:val="auto"/>
        </w:rPr>
        <w:t>levels rose to within 25% of normal, and persisted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 this level through at least three months. By six months, </w:t>
      </w:r>
      <w:r>
        <w:rPr>
          <w:rFonts w:ascii="Arial" w:cs="Arial" w:eastAsia="Arial" w:hAnsi="Arial"/>
          <w:sz w:val="18"/>
          <w:szCs w:val="18"/>
          <w:i w:val="1"/>
          <w:iCs w:val="1"/>
          <w:color w:val="auto"/>
        </w:rPr>
        <w:t>MALAT1</w:t>
      </w:r>
      <w:r>
        <w:rPr>
          <w:rFonts w:ascii="Arial" w:cs="Arial" w:eastAsia="Arial" w:hAnsi="Arial"/>
          <w:sz w:val="18"/>
          <w:szCs w:val="18"/>
          <w:color w:val="auto"/>
        </w:rPr>
        <w:t xml:space="preserve"> RNA expression was normal. At the same dose (50 μg), the stereopure oligonucleotide achieved approximately 80% knockdown, which persisted for at least one month. By three months, </w:t>
      </w:r>
      <w:r>
        <w:rPr>
          <w:rFonts w:ascii="Arial" w:cs="Arial" w:eastAsia="Arial" w:hAnsi="Arial"/>
          <w:sz w:val="18"/>
          <w:szCs w:val="18"/>
          <w:i w:val="1"/>
          <w:iCs w:val="1"/>
          <w:color w:val="auto"/>
        </w:rPr>
        <w:t>MALAT1</w:t>
      </w:r>
      <w:r>
        <w:rPr>
          <w:rFonts w:ascii="Arial" w:cs="Arial" w:eastAsia="Arial" w:hAnsi="Arial"/>
          <w:sz w:val="18"/>
          <w:szCs w:val="18"/>
          <w:color w:val="auto"/>
        </w:rPr>
        <w:t xml:space="preserve"> levels recovered to more than 50% of normal, and this level of expression persisted for at least six months. At a 10-fold lower dose (5 μg), the stereopure oligonucleotide yielded results comparable to the 50 μg dose of stereorandom oligonucleotide at all time points. In summary, the stereopure oligonucleotide was 10-fold more potent than the stereorandom oligonucleotide in the front of the eye, and the duration of </w:t>
      </w:r>
      <w:r>
        <w:rPr>
          <w:rFonts w:ascii="Arial" w:cs="Arial" w:eastAsia="Arial" w:hAnsi="Arial"/>
          <w:sz w:val="18"/>
          <w:szCs w:val="18"/>
          <w:i w:val="1"/>
          <w:iCs w:val="1"/>
          <w:color w:val="auto"/>
        </w:rPr>
        <w:t>MALAT1</w:t>
      </w:r>
      <w:r>
        <w:rPr>
          <w:rFonts w:ascii="Arial" w:cs="Arial" w:eastAsia="Arial" w:hAnsi="Arial"/>
          <w:sz w:val="18"/>
          <w:szCs w:val="18"/>
          <w:color w:val="auto"/>
        </w:rPr>
        <w:t xml:space="preserve"> knockdown was shorter in the front of the eye than in the back of the eye with all oligonucleotides at all doses.</w:t>
      </w:r>
    </w:p>
    <w:p>
      <w:pPr>
        <w:spacing w:after="0" w:line="2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evaluated lead stereopure oligonucleotides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non-human primates (“NHP”) following a single intravitreal injection (45 μg, 150 μg, or 450 µg) in the eye. This dose was determined by volume adjustment to correct for the approximately nine-fold larger NHP eye as compared to the mouse (</w:t>
      </w:r>
      <w:r>
        <w:rPr>
          <w:rFonts w:ascii="Arial" w:cs="Arial" w:eastAsia="Arial" w:hAnsi="Arial"/>
          <w:sz w:val="18"/>
          <w:szCs w:val="18"/>
          <w:i w:val="1"/>
          <w:iCs w:val="1"/>
          <w:color w:val="auto"/>
        </w:rPr>
        <w:t>i.e.</w:t>
      </w:r>
      <w:r>
        <w:rPr>
          <w:rFonts w:ascii="Arial" w:cs="Arial" w:eastAsia="Arial" w:hAnsi="Arial"/>
          <w:sz w:val="18"/>
          <w:szCs w:val="18"/>
          <w:color w:val="auto"/>
        </w:rPr>
        <w:t xml:space="preserve">, 50 μg in the mouse is comparable to 450 μg in NHP). We assessed expression of </w:t>
      </w:r>
      <w:r>
        <w:rPr>
          <w:rFonts w:ascii="Arial" w:cs="Arial" w:eastAsia="Arial" w:hAnsi="Arial"/>
          <w:sz w:val="18"/>
          <w:szCs w:val="18"/>
          <w:i w:val="1"/>
          <w:iCs w:val="1"/>
          <w:color w:val="auto"/>
        </w:rPr>
        <w:t>MALAT1</w:t>
      </w:r>
      <w:r>
        <w:rPr>
          <w:rFonts w:ascii="Arial" w:cs="Arial" w:eastAsia="Arial" w:hAnsi="Arial"/>
          <w:sz w:val="18"/>
          <w:szCs w:val="18"/>
          <w:color w:val="auto"/>
        </w:rPr>
        <w:t xml:space="preserve"> RNA by qPCR, levels and distribution of oligonucleotides by hybridization ELISA and IHC, and duration of effect over a four-month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127635</wp:posOffset>
            </wp:positionV>
            <wp:extent cx="6062980" cy="2049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6298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32" w:name="page33"/>
    <w:bookmarkEnd w:id="32"/>
    <w:p>
      <w:pPr>
        <w:ind w:right="220"/>
        <w:spacing w:after="0" w:line="277" w:lineRule="auto"/>
        <w:rPr>
          <w:sz w:val="20"/>
          <w:szCs w:val="20"/>
          <w:color w:val="auto"/>
        </w:rPr>
      </w:pPr>
      <w:r>
        <w:rPr>
          <w:rFonts w:ascii="Arial" w:cs="Arial" w:eastAsia="Arial" w:hAnsi="Arial"/>
          <w:sz w:val="18"/>
          <w:szCs w:val="18"/>
          <w:color w:val="auto"/>
        </w:rPr>
        <w:t xml:space="preserve">In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 in NHPs (shown above), the stereopure oligonucleotide achieved a clear dose-dependent knockdown of </w:t>
      </w:r>
      <w:r>
        <w:rPr>
          <w:rFonts w:ascii="Arial" w:cs="Arial" w:eastAsia="Arial" w:hAnsi="Arial"/>
          <w:sz w:val="18"/>
          <w:szCs w:val="18"/>
          <w:i w:val="1"/>
          <w:iCs w:val="1"/>
          <w:color w:val="auto"/>
        </w:rPr>
        <w:t>MALAT1</w:t>
      </w:r>
      <w:r>
        <w:rPr>
          <w:rFonts w:ascii="Arial" w:cs="Arial" w:eastAsia="Arial" w:hAnsi="Arial"/>
          <w:sz w:val="18"/>
          <w:szCs w:val="18"/>
          <w:color w:val="auto"/>
        </w:rPr>
        <w:t xml:space="preserve"> RNA in multiple tissues of the eye (retina/choroid/sclera, iris and cornea) one week following a single IVT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117475</wp:posOffset>
            </wp:positionV>
            <wp:extent cx="2212340" cy="19551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12340" cy="1955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 a longer duration experiment in NHPs (shown above), a single IVT injection of 450 μg stereopure oligonucleotide resulted in a better than 95% knockdown of </w:t>
      </w:r>
      <w:r>
        <w:rPr>
          <w:rFonts w:ascii="Arial" w:cs="Arial" w:eastAsia="Arial" w:hAnsi="Arial"/>
          <w:sz w:val="18"/>
          <w:szCs w:val="18"/>
          <w:i w:val="1"/>
          <w:iCs w:val="1"/>
          <w:color w:val="auto"/>
        </w:rPr>
        <w:t>MALAT1</w:t>
      </w:r>
      <w:r>
        <w:rPr>
          <w:rFonts w:ascii="Arial" w:cs="Arial" w:eastAsia="Arial" w:hAnsi="Arial"/>
          <w:sz w:val="18"/>
          <w:szCs w:val="18"/>
          <w:color w:val="auto"/>
        </w:rPr>
        <w:t xml:space="preserve"> RNA expression by one week, and this effect persisted for at least four months.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These preclinical studies support the hypothesis that stereopure compounds can be designed to increase the potency, distribution and duration of effect in the eye compared with stereorandom oligonucleotides. Additional research is now being conducted to further characterize stereopure oligonucleotides against the genetic targets listed above to treat inherited retinal dystrophies.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Hepatic</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collaborating with Pfizer to advance genetically defined targets for the treatment of metabolic diseases, bringing together PRISM across antisense and single-stranded RNAi modalities, along with GalNAc and Pfizer’s hepatic targeting technology for delivery to the liver. Pfizer has selected five targets, including Apolipoprotein C-III (APOC3), which is the maximum number of targets that Pfizer may select under the terms of the agreement. We will advance five targets from discovery through the selection of clinical candidates, at which point Pfizer may elect to exclusively license the programs and undertake further development and potential commercialization.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3" w:name="page34"/>
    <w:bookmarkEnd w:id="33"/>
    <w:p>
      <w:pPr>
        <w:ind w:right="40"/>
        <w:spacing w:after="0" w:line="290" w:lineRule="auto"/>
        <w:rPr>
          <w:sz w:val="20"/>
          <w:szCs w:val="20"/>
          <w:color w:val="auto"/>
        </w:rPr>
      </w:pPr>
      <w:r>
        <w:rPr>
          <w:rFonts w:ascii="Arial" w:cs="Arial" w:eastAsia="Arial" w:hAnsi="Arial"/>
          <w:sz w:val="16"/>
          <w:szCs w:val="16"/>
          <w:color w:val="auto"/>
        </w:rPr>
        <w:t xml:space="preserve">Our stereopure GalNAc-conjugated APOC3 antisense oligonucleotide demonstrated an approximate 7-fold improvement in potency and an increase in durability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a human APOC3 transgenic mouse model compared with stereorandom GalNAc-conjugated APOC3 antisense oligonucleotides. In this experiment, we generated a single stereopure stereoisomer, containing the SSR motif, and compared it with a stereorandom isomer of the same sequence. Both were designed to target </w:t>
      </w:r>
      <w:r>
        <w:rPr>
          <w:rFonts w:ascii="Arial" w:cs="Arial" w:eastAsia="Arial" w:hAnsi="Arial"/>
          <w:sz w:val="16"/>
          <w:szCs w:val="16"/>
          <w:i w:val="1"/>
          <w:iCs w:val="1"/>
          <w:color w:val="auto"/>
        </w:rPr>
        <w:t>APOC3</w:t>
      </w:r>
      <w:r>
        <w:rPr>
          <w:rFonts w:ascii="Arial" w:cs="Arial" w:eastAsia="Arial" w:hAnsi="Arial"/>
          <w:sz w:val="16"/>
          <w:szCs w:val="16"/>
          <w:color w:val="auto"/>
        </w:rPr>
        <w:t xml:space="preserve"> mRNA, which is predominately expressed in the liver. These isomers were also chemically modified with a GalNAc moiety, which improves their access to the liver. To demonstrate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efficacy and durability of response, we administered the isomers to mice harboring a human </w:t>
      </w:r>
      <w:r>
        <w:rPr>
          <w:rFonts w:ascii="Arial" w:cs="Arial" w:eastAsia="Arial" w:hAnsi="Arial"/>
          <w:sz w:val="16"/>
          <w:szCs w:val="16"/>
          <w:i w:val="1"/>
          <w:iCs w:val="1"/>
          <w:color w:val="auto"/>
        </w:rPr>
        <w:t>APOC3</w:t>
      </w:r>
      <w:r>
        <w:rPr>
          <w:rFonts w:ascii="Arial" w:cs="Arial" w:eastAsia="Arial" w:hAnsi="Arial"/>
          <w:sz w:val="16"/>
          <w:szCs w:val="16"/>
          <w:color w:val="auto"/>
        </w:rPr>
        <w:t xml:space="preserve"> transgene (B6.Cg-Tg(APOC3)2Bres/J), and we assessed knockdown activity by measuring serum APOC3 protein. Similar to the results shown above, the stereopure isomer led to more efficient knockdown of APOC3 (ED</w:t>
      </w:r>
      <w:r>
        <w:rPr>
          <w:rFonts w:ascii="Arial" w:cs="Arial" w:eastAsia="Arial" w:hAnsi="Arial"/>
          <w:sz w:val="13"/>
          <w:szCs w:val="13"/>
          <w:color w:val="auto"/>
        </w:rPr>
        <w:t>50</w:t>
      </w:r>
      <w:r>
        <w:rPr>
          <w:rFonts w:ascii="Arial" w:cs="Arial" w:eastAsia="Arial" w:hAnsi="Arial"/>
          <w:sz w:val="16"/>
          <w:szCs w:val="16"/>
          <w:color w:val="auto"/>
        </w:rPr>
        <w:t>=0.3 mg/kg for stereopure vs. ED</w:t>
      </w:r>
      <w:r>
        <w:rPr>
          <w:rFonts w:ascii="Arial" w:cs="Arial" w:eastAsia="Arial" w:hAnsi="Arial"/>
          <w:sz w:val="13"/>
          <w:szCs w:val="13"/>
          <w:color w:val="auto"/>
        </w:rPr>
        <w:t>50</w:t>
      </w:r>
      <w:r>
        <w:rPr>
          <w:rFonts w:ascii="Arial" w:cs="Arial" w:eastAsia="Arial" w:hAnsi="Arial"/>
          <w:sz w:val="16"/>
          <w:szCs w:val="16"/>
          <w:color w:val="auto"/>
        </w:rPr>
        <w:t>=~2.0 mg/kg for the stereorandom isomer) (left panel in figure below) that persisted much longer than that for the stereorandom isomer (right panel in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114935</wp:posOffset>
            </wp:positionV>
            <wp:extent cx="5385435" cy="20326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85435"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These data demonstrate that two pharmacological properties that we can control through stereochemistry, increasing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stability with Sp isomers and increasing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catalytic activity with the SSR motif, translate to improvements in important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pharmacological properties, including target engagement and durability of response.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Areas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believe that PRISM will unlock additional opportunities to drive the discovery and advancement of stereopure therapeutic candidates in our initial focus area of neurology, other therapeutic areas in which we are currently advancing discovery programs, as well as additional therapeutic areas. We continue to explore ways that our multi-modality chemistry may be optimized to address a multitude of rare genetic diseases. Based on our design principles, we have demonstrated our ability to rapidly design and select lead therapeutic candidates with optimized pharmacological properties in preclinical studies. We intend to continue to advance these discovery programs and explore opportunities to expand to other areas independently and through collaborations and partnerships.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Arrangements and Research Collaborations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 strategy is to develop and commercialize a broad pipeline of novel nucleic acid therapies. As part of this strategy, we have entered into, and may enter into new partnership and collaboration agreements as a means of advancing our own nucleic acid therapeutic programs, investing in third-party technologies to further strengthen PRISM and leveraging external partnerships to extend the reach of PRISM into therapeutic areas where our platform demonstrates a competitive advantage.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February 2018, Wave Life Sciences USA, Inc. (“Wave USA”) and Wave Life Sciences UK Limted (“Wave UK”) entered into a global strategic collaboration (the “Takeda Collaboration”) with Takeda Pharmaceutical Company Limited (“Takeda”), pursuant to which Wave USA, Wave UK and Takeda agreed to collaborate on the research, development and commercialization of oligonucleotide therapeutics for disorders of the Central Nervous System (“CNS”). The Takeda Collaboration provides Wave with at least $230.0 million in committed cash and Takeda with the option to co-develop and co-commercialize Wave’s CNS development programs in (1) Huntington’s disease (“HD”); (2) amyotrophic lateral sclerosis (“ALS”) and frontotemporal dementia (“FTD”); and (3) Wave’s discovery-stage program targeting </w:t>
      </w:r>
      <w:r>
        <w:rPr>
          <w:rFonts w:ascii="Arial" w:cs="Arial" w:eastAsia="Arial" w:hAnsi="Arial"/>
          <w:sz w:val="17"/>
          <w:szCs w:val="17"/>
          <w:i w:val="1"/>
          <w:iCs w:val="1"/>
          <w:color w:val="auto"/>
        </w:rPr>
        <w:t>ATXN3</w:t>
      </w:r>
      <w:r>
        <w:rPr>
          <w:rFonts w:ascii="Arial" w:cs="Arial" w:eastAsia="Arial" w:hAnsi="Arial"/>
          <w:sz w:val="17"/>
          <w:szCs w:val="17"/>
          <w:color w:val="auto"/>
        </w:rPr>
        <w:t xml:space="preserve"> for the treatment of spinocerebellar ataxia 3 (“SCA3”) (collectively, “Category 1 Programs”), which we will have the right to co-commercialize in the United States. In addition, Takeda will have the right to exclusively license multiple preclinical programs for CNS disorders, including Alzheimer’s disease and Parkinson’s disease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ind w:right="500"/>
        <w:spacing w:after="0" w:line="312" w:lineRule="auto"/>
        <w:rPr>
          <w:sz w:val="20"/>
          <w:szCs w:val="20"/>
          <w:color w:val="auto"/>
        </w:rPr>
      </w:pPr>
      <w:r>
        <w:rPr>
          <w:rFonts w:ascii="Arial" w:cs="Arial" w:eastAsia="Arial" w:hAnsi="Arial"/>
          <w:sz w:val="16"/>
          <w:szCs w:val="16"/>
          <w:color w:val="auto"/>
        </w:rPr>
        <w:t>(collectively, “Category 2 Programs”). In April 2018, the Takeda Collaboration became effective and Takeda paid Wave $110.0 million as an upfront payment. Takeda also agreed to fund Wave’s research and preclinical activities in the amount of $60.0 million during the four-year research term and to reimburse Wave for any collaboration-budgeted research and preclinical expenses incurred by Wave that exceed that amount.</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Simultaneously with Wave USA and Wave UK’s entry into the collaboration and license agreement with Takeda (the “Takeda Collaboration Agreement”), the Company entered into a share purchase agreement with Takeda (the “Takeda Equity Agreement,” and together with the Takeda Collaboration Agreement, the “Takeda Agreements”) pursuant to which it agreed to sell to Takeda 1,096,892 of its ordinary shares at a purchase price of $54.70 per share. In April 2018, the Company closed the Takeda Equity Agreement and received aggregate cash proceeds of $60.0 million. The shares purchased by Takeda are subject to lock-up and standstill restrictions and carry certain registration rights, customary for transactions of this kind.</w:t>
      </w:r>
    </w:p>
    <w:p>
      <w:pPr>
        <w:spacing w:after="0" w:line="15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With respect to Category 1 Programs, Wave will be responsible for researching and developing products and companion diagnostics for Category 1 Programs through completion of the first proof of mechanism study for such products. Takeda will have an exclusive option for each target and all associated products and companion diagnostics for such target, which it may exercise at any time through completion of the proof of mechanism study. If Takeda exercises this option, Wave will receive an opt-in payment and will lead manufacturing and joint clinical co-development activities and Takeda will lead joint co-commercial activities in the United States and all commercial activities outside of the United States. Global costs and potential profits will be shared 50:50 and Wave will be eligible to receive development and commercial milestone payments. In addition to its 50% profit share, Wave is eligible to receive option exercise fees and development and commercial milestone payments for each of the Category 1 Programs.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With respect to Category 2 Programs, Wave has granted Takeda the right to exclusively license multiple preclinical programs during a four-year research term (subject to limited extension for programs that were initiated prior to the expiration of the research term, in accordance with the Takeda Collaboration Agreement). During that term, the parties may collaborate on preclinical programs for up to six targets at any one time. Wave will be responsible for researching and preclinically developing products and companion diagnostics directed to the agreed upon targets through completion of IND-enabling studies in the first major market country. Thereafter, Takeda will have an exclusive worldwide license to develop and commercialize products and companion diagnostics directed to such targets, subject to Wave’s retained rights to lead manufacturing activities for products directed to such targets. Takeda will fund Wave’s research and preclinical activities in the amount of $60.0 million during the research term and will reimburse Wave for any collaboration-budgeted research and preclinical expenses incurred by Wave that exceed that amount. Wave is also eligible to receive tiered high single-digit to mid-teen royalties on Takeda’s global commercial sales of products from each Category 2 Program.</w:t>
      </w:r>
    </w:p>
    <w:p>
      <w:pPr>
        <w:spacing w:after="0" w:line="18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Under the Takeda Collaboration Agreement, each party grants to the other party specific intellectual property licenses to enable the other party to perform its obligations and exercise its rights under the Takeda Collaboration Agreement, including license grants to enable each party to conduct research, development and commercialization activities pursuant to the terms of the Takeda Collaboration Agreement.</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term of the Takeda Collaboration Agreement commenced on April 2, 2018 and, unless terminated earlier, will continue until the date on which: (i) with respect to each Category 1 Program target for which Takeda does not exercise its option, the expiration or termination of the development program with respect to such target; (ii) with respect to each Category 1 Program target for which Takeda exercises its option, the date on which neither party is researching, developing or manufacturing any products or companion diagnostics directed to such target; or (iii) with respect to each Category 2 Program target, the date on which royalties are no longer payable with respect to products directed to such target.</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Takeda may terminate the Takeda Collaboration Agreement for convenience on 180 days’ notice, in its entirety or on a target-by-target basis. Subject to certain exceptions, each party has the right to terminate the Takeda Collaboration Agreement on a target-by-target basis if the other party, or a third party related to such party, challenges the patentability, enforceability or validity of any patents within the licensed technology that cover any product or companion diagnostic that is subject to the Takeda Collaboration Agreement. In the event of any material breach of the Takeda Collaboration Agreement by a party, subject to cure rights, the other party may terminate the Takeda Collaboration Agreement in its entirety if the breach relates to all targets or on a target-by-target basis if the breach relates to a specific target. In the event that Takeda and its affiliates cease development, manufacturing and commercialization activities with respect to compounds or products subject to the Takeda Collaboration Agreement and directed to a particular target, Wave may terminate the Takeda Collaboration Agreement with respect to such target. Either party may terminate the Takeda Collaboration Agreement for the other party’s insolvency. In certain termination circumstances, Wave would receive a license from Takeda to continue researching, developing and manufacturing certain products, and companion diagnostics.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Pfizer</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May 2016, we entered into a research, license and option agreement with Pfizer Inc. (the “Pfizer Collaboration Agreement”). Pursuant to the terms of the Pfizer Collaboration Agreement, we and Pfizer agreed to collaborate on the discovery, development and commercialization of stereopure oligonucleotide therapeutics for up to five programs (the “Pfizer Programs”), each directed at a genetically-defined hepatic target selected by Pfizer (the “Pfizer Collaboration”). Under the terms of the agreements we entered into with Pfizer and its affiliate, Pfizer paid us $40.0 million upfront, $30.0 million of which took the form of an equity investment in our ordinary shares, as described below. Subject to option exercises by Pfizer, we may earn potential research, development and commercial milestone payments, plus royalties, tiered up to low double-digits, on sales of any products that may result from the Pfizer Collaboration.</w:t>
      </w:r>
    </w:p>
    <w:p>
      <w:pPr>
        <w:spacing w:after="0" w:line="2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Under the Pfizer Collaboration Agreement, the parties agreed to collaborate during the four-year research term. During the research term, we are responsible to use our commercially reasonable efforts to advance up to five programs through to the selection of clinical candidates. At that stage, Pfizer may elect to license any of these programs exclusively and to have exclusive rights to undertake the clinical development of the clinical candidates into products and the potential commercialization of any such products thereafter. In addition, under the Pfizer Collaboration, we receive a non-exclusive, royalty-bearing sublicensable license to use Pfizer’s hepatic targeting technology in any of our own hepatic programs that are outside the scope of the collaboration (the “Wave Programs”). If we use Pfizer’s technology on our programs, Pfizer is eligible to receive potential development and commercial milestone payments from us. Pfizer is also eligible to receive tiered royalties on sales of any products that include Pfizer’s hepatic targeting technology.</w:t>
      </w:r>
    </w:p>
    <w:p>
      <w:pPr>
        <w:spacing w:after="0" w:line="16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Pfizer has selected five targets, including Apolipoprotein C-III (APOC3), which is the maximum number of targets that Pfizer may select under the terms of the agreement. Also, in connection with the Pfizer Collaboration, Pfizer agreed to be subject to certain standstill restrictions customary for transactions of this kind. The term of the Pfizer Collaboration Agreement runs from the effective date until the date of the last to expire payment obligations with respect to each Pfizer Program and with respect to each Wave Program, and expires on a program-by-program basis accordingly.</w:t>
      </w:r>
    </w:p>
    <w:p>
      <w:pPr>
        <w:spacing w:after="0" w:line="19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Simultaneously with the entry into the Pfizer Collaboration Agreement with Pfizer, we entered into a share purchase agreement with C.P. Pharmaceuticals International C.V., an affiliate of Pfizer (the “Pfizer affiliate”). Pursuant to the terms of the share purchase agreement, the Pfizer affiliate purchased 1,875,000 of our ordinary shares at a purchase price of $16.00 per share, for an aggregate purchase price of $30.0 million. The shares purchased by the Pfizer affiliate carry certain registration rights outlined in the share purchase agreement and certain of such shares remain subject to lock-up restrictions.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Licenses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Max-Planck-Innovation GmbH</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June 2015, we entered into an agreement with Max-Planck-Innovation GmbH (“MI”), pursuant to which we obtained a co-exclusive royalty-bearing, worldwide license, with the right to sublicense, research, develop, manufacture and commercialize products in all fields of use under certain patent rights owned by Max-Planck-Gesellschaft (“MPG”), and patent rights owned by UMMS, which has been granted to us by MI, a wholly-owned subsidiary of MPG, acting as MPG’s technology transfer agency and UMMS’s authorized licensing agency for such patents. MPG and MI are collectively referred to herein as Max-Planck. Our license is one of two maximum allowable co-exclusive licenses for these patents, the other of which is currently held by Ionis.</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patent rights under this license are to patent filings that relate to certain sequence and structural features of single-stranded RNA molecules that mediate target-specific RNA interference, and include both filings that are owned by Max-Planck and arose from research conducted by Thomas Tuschl, Ph.D. and his colleagues at the Max-Planck-Institute for Biophysical Chemistry, and also an issued U.S. patent owned by the University of Massachusetts (“UMASS”), that prevailed in an interference with one of the Max-Planck filings and was subsequently included, through a separate agreement between Max-Planck and UMASS, within the portfolio that Max-Planck is authorized to license. The Max-Planck licensed patent portfolio includes issued U.S. and Canadian patents, and pending U.S. and European patent applications, each of which has a projected 20-year term that extends into 2023.</w:t>
      </w:r>
    </w:p>
    <w:p>
      <w:pPr>
        <w:spacing w:after="0" w:line="16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may unilaterally terminate the license agreement upon 90 days’ prior written notice and payment of all accrued amounts owing to Max-Planck. Max-Planck may terminate the agreement upon 30 days’ prior written notice if we challenge the validity of its patents, upon 30 days’ prior written notice if we undergo a change of control and cannot demonstrate that we will maintain a development and commercialization program that is substantially similar or greater in scope than the program prior to the change of control event, or in the event of our material breach which remains uncured after 60 days of receiving written notice of such breach (or 45 days in the case of nonpayment). Absent early termination, the agreement will automatically terminate upon the later of the expiration or abandonment of all issued patents and filed patent applications with the patent rights covered by the agreement or April 28,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Research Collaborations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Oxford; Professor Matthew Wood’s Laboratory</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Since April 2015, we have been collaborating with Dr. Matthew J.A. Wood, Professor of Neuroscience at the University of Oxford and Co-Director of the Oxford Centre for Neuromuscular Science under a translational research collaboration agreement with The Chancellor, Masters, and Scholars of the University of Oxford (“Oxford”). Dr. Wood’s research is in the field of degenerative disorders of the nervous system and muscle. His laboratory’s main focus is the investigation of novel therapeutic approaches using short nucleic acids to target mRNA. His team has been investigating the potential of single-stranded antisense oligonucleotides for the modification of mRNA splicing, for example in DMD. In October 2016, we extended our research collaboration for an additional 27 months in order for Oxford to characterize our proprietary isomers in murine models to further improve the pharmacology of oligonucleotides using our novel chemistries and to discover biomarkers associated with disease progression and pharmacological activity for the treatment of DMD. Under this collaboration, we are exploring additional exon targets, including exon 45 and exon 44 beyond our lead DMD programs, which target exon 51 and exon 53. In October 2017, we expanded our research collaboration with Oxford beyond DMD to include spinal muscular atrophy, with a term of 18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Dundee</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Since September 2015, we have been conducting research in collaboration with the University of Dundee (“Dundee”) that involves characterizing our proprietary isomers in order to improve the pharmacology of oligonucleotides for the treatment of keratin disorders. We and Dundee have received a five-year grant to support a collaborative research project entitled ‘Delivering gene silencing therapy to the epidermic and ocular surface,’ effective March 1,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Massachusetts Medical School</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Since January 2017, we have been conducting research in collaboration with Dr. Robert H. Brown, Jr., the Leo P. and Theresa M. LaChance Chair in Medical Research and Chair of the Department of Neurology at UMMS, an internationally known researcher and physician in the field. Our research collaboration with UMMS is focused on characterizing our proprietary isomers in order to improve the pharmacology of oligonucleotides for the treatment of ALS and FTD, and investigating the mechanisms of action of specific and efficient knockdown of the targeted mutant </w:t>
      </w:r>
      <w:r>
        <w:rPr>
          <w:rFonts w:ascii="Arial" w:cs="Arial" w:eastAsia="Arial" w:hAnsi="Arial"/>
          <w:sz w:val="17"/>
          <w:szCs w:val="17"/>
          <w:i w:val="1"/>
          <w:iCs w:val="1"/>
          <w:color w:val="auto"/>
        </w:rPr>
        <w:t>C9ORF7</w:t>
      </w:r>
      <w:r>
        <w:rPr>
          <w:rFonts w:ascii="Arial" w:cs="Arial" w:eastAsia="Arial" w:hAnsi="Arial"/>
          <w:sz w:val="17"/>
          <w:szCs w:val="17"/>
          <w:color w:val="auto"/>
        </w:rPr>
        <w:t>2 mRNA.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ReadCoor</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Since April 2017, we have been collaborating with ReadCoor, Inc. (“ReadCoor”) to develop a registry of brain cell network maps and advance our chemistry for targeted drug delivery to the brain. ReadCoor is a company focused on leading the next generation of ‘omics by delivering the first panomic spatial sequencing platform to researchers, clinicians and pharmaceutical and diagnostics companies. The collaboration leverages ReadCoor’s proprietary FISSEQ (Florescent In-Situ Sequencing) platform designed to provide critical spatial data by combining next generation sequencing and three-dimensional imaging.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Deep Genomics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initiated our research collaboration with Deep Genomics, Inc. in April 2018 to identify and develop novel therapies for the treatment of genetic neuromuscular disorders. Deep Genomics is building an artificial intelligence-powered discovery platform that combines automation, advanced biomedical knowledge, high volume data acquisition and machine learning to support the discovery and early development of genetic medicines. Under the collaboration, we will analyze and test oligonucleotides against potential therapeutic targets within multiple genes implicated in neuromuscular disorders. The collaboration aims to increase the size of patient populations that may be eligible for treatment by expanding the universe of druggable splicing targets beyond DMD and spinal muscular atrophy.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 provide internal cGMP manufacturing capabilities and increase control and visibility of our drug product supply chain, we entered into a lease in September 2016 for a multi-use facility of approximately 90,000 square feet in Lexington, Massachusetts and initiated the build out of manufacturing space and related capabilities. In addition to manufacturing space, the Lexington facility includes additional laboratory and office space to support our growth. This facility supplements our existing Cambridge, Massachusetts laboratory and office space headquarters, enhances our ability to secure drug substance for current and future development activities and may provide commercial-scale manufacturing capabilities. In July 2017, we took occupancy of the Lexington facility and began manufacturing production in the fourth quarter of 2017.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spacing w:after="0" w:line="273" w:lineRule="auto"/>
        <w:rPr>
          <w:sz w:val="20"/>
          <w:szCs w:val="20"/>
          <w:color w:val="auto"/>
        </w:rPr>
      </w:pPr>
      <w:r>
        <w:rPr>
          <w:rFonts w:ascii="Arial" w:cs="Arial" w:eastAsia="Arial" w:hAnsi="Arial"/>
          <w:sz w:val="17"/>
          <w:szCs w:val="17"/>
          <w:color w:val="auto"/>
        </w:rPr>
        <w:t>We believe that we have sufficient manufacturing capacity through our third-party contract manufacturers and our internal manufacturing facility to meet our current research, clinical and early-stage commercial needs. We believe that the addition of our internal cGMP manufacturing capabilities, together with the supply capacity we have established externally will be sufficient to meet our anticipated manufacturing needs for the next several years. We monitor the availability of capacity for the manufacture of drug substance and drug product and believe that our supply agreements with our contract manufacturers and the lead times for new supply agreements would allow us to access additional capacity if needed. We believe that our product candidates can be manufactured at scale and with production and procurement efficiencies that will result in commercially competitive costs.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that we have a strong intellectual property position relating to the development and commercialization of our stereopure oligonucleotides. Our intellectual property portfolio includes filings designed to protect stereopure oligonucleotide compositions generally, as well as filings designed to protect stereopure compositions of oligonucleotides with particular stereochemical patterns (for example, that affect or confer biological activity). Our portfolio also includes filings for both proprietary methods and reagents, as well as various chemical methodologies that enable production of such stereopure oligonucleotide compositions. In addition, our portfolio includes filings designed to protect methods of using stereopure oligonucleotide compositions and filings designed to protect particular stereopure oligonucleotide products, such as those having a particular sequence, pattern of nucleoside and/or backbone modification, pattern of backbone linkages and/or pattern of backbone chiral centers.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own or have rights to worldwide patent filings that protect our proprietary technologies for making stereopure oligonucleotide compositions, and that also protect the compositions themselves, as well as methods of using them, including in the treatment of diseases. As of February 1, 2019, our portfolio includes at least 18 issued U.S. patents, at least 40 issued foreign patents, and pending applications in at least 37 jurisdictions.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Synthetic Methodologies</w:t>
      </w:r>
    </w:p>
    <w:p>
      <w:pPr>
        <w:spacing w:after="0" w:line="13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Our patent portfolio includes multiple families that protect synthetic methodologies and/or key reagents for generating stereopure oligonucleotide compositions. Certain synthetic methodologies and/or key reagents are covered by families originally filed by the University of Tokyo. We have obtained exclusive rights to these families, which include two issued Japanese patents that have terms that extend to 2022-2025.</w:t>
      </w:r>
    </w:p>
    <w:p>
      <w:pPr>
        <w:spacing w:after="0" w:line="20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Additional synthetic methodologies and/or reagents are protected by families that we own. Certain families have 20-year expiration dates that range from 2029 to 2038. Some of these families have issued patents in several jurisdictions, including in major relevant jurisdictions such as the United States, Europe, and/or Japan; all have pending applications either at the international stage or in multiple jurisdictions.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also co-own with the University of Tokyo certain filings that are directed to certain methods and/or reagents for synthesizing oligonucleotides; their 20-year expiration dates fall in 2031.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Stereopure Oligonucleotide Compositions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Certain of our patent filings protect stereopure compositions, particularly of therapeutically relevant oligonucleotides. Some such filings are directed to compositions whose oligonucleotides are characterized by particular patterns of chemical modification (including modifications of bases, sugars and/or internucleotidic linkages) and/or of internucleotidic linkage stereochemistry. Certain patent filings describe specific compositions designed for use in the treatment of particular diseases (e.g., HD, DMD). Several of our patent filings directed to stereopure compositions have entered national stage prosecution in multiple jurisdictions; others are in the international stage. Certain filings offer 20-year protection terms that extend into 2033-2038.</w:t>
      </w:r>
    </w:p>
    <w:p>
      <w:pPr>
        <w:spacing w:after="0" w:line="2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also co-own with Shin Nippon Biomedical Laboratories, Ltd. various patent families that relate to stereopure oligonucleotide adjuvant compositions and have entered national stage prosecution in multiple jurisdictions; these have 20-year terms extending to 2033-2035.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Filings</w:t>
      </w:r>
    </w:p>
    <w:p>
      <w:pPr>
        <w:spacing w:after="0" w:line="11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maintain a thoughtful and ambitious program for developing and protecting additional intellectual property, including new synthetic methodologies and reagents. We also intend to prepare and submit patent filings specifically directed to protecting individual product candidates and their uses as we finalize leads and collect relevant data, which is expected to include comparison data confirming novel and/or beneficial attributes of our product candidates.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Singapore Intellectual Property Law</w:t>
      </w:r>
    </w:p>
    <w:p>
      <w:pPr>
        <w:spacing w:after="0" w:line="1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34 of the Singapore Patents Act provides that a person residing in Singapore is required to obtain written authorization from the Singapore Registrar of Patents before filing an application for a patent for an invention outside of Singapore, unless all of the following conditions have been satisfied: (a) the person has filed an application for a patent for the same invention in the Singapore Registry of Patents at least two months before the filing of the patent application outside Singapore, and (b) the Singapore Registrar of Patents has not, in respect of this patent application, given directions to prohibit or restrict the publication of information contained in the patent application or its communication to any persons or description of persons pursuant to Section 33 of the Singapore Patents Act, or if the Singapore Registrar of Patents has given any such directions, all such directions have been revoked. A violation of Section 34 is a criminal offense punishable by a fine not exceeding S$5,000, or imprisonment for a term not exceeding two years, or both. There have been some instances where we have undertaken filings outside of Singapore, and there may be instances where we undertake such filings in the future, without first obtaining written authorization from the Singapore Registrar of Patents. When this has happened in the past, we have notified the Registrar and the Registrar has offered a compound of the offences against payment of a sum of S$50 in each of these cases. Under Singapore law, the Registrar has discretion to offer a compound of such offences against payment of a sum of money of up to S$2,000.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biotechnology and pharmaceutical marketplace is characterized by rapidly advancing technologies, intense competition and a strong emphasis on proprietary products. While we believe that our expertise in oligonucleotides, scientific knowledge and intellectual property estate provide us with competitive advantages, we face potential competition from many different sources, including major pharmaceutical, specialty pharmaceutical and biotechnology companies, academic institutions, governmental agencies and public and private research institutions. Not only must we compete with other companies that are focused on oligonucleotides, but any product candidates that we successfully develop and commercialize will compete with existing therapies and new therapies that may become available in the future.</w:t>
      </w:r>
    </w:p>
    <w:p>
      <w:pPr>
        <w:spacing w:after="0" w:line="19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Many of our competitors may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Huntington’s Disease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are no approved treatments available to slow the progression of HD. We believe, based on publicly available information, that Roche and Ionis (Phase</w:t>
      </w:r>
    </w:p>
    <w:p>
      <w:pPr>
        <w:spacing w:after="0" w:line="46" w:lineRule="exact"/>
        <w:rPr>
          <w:sz w:val="20"/>
          <w:szCs w:val="20"/>
          <w:color w:val="auto"/>
        </w:rPr>
      </w:pPr>
    </w:p>
    <w:p>
      <w:pPr>
        <w:ind w:right="280" w:firstLine="8"/>
        <w:spacing w:after="0" w:line="261" w:lineRule="auto"/>
        <w:tabs>
          <w:tab w:leader="none" w:pos="1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an investigational drug in clinical development and several companies have ongoing preclinical programs in HD, including Sangamo Biosciences, Vaccinex, ProQR, Nuredis, uniQure, Spark Therapeutics, Voyager Therapeutics and PTC Therapeutics.</w:t>
      </w:r>
    </w:p>
    <w:p>
      <w:pPr>
        <w:spacing w:after="0" w:line="18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 number of companies are developing molecules to treat symptoms associated with HD, including, Prana Biotechnology (Phase 2), Omeros Corporation (Phase 2), Stealth BioTherapeutics (Phase 2) Azevan Pharmaceuticals (Phase 2), and Sage (Phase 1), among others.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Sarepta Therapeutics’ Exondys 51 (eteplirsen), an exon skipping nucleic acid therapeutic, was approved by the FDA for the treatment of DMD in the United States in September 2016. The FDA concluded that the data submitted demonstrated an increase in dystrophin production that is reasonably likely to predict clinical benefit in some patients with DMD who have a confirmed mutation of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amenable to exon 51 skipping. No clinical benefit of eteplirsen has been established. Thus, in accordance with the U.S. accelerated approval regulations, the FDA is requiring Sarepta to conduct a clinical trial to verify and describe the drug’s clinical benefit. The required study would need to be designed to assess whether eteplirsen improves motor function of DMD patients with a confirmed mutation of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amenable to exon 51 skipping. If the trial fails to verify clinical benefit, the FDA could initiate proceedings to withdraw approval of the drug. Sarepta submitted a market authorization application in the European Union and received a negative opinion from the EMA’s Committee for Medicinal Products for Human Use (CHMP). That opinion was confirmed by the CHMP after Sarepta requested a re-examination of the application. Sarepta had indicated it plans to seek follow up Scientific Advice to explore the approach to bring eteplirsen to Europe.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9" w:name="page40"/>
    <w:bookmarkEnd w:id="39"/>
    <w:p>
      <w:pPr>
        <w:ind w:right="80"/>
        <w:spacing w:after="0" w:line="273" w:lineRule="auto"/>
        <w:rPr>
          <w:sz w:val="20"/>
          <w:szCs w:val="20"/>
          <w:color w:val="auto"/>
        </w:rPr>
      </w:pPr>
      <w:r>
        <w:rPr>
          <w:rFonts w:ascii="Arial" w:cs="Arial" w:eastAsia="Arial" w:hAnsi="Arial"/>
          <w:sz w:val="17"/>
          <w:szCs w:val="17"/>
          <w:color w:val="auto"/>
        </w:rPr>
        <w:t>PTC Therapeutics markets two approved therapies for DMD, Translarna (atularen) and Emflaza (deflazacort). Atularen was granted conditional market authorization by the EMA in 2014 for the treatment of nonsense mutation DMD for ambulatory patients. In October 2017, PTC Therapeutics received a CRL from the FDA declining to approve their NDA for ataluren. PTC Therapeutics filed a formal dispute resolution request with the FDA appealing this decision. In February 2018, the FDA reiterated their prior position and denied PTC Therapeutics’ appeal and recommended a possible path forward for ataluren based on the accelerated approval pathway. Deflazacort is an oral corticosteroid and was approved by the FDA for use in DMD under the brand name Emflaza in February 2017. PTC Therapeutics acquired the rights to Emflaza in April 2017.</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believe, based on publicly available information, that a number of other companies are developing molecules that may alter the progression of DMD through a variety of mechanisms. Those with programs in clinical development include companies developing exon skipping therapies for multiple additional exons (Sarepta Therapeutics and NS Pharma), gene therapies (Sarepta Therapeutics, Pfizer and Solid Biosciences), and other non-dystrophin targeted therapies (Roche, Catabasis Pharmaceuticals, Intalfarmaco, Capricor Therapeutics, FibroGen, Santhera, Malinckrodt, ReveraGen and Mitobridge). In addition, Exonics Therapeutics is developing CRISPR/Cas9 targeting exon 51 DMD.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Amyotrophic Lateral Sclerosis and Frontotemporal Dementia</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There are two treatments approved in the United States for the treatment of ALS: riluzole, approved in 1995, and edaravone, approved in 2017. There are a number of companies with potential therapeutics for the treatment of ALS in clinical development, including AB Sciences (Phase 3 completed), Orphazyme (Phase3), BrainStorm Cell Therapeutics (Phase 3), Genentech (Phase 1) and ALS TDI (Phase 1). Only one company, Biogen, has initiated a clinical trial targeting </w:t>
      </w:r>
      <w:r>
        <w:rPr>
          <w:rFonts w:ascii="Arial" w:cs="Arial" w:eastAsia="Arial" w:hAnsi="Arial"/>
          <w:sz w:val="18"/>
          <w:szCs w:val="18"/>
          <w:i w:val="1"/>
          <w:iCs w:val="1"/>
          <w:color w:val="auto"/>
        </w:rPr>
        <w:t>C9ORF72</w:t>
      </w:r>
      <w:r>
        <w:rPr>
          <w:rFonts w:ascii="Arial" w:cs="Arial" w:eastAsia="Arial" w:hAnsi="Arial"/>
          <w:sz w:val="18"/>
          <w:szCs w:val="18"/>
          <w:color w:val="auto"/>
        </w:rPr>
        <w:t>.</w:t>
      </w:r>
    </w:p>
    <w:p>
      <w:pPr>
        <w:spacing w:after="0" w:line="187" w:lineRule="exact"/>
        <w:rPr>
          <w:sz w:val="20"/>
          <w:szCs w:val="20"/>
          <w:color w:val="auto"/>
        </w:rPr>
      </w:pPr>
    </w:p>
    <w:p>
      <w:pPr>
        <w:ind w:right="860"/>
        <w:spacing w:after="0" w:line="264" w:lineRule="auto"/>
        <w:rPr>
          <w:sz w:val="20"/>
          <w:szCs w:val="20"/>
          <w:color w:val="auto"/>
        </w:rPr>
      </w:pPr>
      <w:r>
        <w:rPr>
          <w:rFonts w:ascii="Arial" w:cs="Arial" w:eastAsia="Arial" w:hAnsi="Arial"/>
          <w:sz w:val="18"/>
          <w:szCs w:val="18"/>
          <w:color w:val="auto"/>
        </w:rPr>
        <w:t>There are no approved treatments available to slow the progression of FTD. Few companies have investigational therapies in clinical development specifically for FTD. Ionis /Biogen (Phase 1/2a) and AlzProtect (Phase 1) appear to be including FTD in their broader AD or tauopathies clinical development plans.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the FDA’s refusal to approve pending applications, a clinical hold, warning letters, recall or seizure of products, partial or total suspension of production, withdrawal of the product from the market, injunctions, fines, civil penalties or criminal prosecution.</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FDA approval is required before any new drug, such as a new molecular or chemical entity, or a new dosage form, new use or new route of administration of a previously approved product, can be marketed in the United States. The process required by the FDA before a new drug product may be marketed in the United States generally involves:</w:t>
      </w:r>
    </w:p>
    <w:p>
      <w:pPr>
        <w:spacing w:after="0" w:line="73" w:lineRule="exact"/>
        <w:rPr>
          <w:sz w:val="20"/>
          <w:szCs w:val="20"/>
          <w:color w:val="auto"/>
        </w:rPr>
      </w:pPr>
    </w:p>
    <w:p>
      <w:pPr>
        <w:ind w:left="1040" w:right="4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 in compliance with applicable FDA good laboratory practice regulations and other requirements (“GLPs”);</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begin in the United States;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at each site where a clinical trial will be performed before the trial may be initiated at that site;</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(“GCPs”) to establish safety and substantial evidence of effectiveness of the proposed product candidate for each intended use;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thorough characterization of the product candidate and establishment of acceptable standards to assure its purity, identity, strength, quality and stability in compliance with current cGMPs;</w:t>
      </w:r>
    </w:p>
    <w:p>
      <w:pPr>
        <w:spacing w:after="0" w:line="62" w:lineRule="exact"/>
        <w:rPr>
          <w:rFonts w:ascii="Arial" w:cs="Arial" w:eastAsia="Arial" w:hAnsi="Arial"/>
          <w:sz w:val="18"/>
          <w:szCs w:val="18"/>
          <w:color w:val="auto"/>
        </w:rPr>
      </w:pPr>
    </w:p>
    <w:p>
      <w:pPr>
        <w:ind w:left="1040" w:right="8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facility or facilities at which the product is manufactured to assess compliance with cGMPs;</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one or more clinical trial site(s) or the sponsor’s site and/or contract research organization responsible for conduct of key clinical trials in accordance with GCP;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 which must be accepted for filing by the FDA;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completion of an FDA advisory committee review, if applicable;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of user fees, if applicable;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manufacturing development, preclinical and clinical testing, and review process requires substantial time, effort and financial resources. Manufacturing development includes laboratory evaluation of product chemistry, formulation, development of manufacturing and control procedures, evaluation of stability, and the establishment of procedures to ensure continued product quality.</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Nonclinical tests include animal studies to assess the toxicity and other safety characteristics of the product candidate, as well as other important aspects of drug pharmacology. The results of nonclinical tests, together with manufacturing information, analytical data and a proposed clinical trial protocol and other information, are submitted as part of an IND to the FDA. Nonclinical testing continues after the IND is submitted. The IND automatically becomes effective 30 days after receipt by the FDA, unless the FDA, within the 30-day time period, places the IND on a clinical hold. In such a case, the IND sponsor must resolve all outstanding concerns before the clinical trial can begin. As a result, our submission of an IND may not result in FDA authorization to commence a clinical trial. A separate submission to an existing IND must also be made for each successive clinical trial conducted during product development, or if changes are made in trial design. Even if the IND becomes effective and the trial proceeds without initial FDA objection, the FDA may stop the trial at a later time if it has concerns, such as if unacceptable safety risks arise.</w:t>
      </w:r>
    </w:p>
    <w:p>
      <w:pPr>
        <w:spacing w:after="0" w:line="1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Further, an independent IRB at each site proposing to conduct the clinical trial must review and approve the plan for any clinical trial and informed consent information for subjects before the trial commences at that site and it must perform an ongoing review of the research on an annual basis until the trial is completed. The FDA or the sponsor may suspend a clinical trial at any time on various grounds, including a finding that the subjects or patients are being exposed to an unacceptable health risk or that the trials are not being conducted in accordance with GCPs, and an IRB may also suspend a clinical trial at its site for similar reasons.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Clinical trials involve the administration of the product candidate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a clinical trial. For purposes of an NDA submission, human clinical trials are typically conducted in the following sequential phases, which may overlap or be combined:</w:t>
      </w:r>
    </w:p>
    <w:p>
      <w:pPr>
        <w:spacing w:after="0" w:line="46" w:lineRule="exact"/>
        <w:rPr>
          <w:sz w:val="20"/>
          <w:szCs w:val="20"/>
          <w:color w:val="auto"/>
        </w:rPr>
      </w:pPr>
    </w:p>
    <w:p>
      <w:pPr>
        <w:ind w:left="1040" w:right="880" w:hanging="519"/>
        <w:spacing w:after="0" w:line="308"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1. </w:t>
      </w:r>
      <w:r>
        <w:rPr>
          <w:rFonts w:ascii="Arial" w:cs="Arial" w:eastAsia="Arial" w:hAnsi="Arial"/>
          <w:sz w:val="17"/>
          <w:szCs w:val="17"/>
          <w:color w:val="auto"/>
        </w:rPr>
        <w:t>The product is initially introduced into healthy human subjects or patients and tested for safety, dose tolerance, absorption,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metabolism, distribution and excretion and, if possible, to gain an early indication of its effectiveness.</w:t>
      </w:r>
    </w:p>
    <w:p>
      <w:pPr>
        <w:spacing w:after="0" w:line="38" w:lineRule="exact"/>
        <w:rPr>
          <w:rFonts w:ascii="Arial" w:cs="Arial" w:eastAsia="Arial" w:hAnsi="Arial"/>
          <w:sz w:val="17"/>
          <w:szCs w:val="17"/>
          <w:color w:val="auto"/>
        </w:rPr>
      </w:pPr>
    </w:p>
    <w:p>
      <w:pPr>
        <w:ind w:left="1040" w:right="440" w:hanging="519"/>
        <w:spacing w:after="0" w:line="312"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2. </w:t>
      </w:r>
      <w:r>
        <w:rPr>
          <w:rFonts w:ascii="Arial" w:cs="Arial" w:eastAsia="Arial" w:hAnsi="Arial"/>
          <w:sz w:val="16"/>
          <w:szCs w:val="16"/>
          <w:color w:val="auto"/>
        </w:rPr>
        <w:t>The product is administered to a limited patient population to identify possible adverse effects and safety risks, to preliminarily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the efficacy of the product for specific targeted indications and to determine dose tolerance and optimal dosage. Multiple Phase 2 clinical trials may be conducted by the sponsor to obtain information prior to beginning larger and more extensive clinical trials.</w:t>
      </w:r>
    </w:p>
    <w:p>
      <w:pPr>
        <w:spacing w:after="0" w:line="38" w:lineRule="exact"/>
        <w:rPr>
          <w:rFonts w:ascii="Arial" w:cs="Arial" w:eastAsia="Arial" w:hAnsi="Arial"/>
          <w:sz w:val="16"/>
          <w:szCs w:val="16"/>
          <w:color w:val="auto"/>
        </w:rPr>
      </w:pPr>
    </w:p>
    <w:p>
      <w:pPr>
        <w:ind w:left="1040" w:right="120" w:hanging="519"/>
        <w:spacing w:after="0" w:line="279"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These are commonly referred to as pivotal studies. When Phase 2 evaluations demonstrate that a dose range of the product appears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effective and has an acceptable safety profile, trials are undertaken in larger patient populations to further evaluate dosage, to obtain substantial evidence of clinical efficacy and safety, generally at multiple, geographically-dispersed clinical trial sites, to establish the overall risk-benefit relationship of the product and to provide adequate information for approval of the product.</w:t>
      </w:r>
    </w:p>
    <w:p>
      <w:pPr>
        <w:spacing w:after="0" w:line="63" w:lineRule="exact"/>
        <w:rPr>
          <w:rFonts w:ascii="Arial" w:cs="Arial" w:eastAsia="Arial" w:hAnsi="Arial"/>
          <w:sz w:val="17"/>
          <w:szCs w:val="17"/>
          <w:color w:val="auto"/>
        </w:rPr>
      </w:pPr>
    </w:p>
    <w:p>
      <w:pPr>
        <w:ind w:left="1040" w:right="100" w:hanging="519"/>
        <w:spacing w:after="0" w:line="264"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4. </w:t>
      </w:r>
      <w:r>
        <w:rPr>
          <w:rFonts w:ascii="Arial" w:cs="Arial" w:eastAsia="Arial" w:hAnsi="Arial"/>
          <w:sz w:val="18"/>
          <w:szCs w:val="18"/>
          <w:color w:val="auto"/>
        </w:rPr>
        <w:t>In some cases, the FDA may condition approval of an NDA for a product candidate on the sponsor’s agreement to conduct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trials to further assess the product’s safety and effectiveness after NDA approval. Such post-approval trials are typically referred to as Phase 4 studies.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results of product development, nonclinical studies and clinical trials are submitted to the FDA as part of an NDA. NDAs must also contain extensive information relating to the product’s pharmacology, chemistry, manufacturing and controls and proposed labeling, among other things.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some products, the FDA may require a Risk Evaluation and Mitigation Strategy (“REMS”), which could include measures imposed by the FDA such as programs to communicate risk outside of labeling, prescribing restrictions, or certain restrictions on distribution and use.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federal law, the submission of most NDAs is subject to a substantial application user fee, and the manufacturer and/or sponsor under an approved NDA are also subject to annual Prescription Drug User Fee Act (“PDUFA”) program fees. 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Any resubmitted application is also subject to 60-day review before the FDA accepts it for filing.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ind w:right="120"/>
        <w:spacing w:after="0" w:line="276" w:lineRule="auto"/>
        <w:rPr>
          <w:sz w:val="20"/>
          <w:szCs w:val="20"/>
          <w:color w:val="auto"/>
        </w:rPr>
      </w:pPr>
      <w:r>
        <w:rPr>
          <w:rFonts w:ascii="Arial" w:cs="Arial" w:eastAsia="Arial" w:hAnsi="Arial"/>
          <w:sz w:val="17"/>
          <w:szCs w:val="17"/>
          <w:color w:val="auto"/>
        </w:rPr>
        <w:t>Once the submission has been accepted for filing, the FDA begins an in-depth review. Under the PDUFA, first the FDA agrees to specific performance goals for NDA review time through a two-tiered classification system, Standard Review and Priority Review. Standard Review for an NDA for a new molecular entity (“NME”) has a goal of being completed within a ten-month timeframe from FDA filing of the application. A Priority Review designation is given to products intended for serious conditions that provide a significant improvement in safety or effectiveness, such as providing a treatment where no adequate therapy exists. The goal for completing a Priority Review for an NME NDA is six months from filing.</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review process may be extended by the FDA by three months from the goal date to consider certain information or obtain clarification regarding information already provided in the submission. The FDA may refer applications for novel products or products which present difficult questions of safety or efficacy to an advisory committee for review, evaluation and recommendation as to whether the application should be approved and under what conditions. The FDA is not bound by the recommendation of an advisory committee, but it considers such recommendations carefully when making decisions.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Before approving an NDA, the FDA may inspect the facility or facilities where the product is manufactured. The FDA will not approve an application unless it determines that the manufacturing processes and facilities are in compliance with cGMP. The FDA may also inspect one or more of the clinical sites where pivotal trials were conducted and the contract research organization facilities with oversight of the trial, in order to ensure compliance with GCP and the integrity of the study data.</w:t>
      </w:r>
    </w:p>
    <w:p>
      <w:pPr>
        <w:spacing w:after="0" w:line="21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After the FDA evaluates the NDA, it may issue an approval letter or a CRL, to indicate that the review cycle for an application is complete and that the application is not ready for approval. CRLs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product with specific prescribing information for specific indications.</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power to prevent or limit further marketing of a product based on the results of these post-marketing programs. Products may be marketed only for the approved indications and in accordance with the provisions of the approved label and, even if the FDA approves a product, the FDA may limit the approved indications for use for the product or impose other conditions, including labeling or distribution restrictions or other risk- management mechanisms, such as a Boxed Warning, which highlights a serious safety concern that should be mitigated under a REMS program. Further, if there are any modifications to the product, including changes in indications, labeling, or manufacturing processes or facilities, a company is generally required to submit and obtain FDA approval of a supplemental NDA, which may require the company to develop additional data or conduct additional nonclinical studies and clinical trials.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and Approval</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 has various programs, including Fast Track, priority review, and accelerated approval, which are intended to expedite or simplify the process for reviewing drugs, and/or provide for approval on the basis of surrogate endpoints. Even if a drug qualifies for one or more of these programs, the FDA may later decide that the drug no longer meets the conditions for qualification or that the time period for FDA review or approval will not be shortened. Drugs that may be eligible for these programs are those for serious or life-threatening conditions, generally those with the potential to address unmet medical needs, or that offer meaningful benefits over existing treatments. For example, Fast Track is a process designed to facilitate the development, and expedite the review, of drugs to treat serious diseases and fill an unmet medical need. Priority review, which is requested at the time of NDA submission, is designed to give drugs that offer major advances in treatment, or provide a treatment where no adequate therapy exists, an initial review within six months from the time of filing as compared to a standard review time of ten months. Although Fast Track and priority review do not affect the standards for approval, the FDA will attempt to facilitate early and frequent meetings with a sponsor of a Fast Track designated drug and expedite review of the application for a drug designated for priority review. Accelerated approval provides an earlier approval of drugs to treat serious diseases, and that fill an unmet medical need based on a surrogate endpoint. As a condition of accelerated approval, the FDA will require that a sponsor of a drug receiving accelerated approval perform post-marketing clinical trials to confirm that the drug confers a clinical benefit for the patient.</w:t>
      </w:r>
    </w:p>
    <w:p>
      <w:pPr>
        <w:spacing w:after="0" w:line="18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Under the Food and Drug Administration Safety and Innovation Act (“FDASIA”), one of the expedited programs added is that for Breakthrough Therapy. A Breakthrough Therapy designation is designed to expedite the development and review of drugs that are intended to treat a serious condition where preliminary clinical evidence indicates that the drug may demonstrate substantial improvement over available therapy on a clinically significant endpoint(s). A drug that receives Breakthrough Therapy designation is eligible for all Fast Track designation features, intensive guidance on an efficient drug development program, beginning as early as Phase 1 and commitment from the FDA involving senior managers.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Modernizing Trial Design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FDA sometimes initiates pilot programs to facilitate communication or other aspects of development to help advance approval of new drugs. In August 2018, the FDA announced the establishment of a Complex Innovative Trial Design (“CID”) Pilot Meeting Program (“CID pilot program”) to facilitate the use of CID approaches in late-stage drug development and promote innovation by allowing the FDA to publicly discuss the trial designs considered through the pilot program, including for medical products that have not yet been approved by the FDA. </w:t>
      </w:r>
      <w:r>
        <w:rPr>
          <w:rFonts w:ascii="Arial" w:cs="Arial" w:eastAsia="Arial" w:hAnsi="Arial"/>
          <w:sz w:val="18"/>
          <w:szCs w:val="18"/>
          <w:color w:val="333333"/>
        </w:rPr>
        <w:t>Under the CID pilot program, the FDA will accept two applicants per</w:t>
      </w:r>
      <w:r>
        <w:rPr>
          <w:rFonts w:ascii="Arial" w:cs="Arial" w:eastAsia="Arial" w:hAnsi="Arial"/>
          <w:sz w:val="18"/>
          <w:szCs w:val="18"/>
          <w:color w:val="auto"/>
        </w:rPr>
        <w:t xml:space="preserve"> </w:t>
      </w:r>
      <w:r>
        <w:rPr>
          <w:rFonts w:ascii="Arial" w:cs="Arial" w:eastAsia="Arial" w:hAnsi="Arial"/>
          <w:sz w:val="18"/>
          <w:szCs w:val="18"/>
          <w:color w:val="333333"/>
        </w:rPr>
        <w:t xml:space="preserve">quarter. For each meeting request granted as part of the pilot, the FDA will conduct an initial meeting and a follow-up meeting on the same CID and medical product within a span of approximately 120 days. </w:t>
      </w:r>
      <w:r>
        <w:rPr>
          <w:rFonts w:ascii="Arial" w:cs="Arial" w:eastAsia="Arial" w:hAnsi="Arial"/>
          <w:sz w:val="18"/>
          <w:szCs w:val="18"/>
          <w:color w:val="000000"/>
        </w:rPr>
        <w:t>In January 2019, we announced that the planned Phase 2/3 clinical trial of suvodirsen for DMD was the first</w:t>
      </w:r>
      <w:r>
        <w:rPr>
          <w:rFonts w:ascii="Arial" w:cs="Arial" w:eastAsia="Arial" w:hAnsi="Arial"/>
          <w:sz w:val="18"/>
          <w:szCs w:val="18"/>
          <w:color w:val="333333"/>
        </w:rPr>
        <w:t xml:space="preserve"> </w:t>
      </w:r>
      <w:r>
        <w:rPr>
          <w:rFonts w:ascii="Arial" w:cs="Arial" w:eastAsia="Arial" w:hAnsi="Arial"/>
          <w:sz w:val="18"/>
          <w:szCs w:val="18"/>
          <w:color w:val="000000"/>
        </w:rPr>
        <w:t>trial selected for the CID pilot program.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Once an NDA is approved, a product will be subject to continuing regulation by the FDA, including, among other things, requirements relating to safety surveillance and adverse event reporting, periodic reporting, continued cGMP compliance and quality oversight, compliance with post-marketing commitments, recordkeeping, advertising and promotion, and reporting manufacturing and labeling changes, as applicable.</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some state agencies and are subject to periodic unannounced inspections by the FDA for assessment of compliance with cGMPs. Changes to the manufacturing process are strictly regulated and often require prior FDA approval before being implemented. FDA regulations also require investigation and correction, and sometimes notification of, any deviations from cGMP. These regulations impose reporting and documentation requirements on the sponsor and any third-party manufacturers that we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Discovery of previously unknown problems with a product, including adverse events of unlisted severity or frequency, or with manufacturing processes, or failure to comply with regulatory requirements such as noncompliance with cGMP or failure to correct previously identified inspection findings, may result in, among other things:</w:t>
      </w:r>
    </w:p>
    <w:p>
      <w:pPr>
        <w:spacing w:after="0" w:line="79" w:lineRule="exact"/>
        <w:rPr>
          <w:sz w:val="20"/>
          <w:szCs w:val="20"/>
          <w:color w:val="auto"/>
        </w:rPr>
      </w:pPr>
    </w:p>
    <w:p>
      <w:pPr>
        <w:ind w:left="1040" w:right="2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field alerts, restrictions on the marketing or manufacturing of the product, product recalls, or complete withdrawal of the product from the market;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 using the product or other products manufactured at the same facility;</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 consent decrees, or the imposition of civil or criminal penalties.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While physicians may generally prescribe a drug for off-label uses, manufacturers may only promote the drug in accordance with the data provided in the approved product label. The FDA and other agencies actively enforce the laws and regulations prohibiting the promotion of off-label uses, and a company that is found to have promoted false and misleading information about the product may be subject to significant liability, both at the federal and state levels.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FDA has authority to require a REMS from manufacturers to ensure that the benefits of a drug or biological product outweigh its risks. In determining whether a REMS is necessary, the FDA may consider the size of the population likely to use the drug, the seriousness of the disease or condition to be treated, the expected benefit of the drug, the duration of treatment, the seriousness of known or potential adverse events, and whether the drug is an NME. If the FDA determines a REMS is necessary, the drug sponsor must agree to the REMS plan at the time of approval, or at a later date should significant new risk information come to light. A REMS may be required to include various elements, such as a medication guide, a communication plan to educate healthcare providers of the drug’s risks, limitations on who may prescribe or dispense the drug, or other elements to assure safe use that the FDA deems necessary to assure the benefits of use of the drug outweigh its risks. In addition, the REMS must include a timetable to assess the strategy, often at 18 months, 3 years, and 7 years after the strategy’s approval. The FDA may also impose a REMS requirement on a drug already on the market if the FDA determines, based on new safety information, that a REMS is necessary to ensure that the drug’s benefits outweigh its risks.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defined as one affecting fewer than 200,000 individuals in the United States or more than 200,000 individuals where there is no reasonable expectation that the product development cost will be recovered from product sales in the United States. Orphan drug designation must be requested before submitting an NDA. After the FDA grants orphan drug designation, the identity of the drug and its potential orphan use will be disclosed publicly by the FDA; the posting will also indicate whether a drug is no longer designated as an orphan drug. More than one product candidate may receive an orphan drug designation for the same indication. Orphan drug designation does not convey any advantage in or shorten the duration of the regulatory review and approval process.</w:t>
      </w:r>
    </w:p>
    <w:p>
      <w:pPr>
        <w:spacing w:after="0" w:line="16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If an orphan drug-designated product subsequently receives FDA approval for the disease for which it was designed, the product will be entitled to seven years of product exclusivity, which means that the FDA may not approve any other applications to market the same drug for the same indication, except in very limited circumstances, for seven years. If a competitor obtains approval of the same drug, as defined by the FDA, or if our product candidate is determined to be the same drug as a competitor’s product for the same indication or disease, the competitor’s exclusivity could block the approval of our product candidate in the designated orphan indication for seven years, unless our product is demonstrated to be clinically superior to the competitor’s drug.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Orphan Drug Designation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European Union (the “EU”), orphan drug designation by the European Commission (the “EC”) provides regulatory and financial incentives for companies to develop and market therapies that treat a life-threatening or chronically debilitating condition affecting no more than five in 10,000 persons in the EU, and where no satisfactory treatment is available, or if such treatment is available, there is the potential for the new drug to provide significant benefit. To be considered for orphan drug designation in the EU, companies must provide data that demonstrate the plausibility for use of the investigational therapy in the treatment of the disease and establish that the drug has the potential to provide relevant advantages or a major contribution to patient care over existing therapies. Additionally, designation is granted for products intended for the diagnosis, prevention, or treatment of a life-threatening, seriously debilitating or serious and chronic condition and when, without incentives, it is unlikely that sales of the drug in the EU would be sufficient to justify the necessary investment in developing the medicinal product.</w:t>
      </w:r>
    </w:p>
    <w:p>
      <w:pPr>
        <w:spacing w:after="0" w:line="1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Among the incentives available to medicines designated as orphan drugs by the EC are ten-year market exclusivity in the EU after product approval, eligibility for conditional marketing authorization, protocol assistance from the European Medicines Agency at reduced fees during the product development phase and direct access to centralized marketing authorization in the EU. This period may be reduced to six years if the orphan drug designation criteria are no longer met, including where it is shown that the product is sufficiently profitable not to justify maintenance of market exclusivity. In addition,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of the product. Marketing authorization may also be granted to a similar medicinal product with the same orphan indication if the similar product is deemed safer, more effective or otherwise clinically superior to the original orphan medicinal product. Orphan drug designation must be requested before submitting an application for marketing authorization. Orphan drug designation does not, in itself, convey any advantage in, or shorten the duration of, the regulatory review and authorization process.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Exclusivity and Pediatric Use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Best Pharmaceuticals for Children Act (“BPCA”) provides NDA holders a six-month period of exclusivity attached to any other exclusivity listed with FDA—patent or non-patent—for a drug if certain conditions are met. Conditions for pediatric exclusivity include a determination by the FDA that information relating to the use of a new drug in the pediatric population may produce health benefits in that population; a written request by the FDA for pediatric studies; and agreement by the applicant to perform the requested studies and the submission to the FDA, completion of the studies in accordance with the written request, and the acceptance by the FDA, of the reports of the requested studies within the statutory timeframe. Applications under the BPCA are treated as priority applications.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under the Pediatric Research Equity Act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unless the sponsor has received a deferral or waiver from the FDA. Unless otherwise required by regulation, PREA does not apply to any drug for an indication for which orphan designation has been granted.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extension must be made prior to the expiration of the patent. The United States Patent and Trademark Office,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Vitro Diagnostic Tests for Biomarkers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For some of our product candidates, we plan to work with collaborators to develop or obtain access to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tests to identify appropriate patients for these targeted therapies. If a sponsor or the FDA believes that a diagnostic test is essential for the safe and effective use of a corresponding therapeutic product, a sponsor will typically work with a collaborator to develop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(“IVD”). IVDs are regulated by the FDA as medical devices, and it issued final and draft guidance documents that are intended to assist companies developing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devices and companies developing therapeutic products that depend on the use of a specific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for the safe and effective use of the product.</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two primary types of marketing pathways for medical devices are clearance of a premarket notification under Section 510(k) of the Federal Food, Drug, and Cosmetic Act, or 510(k), and approval of a premarket approval application, or PMA. If a company is required to perform clinical trials for the IVD diagnostic, and the IVD is viewed as a significant risk device, the sponsor will have to submit an investigational device exemption application, or IDE. If the diagnostic test and the therapeutic drug are studied together to support their respective approvals, the clinical trial must meet both the IDE and IND requirements.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FDA expects that the therapeutic sponsor will address the need for an IVD companion diagnostic device in its therapeutic product development plan and that, in most cases, the therapeutic product and its corresponding IVD companion diagnostic device will be developed contemporaneously. If the companion diagnostic test will be used to make critical treatment decisions such as patient selection, treatment assignment, or treatment arm, it will likely be considered a significant risk device for which a clinical trial will be required. After approval, the use of an IVD companion diagnostic device with a therapeutic product will be stipulated in the instructions for use in the labeling of both the diagnostic device and the corresponding therapeutic product. In addition, a diagnostic test that was approved through the PMA process or one that was cleared through the 510(k) process and placed on the market will be subject to many of the same regulatory requirements that apply to approved drugs.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currently do not have any products on the market, we will be subject to additional healthcare regulation and enforcement by the federal government and by authorities in the states and other countries in which we conduct our business after a product is approved and commercialized. Such laws include, without limitation, state and federal anti-kickback, fraud and abuse, false claims, privacy and security and physician sunshine laws and regulations.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Political, economic and regulatory influences are subjecting the healthcare industry in the United States to fundamental changes. There have been, and we expect there will continue to be, legislative and regulatory proposals to change the healthcare system in ways that could significantly affect our future business. For example, the Patient Protection and Affordable Care Act, as amended by the Health Care and Education Affordability Reconciliation Act (collectively the “ACA”), substantially changed the way healthcare is financed by both governmental and private insurers. The ACA was designed to expand coverage for the uninsured while at the same time containing overall healthcare costs. With regard to pharmaceutical products, among other things, the ACA expanded and increased industry rebates for drugs covered under Medicaid programs and made changes to the coverage requirements under the Medicare prescription drug benefit. Since its enactment, there have been judicial and Congressional challenges to certain aspects of the ACA. Both Congress and President Trump have expressed their intention to repeal or repeal and replace the ACA, and as a result certain sections of the ACA have not been fully implemented or effectively repealed. The uncertainty around the future of the ACA, and in particular the impact to reimbursement levels, may lead to uncertainty or delay in the purchasing decisions of our customers, which may in turn negatively impact our product sales. If there are not adequate reimbursement levels, our business and results of operations could be adversely affected. We continue to evaluate the effect that the ACA has or any potential changes to the ACA could have on our business. We expect that healthcare reform measures that may be adopted in the future may result in more rigorous coverage criteria and lower reimbursement, and in additional downward pressure on the price that may be charged for any of our product candidates, if approved. These and other potential legislative and regulatory changes could be made to governmental health programs that could significantly impact pharmaceutical companies and the success of our product candidates. The ACA, as well as other federal, state and foreign healthcare reform measures that have been and may be adopted in the future, could harm our future revenues.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Sales of our products, when and if approved for marketing, will depend, in part, on the extent to which our products will be covered by third-party payors, such as federal, state, and foreign government healthcare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Limited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Requirements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and our third-party manufacturers must comply with applicable cGMP requirements. The cGMP requirements include requirements relating to, among other things,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requirements to the satisfaction of the FDA pursuant to a pre-approval inspection before we can use them to manufacture commercial products. We and our third-party manufacturers are also subject to periodic unannounced inspections of facilities by the FDA and other authorities, including procedures and operations used in the testing and manufacture of our products to assess our compliance with applicable regulations. Failure to comply with statutory and regulatory requirements subjects a manufacturer to possible legal or regulatory action, including, among other things, warning letters, voluntary corrective action, the seizure of products, injunctions, consent decrees placing significant restrictions on or suspending manufacturing operations, disgorgement of profits, and other civil and criminal penalties.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1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powers, including, among other things, the ability to levy fines and civil penalties, suspend or delay issuance of approvals, seize or recall products, and withdraw approvals, any one or more of which could have an adverse effect on our ability to operate our business and generate revenues. Compliance with applicable environmental laws and regulations is expensive, and current or future environmental regulations may impair our research, development and production efforts, which could harm our business, operating results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of December 31, 2018, we employed 250 full-time employees. A significant number of our management and professional employees have had prior experience with pharmaceutical, biotechnology or medical product companies. Management considers relations with our employees to be good.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were incorporated under the name Wave Life Sciences Pte. Ltd. (Registration No.: 201218209G) under the laws of Singapore on July 23, 2012. On November 16, 2015, we closed our initial public offering. In preparation for our initial public offering, on November 5, 2015, Wave Life Sciences Pte. Ltd. converted from a private limited company to a public limited company known as Wave Life Sciences Ltd. (“Wave”). Wave has four wholly-owned subsidiaries: Wave Life Sciences USA, Inc. (“Wave USA”), a Delaware corporation (formerly Ontorii, Inc.); Wave Life Sciences Japan, Inc. (“Wave Japan”), a company organized under the laws of Japan (formerly Chiralgen., Ltd.); Wave Life Sciences Ireland Limited (“Wave Ireland”), a company organized under the laws of Ireland; and Wave Life Sciences UK Limited (“Wave UK”), a company organized under the laws of the United Kingdom.</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registered office is located at 7 Straits View #12-00, Marina One East Tower, Singapore 018936, and our telephone number at that address is +65 6236 3388. Our principal office for Wave USA is located at 733 Concord Avenue, Cambridge, MA 02138, and our telephone number at that address is +1-617-949-</w:t>
      </w:r>
    </w:p>
    <w:p>
      <w:pPr>
        <w:ind w:right="20"/>
        <w:spacing w:after="0" w:line="255" w:lineRule="auto"/>
        <w:rPr>
          <w:sz w:val="20"/>
          <w:szCs w:val="20"/>
          <w:color w:val="auto"/>
        </w:rPr>
      </w:pPr>
      <w:r>
        <w:rPr>
          <w:rFonts w:ascii="Arial" w:cs="Arial" w:eastAsia="Arial" w:hAnsi="Arial"/>
          <w:sz w:val="18"/>
          <w:szCs w:val="18"/>
          <w:color w:val="auto"/>
        </w:rPr>
        <w:t>2900. Our registered office for Wave Japan is 2438 Miyanoura-cho, Kagoshima-shi, Kagoshima pref. 891-1394, Japan. Our registered office for Wave Ireland is One Spencer Dock, North Wall Quay, Dublin 1, Ireland. Our registered office for Wave UK is Hays Galleria, 1 Hays Lane, London, SE1 2RD, United Kingdom.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Internet website address is http://www.wavelifesciences.com. The information contained on, or that can be accessed through, our website is not a part of, or incorporated by, reference in this Annual Report on Form 10-K. We have included our website address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“For Investors &amp; Media – Financial Information” section of our website as soon as reasonably practicable after we electronically file such reports with, or furnish such reports to, the Securities and Exchange Commission (“SEC”). We also make available, free of charge on our website, the reports filed with the SEC by our executive officers, directors and 10% shareholders pursuant to Section 16 under the Exchange Act as soon as reasonably practicable after copies of those filings are filed with the SEC. You can review our electronically filed reports and other information that we file with the SEC on the SEC’s website at http://www.sec.gov.</w:t>
      </w:r>
    </w:p>
    <w:p>
      <w:pPr>
        <w:spacing w:after="0" w:line="18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addition, we regularly use our website to post information regarding our business and governance, and we encourage investors to use our website, particularly the information in the section entitled “For Investors &amp; Media,” as a source of information about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 10-K occurs, our business, operating results and financial condition could be seriously harmed and the trading price of our ordinary shares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Requirements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 clinical-stage genetic medicines company with a history of losses, and we expect to continue to incur losses for the foreseeable future, and we may never achieve or maintain profitability.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are a clinical-stage genetic medicines company and have incurred significant operating losses since our incorporation in 2012. Our net loss was</w:t>
      </w:r>
    </w:p>
    <w:p>
      <w:pPr>
        <w:spacing w:after="0" w:line="3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$146.7 million, $102.0 million and $55.7 million for the fiscal years ended December 31, 2018, 2017 and 2016, respectively. As of December 31, 2018 and December 31, 2017, we had an accumulated deficit of $339.7 million and $192.7 million, respectively. To date, we have not generated any product revenue. Substantially all of our losses have resulted from expenses incurred in connection with our research and development programs and from general and administrative costs associated with our operations. We currently have no products on the market and expect that it may be many years, if ever, before we have a product candidate ready for commercialization. We are conducting clinical trials of our lead program in Duchenne muscular dystrophy (“DMD”) targeting exon 51 and our two lead programs in Huntington’s disease (“HD”). We expect to deliver topline clinical data for our two lead HD programs in the first half of 2019 and interim dystrophin data for suvodirsen in the second half of 2019.</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not generated, and do not expect to generate, any product revenue for the foreseeable future, and we expect to continue to incur significant operating losses for the foreseeable future due to the cost of research and development, manufacturing, preclinical studies and clinical trials and the regulatory review process for product candidates. The amount of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our shareholders to lose all or part of their investment.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have used substantial funds to develop our programs and PRISM, our proprietary discovery and drug development platform, and will require substantial funds to conduct further research and development, including preclinical studies and clinical trials of our product candidates, seek regulatory approvals for our product candidates and manufacture and market any products that are approved for commercial sale. We believe that our existing cash and cash equivalents will be sufficient to fund our operations for at least the next 12 months.</w:t>
      </w:r>
    </w:p>
    <w:p>
      <w:pPr>
        <w:spacing w:after="0" w:line="21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future capital requirements and the period for which we expect our existing resources to support our operations may vary significantly from what we expect. We do not expect to realize any appreciable revenue from product sales or royalties in the foreseeable future, if at all. Our revenue sources will remain extremely limited unless and until our product candidates complete clinical development and are approved for commercialization and successfully marketed.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 but not limited to, the following:</w:t>
      </w:r>
    </w:p>
    <w:p>
      <w:pPr>
        <w:spacing w:after="0" w:line="117"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monthly spending levels, based on new and ongoing development and corporate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and clinical development for our product candidates;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 arrangements, and whether our collaboration partners decide to exercise option rights in connection with targets and development programs;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8" w:name="page49"/>
    <w:bookmarkEnd w:id="48"/>
    <w:p>
      <w:pPr>
        <w:ind w:left="1040" w:right="520" w:hanging="519"/>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achievement of milestones and other development targets that trigger payments under our collaborations with Takeda Pharmaceutical Company Limited (“Takeda”) and Pfizer Inc. (“Pfizer”), or any other strategic collaborations into which we may enter;</w:t>
      </w:r>
    </w:p>
    <w:p>
      <w:pPr>
        <w:spacing w:after="0" w:line="15" w:lineRule="exact"/>
        <w:rPr>
          <w:rFonts w:ascii="Arial" w:cs="Arial" w:eastAsia="Arial" w:hAnsi="Arial"/>
          <w:sz w:val="16"/>
          <w:szCs w:val="16"/>
          <w:color w:val="auto"/>
        </w:rPr>
      </w:pPr>
    </w:p>
    <w:p>
      <w:pPr>
        <w:ind w:left="1040" w:right="12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or expenses and other costs and expenses associated with research and preclinical and clinical activities under our collaboration with Takeda, or any other future collaboration agreements, if any; and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internally or with third parties for drug supply.</w:t>
      </w:r>
    </w:p>
    <w:p>
      <w:pPr>
        <w:spacing w:after="0" w:line="225" w:lineRule="exact"/>
        <w:rPr>
          <w:sz w:val="20"/>
          <w:szCs w:val="20"/>
          <w:color w:val="auto"/>
        </w:rPr>
      </w:pPr>
    </w:p>
    <w:p>
      <w:pPr>
        <w:ind w:right="40"/>
        <w:spacing w:after="0" w:line="217" w:lineRule="exact"/>
        <w:rPr>
          <w:sz w:val="20"/>
          <w:szCs w:val="20"/>
          <w:color w:val="auto"/>
        </w:rPr>
      </w:pPr>
      <w:r>
        <w:rPr>
          <w:rFonts w:ascii="Arial" w:cs="Arial" w:eastAsia="Arial" w:hAnsi="Arial"/>
          <w:sz w:val="17"/>
          <w:szCs w:val="17"/>
          <w:color w:val="auto"/>
        </w:rPr>
        <w:t>To date, we have primarily financed our operations through sales of our securities and our collaborations with third parties. As a privately held company, we received an aggregate of $89.3 million from the sale of our securities. As a publicly traded company, through March 1, 2019, we have received an aggregate of $384.5 million in gross proceeds from public offerings of our securities, or approximately $355.5 million in net proceeds, including gross proceeds of $111.9 million from our November 2015 initial public offering, $100.0 million from our April 2017 follow-on public offering and $172.6 million from our January 2019 follow</w:t>
      </w:r>
      <w:r>
        <w:rPr>
          <w:rFonts w:ascii="MS PGothic" w:cs="MS PGothic" w:eastAsia="MS PGothic" w:hAnsi="MS PGothic"/>
          <w:sz w:val="17"/>
          <w:szCs w:val="17"/>
          <w:color w:val="auto"/>
        </w:rPr>
        <w:t>‑</w:t>
      </w:r>
      <w:r>
        <w:rPr>
          <w:rFonts w:ascii="Arial" w:cs="Arial" w:eastAsia="Arial" w:hAnsi="Arial"/>
          <w:sz w:val="17"/>
          <w:szCs w:val="17"/>
          <w:color w:val="auto"/>
        </w:rPr>
        <w:t>on public offering. In addition, we have received (or are due to receive) an aggregate of $270.0 million in equity investments, upfront and committed payments under our collaborations with Takeda and Pfizer, exclusive of any potential future milestone and royalty payments. We intend to seek additional funding in the future through collaborations, public or private equity offerings or debt financings, credit or loan facilities or a combination of one or more of these financing sources. As of March 1, 2019, we have approximately $227.4 million of our securities registered and available for sale under our existing shelf registration statement that was declared effective by the SEC on February 6, 2017 and will remain in effect for three years from that date. In addition, for so long as we continue to satisfy the requirements of a “well-known seasoned issuer” under SEC rules, we may file an automatic shelf registration statement, which would become effective immediately upon filing and would provide us with immediate access to the capital markets to sell our securities from time to time.</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we may have to delay, limit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management has broad discretion over the use of proceeds received from sales of our securities and our collaborations with third parties and the proceeds may not be used effectively.</w:t>
      </w:r>
    </w:p>
    <w:p>
      <w:pPr>
        <w:spacing w:after="0" w:line="6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management has broad discretion as to the use of proceeds we receive from conducting sales of our securities and our collaborations with third parties and could use the proceeds for purposes other than those contemplated at the time of such transactions. It is also possible that the proceeds we have received, or may receive, from securities sales and collaborations will be invested in a way that does not yield a favorable, or any, return for us.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shareholders to evaluate the success of our business to date and to assess our future viability.</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clinical-stage genetic medicines company with a limited operating history. We commenced active operations in 2012. Our operations to date have been limited to organizing and staffing our company, research and development activities, manufacturing, preclinical and clinical development, patient advocacy activities, business planning and raising capital. Prior to 2017, all of our product candidates were in the preclinical development stage. We are conducting clinical trials of our lead program in DMD targeting exon 51 and our two lead programs in HD. We expect to deliver topline clinical data for our two lead HD programs in the first half of 2019 and interim dystrophin data for suvodirsen in the second half of 2019. We have not yet demonstrated our ability to successfully complete pivotal clinical trials, obtain marketing approvals, or conduct sales and marketing activities necessary for successful product commercialization. We have limited experience manufacturing our products at commercial scale or arranging for a third party to do so on our behalf. Typically, it takes many years to develop and commercialize a therapeutic from the time it is discovered to when it is available for treating patients. Further, drug development is a capital-intensive and highly speculative undertaking that involves a substantial degree of risk. You should consider our prospects in light of the costs, uncertainties, delays and difficulties frequently encountered by biotechnology companies in the early stages of clinical development, such as ours. Any predictions about our future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ind w:right="80"/>
        <w:spacing w:after="0" w:line="277" w:lineRule="auto"/>
        <w:rPr>
          <w:sz w:val="20"/>
          <w:szCs w:val="20"/>
          <w:color w:val="auto"/>
        </w:rPr>
      </w:pPr>
      <w:r>
        <w:rPr>
          <w:rFonts w:ascii="Arial" w:cs="Arial" w:eastAsia="Arial" w:hAnsi="Arial"/>
          <w:sz w:val="18"/>
          <w:szCs w:val="18"/>
          <w:color w:val="auto"/>
        </w:rPr>
        <w:t>success or viability may not be as accurate as they could be if we had a longer operating history or a history of successfully developing and commercializing pharmaceutical products.</w:t>
      </w:r>
    </w:p>
    <w:p>
      <w:pPr>
        <w:spacing w:after="0" w:line="17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factors, including risks and uncertainties associated with any of our current or future collaboration partners. We are transitioning from a company primarily with a research focus to a company capable of supporting multiple clinical trials and commercial preparation activities. We may not be successful in this transition.</w:t>
      </w:r>
    </w:p>
    <w:p>
      <w:pPr>
        <w:spacing w:after="0" w:line="270" w:lineRule="exact"/>
        <w:rPr>
          <w:sz w:val="20"/>
          <w:szCs w:val="20"/>
          <w:color w:val="auto"/>
        </w:rPr>
      </w:pPr>
    </w:p>
    <w:p>
      <w:pPr>
        <w:ind w:right="2360"/>
        <w:spacing w:after="0" w:line="425" w:lineRule="auto"/>
        <w:rPr>
          <w:sz w:val="20"/>
          <w:szCs w:val="20"/>
          <w:color w:val="auto"/>
        </w:rPr>
      </w:pPr>
      <w:r>
        <w:rPr>
          <w:rFonts w:ascii="Arial" w:cs="Arial" w:eastAsia="Arial" w:hAnsi="Arial"/>
          <w:sz w:val="16"/>
          <w:szCs w:val="16"/>
          <w:b w:val="1"/>
          <w:bCs w:val="1"/>
          <w:color w:val="auto"/>
        </w:rPr>
        <w:t xml:space="preserve">Risks Related to the Discovery, Manufacturing, Development and Commercialization of Our Product Candidates </w:t>
      </w:r>
      <w:r>
        <w:rPr>
          <w:rFonts w:ascii="Arial" w:cs="Arial" w:eastAsia="Arial" w:hAnsi="Arial"/>
          <w:sz w:val="16"/>
          <w:szCs w:val="16"/>
          <w:b w:val="1"/>
          <w:bCs w:val="1"/>
          <w:i w:val="1"/>
          <w:iCs w:val="1"/>
          <w:color w:val="auto"/>
        </w:rPr>
        <w:t>The approach we are taking to discover and develop oligonucleotides is novel and may never lead to marketable products.</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concentrated our efforts and research and development activities on oligonucleotides and enhancing PRISM. PRISM, our proprietary discovery and drug development platform, enables us to target genetically defined diseases with stereopure oligonucleotides across multiple therapeutic modalities. Our future success depends on the successful development of stereopure oligonucleotides and the effectiveness of PRISM. The scientific discoveries that form the basis for our efforts to discover and develop new product candidates, including our discoveries about the relationships between oligonucleotide stereochemistry and pharmacology, are relatively new. PRISM combines our unique ability to control backbone stereochemistry to create stereopure oligonucleotides and our deep knowledge of how the interplay among oligonucleotide sequence, chemistry and backbone stereochemistry impacts key properties. The scientific evidence to support the feasibility of developing medicines based on these discoveries is limited. Skepticism as to the feasibility of developing oligonucleotides generally has been, and may continue to be, expressed in scientific literature. In addition, decisions by other companies with respect to their oligonucleotide development efforts may increase skepticism in the marketplace regarding the potential for oligonucleotides.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Relatively few oligonucleotides have been tested in humans, and a number of clinical trials for such product candidates conducted by other companies have not been successful. Few oligonucleotides have received regulatory approval. The pharmacological properties ascribed to the investigational compounds we are testing in laboratory studies may not be positively demonstrated in clinical trials in patients, and they may interact with human biological systems in unforeseen, ineffective or harmful ways. If our product candidates prove to be ineffective, unsafe or commercially unviable, PRISM and our pipeline would have little, if any, value, which would substantially harm our business, financial condition, results of operations and prospects. In addition, our approach, which focuses on using oligonucleotides for drug development, as opposed to multiple or other, more advanced proven technologies, may expose us to additional financial risks and make it more difficult to raise additional capital if we are not successful in developing one or more oligonucleotides that receive regulatory approval.</w:t>
      </w:r>
    </w:p>
    <w:p>
      <w:pPr>
        <w:spacing w:after="0" w:line="30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we are developing oligonucleotides, which are considered a relatively new class of drugs, there is increased risk that the outcome of our clinical trials will not be sufficient to obtain regulatory approval.</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U.S. Food and Drug Administration (“FDA”) and other ex-U.S. regulatory agencies have relatively limited experience with oligonucleotides, which may increase the complexity, uncertainty and length of the regulatory review process for our product candidates. To date, the FDA has approved few oligonucleotides for marketing and commercialization, and the FDA and its foreign counterparts have not yet established any definitive policies, practices or guidelines specifically in relation to these drugs. The lack of policies, practices or guidelines specific to oligonucleotides may hinder or slow review by the FDA of any regulatory filings that we may submit. Moreover, the FDA may respond to these submissions by defining requirements we may not have anticipated. Such responses could lead to significant delays in the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 FDA’s standards, especially regarding drug safety, appear to have become more stringent. As a result of the foregoing factors, we may never receive regulatory approval to market and commercialize any product candidate.</w:t>
      </w:r>
    </w:p>
    <w:p>
      <w:pPr>
        <w:spacing w:after="0" w:line="18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ordinary shares could decline.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50" w:name="page51"/>
    <w:bookmarkEnd w:id="50"/>
    <w:p>
      <w:pPr>
        <w:ind w:right="360"/>
        <w:spacing w:after="0" w:line="277" w:lineRule="auto"/>
        <w:rPr>
          <w:sz w:val="20"/>
          <w:szCs w:val="20"/>
          <w:color w:val="auto"/>
        </w:rPr>
      </w:pPr>
      <w:r>
        <w:rPr>
          <w:rFonts w:ascii="Arial" w:cs="Arial" w:eastAsia="Arial" w:hAnsi="Arial"/>
          <w:sz w:val="18"/>
          <w:szCs w:val="18"/>
          <w:b w:val="1"/>
          <w:bCs w:val="1"/>
          <w:i w:val="1"/>
          <w:iCs w:val="1"/>
          <w:color w:val="auto"/>
        </w:rPr>
        <w:t>Our preclinical studies and clinical trials may not be successful. If we are unable to commercialize our product candidates or experience significant delays in doing so, our business will be materially harmed.</w:t>
      </w:r>
    </w:p>
    <w:p>
      <w:pPr>
        <w:spacing w:after="0" w:line="62"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product candidates are in the early stages of clinical development. We are conducting clinical trials of our lead program in DMD targeting exon 51 and our two lead programs in HD. We currently have no products on the market. We have invested a significant portion of our efforts and financial resources in the identification and preclinical and clinical development of our oligonucleotides, the development of PRISM, and the continued growth of our manufacturing capabilities. Our ability to generate product revenue, which we do not expect will occur for many years, if ever, will depend heavily on the successful development and eventual commercialization of our product candidates. Our success will depend on several factors, including the following:</w:t>
      </w:r>
    </w:p>
    <w:p>
      <w:pPr>
        <w:spacing w:after="0" w:line="50"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conducting process development and manufacturing campaigns in accordance with current good manufacturing practice (“cGMP”);</w:t>
      </w:r>
    </w:p>
    <w:p>
      <w:pPr>
        <w:spacing w:after="0" w:line="62"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receiving regulatory approvals from applicable regulatory authorities to market our product candidates and, to the extent necessary, our companion diagnostic tests;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 party contract manufacturing organizations (“CMOs”);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degree to which we are successful in our collaborations with Takeda and Pfizer, and any additional collaborations we may establish;</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maintain an acceptable safety profile of the products following approval.</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conduct clinical trials successfully due to various process-related factors that could negatively impact our business plans.</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successful initiation and completion of any of our clinical trials, within timeframes consistent with our business plans, is dependent on various factors, which include, but are not limited to, our ability to:</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and recruit employees, contractors or consultants with the required level of knowledge and experience;</w:t>
      </w:r>
    </w:p>
    <w:p>
      <w:pPr>
        <w:spacing w:after="0" w:line="117" w:lineRule="exact"/>
        <w:rPr>
          <w:rFonts w:ascii="Arial" w:cs="Arial" w:eastAsia="Arial" w:hAnsi="Arial"/>
          <w:sz w:val="18"/>
          <w:szCs w:val="18"/>
          <w:color w:val="auto"/>
        </w:rPr>
      </w:pPr>
    </w:p>
    <w:p>
      <w:pPr>
        <w:ind w:left="1040" w:right="140" w:hanging="519"/>
        <w:spacing w:after="0" w:line="259"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and recruit in a timely manner a sufficient number of patients necessary to conduct a clinical trial, which is a function of many factors, including the proximity of participants to clinical sites, the size of the relevant population, the eligibility criteria for the trial, possible side effects from treatments, the existence of competing clinical trials, the involvement of patient advocacy groups, the availability of new or alternative treatments, lack of efficacy, personal issues and ease of participation;</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companion diagnostic tests for use with certain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manufacture and maintain a sufficient amount of clinical material, internally or through third parties;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ensure adherence to trial designs and protocols agreed upon and approved by regulatory authorities and applicable regulatory and legal guidelines;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or resolve unforeseen adverse side effects during a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execute clinical trial designs and protocols approved by regulatory authorities without deficiencies;</w:t>
      </w:r>
    </w:p>
    <w:p>
      <w:pPr>
        <w:spacing w:after="0" w:line="117"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effectively contract with (under reasonable terms), manage and work with investigators, institutions, hospitals and the contract research organizations (“CROs”) involved in the clinical trial;</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51" w:name="page52"/>
    <w:bookmarkEnd w:id="51"/>
    <w:p>
      <w:pPr>
        <w:ind w:left="1040" w:right="160" w:hanging="519"/>
        <w:spacing w:after="0" w:line="31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negotiate contracts and other related documents with clinical trial parties and institutional review boards (“IRBs”), such as informed consents, CRO agreements and site agreements, which can be subject to extensive negotiations that could cause significant delays in the clinical trial process, with terms possibly varying significantly among different trial sites and CROs and possibly subjecting us to various risks; and</w:t>
      </w:r>
    </w:p>
    <w:p>
      <w:pPr>
        <w:spacing w:after="0" w:line="38" w:lineRule="exact"/>
        <w:rPr>
          <w:rFonts w:ascii="Arial" w:cs="Arial" w:eastAsia="Arial" w:hAnsi="Arial"/>
          <w:sz w:val="16"/>
          <w:szCs w:val="16"/>
          <w:color w:val="auto"/>
        </w:rPr>
      </w:pPr>
    </w:p>
    <w:p>
      <w:pPr>
        <w:ind w:left="1040" w:right="500" w:hanging="519"/>
        <w:spacing w:after="0" w:line="264"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w:t>
      </w:r>
    </w:p>
    <w:p>
      <w:pPr>
        <w:spacing w:after="0" w:line="22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are not able to manage the clinical trial process successfully, our business plans could be delayed or be rendered unfeasible for us to execute within our planned or required time frames, or at all.</w:t>
      </w:r>
    </w:p>
    <w:p>
      <w:pPr>
        <w:spacing w:after="0" w:line="27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order to develop our product candidates, apply for regulatory approvals and commercialize our product candidates, we will need to develop, contract for, or otherwise arrange for the necessary manufacturing capabilities. In September 2016, we entered into a lease for a multi-use facility of approximately 90,000 square feet in Lexington, Massachusetts to provide internal cGMP manufacturing capabilities and increase control and visibility of our drug substance supply chain, and we initiated the build out of manufacturing space and related capabilities. We began cGMP manufacturing in this facility at the beginning of 2018. This facility supplements our existing Cambridge, Massachusetts laboratory and office space headquarters, enhances our ability to secure drug substance for current and future development activities and may provide commercial-scale manufacturing capabilities. However, while we have established and continue to enhance our internal cGMP manufacturing capabilities, we have limited manufacturing experience as a company, particularly with manufacturing drug substance on a commercial scale, and we will incur significant costs to develop this expertise internally.</w:t>
      </w:r>
    </w:p>
    <w:p>
      <w:pPr>
        <w:spacing w:after="0" w:line="16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 addition to the oligonucleotides that we manufacture internally, we continue to rely on CMOs to manufacture the oligonucleotides required for our preclinical studies and clinical trials. There are a limited number of manufacturers that supply oligonucleotides. There are risks inherent in pharmaceutical manufacturing that could affect the ability of us or our CMOs to meet our delivery time requirements or provide adequate amounts of material to meet our needs. Included in these risks are potential synthesis and purification failures and/or contamination during the manufacturing process, as well as other issues with our facility or the CMOs’ facilities and ability to comply with the applicable manufacturing requirements, which could result in unusable product and cause delays in our manufacturing timelines and ultimately delay our clinical trials, as well as result in additional expense to us.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Additionally, our cost of goods development is at an early stage. The actual cost to manufacture and process our product candidates could be greater than we expect and could materially and adversely affect the commercial viability of our product candidates. There can be no assurance that we will be able to produce sufficient quantities of our oligonucleotides to meet our clinical trial demands on our projected timelines.</w:t>
      </w:r>
    </w:p>
    <w:p>
      <w:pPr>
        <w:spacing w:after="0" w:line="28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The process of manufacturing oligonucleotides is complex and we may encounter difficulties in production, particularly with respect to process development or scaling-up of our manufacturing capabilities.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process of manufacturing oligonucleotides is complex, highly-regulated and subject to multiple risks. The complex processes associated with the manufacture of our product candidates expose us to various manufacturing challenges and risks, which may include delays in manufacturing adequate supply of our product candidates, limits on our ability to increase manufacturing capacity, and the potential for product failure and product variation that may interfere with preclinical and clinical trials, along with additional costs. We also may make changes to our manufacturing process at various points during development, and even after commercialization, for various reasons, such as controlling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current or future clinical trials, or the performance of the product, once commercialized. In some circumstances, changes in the manufacturing process may require us to perform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comparability studies and to collect additional data from patients prior to undertaking more advanced clinical trials. For instance, changes in our process during the course of clinical development may require us to show the comparability of the product used in earlier clinical trials or at earlier portions of a trial to the product used in later clinical trials or later portions of the trial. We may also make further changes to our manufacturing process before or after commercialization, and such changes may require us to show the comparability of the resulting product to the product used in the clinical trials using earlier processes. We may be required to collect additional clinical data from any modified process prior to obtaining marketing approval for the product candidate produced with such modified process. If clinical data are not ultimately comparable to that seen in the earlier trials in terms of safety or efficacy, we may be required to make further changes to our process and/or undertake additional clinical testing, either of which could significantly delay the clinical development or commercialization of the associated product candidate.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ind w:right="80"/>
        <w:spacing w:after="0" w:line="255" w:lineRule="auto"/>
        <w:rPr>
          <w:sz w:val="20"/>
          <w:szCs w:val="20"/>
          <w:color w:val="auto"/>
        </w:rPr>
      </w:pPr>
      <w:r>
        <w:rPr>
          <w:rFonts w:ascii="Arial" w:cs="Arial" w:eastAsia="Arial" w:hAnsi="Arial"/>
          <w:sz w:val="18"/>
          <w:szCs w:val="18"/>
          <w:color w:val="auto"/>
        </w:rPr>
        <w:t>We are conducting clinical trials of our lead program in DMD targeting exon 51 and our two lead programs in HD. Although we continue to build on our experience in manufacturing oligonucleotides, we have limited experience as a company manufacturing product candidates for use in clinical trials or for commercial supply. We may never be successful in manufacturing product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Furthermore, compliance with cGMP requirements and other quality issues may arise during our internal efforts to scale-up manufacturing, and with our current or any future CMOs. If contaminants are discovered in our supply of our product candidates or in our manufacturing facilities or those of our CMOs, such manufacturing facilities may need to be closed for an extended period of time to investigate and remedy the contamination. We cannot assure you that any stability failures or other issues relating to the manufacture of our product candidates will not occur in the future. Additionally, we and our CMOs may experience manufacturing difficulties due to resource constraints or as a result of labor disputes or unstable political environments. If we or our CMOs were to encounter any of these difficulties, our ability to provide our product candidate to patients in clinical trials, or to provide product for treatment of patients once approved, would be jeopardized.</w:t>
      </w:r>
    </w:p>
    <w:p>
      <w:pPr>
        <w:spacing w:after="0" w:line="2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Because we have limited financial resources, we intend to focus on developing product candidates for specific indications that we identify as most likely to succeed, in terms of both regulatory approval and 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product candidates we develop may fail in development or be delayed to a point where they do not become commercially viable.</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is expensive, difficult to design and implement, can take many years to complete and is uncertain as to outcome, and the historical failure rate for drugs in preclinical and clinical development is high. We currently have a number of therapeutic programs in the preclinical and clinical development stages. In addition, we, the FDA or comparable foreign regulatory authorities or an IRB, or similar foreign review board or ethics committee, may suspend clinical trials of a product candidate at any time for various reasons, including if we or they believe the healthy volunteer subjects or patients participating in such trials are being exposed to unacceptable health risks. Among other reasons, unacceptable side effects or other more serious adverse events of a product candidate in healthy volunteer subjects or patients in a clinical trial could result in the FDA or comparable foreign regulatory authorities suspending or terminating the trial and refusing to approve a particular product candidate for any or all indications of use.</w:t>
      </w:r>
    </w:p>
    <w:p>
      <w:pPr>
        <w:spacing w:after="0" w:line="18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Clinical trials also require the review, oversight and approval of IRBs, which review the clinical protocols for investigations that will be conducted at their institutions in order to protect the rights and welfare of human subjects. Inability to obtain or delay in obtaining IRB approval can prevent or delay the initiation and completion of clinical trials at particular sites. Furthermore, failure to provide information to the IRB as required throughout the study, such as emergent safety reports and annual updates, may result in suspension of the IRB’s approval of the trial. Our product candidates may encounter problems during clinical trials that will cause us or regulatory authorities to delay, suspend or terminate these trials, or that will delay or confound the analysis of data from these trials. If we experience any such problems, we may not have the financial resources to continue development of the product candidate that is affected or any of our other product candidates. We may also lose, or be unable to enter into, collaborative arrangements for the affected product candidate and for other product candidates we are developing. 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70" w:lineRule="exact"/>
        <w:rPr>
          <w:sz w:val="20"/>
          <w:szCs w:val="20"/>
          <w:color w:val="auto"/>
        </w:rPr>
      </w:pPr>
    </w:p>
    <w:p>
      <w:pPr>
        <w:ind w:left="1040" w:right="8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preclinical studies or clinical trials may produce negative or inconclusive results, including results that may not meet the level of significance or clinical benefit required by the FDA or other regulators, and we may decide, or regulators may require us, to conduct additional preclinical studies or clinical trials, or we may abandon projects that we had expected to be promising;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jc w:val="both"/>
        <w:ind w:left="1040" w:right="44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filing clinical trial applications or comparable foreign applications or delays or failure in obtaining the necessary approvals from regulators or IRBs in order to commence a clinical trial at a prospective trial site, or their suspension or termination of a clinical trial once commenced;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imposed on us by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in obtaining or maintaining IRB approval of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enrolling patients or volunteers into clinical trials, and variability in the number and types of patients available for clinical trials;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developing and receiving regulatory approval for companion diagnostic tests to identify patients for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 drop-out rates for patients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from future clinical trials may not confirm positive results, if any, from earlier preclinical studies and clinical trials;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consistently manufacture, inadequate supply, or unacceptable quality of product candidate materials or other materials necessary for the conduct of our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serious and unexpected side effects that may or may not be related to the product candidate being tested that are experienced by participants in our clinical trials or by individuals using drugs similar to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poor or disappointing effectiveness of our product candidates during clinical trials;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manufacturing or clinical trial site or other records relating to the clinical investigation;</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third-party contractors, investigators, or collaboration partners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the imposition of additional regulatory oversight around clinical testing generally or with respect to our product candidates in particular;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If we do not successfully conduct clinical development, we will not be able to market and sell products derived from our product candidates and to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product candidates fails or is delayed to a point where such product candidate is no longer commercially viable, our business may be materially harmed.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preclinical studies and early clinical trials may not be predictive of results of future clinical trials.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subsequent clinical trials of that product candidate or any other product candidate. The design of a clinical trial can determine whether its results will support approval of a product candidate and flaws in the design of a clinical trial may not become apparent until the clinical trial is well advanced. Although we have assembled a team of employees with experience designing clinical trials and obtaining regulatory approval to market therapeutics in neurology and in rare diseases, we have limited experience as a company in designing clinical trials for oligonucleotide therapeutics and we may be unable to design and execute appropriate clinical trials to support regulatory approval of our product candidates. In addition, preclinical and clinical data are often susceptible to varying interpretations and analyses. Product candidates that seemingly perform satisfactorily in preclinical studies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ind w:right="3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age and condition of the patients, the stage and severity of disease, the nature and requirements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addition, our success may depend, in part, on our ability to identify patients who qualify for our clinical trials, or are likely to benefit from any medicines that we may develop, which will require those potential patients to undergo a screening assay, which we also refer to as a companion diagnostic test, for the presence or absence of a particular genetic sequence. For example, in HD, we are conducting clinical trials for WVE-120101 and WVE-120102, targeting SNPs associated with the mutant alleles of the </w:t>
      </w:r>
      <w:r>
        <w:rPr>
          <w:rFonts w:ascii="Arial" w:cs="Arial" w:eastAsia="Arial" w:hAnsi="Arial"/>
          <w:sz w:val="17"/>
          <w:szCs w:val="17"/>
          <w:i w:val="1"/>
          <w:iCs w:val="1"/>
          <w:color w:val="auto"/>
        </w:rPr>
        <w:t>HTT</w:t>
      </w:r>
      <w:r>
        <w:rPr>
          <w:rFonts w:ascii="Arial" w:cs="Arial" w:eastAsia="Arial" w:hAnsi="Arial"/>
          <w:sz w:val="17"/>
          <w:szCs w:val="17"/>
          <w:color w:val="auto"/>
        </w:rPr>
        <w:t xml:space="preserve"> gene. Each SNP has a particular demographic distribution, and defines a subpopulation of patients suited for allele-specific interventions. Up to 70% of the HD patient population carry one of the two most common SNPs. We have developed a novel screening assay that is intended to identify whether a patient has the particular SNP that our product candidate is targeting; however, we have limited experience in developing screening assays to support patient identification for clinical trials. If we, or any third parties that we engage to assist us, are unable to successfully identify patients with the appropriate SNPs that we are targeting, or experience delays in doing so, then we may not realize the full commercial potential of any product candidates we develop.</w:t>
      </w:r>
    </w:p>
    <w:p>
      <w:pPr>
        <w:spacing w:after="0" w:line="182"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If we are unable to successfully develop or obtain regulatory approval for companion diagnostic tests for our product candidates, or experience significant delays in doing so, our clinical trials may be delayed and our business could be materially harmed.</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development programs for some of our product candidates contemplate the development of companion diagnostic tests, which are assays or tests to identify an appropriate patient population. The success of certain of our product candidates will depend on several factors, including the successful development of, and ability to obtain regulatory approval for, companion diagnostic tests that will be used to screen and identify the right patients for our product candidates. Our goal is to develop and commercialize disease-modifying medicines for genetically defined diseases with a high degree of unmet medical need, and to become a fully integrated genetic medicines company. The target patient populations for several of our product candidates are relatively small, and it will be difficult to successfully identify the appropriate patients for whom our product candidates are being designed without reliable, accessible, relatively inexpensive, easy-to-use companion diagnostic tests.</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Companion diagnostic tests are subject to regulation by the FDA and similar regulatory authorities outside the United States as medical devices and require separate regulatory approval prior to commercialization. We are not a medical device company, and we have limited experience developing medical devices. A more detailed description of the FDA approval process for companion diagnostic tests is included under “</w:t>
      </w:r>
      <w:r>
        <w:rPr>
          <w:rFonts w:ascii="Arial" w:cs="Arial" w:eastAsia="Arial" w:hAnsi="Arial"/>
          <w:sz w:val="17"/>
          <w:szCs w:val="17"/>
          <w:i w:val="1"/>
          <w:iCs w:val="1"/>
          <w:color w:val="auto"/>
        </w:rPr>
        <w:t>Business – In Vitro Diagnostic Tests for</w:t>
      </w:r>
      <w:r>
        <w:rPr>
          <w:rFonts w:ascii="Arial" w:cs="Arial" w:eastAsia="Arial" w:hAnsi="Arial"/>
          <w:sz w:val="17"/>
          <w:szCs w:val="17"/>
          <w:color w:val="auto"/>
        </w:rPr>
        <w:t xml:space="preserve"> </w:t>
      </w:r>
      <w:r>
        <w:rPr>
          <w:rFonts w:ascii="Arial" w:cs="Arial" w:eastAsia="Arial" w:hAnsi="Arial"/>
          <w:sz w:val="17"/>
          <w:szCs w:val="17"/>
          <w:i w:val="1"/>
          <w:iCs w:val="1"/>
          <w:color w:val="auto"/>
        </w:rPr>
        <w:t>Biomarkers</w:t>
      </w:r>
      <w:r>
        <w:rPr>
          <w:rFonts w:ascii="Arial" w:cs="Arial" w:eastAsia="Arial" w:hAnsi="Arial"/>
          <w:sz w:val="17"/>
          <w:szCs w:val="17"/>
          <w:color w:val="auto"/>
        </w:rPr>
        <w:t>.” Given our limited experience in developing and commercializing companion diagnostic tests, we may seek to collaborate with third parties to</w:t>
      </w:r>
      <w:r>
        <w:rPr>
          <w:rFonts w:ascii="Arial" w:cs="Arial" w:eastAsia="Arial" w:hAnsi="Arial"/>
          <w:sz w:val="17"/>
          <w:szCs w:val="17"/>
          <w:i w:val="1"/>
          <w:iCs w:val="1"/>
          <w:color w:val="auto"/>
        </w:rPr>
        <w:t xml:space="preserve"> </w:t>
      </w:r>
      <w:r>
        <w:rPr>
          <w:rFonts w:ascii="Arial" w:cs="Arial" w:eastAsia="Arial" w:hAnsi="Arial"/>
          <w:sz w:val="17"/>
          <w:szCs w:val="17"/>
          <w:color w:val="auto"/>
        </w:rPr>
        <w:t>assist us in the design, manufacture, regulatory approval and commercialization of the companion diagnostic tests for some of our product candidates. We and any potential collaborators may encounter difficulties in developing and obtaining approval for the companion diagnostic tests, including issues relating to selectivity/specificity, analytical validation, reproducibility, or clinical validation. Any delay or failure by us or any potential collaborators to develop or obtain regulatory approval of the companion diagnostic tests could delay or prevent approval of our product candidates. If we, or any third parties that we engage to assist us, are unable to successfully develop and commercialize companion diagnostic tests for our drug candidates, or experience delays in doing so, our clinical trials and our business could be materially harmed.</w:t>
      </w:r>
    </w:p>
    <w:p>
      <w:pPr>
        <w:spacing w:after="0" w:line="2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in the United States or foreign jurisdictions and, as a result, be unable to commercialize our product candidates and our ability to generate revenue will be materially impaired.</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unanticipated delays. It is possible that none of the product candidates we may develop will obtain the regulatory approvals necessary for us or our collaborators to begin selling them.</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5" w:name="page56"/>
    <w:bookmarkEnd w:id="55"/>
    <w:p>
      <w:pPr>
        <w:ind w:right="100"/>
        <w:spacing w:after="0" w:line="253" w:lineRule="auto"/>
        <w:rPr>
          <w:sz w:val="20"/>
          <w:szCs w:val="20"/>
          <w:color w:val="auto"/>
        </w:rPr>
      </w:pPr>
      <w:r>
        <w:rPr>
          <w:rFonts w:ascii="Arial" w:cs="Arial" w:eastAsia="Arial" w:hAnsi="Arial"/>
          <w:sz w:val="18"/>
          <w:szCs w:val="18"/>
          <w:color w:val="auto"/>
        </w:rPr>
        <w:t>We have limited experience as a company in conducting and managing the human clinical trials for oligonucleotide therapeutics that are necessary to obtain regulatory approvals, including approval by the FDA or other foreign agencies, or otherwise advancing product candidates through the regulatory approval process.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companies such as ours are not always applied predictably or uniformly and can change.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delay or failure in obtaining required approvals could adversely affect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Strategy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w:t>
      </w:r>
    </w:p>
    <w:p>
      <w:pPr>
        <w:spacing w:after="0" w:line="17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w:t>
      </w:r>
    </w:p>
    <w:p>
      <w:pPr>
        <w:spacing w:after="0" w:line="2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have been granted orphan drug designations in the United States and in the European Union, for some of our product candidates, but there can be no guarantee that we will maintain orphan status for these product candidates or receive approval for any product candidate with an orphan drug designation.</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2016 and 2017, we were granted orphan drug designation under the Orphan Drug Act by the FDA for our product candidates, WVE-120101 and WVE-120102, respectively, for the treatment of HD. In 2018, we were granted orphan drug designation by the FDA for our product candidate suvodirsen for the treatment of DMD. Subject to receiving approval from the FDA of an NDA, products granted orphan drug status are provided with seven years of marketing exclusivity in the U.S., meaning the FDA generally will not approve applications for other product candidates for the same orphan indication that contain the same active ingredient.</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2018, the European Medicines Agency (“EMA”) Committee for Orphan Medical Products granted orphan drug designation for our product candidate suvodirsen for the treatment of DMD. Orphan drug designation by the EC provides regulatory and financial incentives for companies to develop and market therapies that treat a life-threatening or chronically debilitating condition affecting no more than five in 10,000 persons in the EU, and where no satisfactory treatment is available, or if such treatment is available, there is the potential for the new drug to provide significant benefit. Among the incentives available to medicines designated as orphan drugs by the EC are ten-year market exclusivity in the EU after product approval, eligibility for conditional marketing authorization, protocol assistance from the EMA at reduced fees during the product development phase and direct access to centralized marketing authorization in the EU.</w:t>
      </w:r>
    </w:p>
    <w:p>
      <w:pPr>
        <w:spacing w:after="0" w:line="1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not guaranteed to maintain or receive orphan status for our current or future product candidates, and if our product candidates that were granted orphan status were to lose their status as an orphan drug or the marketing exclusivity provided to it in the United States or the EU, our business and results of operations could be materially adversely affected. While orphan status for any of our products, if granted or maintained, would provide market exclusivity in the United States and the EU for the time periods specified above, we would not be able to exclude other companies from manufacturing and/or selling products using the same active ingredient for the same indication beyond the exclusivity period applicable to our product on the basis of orphan drug status. Even if we are the first to obtain approval of an orphan product candidate and are granted exclusivity in the United States or the EU, there are limited circumstances under which a later competitor product may be approved for the same indication during the period of marketing exclusivity, such as if the later product is shown to be clinically superior to our product or if we are not able to provide a sufficient quantity of the orphan drug.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right="500"/>
        <w:spacing w:after="0" w:line="277" w:lineRule="auto"/>
        <w:rPr>
          <w:sz w:val="20"/>
          <w:szCs w:val="20"/>
          <w:color w:val="auto"/>
        </w:rPr>
      </w:pPr>
      <w:r>
        <w:rPr>
          <w:rFonts w:ascii="Arial" w:cs="Arial" w:eastAsia="Arial" w:hAnsi="Arial"/>
          <w:sz w:val="18"/>
          <w:szCs w:val="18"/>
          <w:b w:val="1"/>
          <w:bCs w:val="1"/>
          <w:i w:val="1"/>
          <w:iCs w:val="1"/>
          <w:color w:val="auto"/>
        </w:rPr>
        <w:t>Even if we were to obtain approval for suvodirsen with the Rare Pediatric Disease Designation, the Rare Pediatric Disease Priority Review Voucher Program may no longer be in effect at the time of such approval.</w:t>
      </w:r>
    </w:p>
    <w:p>
      <w:pPr>
        <w:spacing w:after="0" w:line="6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2018, we were granted rare pediatric disease designation by the FDA for product candidate suvodirsen. Rare pediatric disease designation by the FDA is granted in the case of serious or life-threatening diseases affecting fewer than 200,000 people in the United States in which the serious or life-threatening manifestations are primarily in individuals 18 years of age and younger. The designation provides regulatory incentives for companies to develop and market therapies that treat these conditions. The sponsor of a drug for a rare pediatric disease may be eligible for a priority review voucher upon approval of the drug that can be used to obtain a priority review of a subsequent marketing application. The priority review voucher may be sold or transferred an unlimited number of times. Congress has extended the priority review voucher program until September 30, 2020 with new drug approvals that meet the voucher criteria grandfathered through 2022. This program has been subject to criticism, including by the FDA, and it is possible that even if we obtain approval for suvodirsen and qualify for such a priority review voucher, the program may no longer be in effect at the time of approval.</w:t>
      </w:r>
    </w:p>
    <w:p>
      <w:pPr>
        <w:spacing w:after="0" w:line="274"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Even if we obtain regulatory approvals, our marketed drugs will be subject to ongoing regulatory oversight. If we fail to comply with continuing U.S. and foreign requirements, our approvals could be limited or withdrawn, we could be subject to other penalties, and our business would be seriously harmed.</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and compliance with good clinical practice for any clinical trials that we conduct post-approval. Failure to comply with these requirements could result in criminal or civil penalties, recalls, or product withdrawals. In addition, we are conducting our clinical trials and we intend to seek approval to market our product candidates in jurisdictions outside of the United States, and therefore will be subject to, and must comply with, regulatory requirements in those jurisdictions.</w:t>
      </w:r>
    </w:p>
    <w:p>
      <w:pPr>
        <w:spacing w:after="0" w:line="17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our CMOs, and the manufacturing facilities we use to make our product candidates will also be subject to ongoing assessment of product quality, compliance with cGMP, and periodic inspection by the FDA and potentially other regulatory agencies. The discovery of any new or previously unknown problems with us or our CMOs, or our or their manufacturing processes or facilities, including failure to maintain compliance with cGMP requirements, may result in the need for field alerts, product recalls, restrictions on the drug or manufacturer or facility, including withdrawal of the drug from the market.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our material ourselves, including reliance on the CMO for regulatory compliance. Our product promotion and advertising will also be subject to regulatory requirements and continuing regulatory review.</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consent decree, civil penalties and criminal prosecution.</w:t>
      </w:r>
    </w:p>
    <w:p>
      <w:pPr>
        <w:spacing w:after="0" w:line="29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to market our product candidates, the market may not be receptive to our product candidates upon their commercial introduction, which will prevent us from becoming profitable.</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oligonucleotides. As a result, it may be more difficult for us to convince the medical community and third-party payors to accept and use our product, or to provide favorable reimbursement.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Other factors that we believe will materially affect market acceptance of our product candidates include:</w:t>
      </w:r>
    </w:p>
    <w:p>
      <w:pPr>
        <w:spacing w:after="0" w:line="117"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timing of our receipt of any regulatory approvals, the terms of any approvals and the countries in which approvals are obtained;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consistently manufacture our products within acceptable quality standards;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safety and efficacy of our product candidates, as demonstrated in clinical trials and as compared with alternative treatments, if any;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incidence, seriousness and severity of any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product candidates;</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accept potentially new routes of administration and their risk tolerance as it relates to potentially serious side effects;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government and third-party payer coverage and adequate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diseases that product candidates we develop are intended to treat and the relative risks, benefits and costs of those treatments.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addition, our estimates regarding the potential market size may be materially different from what we currently expect at the time we commence commercialization, which could result in significant changes in our business plan and may significantly harm our results of operations and financial condition.</w:t>
      </w:r>
    </w:p>
    <w:p>
      <w:pPr>
        <w:spacing w:after="0" w:line="23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pharmaceutical market is intensely competitive. If we are unable to compete effectively with existing drugs, new treatment methods and new technologies, we may be unable to commercialize successfully any drugs that we develop.</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pharmaceutical market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73" w:lineRule="exact"/>
        <w:rPr>
          <w:sz w:val="20"/>
          <w:szCs w:val="20"/>
          <w:color w:val="auto"/>
        </w:rPr>
      </w:pPr>
    </w:p>
    <w:p>
      <w:pPr>
        <w:ind w:left="1040" w:right="9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much greater financial, technical and human resources than we have at every stage of the discovery, development, manufacture and commercialization of products;</w:t>
      </w:r>
    </w:p>
    <w:p>
      <w:pPr>
        <w:spacing w:after="0" w:line="62" w:lineRule="exact"/>
        <w:rPr>
          <w:rFonts w:ascii="Arial" w:cs="Arial" w:eastAsia="Arial" w:hAnsi="Arial"/>
          <w:sz w:val="18"/>
          <w:szCs w:val="18"/>
          <w:color w:val="auto"/>
        </w:rPr>
      </w:pPr>
    </w:p>
    <w:p>
      <w:pPr>
        <w:ind w:left="1040" w:right="9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extensive experience in designing and conducting preclinical studies and clinical trials, obtaining regulatory approvals, and in manufacturing, marketing and selling pharmaceutical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candidates that are based on previously tested or accepted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will face intense competition from drugs that have already been approved and accepted by the medical community for the treatment of the conditions for which we may develop drugs. We also expect to face competition from new drugs that enter the market. We believe a significant number of drugs are currently under development, and may become commercially available in the future, for the treatment of conditions that our current or future product candidates are or may be designed to treat. These drugs may be more effective, safer, less expensive, or marketed and sold more effectively, than any products we develop.</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competitors may develop or commercialize products with significant advantages over any products we are able to develop and commercialize based on many different factors, including:</w:t>
      </w:r>
    </w:p>
    <w:p>
      <w:pPr>
        <w:spacing w:after="0" w:line="62"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and effectiveness of our products relative to alternative therapies,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ease with which our products can be administered and the extent to which patients accept relatively new routes of administration;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and scope of regulatory approvals for these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more extensive coverage and higher levels of reimbursement;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 position.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our ability to execute on our business plan.</w:t>
      </w:r>
    </w:p>
    <w:p>
      <w:pPr>
        <w:spacing w:after="0" w:line="295"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If we or our collaborators, manufacturers, service providers or other third parties fail to comply with applicable healthcare laws and regulations, we or they could be subject to enforcement actions, which could affect our ability to develop, market and sell our products and may harm our reputation.</w:t>
      </w:r>
    </w:p>
    <w:p>
      <w:pPr>
        <w:spacing w:after="0" w:line="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are currently, or may in the future, be subject to federal, state, local, and comparable foreign healthcare laws and regulations relating to areas such as fraud and abuse and patients’ rights. These laws may constrain the business or financial arrangements and relationships through which we conduct our operations, including how we research, market, sell and distribute our products for which we obtain marketing approval. These laws and regulations include:</w:t>
      </w:r>
    </w:p>
    <w:p>
      <w:pPr>
        <w:spacing w:after="0" w:line="39" w:lineRule="exact"/>
        <w:rPr>
          <w:sz w:val="20"/>
          <w:szCs w:val="20"/>
          <w:color w:val="auto"/>
        </w:rPr>
      </w:pPr>
    </w:p>
    <w:p>
      <w:pPr>
        <w:ind w:left="1040" w:right="40" w:hanging="519"/>
        <w:spacing w:after="0" w:line="25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a healthcare item or service, or the purchasing, recommending, or ordering of an item or service, for which payment may be made under a federal healthcare program such as Medicare or Medicaid;</w:t>
      </w:r>
    </w:p>
    <w:p>
      <w:pPr>
        <w:spacing w:after="0" w:line="78" w:lineRule="exact"/>
        <w:rPr>
          <w:rFonts w:ascii="Arial" w:cs="Arial" w:eastAsia="Arial" w:hAnsi="Arial"/>
          <w:sz w:val="18"/>
          <w:szCs w:val="18"/>
          <w:color w:val="auto"/>
        </w:rPr>
      </w:pPr>
    </w:p>
    <w:p>
      <w:pPr>
        <w:ind w:left="1040" w:right="140" w:hanging="519"/>
        <w:spacing w:after="0" w:line="25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federal false claims and civil monetary penalties laws, including the False Claims Act, which prohibits, among other things, individuals or entities from knowingly presenting or causing to be presented, claims for payment by government-funded programs such as Medicare or Medicaid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(“HIPAA”), which, among other things, criminalizes a wide array of conduct involving public and private healthcare benefits, creates new civil enforcement mechanisms and increases civil and criminal penalties for healthcare fraud;</w:t>
      </w:r>
    </w:p>
    <w:p>
      <w:pPr>
        <w:spacing w:after="0" w:line="73" w:lineRule="exact"/>
        <w:rPr>
          <w:rFonts w:ascii="Arial" w:cs="Arial" w:eastAsia="Arial" w:hAnsi="Arial"/>
          <w:sz w:val="18"/>
          <w:szCs w:val="18"/>
          <w:color w:val="auto"/>
        </w:rPr>
      </w:pPr>
    </w:p>
    <w:p>
      <w:pPr>
        <w:ind w:left="1040" w:right="20" w:hanging="519"/>
        <w:spacing w:after="0" w:line="259"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(“HITECH”) Act, and its implementing regulations, which strengthen and expand requirements relating to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78" w:lineRule="exact"/>
        <w:rPr>
          <w:rFonts w:ascii="Arial" w:cs="Arial" w:eastAsia="Arial" w:hAnsi="Arial"/>
          <w:sz w:val="18"/>
          <w:szCs w:val="18"/>
          <w:color w:val="auto"/>
        </w:rPr>
      </w:pPr>
    </w:p>
    <w:p>
      <w:pPr>
        <w:ind w:left="1040" w:right="300" w:hanging="519"/>
        <w:spacing w:after="0" w:line="255"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 federal Physician Payments Sunshine Act, which requires certain manufacturers of medical devices, biological products, medical supplies, and drugs for which payment is available under Medicare, Medicaid or the Children’s Health Insurance Program, with specific exceptions, to report annually to the Centers for Medicare and Medicaid Services (“CMS”), all transfers of value, including consulting fees, travel reimbursements, research grants, and other payments or gifts with values over $10 made to physicians and teaching hospitals, and teaching hospitals, applicable manufacturers, and applicable group purchasing organizations to report annually to CMS ownership and investment interests held by physicians and their immediate family members. Disclosure of such information is made by CMS on a publicly available website; and</w:t>
      </w:r>
    </w:p>
    <w:p>
      <w:pPr>
        <w:spacing w:after="0" w:line="81" w:lineRule="exact"/>
        <w:rPr>
          <w:rFonts w:ascii="Arial" w:cs="Arial" w:eastAsia="Arial" w:hAnsi="Arial"/>
          <w:sz w:val="18"/>
          <w:szCs w:val="18"/>
          <w:color w:val="auto"/>
        </w:rPr>
      </w:pPr>
    </w:p>
    <w:p>
      <w:pPr>
        <w:ind w:left="1040" w:right="120" w:hanging="519"/>
        <w:spacing w:after="0" w:line="293"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state and foreign laws comparable to each of the above federal laws, such as, for example: state anti-kickback and false claims laws applicable to commercial insurers and other non-federal payors; state laws that require pharmaceutical manufacturers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state and foreign laws governing the privacy and security of health information, some which differ from each other in significant ways and often are not preempted by HIPAA, thus complicating compliance efforts.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ind w:right="120"/>
        <w:spacing w:after="0" w:line="270" w:lineRule="auto"/>
        <w:rPr>
          <w:sz w:val="20"/>
          <w:szCs w:val="20"/>
          <w:color w:val="auto"/>
        </w:rPr>
      </w:pPr>
      <w:r>
        <w:rPr>
          <w:rFonts w:ascii="Arial" w:cs="Arial" w:eastAsia="Arial" w:hAnsi="Arial"/>
          <w:sz w:val="17"/>
          <w:szCs w:val="17"/>
          <w:color w:val="auto"/>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of the Department of Health and Human Services, disgorgement, individual imprisonment, contractual damages, reputational harm, and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and/or untitled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consent decrees; and</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and criminal penalties, up to and including criminal prosecution resulting in fines, exclusion from healthcare reimbursement programs and imprisonment.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Any drugs we develop may become subject to unfavorable pricing regulations, third-party reimbursement practices or healthcare reform initiatives, thereby harming our business.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Because our product candidates represent new approaches to the treatment of genetic-based diseases, we cannot be sure that coverage and reimbursement will be available for, or accurately estimate the potential revenue from, our product candidates or assure that coverage and reimbursement will be available for any product that we may develop. 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0" w:name="page61"/>
    <w:bookmarkEnd w:id="60"/>
    <w:p>
      <w:pPr>
        <w:spacing w:after="0" w:line="290"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product candidates. Increasingly, third-party payors, such as government and private insurance plans, are requiring that drug companies provide them with predetermined discounts from list prices, and are seeking to reduce the prices charged or the amounts paid for pharmaceutical products. If the price we are able to charge for any products we develop, or the payments provided for such products, is inadequate in light of our development and other costs, our return on investment could be adversely affected.</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currently expect that any drugs we develop may need to be administered under the supervision of a physician on an outpatient basis. Under currently applicable U.S. law, certain drugs that are not usually self-administered (such as most injectable drugs) may be eligible for coverage under the Medicare Part B program if:</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are incident to a physician’s services;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are reasonable and necessary for the diagnosis or treatment of the illness or injury for which they are administered according to accepted standards of medical practice;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they have been approved by the FDA and meet other requirements of the statute.</w:t>
      </w:r>
    </w:p>
    <w:p>
      <w:pPr>
        <w:spacing w:after="0" w:line="2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 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1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A number of legislative and regulatory changes in the healthcare system in the United States and other major healthcare markets have been proposed and/or adopted in recent years, and such efforts have expanded substantially in recent years. These developments have included prescription drug benefit legislation that was enacted in 2003 and took effect in January 2006, healthcare reform legislation enacted by certain states, and major healthcare reform legislation that was passed by Congress and enacted into law in the United States in 2010. These developments could, directly or indirectly, affect our ability to sell our products, if approved, at a favorable price.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1" w:name="page62"/>
    <w:bookmarkEnd w:id="61"/>
    <w:p>
      <w:pPr>
        <w:ind w:right="140"/>
        <w:spacing w:after="0" w:line="287" w:lineRule="auto"/>
        <w:rPr>
          <w:sz w:val="20"/>
          <w:szCs w:val="20"/>
          <w:color w:val="auto"/>
        </w:rPr>
      </w:pPr>
      <w:r>
        <w:rPr>
          <w:rFonts w:ascii="Arial" w:cs="Arial" w:eastAsia="Arial" w:hAnsi="Arial"/>
          <w:sz w:val="16"/>
          <w:szCs w:val="16"/>
          <w:color w:val="auto"/>
        </w:rPr>
        <w:t>In particular, in March 2010, the Patient Protection and Affordable Care Act (the “ACA”), was signed into law. This legislation changed the system of healthcare insurance and benefits and was intended to broaden access to healthcare coverage, enhance remedies against fraud and abuse, add transparency requirements for the healthcare and health insurance industries, impose taxes and fees on the healthcare industry, impose health policy reforms, and control costs. This law also contains provisions that would affect companies in the pharmaceutical industry and other healthcare related industries by imposing additional costs and changes to business practices. Since its enactment, there have been judicial and Congressional challenges to certain aspects of the ACA. Both Congress and the Trump Administration have expressed their intention to repeal or repeal and replace the ACA, and as a result, certain sections of the ACA have not been fully implemented or effectively repealed. The uncertainty around the future of the ACA, and in particular the impact to reimbursement levels, may lead to uncertainty or delay in the purchasing decisions of our customers, which may in turn negatively impact our product sales. We continue to evaluate the effect that the ACA has or any potential changes to the ACA could have on our business. Additional federal and state legislative and regulatory developments are likely, and we expect ongoing initiatives in the United States to increase pressure on drug pricing and reimbursement.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obtain services, reimbursement or funding from the federal government may be impacted by possible reductions in federal spending.</w:t>
      </w:r>
    </w:p>
    <w:p>
      <w:pPr>
        <w:spacing w:after="0" w:line="14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Other legislative changes have been proposed and adopted since the ACA was enacted. For example, in August 2011, President Obama signed into law the Budget Control Act of 2011, which, among other things, created the Joint Select Committee on Deficit Reduction (Joint Select Committee) to recommend to Congress proposals in spending reductions. The failure of Congress to enact deficit reduction measures of at least $1.2 trillion for the years 2013 through 2021 triggered the legislation’s automatic reduction to several government programs. These cuts included aggregate reductions to Medicare payments to providers of up to 2% per fiscal year, which went into effect beginning on April 1, 2013, and will stay in effect through 2024 unless additional Congressional action is taken. Additionally, under the American Taxpayer Relief Act of 2012, which was enacted on January 1, 2013, the imposition of these automatic cuts was delayed until March 1, 2013. As required by law, President Obama issued a sequestration order on March 1, 2013. Certain of these automatic cuts have been implemented resulting in reductions in Medicare payments to physicians, hospitals, and other healthcare providers, among other things. The full impact on our business of these automatic cuts is uncertain.</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other federal spending is reduced, any budgetary shortfalls may also impact the ability of relevant agencies, such as the FDA or National Institutes of Health to continue to function. Amounts allocated to federal grants and contracts may be reduced or eliminated. These reductions may also impact the ability of relevant agencies to timely review and approve drug research and development, manufacturing, and marketing activities, which may delay our ability to develop, market and sell any products we may develop.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 could have a materially negative impact on our business. These include changes in the FDA and foreign regulatory processes for new therapeutics that may delay or prevent the approval of any of our current or future product candidates; 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 changes in FDA and foreign regulations that may require additional safety monitoring prior to or after the introduction of new products to market, which could materially increase our costs of doing business; and changes in FDA and foreign cGMPs that may make it more difficult and costly for us to maintain regulatory compliance and/or manufacture our marketed product and product candidates in accordance with cGMPs.</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current U.S. administration and Congress could carry out significant changes in legislation, regulation, and government policy, as evidenced by statements and recent actions of the current president.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The full effects of any U.S. healthcare reform legislation cannot be known until the law is fully implemented through regulations or guidance issued by the CMS and other federal and state healthcare agencies. The financial impact of the U.S. healthcare reform legislation over the next few years will depend on several factors, including, but not limited, to the policies reflected in implementing regulations and guidance, and changes in sales volumes for products affected by the new system of rebates, discounts and fees.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right="400"/>
        <w:spacing w:after="0" w:line="277" w:lineRule="auto"/>
        <w:rPr>
          <w:sz w:val="20"/>
          <w:szCs w:val="20"/>
          <w:color w:val="auto"/>
        </w:rPr>
      </w:pPr>
      <w:r>
        <w:rPr>
          <w:rFonts w:ascii="Arial" w:cs="Arial" w:eastAsia="Arial" w:hAnsi="Arial"/>
          <w:sz w:val="18"/>
          <w:szCs w:val="18"/>
          <w:b w:val="1"/>
          <w:bCs w:val="1"/>
          <w:i w:val="1"/>
          <w:iCs w:val="1"/>
          <w:color w:val="auto"/>
        </w:rPr>
        <w:t>Risks associated with our operations outside of the United States and developments in international trade by the U.S. and foreign governments could adversely affect our business.</w:t>
      </w:r>
    </w:p>
    <w:p>
      <w:pPr>
        <w:spacing w:after="0" w:line="6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We have operations and conduct business outside the United States and we plan to continue to expand these operations. Therefore, we are subject to risks related to operating in foreign countries, which include unfamiliar foreign laws or regulatory requirements or unexpected changes to those laws or requirements; other laws and regulatory requirements to which our business activities abroad are subject, such as the Foreign Corrupt Practices Act and the UK Bribery Act; changes in the political or economic condition of a specific country or region; fluctuations in the value of foreign currency versus the U.S. dollar; our ability to deploy overseas funds in an efficient manner; tariffs, trade protection measures, import or export licensing requirements, trade embargoes, and sanctions (including those administered by the Office of Foreign Assets Control of the U.S. Department of the Treasury), and other trade barriers; difficulties in attracting and retaining qualified personnel; and cultural differences in the conduct of business. For example, given the recent developments related to international trade, unexpected changes in tariffs could adversely affect our cost of goods sold and/or the foreign sales of our product candidates. Further complicating potential uncertainties caused by conducting business outside the United States are recent political movements that are changing decades-old institutions, including, for example, in 2016, the United Kingdom held a referendum in which voters approved an exit from the EU, commonly referred to as “Brexit.” As a result of the referendum, the British government is negotiating the terms of the United Kingdom's future relationship with the EU. A substantial amount of uncertainty remains regarding the outcome of the ongoing negotiations, particularly in light of the near-term deadline. We do not know to what extent Brexit will impact the business and regulatory environment in the United Kingdom, the rest of the EU, or other countries.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 Given the lack of comparable precedent, it is unclear what financial, trade, regulatory and legal implications the withdrawal of the United Kingdom from the EU would have and how such withdrawal would affect us. Any of these effects of Brexit, among others, could adversely affect our business, financial condition and operating results.</w:t>
      </w:r>
    </w:p>
    <w:p>
      <w:pPr>
        <w:spacing w:after="0" w:line="200" w:lineRule="exact"/>
        <w:rPr>
          <w:sz w:val="20"/>
          <w:szCs w:val="20"/>
          <w:color w:val="auto"/>
        </w:rPr>
      </w:pPr>
    </w:p>
    <w:p>
      <w:pPr>
        <w:spacing w:after="0" w:line="2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There is a substantial risk of product liability claims in our business. If we are unable to obtain or maintain sufficient insurance, a product liability claim against us could adversely affect our business.</w:t>
      </w:r>
    </w:p>
    <w:p>
      <w:pPr>
        <w:spacing w:after="0" w:line="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business exposes us to significant potential product liability risks that are inherent in the development, testing, manufacturing and marketing of human therapeutic products. Product liability claims could delay or prevent completion of our clinical development programs. In addition, if any of our collaboration partners face product liability claims, our programs could also be affected and our business could be harmed.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share price. Any insurance we obtain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adversely affect our business.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research, development and manufacturing processes involve the use of hazardous materials, chemicals and various radioactive compounds.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collaborations with third parties for the development and commercialization of certain of our product candidates.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depend on third-party collaborators for the co-development and co-commercialization of certain of our product candidates and we face significant competition to the extent we elect to collaborate with others. Our potential future collaborators include large and mid-size pharmaceutical companies, regional and national pharmaceutical companies and biotechnology companies. In addition, there have been a significant number of recent business combinations among large pharmaceutical companies that have resulted in a reduced number of potential future collaborators. In April 2018, we commenced a collaboration with Takeda to discover, develop and commercialize nucleic acid therapies, or oligonucleotides, for disorders of the CNS. The collaboration provides Takeda with the option to globally co-develop and commercialize programs targeting HD, ALS, FTD, and SCA3, which we will have the right to co-commercialize in the United States. In addition, Takeda will have the right to exclusively license multiple preclinical programs for CNS disorders, including Alzheimer’s disease (“AD”) and Parkinson’s disease (“PD”). In May 2016, we entered into a collaboration with Pfizer focused on the advancement of genetically defined targets for the treatment of metabolic diseases, bringing together PRISM, our proprietary discovery and drug development platform, across antisense and single-stranded RNAi modalities, along with GalNAc and Pfizer’s hepatic targeting technology for delivery to the liver. Under the terms of the agreement, Pfizer has selected five targets, including Apolipoprotein C-III (APOC3), which is the maximum number of targets that Pfizer may select under the terms of the agreement. We will advance five targets from discovery through the selection of clinical candidates, at which point Pfizer may elect to exclusively license the programs and undertake further development and potential commercialization. Collaborations are complex and time-consuming to negotiate and document. We may not be able to negotiate collaborations on a timely basis, on acceptable terms, or at all. We may also be restricted under existing license or collaboration agreements from entering into agreements on certain terms with other potential collaborators. If we are unable to enter into collaborations with respect to a product candidate,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Depending on the type of collaborations we enter into, we may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may pose the following risks to us:</w:t>
      </w:r>
    </w:p>
    <w:p>
      <w:pPr>
        <w:spacing w:after="0" w:line="117"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3" w:lineRule="exact"/>
        <w:rPr>
          <w:rFonts w:ascii="Arial" w:cs="Arial" w:eastAsia="Arial" w:hAnsi="Arial"/>
          <w:sz w:val="18"/>
          <w:szCs w:val="18"/>
          <w:color w:val="auto"/>
        </w:rPr>
      </w:pPr>
    </w:p>
    <w:p>
      <w:pPr>
        <w:ind w:left="1040" w:right="640" w:hanging="519"/>
        <w:spacing w:after="0" w:line="308"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40" w:right="40" w:hanging="519"/>
        <w:spacing w:after="0" w:line="264"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040" w:right="40" w:hanging="519"/>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040" w:right="11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4" w:name="page65"/>
    <w:bookmarkEnd w:id="64"/>
    <w:p>
      <w:pPr>
        <w:ind w:right="20"/>
        <w:spacing w:after="0" w:line="264"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Further, if a present or future collaborator of ours were to be involved in a business combination, the continued pursuit and emphasis on our product development or commercialization program could be delayed, diminished or terminated.</w:t>
      </w:r>
    </w:p>
    <w:p>
      <w:pPr>
        <w:spacing w:after="0" w:line="2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business strategy optimally if we are unable to maintain our existing collaborations or enter into new collaborations with partners that can provide sales, marketing and distribution capabilities and funds for the development and commercialization of our product candidates.</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do not currently have any sales and marketing or distribution capabilities. Accordingly, we have entered into a collaboration with Takeda in CNS, which we believe can assist us in building these capabilities. We may also enter into additional alliances in the future. We have selectively chosen to enter into a collaboration in the field of CNS with Takeda and for certain hepatic targets with Pfizer. We have chosen these two partners because we believe this is the optimal way for us to leverage our resources and create significant value for ourselves and our shareholders, as we advance oligonucleotide candidates for genetically defined diseases.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Depending on the collaborations that we enter into, we may expect our collaborators to provide assistance with development, regulatory affairs, marketing, sales and distribution, among other areas. Our future revenues may depend heavily on the success of the efforts of these third parties. For example, under our collaboration with Takeda, if Takeda exercises its option with respect to any of our programs in HD, ALS, FTD or SCA3, we will rely on Takeda for commercialization of such optioned programs outside of the United States. In addition, Takeda will be solely responsible for the potential commercialization of additional to-be-identified preclinical CNS programs globally based on targets that Takeda identifies.</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may not be successful in our collaborations due to various factors, including our ability to successfully demonstrate proof of mechanism in humans, our ability to demonstrate the safety and efficacy of our specific product candidates, our ability to manufacture or have third parties manufacture our product candidates, the strength of our intellectual property and/or concerns about potential challenges to or limitations of our intellectual property. To the extent we have entered into, or enter into new, collaborations, we may not be able to maintain them if, for example, development or approval of a product candidate is delayed, challenges are raised as to the validity or scope of our intellectual property or sales of an approved drug are lower than we or our collaboration partner expected.</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certain product candidates that we may develop, we have formed collaborations to fund all or part of the costs of drug development and commercialization, such as our collaboration with Takeda. We may not, however, be able to enter into additional collaborations for certain other programs, and the terms of any collaboration agreement we do secure may not be favorable to us. If we are not successful in our efforts to enter into future collaboration arrangements with respect to one or more of our product candidates, we may not have sufficient funds to develop that or any other product candidate internally, or to bring any product candidates to market. If we do not have sufficient funds to develop and bring our product candidates to market, we will not be able to generate sales revenues from these product candidates, and this will substantially harm our business.</w:t>
      </w:r>
    </w:p>
    <w:p>
      <w:pPr>
        <w:spacing w:after="0" w:line="2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compound formulation, research, preclinical studies and clinical trials, and those third parties may not perform satisfactorily, including failing to meet deadlines for the completion of such formulation, research or testing.</w:t>
      </w:r>
    </w:p>
    <w:p>
      <w:pPr>
        <w:spacing w:after="0" w:line="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formulation research, preclinical studies, or clinical trials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will reduce our control over these activities but will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5" w:name="page66"/>
    <w:bookmarkEnd w:id="65"/>
    <w:p>
      <w:pPr>
        <w:ind w:right="260"/>
        <w:spacing w:after="0" w:line="277" w:lineRule="auto"/>
        <w:rPr>
          <w:sz w:val="20"/>
          <w:szCs w:val="20"/>
          <w:color w:val="auto"/>
        </w:rPr>
      </w:pPr>
      <w:r>
        <w:rPr>
          <w:rFonts w:ascii="Arial" w:cs="Arial" w:eastAsia="Arial" w:hAnsi="Arial"/>
          <w:sz w:val="18"/>
          <w:szCs w:val="18"/>
          <w:b w:val="1"/>
          <w:bCs w:val="1"/>
          <w:i w:val="1"/>
          <w:iCs w:val="1"/>
          <w:color w:val="auto"/>
        </w:rPr>
        <w:t>If any of our research collaborators terminates or fails to perform its obligations under agreements with us, the development and commercialization of our product candidates could be delayed or our business could be otherwise adversely affected.</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party to research collaboration agreements with certain academic partners, including Dr. Matthew J.A. Wood’s laboratory at the University of Oxford, the University of Dundee, and Dr. Robert H. Brown’s laboratory at the University of Massachusetts Medical School, among others. Our dependence on these research collaborators for select research capabilities means that our business could be adversely affected if any collaborator terminates its collaboration agreement with us or fails to perform its obligations under that agreement. Our current or future research collaborations, if any, may not be scientifically successful. Disputes may arise in the future with respect to the ownership of rights to technology or products developed with collaborators, which could have an adverse effect on our ability to develop and commercialize any affected product candidate.</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current research collaborations allow, and we expect that any future research collaborations will allow, either party to terminate the collaboration for a material breach by the other party. In addition, our collaborators may have additional termination rights for convenience under certain circumstances. If we were to lose a collaborator, we would have to attract a new collaborator or develop internal research capabilities, which would require us to invest significant amounts of financial and management resources.</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if we have a dispute with a collaborator over the ownership of technology or other matters, or if a collaborator terminates its collaboration with us, for breach or otherwise, or determines not to pursue the research that is the subject of the collaboration, it could delay or prevent the development of our product candidates, result in the need for additional company resources to develop product candidates, make it more difficult for us to attract new collaborators and could adversely affect how we are perceived in the business and financial communities.</w:t>
      </w:r>
    </w:p>
    <w:p>
      <w:pPr>
        <w:spacing w:after="0" w:line="2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rely on third parties to design, conduct, supervise and monitor our preclinical studies and clinical trials, and if those third parties perform in an unsatisfactory manner, it may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rely on third party clinical investigators, contract research organizations (“CROs”), clinical data management organizations and consultants to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 third parties may not be diligent, careful or timely in conducting our preclinical studies or clinical trials, resulting in the preclinical studies or clinical trials being delayed or unsuccessful.</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requires clinical trials to be conducted in accordance with good clinical practices,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may require us to perform additional clinical trials. Our reliance on third parties that we do not control does not relieve us of these responsibilities and requirements. Any such event could adversely affect our business, financial condition, results of operations and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ind w:right="220"/>
        <w:spacing w:after="0" w:line="277" w:lineRule="auto"/>
        <w:rPr>
          <w:sz w:val="20"/>
          <w:szCs w:val="20"/>
          <w:color w:val="auto"/>
        </w:rPr>
      </w:pPr>
      <w:r>
        <w:rPr>
          <w:rFonts w:ascii="Arial" w:cs="Arial" w:eastAsia="Arial" w:hAnsi="Arial"/>
          <w:sz w:val="18"/>
          <w:szCs w:val="18"/>
          <w:b w:val="1"/>
          <w:bCs w:val="1"/>
          <w:i w:val="1"/>
          <w:iCs w:val="1"/>
          <w:color w:val="auto"/>
        </w:rPr>
        <w:t>We rely on third parties to supply and manufacture our product candidates for our research, preclinical and clinical activities, and may do the same for commercial supplies of our product candidates.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we are in the process of continuing to build and expand our own internal manufacturing capabilities, we have not yet manufactured our product candidates on a commercial scale, and may not be able to do so for any of our product candidates. We also have limited experience manufacturing any of our products for our preclinical studies and clinical trials. In addition, we currently rely on third parties to supply and manufacture the materials for our research, preclinical and clinical activities and may continue to do so for the foreseeable future. We may do the same for the commercial supply of our drug product. We use third parties to perform additional steps in the manufacturing process, such as the filling, finishing and labeling of vials and storage of our product candidates and we expect to do so for the foreseeable future. There can be no assurance that our supply of research and development,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nucleic acid therapeutics, there may be increased competition for the supply of the raw materials that are necessary to make our oligonucleotides, which could severely impact the manufacturing of our product candidates.</w:t>
      </w:r>
    </w:p>
    <w:p>
      <w:pPr>
        <w:spacing w:after="0" w:line="18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its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ourselves, for which we currently have limited capabilities and resources, or enter into an agreement with another third party, which we may not be able to do on reasonable terms, if at all. Any interruption of the development or operation of the manufacturing of our product candidates, such as order delays for equipment or materials, equipment malfunction, quality control and quality assurance issues, regulatory delays and possible 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9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third-party manufacturing for product candidates, or to do so on commercially reasonable terms, we may not be able to develop and commercialize our product candidates successfully. Failure to execute on our manufacturing requirements, either by us or by one of our third-party vendors, could adversely affect our business in a number of ways, including:</w:t>
      </w:r>
    </w:p>
    <w:p>
      <w:pPr>
        <w:spacing w:after="0" w:line="84"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inspections by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7" w:name="page68"/>
    <w:bookmarkEnd w:id="67"/>
    <w:p>
      <w:pPr>
        <w:ind w:right="26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we are in the process of hiring employees with commercial experience, we currently have no sales, marketing or distribution capabilities. In addition, while our collaboration with Takeda will provide us with know-how and experience related to commercialization, we have limited experience of our own. If any of our product candidates is approved, we will need to develop internal sales, marketing and distribution capabilities to commercialize such products, which would be expensive and time-consuming, or rely on or enter into additional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may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would be adversely affected.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Managing Our Operations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 to have an increased need to recruit and hire qualified personnel as we advance our programs and expand operations. Failure to successfully recruit and retain personnel could impact our anticipated development plans and timelines.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We face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2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As we continue our preclinical studies and clinical trials and advance to further clinical development, we may experience difficulties in managing our growth and expanding our operations.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Although we have assembled a team of employees with experience developing medicines and obtaining regulatory approval to market those medicines, we have limited experience as a company in drug development. Prior to 2017, all of our product candidates were in the preclinical development stage. We are conducting clinical trials of our lead program in DMD targeting exon 51 and our two lead programs in HD. We are advancing three additional development programs, targeting exon 53 in DMD and C9ORF72 in amyotrophic lateral sclerosis and frontotemporal dementia. In addition to neurology, we are advancing discovery research in ophthalmologic disorders, specifically inherited retinal diseases, and in hepatic diseases, and we expect to make continued investments in expanding the breadth of our portfolio. As we advance product candidates through preclinical studies and clinical trials, we will need to expand our development, regulatory and manufacturing capabilities or contract with other organizations to provide these capabilities for us. In addition, we must manage our relationships with collaborators or partners, suppliers and other organizations, including our collaborations with Takeda and Pfizer.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In addition, our future growth may require significant capital expenditures and may divert financial resources from other projects, such as the development of our product candidates. If we are unable to effectively manage our future growth, our expenses may increase and our ability to generate revenue could be reduced.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8" w:name="page69"/>
    <w:bookmarkEnd w:id="68"/>
    <w:p>
      <w:pPr>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noncompliance with regulatory standards and requirements.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exposed to the risk of fraud or other misconduct by our employees, consultants and collaborators. Such misconduct could include intentional failures to comply with FDA and other foreign agency regulations, provide accurate information to the FDA, comply with manufacturing standards required by the FDA or that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Security breaches, loss of data and other disruptions could compromise sensitive information related to our business, prevent us from accessing critical information or expose us to liability, which could adversely affect our business and our reputation.</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ordinary course of our business, we, our CROs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secure processing, storage, maintenance and transmission of this critical information by us, or our CROs and other third parties, is vital to our operations and business strategy. Although we take measures to protect sensitive information from unauthorized access or disclosure, our information technology and infrastructure, or that of our CROs or other third parties, may be vulnerable to attacks by hackers, viruses, breaches, interruptions due to employee error, malfeasance or other disruptions, lapses in compliance with privacy and security mandates, or damage from natural disasters, terrorism, war and telecommunication and electrical failures. Any such event could compromise our networks, or that of our CROs or other third parties, and the information stored there could be accessed by unauthorized parties, publicly disclosed, lost or stolen.</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measures in place that are designed to detect and respond to such security incidents and breaches of privacy and security mandates. Any such access, disclosure or other loss of information could result in legal claims or proceedings, liability under laws that protect the privacy of personal information, such as the HIPAA, government enforcement actions and regulatory penalties. Unauthorized access, loss or dissemination could also disrupt our operations, including our ability to conduct research and development activities, process and prepare company financial information, manage various general and administrative aspects of our business and damage our reputation, any of which could adversely affect our business. For example, the loss of clinical trial data from completed or ongoing or planned clinical trials could result in delays in our regulatory approval efforts and significantly increase our costs to recover or reproduce the data. In addition, there can be no assurance that we, or our CROs and other third parties,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the further development of our product candidates could be delayed.</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Numerous federal, state and international laws address privacy, data protection and the collection, storing, sharing, use, disclosure and protection of personally identifiable information and other user data. Numerous states already have, and are looking to expand, data protection legislation. For example, in June 2018, California enacted the California Consumer Privacy Act, which takes effect on January 1, 2020, and will broadly define personal information, give California residents expanded privacy rights and protections and provide for civil penalties for violations and a private right of action for data breaches. Outside the United States, personally identifiable information and other user data is increasingly subject to legislation and regulations in numerous jurisdictions around the world, the intent of which is to protect the privacy of information that is collected, processed and transmitted in or from the governing jurisdiction. Foreign data protection, privacy, information security, user protection and other laws and regulations are often more restrictive than those in the United States. In particular, the EU and its member states traditionally have taken broader views as to types of data that are subject to privacy and data protection laws and regulations, and have imposed greater legal obligations on companies in this regard. For example, in April 2016, European legislative bodies adopted the General Data Protection Regulation (“GDPR”), which became effective May 25, 2018. The GDPR applies to any company established in the EU as well as to those outside the EU if they collect and use personal data of EU residents. The GDPR enhances data protection obligations for processors and controllers of personal data, including, for example, expanded disclosures about how personal information is to be used,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9" w:name="page70"/>
    <w:bookmarkEnd w:id="69"/>
    <w:p>
      <w:pPr>
        <w:ind w:right="60"/>
        <w:spacing w:after="0" w:line="255" w:lineRule="auto"/>
        <w:rPr>
          <w:sz w:val="20"/>
          <w:szCs w:val="20"/>
          <w:color w:val="auto"/>
        </w:rPr>
      </w:pPr>
      <w:r>
        <w:rPr>
          <w:rFonts w:ascii="Arial" w:cs="Arial" w:eastAsia="Arial" w:hAnsi="Arial"/>
          <w:sz w:val="18"/>
          <w:szCs w:val="18"/>
          <w:color w:val="auto"/>
        </w:rPr>
        <w:t>limitations on retention of information, mandatory data breach notification requirements and onerous new obligations on services providers. Non-compliance with the GDPR may result in monetary penalties of up to €20 million or 4% of annual worldwide revenue, whichever is higher. While we have taken steps to comply with the GDPR, including reviewing our security procedures, updating our website, revising our clinical trial informed consents, and entering into data processing agreements with relevant contractors, we cannot assure you that our efforts to remain in compliance will be fully successful. The GDPR and other changes in laws or regulations associated with the enhanced protection of personal data may increase our costs of compliance and result in greater legal risks.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rates may adversely affect our results.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the results of our operations or our cash flows.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years ended December 31, 2018, 2017 and 2016, changes in foreign currency exchange rates did not have a material impact on our historical financial position, our business, our financial condition, the results of our operations or our cash flows. A hypothetical 10% change in foreign currency rates would not have a material impact on our historical financial position or results of operations. However, there can be no assurance that changes in foreign currency exchange rates will not have a material adverse impact on us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effects of the enacted Tax Cuts and Jobs Act could adversely affect our business and financial conditions.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President Trump signed into law the Tax Cuts and Jobs Act (the “Tax Act”) that significantly reforms the Internal Revenue Code of 1986, as amended. The Tax Act,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These changes and other aspects of the Tax Act are still subject to interpretation and clarification. We cannot predict the timing or impacts of any future Tax Act modifications or changes in tax laws, including the effect of any subsequent technical corrections or clarifications. Increases in tax rates or modifications and changes in tax laws, including the Tax Act, could materially and adversely affect our business and financial conditions.</w:t>
      </w:r>
    </w:p>
    <w:p>
      <w:pPr>
        <w:spacing w:after="0" w:line="33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or a work slowdown or stoppage at those agencies as part of a broader federal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over the last several years, including beginning on December 22, 2018, the U.S. government has shut down several times and certain regulatory agencies, such as the FDA and the SEC, have had to furlough critical FDA, SEC and other government employees and stop critical activities. If a prolonged government shutdown recurs,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market exclusivity for our technologies or product candidates, development and commercialization of our product candidates may be adversely affected.</w:t>
      </w:r>
    </w:p>
    <w:p>
      <w:pPr>
        <w:spacing w:after="0" w:line="6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in-licenses of intellectual property rights of others, for our product candidates and platform technologies, methods used to manufacture our product candidates, methods of patient stratification and methods for treating patients using our product candidates, as well as our ability to preserve our trade secrets, to prevent third parties from infringing upon our proprietary rights and to operate without infringing upon the proprietary rights of others. We may not be able to apply for patents or obtain patent protection on certain aspects of our product candidates or our platform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our platform technologies, or any methods relating to them, or to provide meaningful protection from our competitors. Moreover, the patent position of biotechnology and pharmaceutical companies can be highly uncertain and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Jurisdictions such as India, Mexico, China, Europe and others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Particularly given that some of our product candidates may represent stereopure versions of previously described oligonucleotides, it may be difficult or impossible to obtain patent protection for them in relevant jurisdictions. Thus, in some countries and jurisdictions, it may not be possible to patent some of our product candidates at all. In some countries and jurisdictions, only composition claims may be obtained, and only when those compositions are or contain compounds that are new and/or novel. Also, patents issued with composition claims (</w:t>
      </w:r>
      <w:r>
        <w:rPr>
          <w:rFonts w:ascii="Arial" w:cs="Arial" w:eastAsia="Arial" w:hAnsi="Arial"/>
          <w:sz w:val="17"/>
          <w:szCs w:val="17"/>
          <w:i w:val="1"/>
          <w:iCs w:val="1"/>
          <w:color w:val="auto"/>
        </w:rPr>
        <w:t>i.e.,</w:t>
      </w:r>
      <w:r>
        <w:rPr>
          <w:rFonts w:ascii="Arial" w:cs="Arial" w:eastAsia="Arial" w:hAnsi="Arial"/>
          <w:sz w:val="17"/>
          <w:szCs w:val="17"/>
          <w:color w:val="auto"/>
        </w:rPr>
        <w:t xml:space="preserve"> covering product candidates) cannot always be enforced to protect methods of using those compositions to treat or diagnose diseases or medical conditions. In such countries or jurisdictions, enforcement of patents to protect our product candidates, or their uses, may be difficult or impossible. Lack of patent protection in such cases may have a materially adverse effect on our business and financial condition.</w:t>
      </w:r>
    </w:p>
    <w:p>
      <w:pPr>
        <w:spacing w:after="0" w:line="1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owned and licensed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proprietary products and technologies. While we will endeavor to try to protect our product candidates and platform technology with intellectual property rights such as patents, as appropriate, the process of filing and prosecuting patent applications, and obtaining, maintaining and defending patents is time-consuming, expensive, uncertain, and sometimes unpredictable.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1" w:name="page72"/>
    <w:bookmarkEnd w:id="71"/>
    <w:p>
      <w:pPr>
        <w:spacing w:after="0" w:line="28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enacted within the last several years, involves significant changes in patent legislation. The U.S. Supreme Court has ruled on several patent cases in recent years, some of which cases either narrow the scope of patent protection available in certain circumstances or weaken the rights of patent owners in certain situations. The recent decision by the U.S.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xml:space="preserve"> precludes a claim to a nucleic acid having a stated nucleotide sequence which is identical to a sequence found in nature and unmodified. We currently are not aware of an immediate impact of this decision on our patents or patent applications because we are developing oligonucleotides which contain modifications that we believe are not found in nature. However, this decision has yet to be clearly interpreted by courts and by the USPTO. We cannot make assurances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attacked or may lose the allowed or granted claims altogether. In addition, there can be no assurance that:</w:t>
      </w:r>
    </w:p>
    <w:p>
      <w:pPr>
        <w:spacing w:after="0" w:line="46" w:lineRule="exact"/>
        <w:rPr>
          <w:sz w:val="20"/>
          <w:szCs w:val="20"/>
          <w:color w:val="auto"/>
        </w:rPr>
      </w:pPr>
    </w:p>
    <w:p>
      <w:pPr>
        <w:ind w:left="1040" w:right="3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licensors, collaborators or any future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or our licensors, collaborators or any future collaborators are the first to file patent applications covering certain aspects of our inventions.</w:t>
      </w:r>
    </w:p>
    <w:p>
      <w:pPr>
        <w:spacing w:after="0" w:line="140" w:lineRule="exact"/>
        <w:rPr>
          <w:rFonts w:ascii="Arial" w:cs="Arial" w:eastAsia="Arial" w:hAnsi="Arial"/>
          <w:sz w:val="16"/>
          <w:szCs w:val="16"/>
          <w:color w:val="auto"/>
        </w:rPr>
      </w:pPr>
    </w:p>
    <w:p>
      <w:pPr>
        <w:ind w:left="1040" w:right="8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third party may not challenge, invalidate, circumvent or weaken our patents; nor can there be any assurance if any of these events should occur, that a court would hold that our patents are valid, enforceable and infringed.</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issued patents that we own or have licensed will provide us with any competitive advantages, or will not be challenged, invalidated, circumvented or weakened by third parties.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will not have an adverse effect on our business.</w:t>
      </w:r>
    </w:p>
    <w:p>
      <w:pPr>
        <w:spacing w:after="0" w:line="117" w:lineRule="exact"/>
        <w:rPr>
          <w:rFonts w:ascii="Arial" w:cs="Arial" w:eastAsia="Arial" w:hAnsi="Arial"/>
          <w:sz w:val="18"/>
          <w:szCs w:val="18"/>
          <w:color w:val="auto"/>
        </w:rPr>
      </w:pPr>
    </w:p>
    <w:p>
      <w:pPr>
        <w:ind w:left="1040" w:right="160" w:hanging="519"/>
        <w:spacing w:after="0" w:line="308"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license patent rights from third-party owners or licensees. If such owners or licensees do not properly or successfully obtain, maintain or enforce the patents underlying such licenses, or if they retain or license to others any competing rights, our competitive position and business prospects may be adversely affected.</w:t>
      </w:r>
    </w:p>
    <w:p>
      <w:pPr>
        <w:spacing w:after="0" w:line="7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license patent rights from third parties that we may use from time to time to protect certain aspects of our technology and programs. We may license additional third-party intellectual property in the future. To the extent that we use, and ultimately rely on, in-licensed technologies in our platform and our programs, our success will depend in part on the ability of our licensors to obtain, maintain and enforce patent protection for those in-licensed technologies. Our licensors may not successfully prosecute the patent applications licensed to us. Even if patents issue or are granted, our licensors may fail to maintain these patents, may determine not to pursue litigation against other companies that are infringing these patents, or may pursue litigation less aggressively than we would. Further, we may not obtain exclusive rights, which would allow for third parties to develop competing products. Without protection for, or exclusive right to, the intellectual property we license, other companies might be able to offer substantially identical products for sale, which could adversely affect our competitive business position and harm our business prospects. In addition, we may sublicense our rights under our third-party licenses to current or future collaborators or any future strategic partners. Any impairment of these sublicensed rights could result in reduced revenue under any future collaboration agreements we may enter into or result in termination of an agreement by one or more of our current or future collaborators or any future strategic partners.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2" w:name="page73"/>
    <w:bookmarkEnd w:id="72"/>
    <w:p>
      <w:pPr>
        <w:ind w:right="500"/>
        <w:spacing w:after="0" w:line="277" w:lineRule="auto"/>
        <w:rPr>
          <w:sz w:val="20"/>
          <w:szCs w:val="20"/>
          <w:color w:val="auto"/>
        </w:rPr>
      </w:pPr>
      <w:r>
        <w:rPr>
          <w:rFonts w:ascii="Arial" w:cs="Arial" w:eastAsia="Arial" w:hAnsi="Arial"/>
          <w:sz w:val="18"/>
          <w:szCs w:val="18"/>
          <w:b w:val="1"/>
          <w:bCs w:val="1"/>
          <w:i w:val="1"/>
          <w:iCs w:val="1"/>
          <w:color w:val="auto"/>
        </w:rPr>
        <w:t>Certain third parties have rights in the patents related to single-stranded oligonucleotides that could allow them to develop, market and sell product candidates in competition with ours.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in-license of patent rights from Max Planck is one of two maximum allowable co-exclusive licenses for the patents that are the subject of the license, the other of which is currently held by Ionis Pharmaceuticals, Inc. (“Ionis”). We therefore do not have rights under this license to prevent Ionis from developing product candidates in competition with ours. In addition, the German and U.S. governments have certain rights to the inventions covered by the patent rights and Max Planck, as an academic research and medical center, has the right to practice the licensed patent rights for educational, research and clinical uses. If a third party develops, manufactures, markets and sells any product covered by the same patent rights and technologies that compete with ours, it could significantly undercut the value of any of our product candidates that rely on the patent rights under that license, which would materially adversely affect our revenue, financial condition and results of operations.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Nucleic acid therapeutics is a relatively new scientific field, the commercial exploitation of which has resulted in many different patents and patent applications from organizations and individuals seeking to obtain patent protection in the field. We have obtained grants and issuances of patents in this field. The issued patents and pending patent applications in the U.S. and in key markets around the world that we own or license claim certain methods, compositions and processes relating to the discovery, development, manufacture and/or commercialization of oligonucleotides and/or our platform.</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the field of oligonucleotides matures, patent applications are being processed by national patent offices around the world. There is uncertainty about which patents will issue, and, if they do, as to when, to whom, and with what claims. It is likely that there will be significant litigation in the courts and other proceedings, such as interference, reexamination and opposition proceedings, in various patent offices relating to patent rights in the oligonucleotides field. In many cases, the possibility of appeal or opposition exists for either us or our opponents, and it may be years before final, unappealable rulings are made with respect to these patents in certain jurisdictions. The timing and outcome of these and other proceedings is uncertain and may adversely affect our business, particularly if we are not successful in defending the patentability and scope of our pending and issued patent claims or if third parties are successful in obtaining claims that cover any of our product candidates or our platform. In addition, third parties may attempt to invalidate our intellectual property rights. Even if our rights are not directly challenged, invalidated or circumvented, disputes could lead to the weakening of our intellectual property rights. Our defense against any attempt by third parties to challenge, invalidate, circumvent or weaken our intellectual property rights could be costly to us, could require significant time and attention of our management and could adversely affect our business and our ability to successfully compete in the field of oligonucleotides.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generally file a provisional patent application first (a priority filing) at the USPTO. A Patent Cooperation Treaty (“PCT”) application is usually filed within 12 months after the priority filing. Regional and/or national patent applications may be pursued outside of the United States, either based on a PCT application or as a direct filing, in some cases claiming priority to a prior U.S. or PCT filing. Some of our cases have been filed in, for example, Argentina, Australia, Brazil, Canada, Chile, China, Europe, Hong Kong, Indonesia, Israel, India, Japan, Malaysia, New Zealand, South Korea, Mexico, Russia, Singapore, South Africa, Taiwan, United Arab Emirates, and Venezuela. We also commonly enter the national stage in the United States through a PCT filing.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different scopes of patent protection may be granted on the same product or technology.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3" w:name="page74"/>
    <w:bookmarkEnd w:id="73"/>
    <w:p>
      <w:pPr>
        <w:spacing w:after="0" w:line="289"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United States,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allowing competitors to manufacture and sell their own versions of our product, thereby reducing our sales. In addition, many countries do not permit enforcement of patents, or limit the enforceability of patents against government agencies or government contractors. In these countries, the patent owner may have limited remedies, which could materially diminish the value of such a patent. If we or any of our licensors, collaborators or present or future partners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or biosimilar drug manufacturers or other competitors may challenge the scope, validity or enforceability of our or our licensors’ or collaborators’ patents, requiring us or our licensors or collaborators to engage in complex, lengthy and costly litigation or other proceedings. Generic or biosimilar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or collaborators may have limited remedies if patents are infringed or if we or our licensors or collaborators are compelled to grant a license to a third party, which could materially diminish the value of those patents. This could limit our potential revenue opportunities. Accordingly, our and our licensors’ and collaborators’ efforts to enforce intellectual property rights around the world may be inadequate to obtain a significant commercial advantage from the intellectual property that we own or license.</w:t>
      </w:r>
    </w:p>
    <w:p>
      <w:pPr>
        <w:spacing w:after="0" w:line="27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We or our licensors, collaborators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and time consuming, or delay or prevent the development and commercialization of our product candidates, or put our patents and other proprietary rights at risk.</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or our licensors, collaborators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collaborators or any future strategic partners are found to infringe a third-party patent or other intellectual property rights, we could be required to pay damages, potentially including treble damages, if we are found to have willfully infringed. In addition, we or our licensors, collaborators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 or any future collaborator,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following legal allegations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p>
      <w:pPr>
        <w:ind w:right="40"/>
        <w:spacing w:after="0" w:line="264"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Because the oligonucleotide intellectual property landscape is still evolving and our product candidates have not yet reached commercialization, it is difficult to conclusively assess our freedom to operate. There are numerous companies that have pending patent applications and issued patents directed to certain aspects of oligonucleotides. We are aware of third party competitors in the oligonucleotide therapeutics space, whose patent filings and/or issued patents may include claims directed to targets and/or products related to some of our programs. It is possible that at the time that we commercialize our products these third-party patent portfolios may include issued patent claims that cover our products or critical features of their production or use. Our competitive position may suffer if patents issued to third parties or other third party intellectual property rights cover, or may be alleged to cover, our products or elements thereof, or methods of manufacture or use relevant to our development plans. In such cases, we may not be in a position to develop or commercialize product candidates unless we successfully pursue litigation to nullify or invalidate the third party intellectual property right concerned or enter into a license agreement with the intellectual property right holder, if available on commercially reasonable terms.</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date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 Third 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 party intellectual property rights. Any of these events, even if we were ultimately to prevail, could require us to divert substantial financial and management resources that we would otherwise be able to devote to our business.</w:t>
      </w:r>
    </w:p>
    <w:p>
      <w:pPr>
        <w:spacing w:after="0" w:line="296"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under any license, collaboration or other agreement, we may be required to pay damages and could lose intellectual property rights that are necessary for developing and protecting our product candidates, or we could lose certain rights to grant sublicenses.</w:t>
      </w:r>
    </w:p>
    <w:p>
      <w:pPr>
        <w:spacing w:after="0" w:line="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There are many issued patents and/or pending patent applications that claim aspects of oligonucleotide compositions, chemistry and/or modifications that we may want or need to apply to our product candidates. There are also many issued patents and/or pending patent applications that claim targeted genes or portions of genes that may be relevant for the oligonucleotides we wish to develop. We are aware of third-party competitors in the oligonucleotide therapeutics space whose patent filings and/or issued patents may include claims directed to targets and/or product candidates related to some of our development programs. It is possible that these third-party patent portfolios may include issued patent claims that cover our product candidates or critical features of their production or use. Thus, it is possible that one or more organizations will hold patent rights to which we will need or want a license. If those organizations refuse to grant us a license to such patent rights on reasonable terms, or at all, we may not be able to market products or perform research and development or other activities covered by these patents.</w:t>
      </w:r>
    </w:p>
    <w:p>
      <w:pPr>
        <w:spacing w:after="0" w:line="17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technology licenses and any future licenses we enter into are likely to impose various development, commercialization, funding, milestone, royalty, diligence, sublicensing, insurance, patent prosecution and enforcement, and/or other obligations on us. If we breach any of these imposed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seeking patent protection for certain aspects of our product candidates, we also consider trade secrets, including confidential and unpatented know-how, improvements and technological innovation important to the maintenance of our competitive position. We protect trade secrets and confidential and unpatented know-how, improvements and technological innovation,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8"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7"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Our trademarks or trade names may be infringed, challenged, invalidated, circumvented, weakened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Being a Singapore Company</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a Singapore incorporated company and it may be difficult to enforce a judgment of U.S. courts for civil liabilities under U.S. federal securities laws against us, our directors or officers in Singapore.</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are incorporated under the laws of the Republic of Singapore, and certain of our directors are residents outside the United States. Moreover, a significant portion of our consolidated assets are located outside the United States. Although we are incorporated outside the United States, we have agreed to accept service of process in the United States through our agent designated for that purpose. Nevertheless, because a majority of the consolidated assets owned by us are located outside the United States, any judgment obtained in the United States against us may not be enforceable within the United States.</w:t>
      </w:r>
    </w:p>
    <w:p>
      <w:pPr>
        <w:spacing w:after="0" w:line="15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There is uncertainty as to whether judgments of courts in the United States based upon the civil liability provisions of the federal securities laws of the United States would be recognized or enforceable in Singapore. In addition, holders of book-entry interests in our shares will be required to be registered shareholders as reflected in our shareholder register in order to have standing to bring a shareholder action and, if successful, to enforce a foreign judgment against us, our directors or our executive officers in the Singapore courts. The administrative process of becoming a registered holder could result in delays prejudicial to any legal proceedings or enforcement action. Consequently, it may be difficult for investors to enforce against us, our directors or our officers in Singapore judgments obtained in the United States which are predicated upon the civil liability provisions of the federal securities laws of the United States.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6" w:name="page77"/>
    <w:bookmarkEnd w:id="76"/>
    <w:p>
      <w:pPr>
        <w:ind w:right="560"/>
        <w:spacing w:after="0" w:line="277" w:lineRule="auto"/>
        <w:rPr>
          <w:sz w:val="20"/>
          <w:szCs w:val="20"/>
          <w:color w:val="auto"/>
        </w:rPr>
      </w:pPr>
      <w:r>
        <w:rPr>
          <w:rFonts w:ascii="Arial" w:cs="Arial" w:eastAsia="Arial" w:hAnsi="Arial"/>
          <w:sz w:val="18"/>
          <w:szCs w:val="18"/>
          <w:b w:val="1"/>
          <w:bCs w:val="1"/>
          <w:i w:val="1"/>
          <w:iCs w:val="1"/>
          <w:color w:val="auto"/>
        </w:rPr>
        <w:t>We are incorporated in Singapore and our shareholders may have more difficulty in protecting their interests than they would as shareholders of a corporation incorporated in the United States.</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corporate affairs are governed by our constitution and by the laws governing corporations incorporated in Singapore. The rights of our shareholders and the responsibilities of the members of our board of directors under Singapore law are different from those applicable to a corporation incorporated in the United States. Principal shareholders of Singapore companies do not owe fiduciary duties to minority shareholders, as compared, for example, to controlling shareholders in corporations incorporated in Delaware. Our public shareholders may have more difficulty in protecting their interests in connection with actions taken by our management, members of our board of directors or our principal shareholders than they would as shareholders of a corporation incorporated in the United States.</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only persons who are registered as shareholders in our shareholder register are recognized under Singapore law as shareholders of our company. Only registered shareholders have legal standing to institute shareholder actions against us or otherwise seek to enforce their rights as shareholders. Investors in our shares who are not specifically registered as shareholders in our shareholder register (for example, where such shareholders hold shares indirectly through the Depository Trust Company) are required to become registered as shareholders in our shareholder register in order to institute or enforce any legal proceedings or claims against us, our directors or our executive officers relating to shareholder rights. Holders of book-entry interests in our shares may become registered shareholders by exchanging their book-entry interests in our shares for certificated shares and being registered in our shareholder register. Such process could result in administrative delays which may be prejudicial to any legal proceeding or enforcement action.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laws of Singapore, which differ in certain material respects from the laws of the United States.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company incorporated under the laws of the Republic of Singapore, we are required to comply with the laws of Singapore, certain of which are capable of extra-territorial application, as well as our constitution. In particular, we are required to comply with certain provisions of the Securities and Futures Act of Singapore (Cap 289) (the “SFA”), which prohibit certain forms of market conduct and information disclosures, and impose criminal and civil penalties on corporations, directors and officers in respect of any breach of such provisions. We are also required to comply with the Singapore Code on Take-Overs and Mergers (the “Singapore Takeover Code”), which specifies, among other things, certain circumstances in which a general offer is to be made upon a change in effective control, and further specifies the manner and price at which voluntary and mandatory general offers are to be made.</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laws of Singapore and of the United States differ in certain significant respects. The rights of our shareholders and the obligations of our directors and officers under Singapore law (including under the Companies Act of Singapore (Cap 50) (the “Singapore Companies Act”) are different from those applicable to a company incorporated in the State of Delaware in material respects, and our shareholders may have more difficulty and less clarity in protecting their interests in connection with actions taken by our management, members of our board of directors or our controlling shareholders than would otherwise apply to a company incorporated in the State of Delaware.</w:t>
      </w:r>
    </w:p>
    <w:p>
      <w:pPr>
        <w:spacing w:after="0" w:line="18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application of Singapore law, in particular, the Singapore Companies Act may, in certain circumstances, impose more restrictions on us and our shareholders, directors and officers than would otherwise be applicable to a company incorporated in the State of Delaware. For example, the Singapore Companies Act requires directors to act with a reasonable degree of diligence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carrying the right of voting in general meetings may require the convening of an extraordinary general meeting of shareholders by our directors. If our directors fail to comply with such request within 21 days of the receipt thereof, the original requisitioning shareholders, or any of them holding more than 50% of the voting rights represented by the original requisitioning shareholders, may proceed to convene such meeting, and we will be liable for the reasonable expenses incurred by such requisitioning shareholders. We are also required by the Singapore Companies Act to deduct such corresponding amounts from fees or other remuneration payable by us to such non-complying directors.</w:t>
      </w:r>
    </w:p>
    <w:p>
      <w:pPr>
        <w:spacing w:after="0" w:line="2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subject to the Singapore Takeover Code, which requires a person acquiring 30% or more of our voting shares to conduct a takeover offer for all of our voting shares. This could have the effect of discouraging, delaying or preventing a merger or acquisition and limit the market price of our ordinary shares.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the Singapore Takeover Code. The Singapore Takeover Code contains provisions that may delay, deter or prevent a future takeover or change in control of our company and limit the market price of our ordinary shares for so long as we remain a public company with more than 50 shareholders and net tangible assets of S$5 million (Singapore dollars) or more. For example, under the Singapore Takeover Code, any person acquiring, whether by a series of transactions over a period of time or not, either on such persons own or together with parties acting in concert with such person, 30% or more of our voting shares, or if such person holds, either on such person’s own or together with parties acting in concert with such person, between 30% and 50% (both inclusive)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7" w:name="page78"/>
    <w:bookmarkEnd w:id="77"/>
    <w:p>
      <w:pPr>
        <w:ind w:right="20"/>
        <w:spacing w:after="0" w:line="279" w:lineRule="auto"/>
        <w:rPr>
          <w:sz w:val="20"/>
          <w:szCs w:val="20"/>
          <w:color w:val="auto"/>
        </w:rPr>
      </w:pPr>
      <w:r>
        <w:rPr>
          <w:rFonts w:ascii="Arial" w:cs="Arial" w:eastAsia="Arial" w:hAnsi="Arial"/>
          <w:sz w:val="17"/>
          <w:szCs w:val="17"/>
          <w:color w:val="auto"/>
        </w:rPr>
        <w:t>of our voting shares, and if such person (or parties acting in concert with such person) acquires additional voting shares representing more than 1% of our voting shares in any six-month period, must, except with the consent of Securities Industry Council in Singapore, extend a takeover offer for our remaining voting shares in accordance with the Singapore Takeover Code. Therefore, any investor seeking to acquire a significant stake in our company may be deterred from doing so if, as a result, such investor would be required to conduct a takeover offer for all of our voting shares.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These same provisions could discourage potential investors from acquiring a stake or making a significant investment in our company and may substantially impede the ability of our shareholders to benefit from a change of effective control and, as a result, may adversely affect the market price of our ordinary shares and the ability to realize any benefits from a potential change of control.</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For a limited period of time, our directors have general authority to allot and issue new ordinary shares on terms and conditions and for such purposes as may be determined by our board of directors in its sole discretion.</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Under Singapore law, we may only allot and issue new shares with the prior approval of our shareholders in a general meeting. At our most recent annual general meeting of shareholders, our shareholders provided our directors with a general authority, subject to the provisions of the Singapore Companies Act and our constitution, to allot and issue any number of new ordinary shares and/or make or grant offers, agreements, options or other instruments (including the grant of awards or options pursuant to our equity-based incentive plans and agreements in effect from time to time) that might or would require ordinary shares to be allotted and issued (collectively, the “Instruments”); and unless revoked or varied by the Company in a general meeting, such authority will continue in force until the earlier of (i) the conclusion of our next annual general meeting of shareholders, or (ii) the expiration of the period within which our next annual general meeting of shareholders is required by law to be held. Subject to the general requirements of the Singapore Companies Act and our constitution, the general authority given to our directors by our shareholders to allot and issue ordinary shares and/or make or grant the Instruments may be exercised by our directors on such terms and conditions, for such purposes and for consideration as they may in their sole discretion deem fit, and with such rights or restrictions as they may think fit to impose and as are set forth in our constitution. Any additional issuances of new ordinary shares and/or any grant of the Instruments by our directors may dilute our shareholders’ interests in our ordinary shares and/or adversely impact the market price of our ordinary shares.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or become a passive foreign investment company, which could result in adverse U.S. federal income tax consequences to U.S. Holders.</w:t>
      </w:r>
    </w:p>
    <w:p>
      <w:pPr>
        <w:spacing w:after="0" w:line="14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rules governing passive foreign investment companies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The fair market value of our assets is expected to relate, in part, to (a) the market price of our ordinary shares and (b) the composition of our income and assets, which will be affected by how, and how quickly, we spend any cash that is raised in any financing transaction. Moreover, our ability to earn specific types of income that we currently treat as non-passive for purposes of the PFIC rules is uncertain with respect to future years. Based on the current and anticipated value of our assets and the composition of our income and assets, we do not expect to be treated as a PFIC for our current taxable year ending December 31, 2019; however, there can be no assurance that we will not be considered a PFIC for any future taxable year.</w:t>
      </w:r>
    </w:p>
    <w:p>
      <w:pPr>
        <w:spacing w:after="0" w:line="18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If we are a PFIC, a U.S. Holder (defined below)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A U.S. Holder may in certain circumstances mitigate adverse tax consequences of the PFIC rules by filing an election to treat the PFIC as a qualified electing fund (“QEF”) or, if shares of the PFIC are “marketable stock” for purposes of the PFIC rules, by making a mark-to-market election with respect to the shares of the PFIC. We do not intend to comply with the reporting requirements necessary to permit U.S. Holders to elect to treat us as a QEF. If a U.S. Holder makes a mark-to-market election with respect to its ordinary shares, the U.S. Holder is required to include annually in its U.S. federal taxable income an amount reflecting any year end increase in the value of its ordinary shares. For purposes of this discussion, a “U.S. Holder” is a beneficial owner of ordinary shares that is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w:t>
      </w:r>
    </w:p>
    <w:p>
      <w:pPr>
        <w:spacing w:after="0" w:line="6" w:lineRule="exact"/>
        <w:rPr>
          <w:sz w:val="20"/>
          <w:szCs w:val="20"/>
          <w:color w:val="auto"/>
        </w:rPr>
      </w:pPr>
    </w:p>
    <w:p>
      <w:pPr>
        <w:ind w:right="200" w:firstLine="8"/>
        <w:spacing w:after="0" w:line="255" w:lineRule="auto"/>
        <w:tabs>
          <w:tab w:leader="none" w:pos="3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trust (a) if a court within the U.S. can exercise primary supervision over its administration, and one or more U.S. persons have the authority to control all of the substantial decisions of that trust, or (b) that was in existence on August 20, 1996, and validly elected under applicable Treasury Regulations to continue to be treated as a domestic trust.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Investors should consult their own tax advisors regarding all aspects of the application of the PFIC rules to the ordinary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Singapore taxes may differ from the tax laws of other jurisdictions.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Prospective investors should consult their tax advisors concerning the overall tax consequences of purchasing, owning and disposing of our shares. Singapore tax law may differ from the tax laws of other jurisdictions, including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unanticipated tax liabilities.</w:t>
      </w:r>
    </w:p>
    <w:p>
      <w:pPr>
        <w:spacing w:after="0" w:line="11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are incorporated under the laws of Singapore. We are, however, subject to income, withholding or other taxes in certain jurisdictions by reason of our activities and operations, and it is also possible that tax authorities in any such jurisdictions could assert that we are subject to greater taxation than we currently anticipate. Any such non-Singaporean tax liability could materially adversely affect our results of operations.</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Tax authorities could challenge the allocation of income and deductions among our subsidiaries, which could increase our overall tax liability. </w:t>
      </w:r>
      <w:r>
        <w:rPr>
          <w:rFonts w:ascii="Arial" w:cs="Arial" w:eastAsia="Arial" w:hAnsi="Arial"/>
          <w:sz w:val="18"/>
          <w:szCs w:val="18"/>
          <w:color w:val="auto"/>
        </w:rPr>
        <w:t>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organized in Singapore, and we currently have subsidiaries in the United States, Japan, the United Kingdom, and Ireland. As we grow our business, we expect to conduct increased operations through our subsidiaries in various jurisdictions. If two or more affiliated companies are located in different jurisdictions, the tax laws or regulations of each country generally will require transactions between those affiliated companies to be conducted on terms consistent with those between unrelated companies dealing at arms’ length, and appropriate documentation generally must be maintained to support the transfer prices. We maintain our transfer pricing policies to be compliant with applicable transfer pricing laws, but our transfer pricing procedures are not binding on applicable tax authorities.</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If tax authorities were to successfully challenge our transfer pricing, there could be an increase in our overall tax liability, which could adversely affect our financial condition, results of operations and cash flows. In addition, the tax laws in the jurisdictions in which we operate are subject to differing interpretations. Tax authorities may challenge our tax positions, and if successful, such challenges could increase our overall tax liability. In addition, the tax laws in the jurisdictions in which we operate are subject to change. We cannot predict the timing or content of such potential changes, and such changes could increase our overall tax liability, which could adversely affect our financial condition, results of operations and cash flows.</w:t>
      </w: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financial results reflect the effect of certain tax credits and the operation of certain tax regimes within the United Kingdom. Should these cease to be available, our financial condition, results of operations and cash flows may be adversely impacted.</w:t>
      </w:r>
    </w:p>
    <w:p>
      <w:pPr>
        <w:spacing w:after="0" w:line="62"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We benefit from the UK research and development tax credit regime for small and medium sized companies, whereby Wave UK is able to surrender the trading losses that arise from its research and development activities for a payable tax credit of up to approximately 33.4% of eligible research and development expenditures. Expenditures of staff supplied by unconnected third parties are eligible for a cash rebate of up to approximately 21.7%.</w:t>
      </w:r>
    </w:p>
    <w:p>
      <w:pPr>
        <w:spacing w:after="0" w:line="14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We may not be able to continue to claim a payable UK tax credit for research and development tax credits in the future due to changes in legislation or regulations, or if we increase our personnel and expand our business because we may no longer qualify as a small or medium-sized enterprise.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public market for our ordinary shares may not be liquid enough for our shareholders to sell their ordinary shares quickly or at market price, or at all.</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completion of our initial public offering, there was no public market for our ordinary shares. An active trading market for our shares may not develop or be maintained and our shareholders may not be able to sell their ordinary shares quickly or at the market price, or at all. Our executive officers, our directors and their respective affiliates, and our other significant shareholders beneficially own a significant portion of our outstanding ordinary shares, and therefore, liquidity in our ordinary shares is limited. Due to the limited liquidity in our ordinary shares, relatively small orders can have a disproportionate impact on the trading price of our shares. Further, the limited liquidity in our ordinary shares may also impair our ability to raise capital by conducting offerings of our ordinary shares and may impair our ability to enter into strategic partnerships or acquire companies or products by using our ordinary shares as consideration.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is likely to be highly volatile, and our shareholders may lose some or all of their investment.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market price of our ordinary shares is likely to be highly volatile, including in response to factors that are beyond our control. The stock market in general experiences extreme price and volume fluctuations. In particular, the market prices of securities of pharmaceutical and biotechnology companies are extremely volatile, and experience fluctuations that are often unrelated or disproportionate to the operating performance of these companies. These broad and sector-specific market fluctuations can result in extreme fluctuations in the price of our ordinary shares, regardless of our operating performance, and can cause our shareholders to lose some or all of their investment in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9" w:name="page80"/>
    <w:bookmarkEnd w:id="79"/>
    <w:p>
      <w:pPr>
        <w:ind w:right="580"/>
        <w:spacing w:after="0" w:line="277"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ordinary shares and will be able to exert significant control over matters subject to shareholder approval.</w:t>
      </w:r>
    </w:p>
    <w:p>
      <w:pPr>
        <w:spacing w:after="0" w:line="6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Based on information publicly available to us as of December 31, 2018, our executive officers, our directors and their respective affiliates, and our other significant shareholders beneficially own a significant portion of our outstanding ordinary shares. As a result, these shareholders, if acting together, will continue to have significant influence over the outcome of corporate actions requiring shareholder approval, including the election of directors, any merger, consolidation or sale of all or substantially all of our assets and any other significant corporate transaction. The interests of these shareholders may not be the same as or may even conflict with the interests of our other shareholders. For example, these shareholders could delay or prevent a change of control of our company, even if such a change of control would benefit our other shareholders, which could deprive shareholders of an opportunity to receive a premium for their ordinary shares as part of a sale of our company or our assets and might affect the prevailing market price of our ordinary shares. The significant concentration of share ownership may adversely affect the trading price of our ordinary shares due to investors’ perception that conflicts of interest may exist or arise.</w:t>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incur significant costs due to operating as a public company, and our management is required to devote substantial time to compliance initiatives.</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a public company, we incur significant legal, accounting and other expenses. We are subject to the reporting and other requirements of the Securities Exchange Act of 1934, as amended, or the Exchange Act, the Sarbanes-Oxley Act of 2002, or the Sarbanes-Oxley Act, and the Dodd-Frank Wall Street Reform and Protection Act, as well as rules subsequently adopted by the SEC and the Nasdaq Stock Market. These rules and regulations require, among other things, that we file annual, quarterly and current reports with respect to our business and financial condition and establish and maintain effective disclosure and financial controls and corporate governance practices. We expect that compliance with these rules and regulations will continue to substantially increase our legal and financial compliance costs and will make some activities more time-consuming and costly, particularly as we are no longer an “emerging growth company,” as defined in the Jumpstart Our Business Startups Act of 2012 (“the JOBS Act”). Our management and other personnel will devote a substantial amount of time to these compliance requirements.</w:t>
      </w:r>
    </w:p>
    <w:p>
      <w:pPr>
        <w:spacing w:after="0" w:line="2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As of December 31, 2018, we are no longer an emerging growth company, and we are no longer able to take advantage of the reduced disclosure requirements applicable to emerging growth companies.</w:t>
      </w:r>
    </w:p>
    <w:p>
      <w:pPr>
        <w:spacing w:after="0" w:line="6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As of June 30, 2018, the market value of our ordinary shares that were held by non-affiliates exceeded $700.0 million and therefore, as of December 31, 2018, we no longer qualified as an emerging growth company under the Jumpstart Our Business Startups Act of 2012. On December 31, 2018, we became a large accelerated filer and the reduced disclosure obligations of emerging growth companies are no longer available to us. As an emerging growth company, we had taken advantage of certain exemptions from various reporting requirements that are applicable to other public companies. As a result, we will need to comply with the independent auditor attestation requirements of Section 404 of the Sarbanes-Oxley Act of 2002, or the Sarbanes-Oxley Act, beginning with this Annual Report on Form 10-K for the year ended December 31, 2018, will be required to hold a say-on-pay vote and a say-on-frequency vote at our 2019 annual general meeting of shareholders, and will no longer be entitled to provide the reduced executive compensation disclosures permitted by emerging growth companies in this Annual Report on Form 10-K for the year ended December 31, 2018 and our proxy statement for the 2019 annual general meeting of shareholders. We expect that our transition from “emerging growth company” to “large accelerated filer” will require additional attention from management and will result in increased costs to us, which could include higher legal fees, accounting fees and fees associated with investor relations activities, among others.</w:t>
      </w:r>
    </w:p>
    <w:p>
      <w:pPr>
        <w:spacing w:after="0" w:line="29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required to comply with Section 404 of the Sarbanes-Oxley Act. Section 404 of the Sarbanes-Oxley Act requires public companies to maintain effective internal control over financial reporting. In particular, we must perform system and process evaluation and testing of our internal control over financial reporting to allow management to report on the effectiveness of our internal control over financial reporting. In addition, we are required to have our independent registered public accounting firm attest to the effectiveness of our internal control over financial reporting beginning with this Annual Report on Form 10-K for the fiscal year ended December 31, 2018. Ensuring that we have adequate internal financial and accounting controls and procedures in place so that we can produce accurate financial statements on a timely basis is a costly and time-consuming effort that will need to be evaluated frequently. If we fail to maintain the effectiveness of our internal controls or fail to comply in a timely manner with the requirements of the Sarbanes-Oxley Act, or if we or our independent registered public accounting firm identify deficiencies in our internal control over financial reporting that are deemed to be material weaknesses, this could have a material adverse effect on our business. We could lose investor confidence in the accuracy and completeness of our financial reports, which could have an adverse effect on the price of our ordinary shares and we could be subject to sanctions or investigations by Nasdaq, the SEC or other regulatory authorities, which would require additional financial and management resources.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0" w:name="page81"/>
    <w:bookmarkEnd w:id="80"/>
    <w:p>
      <w:pPr>
        <w:spacing w:after="0"/>
        <w:rPr>
          <w:sz w:val="20"/>
          <w:szCs w:val="20"/>
          <w:color w:val="auto"/>
        </w:rPr>
      </w:pPr>
      <w:r>
        <w:rPr>
          <w:rFonts w:ascii="Arial" w:cs="Arial" w:eastAsia="Arial" w:hAnsi="Arial"/>
          <w:sz w:val="15"/>
          <w:szCs w:val="15"/>
          <w:b w:val="1"/>
          <w:bCs w:val="1"/>
          <w:i w:val="1"/>
          <w:iCs w:val="1"/>
          <w:color w:val="auto"/>
        </w:rPr>
        <w:t>The estimates and judgments we make, or the assumptions on which we rely, in preparing our consolidated financial statements could prove inaccurate.</w:t>
      </w:r>
    </w:p>
    <w:p>
      <w:pPr>
        <w:spacing w:after="0" w:line="15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consolidated financial statements have been prepared in accordance with accounting principles generally accepted in the United States (U.S. GAAP). The preparation of these consolidated financial statements requires us to make estimates and judgments that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We cannot assure, however, that our estimates, or the assumptions underlying them, will not change over time or otherwise prove inaccurate. For example, our estimates as they relate to anticipated timelines and milestones for our clinical trials or preclinical development may prove to be inaccurate. If this is the case, we may be required to restate our consolidated financial statements, which could, in turn, subject us to securities class action litigation. Defending against such potential litigation relating to a restatement of our consolidated financial statements would be expensive and would require significant attention and resources of our management. Moreover, our insurance to cover our obligations with respect to the ultimate resolution of any such litigation may be inadequate. As a result of these factors, any such potential litigation could have a material adverse effect on our financial results, harm our business, and cause our share price to decline.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any cash dividends on our ordinary shares in the foreseeable future.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never declared or paid cash dividends on our ordinary shares. We currently intend to retain all of our future earnings, if any, to finance the growth and development of our business, and we do not anticipate paying any cash dividends on our ordinary shares in the foreseeable future. In addition, the terms of any future debt agreements may preclude us from paying dividends. As a result, capital appreciation, if any, of our ordinary shares will be our shareholders’ sole source of gain for the foreseeable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share volatility.</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share price may fluctuate for many reasons, including as a result of public announcements regarding the progress of our development efforts or the development efforts of our collaborators and/or competitors, the addition or departure of our key personnel, variations in our quarterly operating results and changes in market valuations of pharmaceutical and biotechnology companies. Holders of stock which has experienced significant price and trading volatility have occasionally brought securities class action litigation against the companies that issued the stock. If any of our shareholders were to bring a lawsuit of this type against us, even if the lawsuit is without merit, we could incur substantial costs defending the lawsuit. The lawsuit could also divert the time and attention of our management, which could harm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ordinary shares could cause the price of our ordinary shares to decline.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of substantial amounts of our ordinary shares in the public market, or the availability of such shares for sale, by us or others, including the issuance of ordinary shares upon exercise of outstanding options, or the perception that such sales could occur, could adversely affect the price of our ordinary shares. Certain of our shareholders have the right to require us to register the sales of their shares under the Securities Act of 1933, as amended, or the Securities Act, under agreements between us and such shareholders.</w:t>
      </w:r>
    </w:p>
    <w:p>
      <w:pPr>
        <w:spacing w:after="0" w:line="2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ordinary shares may depend in part on the research and reports that securities or industry analysts publish about us or our business. If too few securities or industry analysts cover our company, the trading price for our ordinary shares would likely be negatively impacted. If one or more of the analysts who cover us downgrade our ordinary shares or publish inaccurate or unfavorable research about our business, our share price would likely decline. If one or more of these analysts cease coverage of our company or fail to publish reports on us regularly, demand for our ordinary shares could decrease, which might cause our share price and trading volume to decline.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1" w:name="page82"/>
    <w:bookmarkEnd w:id="81"/>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our U.S. corporate offices and research and development facilities in Cambridge, Massachusetts, where we lease approximately 33,750 square feet of office and laboratory space.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lease approximately 90,000 square feet of space in Lexington, Massachusetts, which we use for our current good manufacturing practice (“cGMP”) manufacturing, as well as for additional laboratory and office space.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occupy laboratory and office space in Japan. We believe our existing facilities are adequate to meet our current needs.</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6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rPr>
          <w:sz w:val="20"/>
          <w:szCs w:val="20"/>
          <w:color w:val="auto"/>
        </w:rPr>
      </w:pPr>
      <w:r>
        <w:rPr>
          <w:rFonts w:ascii="Arial" w:cs="Arial" w:eastAsia="Arial" w:hAnsi="Arial"/>
          <w:sz w:val="18"/>
          <w:szCs w:val="18"/>
          <w:color w:val="auto"/>
        </w:rPr>
        <w:t>Our ordinary shares are traded on the Nasdaq Global Market under the symbol “WVE.”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26, 2019, there were approximately 12 shareholders of record of our ordinary shares.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Performance Graph</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share performance graph compares our total share return with the total return for (i) the Nasdaq Composite Index and (ii) the Nasdaq Biotechnology Index for the period from November 11, 2015 (the date our ordinary shares commenced trading on the Nasdaq Global Market) through December 31, 2018. The figures represented below assume an investment of $100.00 in our ordinary shares at the closing price of $16.00 on November 11, 2015 and in the Nasdaq Composite Index and the Nasdaq Biotechnology Index on November 11, 2015 and the reinvestment of dividends, if any, into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128905</wp:posOffset>
            </wp:positionV>
            <wp:extent cx="4673600" cy="38760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73600"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3" w:name="page84"/>
    <w:bookmarkEnd w:id="83"/>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following tables set forth our selected consolidated financial data for the periods and as of the dates indicated. The statement of operations and comprehensive loss data for the years ended December 31, 2018, 2017 and 2016 and the balance sheet data as of December 31, 2018 and 2017 are derived from our audited consolidated financial statements included elsewhere in this Annual Report on Form 10-K. The statement of operations and comprehensive loss data for the years ended December 31, 2015 and 2014 and the balance sheet data as of December 31, 2016, 2015 and 2014 are mainly derived from our audited consolidated financial statements that are not included in this Annual Report on Form 10-K, which financial statements have been audited by KPMG LLP, our independent registered accounting firm. Effective January 1, 2018, the Company adopted ASC 606 (as defined in Note 2 of our consolidated financial statements), using the full retrospective transition method. Under this method, the Company revised its consolidated financial statements for the years ended December 31, 2017 and 2016, and applicable interim periods within those years, as if ASC 606 had been effective for those periods. Therefore, select data for the years ended and as of December 31, 2017 and 2016 will differ from the audited consolidated financial statements that are not included in this Annual Report on Form 10-K, which were audited by KPMG LLP.</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historical results are not necessarily indicative of the results to be expected in the future. You should read the selected financial data below in conjunction with the section of this report entitled “Management’s Discussion and Analysis of Financial Condition and Results of Operations” and our consolidated financial statements and the related notes thereto included elsewhere in this Annual Report on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91"/>
              <w:spacing w:after="0" w:line="155"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40" w:type="dxa"/>
            <w:vAlign w:val="bottom"/>
            <w:gridSpan w:val="9"/>
          </w:tcPr>
          <w:p>
            <w:pPr>
              <w:jc w:val="center"/>
              <w:ind w:right="500"/>
              <w:spacing w:after="0" w:line="155" w:lineRule="exact"/>
              <w:rPr>
                <w:sz w:val="20"/>
                <w:szCs w:val="20"/>
                <w:color w:val="auto"/>
              </w:rPr>
            </w:pPr>
            <w:r>
              <w:rPr>
                <w:rFonts w:ascii="Arial" w:cs="Arial" w:eastAsia="Arial" w:hAnsi="Arial"/>
                <w:sz w:val="14"/>
                <w:szCs w:val="14"/>
                <w:color w:val="auto"/>
                <w:w w:val="90"/>
              </w:rPr>
              <w:t>(in thousands except share and per share data)</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26,975</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(159,523)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(102,391)</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(55,720)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Dividend income</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(expense), net</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(146,584)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(101,138)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(55,178)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(482)</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63"/>
        </w:trPr>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4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(146,653)</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(101,980)</w:t>
            </w:r>
          </w:p>
        </w:tc>
        <w:tc>
          <w:tcPr>
            <w:tcW w:w="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(55,660)</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(19,200)</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ordinary</w:t>
            </w: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shareholders—basic and diluted</w:t>
            </w:r>
          </w:p>
        </w:tc>
        <w:tc>
          <w:tcPr>
            <w:tcW w:w="7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4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(1.83)</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ordinary shares used in</w:t>
            </w:r>
          </w:p>
        </w:tc>
        <w:tc>
          <w:tcPr>
            <w:tcW w:w="4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40"/>
              <w:spacing w:after="0"/>
              <w:rPr>
                <w:sz w:val="20"/>
                <w:szCs w:val="20"/>
                <w:color w:val="auto"/>
              </w:rPr>
            </w:pPr>
            <w:r>
              <w:rPr>
                <w:rFonts w:ascii="Arial" w:cs="Arial" w:eastAsia="Arial" w:hAnsi="Arial"/>
                <w:sz w:val="18"/>
                <w:szCs w:val="18"/>
                <w:color w:val="auto"/>
              </w:rPr>
              <w:t>computing net loss per share attributable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40"/>
              <w:spacing w:after="0"/>
              <w:rPr>
                <w:sz w:val="20"/>
                <w:szCs w:val="20"/>
                <w:color w:val="auto"/>
              </w:rPr>
            </w:pPr>
            <w:r>
              <w:rPr>
                <w:rFonts w:ascii="Arial" w:cs="Arial" w:eastAsia="Arial" w:hAnsi="Arial"/>
                <w:sz w:val="18"/>
                <w:szCs w:val="18"/>
                <w:color w:val="auto"/>
              </w:rPr>
              <w:t>to ordinary shareholders—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basic and diluted (1)</w:t>
            </w: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28,970,404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26,513,382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22,800,628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10,501,455</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3,911,556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9 to our consolidated financial statements included elsewhere in this Annual Report on Form 10-K for further details on the calculation of net loss per share attributable to ordinary shareholders, basic and diluted.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96"/>
              <w:spacing w:after="0" w:line="155" w:lineRule="exact"/>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76"/>
              <w:spacing w:after="0" w:line="155"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174,819</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142,503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150,293</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161,220</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Working capital</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72,232</w:t>
            </w:r>
          </w:p>
        </w:tc>
        <w:tc>
          <w:tcPr>
            <w:tcW w:w="22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132,297</w:t>
            </w:r>
          </w:p>
        </w:tc>
        <w:tc>
          <w:tcPr>
            <w:tcW w:w="30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141,333</w:t>
            </w:r>
          </w:p>
        </w:tc>
        <w:tc>
          <w:tcPr>
            <w:tcW w:w="4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157,566</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295,940</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181,843</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164,944</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165,424</w:t>
            </w: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Total liabilities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214,718</w:t>
            </w:r>
          </w:p>
        </w:tc>
        <w:tc>
          <w:tcPr>
            <w:tcW w:w="22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34,359</w:t>
            </w:r>
          </w:p>
        </w:tc>
        <w:tc>
          <w:tcPr>
            <w:tcW w:w="300" w:type="dxa"/>
            <w:vAlign w:val="bottom"/>
          </w:tcPr>
          <w:p>
            <w:pPr>
              <w:spacing w:after="0"/>
              <w:rPr>
                <w:sz w:val="19"/>
                <w:szCs w:val="19"/>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22,466</w:t>
            </w:r>
          </w:p>
        </w:tc>
        <w:tc>
          <w:tcPr>
            <w:tcW w:w="42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4,059</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shares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7,874</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7,874</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7,874</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7,874</w:t>
            </w:r>
          </w:p>
        </w:tc>
        <w:tc>
          <w:tcPr>
            <w:tcW w:w="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73,348</w:t>
            </w:r>
          </w:p>
        </w:tc>
        <w:tc>
          <w:tcPr>
            <w:tcW w:w="220" w:type="dxa"/>
            <w:vAlign w:val="bottom"/>
          </w:tcPr>
          <w:p>
            <w:pPr>
              <w:spacing w:after="0"/>
              <w:rPr>
                <w:sz w:val="20"/>
                <w:szCs w:val="20"/>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139,610</w:t>
            </w:r>
          </w:p>
        </w:tc>
        <w:tc>
          <w:tcPr>
            <w:tcW w:w="30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134,604</w:t>
            </w:r>
          </w:p>
        </w:tc>
        <w:tc>
          <w:tcPr>
            <w:tcW w:w="4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153,491</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992"/>
              <w:spacing w:after="0"/>
              <w:rPr>
                <w:sz w:val="20"/>
                <w:szCs w:val="20"/>
                <w:color w:val="auto"/>
              </w:rPr>
            </w:pPr>
            <w:r>
              <w:rPr>
                <w:rFonts w:ascii="Arial" w:cs="Arial" w:eastAsia="Arial" w:hAnsi="Arial"/>
                <w:sz w:val="18"/>
                <w:szCs w:val="18"/>
                <w:color w:val="auto"/>
                <w:w w:val="79"/>
              </w:rPr>
              <w:t>83</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9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4" w:name="page85"/>
    <w:bookmarkEnd w:id="84"/>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are a clinical-stage genetic medicines company committed to delivering life-changing treatments for people battling devastating diseases. Using PRISM, our proprietary discovery and drug development platform that enables the precise design, optimization and production of novel stereopure oligonucleotides, we aspire to develop best in class medicines across multiple therapeutic modalities.</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Nucleic acid therapeutics, including oligonucleotides, are a growing and innovative class of drugs comprised of a sequence of nucleotides that are linked together by a backbone of chemical bonds. We are initially developing oligonucleotides that target the ribonucleic acid (“RNA”) to either reduce the expression of disease-promoting proteins or transform the production of dysfunctional mutant proteins into the production of functional proteins. RNA is a critical molecule that can adopt complex three-dimensional structures and affect various cellular functions. By intervening at the RNA level, we have the potential to address diseases that have historically been difficult to treat with small molecules or biologics. Oligonucleotides have additional advantages as a therapeutic class including the ability to target multiple tissue types, often without the need for a delivery vehicle, and the ability to modulate the frequency of dosing to ensure broad distribution within tissues and account for cell turnover. Oligonucleotides also have well-established manufacturing processes and validated test methods based on decades of improvements.</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oligonucleotides we are developing with PRISM are stereopure. A stereopure oligonucleotide is comprised of molecules with atoms precisely arranged in three-dimensional orientations at each linkage. We believe that controlling the position of the sulfur atom following phosphorothioate (“PS”) modification will optimize the pharmacological profile of our oligonucleotides by maximizing the potential therapeutic benefit while minimizing the potential for side effects and safety risks. The stereopure oligonucleotides we are developing differ from the mixture-based oligonucleotides currently on the market or in development by others. Our preclinical studies have demonstrated that our stereopure oligonucleotides may achieve superior pharmacological properties compared with mixture-based oligonucleotides. Through our work in developing stereopure oligonucleotides, we have created and continue to evolve PRISM, our proprietary discovery and drug development platform.</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PRISM enables us to target genetically defined diseases with stereopure oligonucleotides across multiple therapeutic modalities. PRISM combines our unique ability to construct stereopure oligonucleotides with a deep understanding of how the interplay among oligonucleotide sequence, chemistry and backbone stereochemistry impacts key pharmacological properties. By exploring these interactions through iterative analysis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outcomes and artificial intelligence-driven predictive modeling, we continue to define design principles that we deploy across programs to rapidly develop and manufacture clinical candidates that meet pre-defined product profiles.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goal is to develop and commercialize disease-modifying medicines for genetically defined diseases with a high degree of unmet medical need, and to become a fully integrated genetic medicines company. Our initial focus for our clinical development programs is in neurology, which we broadly define as genetic diseases within the neuromuscular system and central nervous system. We are conducting clinical trials of our lead program in Duchenne muscular dystrophy (“DMD”) targeting exon 51 and our two lead programs in Huntington’s disease (“HD”). We are advancing three additional development programs, targeting exon 53 in DMD and C9ORF72 in amyotrophic lateral sclerosis and frontotemporal dementia, and, subject to our submission of clinical trial applications and approval to proceed, we would expect topline clinical data readouts from these programs in the second half of 2020. In addition to neurology, we are advancing discovery research in ophthalmologic disorders, specifically inherited retinal diseases, and in hepatic diseases, and we expect to make continued investments in expanding the breadth of our portfolio. In further support of our pipeline, we continue to make substantial investments in, and leverage, PRISM to potentially develop the next generation of stereopure oligonucleotides. We have also established and continue to enhance our internal current good manufacturing practices (“cGMP”) manufacturing capabilities to increase control and visibility of our drug substance supply chain. These investments further improve our ability to secure drug substance for current and future development activities and may provide commercial-scale manufacturing capabilities.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Our Current Programs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Neurology: Muscle</w:t>
      </w:r>
    </w:p>
    <w:p>
      <w:pPr>
        <w:spacing w:after="0" w:line="117" w:lineRule="exact"/>
        <w:rPr>
          <w:sz w:val="20"/>
          <w:szCs w:val="20"/>
          <w:color w:val="auto"/>
        </w:rPr>
      </w:pPr>
    </w:p>
    <w:p>
      <w:pPr>
        <w:ind w:left="1040" w:hanging="519"/>
        <w:spacing w:after="0" w:line="284"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DMD is a genetic disorder caused by mutations in the </w:t>
      </w:r>
      <w:r>
        <w:rPr>
          <w:rFonts w:ascii="Arial" w:cs="Arial" w:eastAsia="Arial" w:hAnsi="Arial"/>
          <w:sz w:val="16"/>
          <w:szCs w:val="16"/>
          <w:i w:val="1"/>
          <w:iCs w:val="1"/>
          <w:color w:val="auto"/>
        </w:rPr>
        <w:t>DMD</w:t>
      </w:r>
      <w:r>
        <w:rPr>
          <w:rFonts w:ascii="Arial" w:cs="Arial" w:eastAsia="Arial" w:hAnsi="Arial"/>
          <w:sz w:val="16"/>
          <w:szCs w:val="16"/>
          <w:color w:val="auto"/>
        </w:rPr>
        <w:t xml:space="preserve"> gene that result in dysfunctional dystrophin protein. DMD impacts approximately one in every 5,000 newborn boys each year, resulting in approximately 20,000 new cases worldwide annually. In DMD, we are advancing suvodirsen (WVE-210201), which targets exon 51, a region within the precursor messenger RNA (“pre-mRNA”) that is transcribed from the dystrophin gene (also referred to as the “</w:t>
      </w:r>
      <w:r>
        <w:rPr>
          <w:rFonts w:ascii="Arial" w:cs="Arial" w:eastAsia="Arial" w:hAnsi="Arial"/>
          <w:sz w:val="16"/>
          <w:szCs w:val="16"/>
          <w:i w:val="1"/>
          <w:iCs w:val="1"/>
          <w:color w:val="auto"/>
        </w:rPr>
        <w:t>DMD</w:t>
      </w:r>
      <w:r>
        <w:rPr>
          <w:rFonts w:ascii="Arial" w:cs="Arial" w:eastAsia="Arial" w:hAnsi="Arial"/>
          <w:sz w:val="16"/>
          <w:szCs w:val="16"/>
          <w:color w:val="auto"/>
        </w:rPr>
        <w:t>” gene). In November 2017, we initiated a global, multicenter, double-blind, randomized, placebo-controlled, single-ascending dose Phase 1 clinical trial of suvodirsen administered intravenously. The primary endpoint of the trial was safety and tolerability. The Phase 1 inclusion criteria allowed for participation by patients who are amenable to exon 51 skipping, ages 5-18, ambulatory and non-ambulatory, as well as those previously treated with eteplirsen or ataluren following an appropriate washout period. On December 6, 2018, we announced that the safety and tolerability data from the Phase 1 trial support initiation of a Phase 2/3 clinical trial of suvodirsen and that we selected a dose for the Phase 2/3 trial. We plan to present the results from the Phase 1 trial, as well as details of the Phase 2/3 trial design, at upcoming scientific meetings. As patients complete the Phase 1 trial, they have the option to enroll in an ongoing open label extension study (“OLE”) in which they continue to receive suvodirsen. The OLE is expected to enroll up to 40 patients who previously participated in the Phase 1 trial. Patients in the OLE are undergoing quarterly clinical assessments using validated clinical outcome measures and are having muscle biopsies taken so that an interim analysis may be conducted by measuring dystrophin expression using a standardized Western blot. Data from this interim analysis are intended to be an important component of a submission to the U.S. Food and Drug Administration (“FDA”) for accelerated approval of suvodirsen in the United States, and we remain on track to deliver these data in the second half of 2019. We anticipate initiating the global, placebo-controlled Phase 2/3 efficacy and safety clinical trial of suvodirsen in 2019. The Phase 2/3 trial is designed to measure clinical efficacy and dystrophin expression, and we intend to use the results of this trial to seek regulatory approvals globally. On January 3, 2019, we announced that the Phase 2/3 trial of suvodirsen had been selected for the FDA pilot program for complex innovative trial designs (“CID pilot program”). In evaluating submissions for the CID pilot program, the FDA considered two key criteria: the innovative features of the Phase 2/3 trial design and the therapeutic need (i.e., therapeutics being developed for use in disease areas where there are limited or no treatment options). Through the CID pilot program, we intend to reduce the number of patients required to deliver conclusive clinical efficacy results, thereby minimizing the number of patients required in the placebo treatment arm and potentially accelerating completion of the trial. This marks the first time that the FDA has selected clinical protocols for its CID pilot program that was announced in August 2018.</w:t>
      </w:r>
    </w:p>
    <w:p>
      <w:pPr>
        <w:spacing w:after="0" w:line="286" w:lineRule="exact"/>
        <w:rPr>
          <w:rFonts w:ascii="Arial" w:cs="Arial" w:eastAsia="Arial" w:hAnsi="Arial"/>
          <w:sz w:val="16"/>
          <w:szCs w:val="16"/>
          <w:color w:val="auto"/>
        </w:rPr>
      </w:pPr>
    </w:p>
    <w:p>
      <w:pPr>
        <w:ind w:left="1040" w:right="16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second development program in DMD, WVE-N531, targets exon 53. Subject to our submission of clinical trial applications and approval to proceed, we would expect to deliver topline clinical data for WVE-N531 in the second half of 2020.</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Also in DMD, we are exploring programs targeting DMD exons 44, 45, 52, 54 and 55 and investigating alternative forms of delivery, including subcutaneous administration, for our existing and future DMD programs.</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addition to DMD, we are conducting research to identify potential targets for other neuromuscular diseases where PRISM, our proprietary discovery and drug development platform may be most effective.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Neurology: Central Nervous System (“CNS”)</w:t>
      </w:r>
    </w:p>
    <w:p>
      <w:pPr>
        <w:spacing w:after="0" w:line="117" w:lineRule="exact"/>
        <w:rPr>
          <w:sz w:val="20"/>
          <w:szCs w:val="20"/>
          <w:color w:val="auto"/>
        </w:rPr>
      </w:pPr>
    </w:p>
    <w:p>
      <w:pPr>
        <w:ind w:left="1040" w:right="40" w:hanging="519"/>
        <w:spacing w:after="0" w:line="268"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In HD, we are advancing two programs, WVE-120101 and WVE-120102, each targeting a disease-associated single nucleotide polymorphism (“SNP”) within the </w:t>
      </w:r>
      <w:r>
        <w:rPr>
          <w:rFonts w:ascii="Arial" w:cs="Arial" w:eastAsia="Arial" w:hAnsi="Arial"/>
          <w:sz w:val="17"/>
          <w:szCs w:val="17"/>
          <w:i w:val="1"/>
          <w:iCs w:val="1"/>
          <w:color w:val="auto"/>
        </w:rPr>
        <w:t>huntingtin</w:t>
      </w:r>
      <w:r>
        <w:rPr>
          <w:rFonts w:ascii="Arial" w:cs="Arial" w:eastAsia="Arial" w:hAnsi="Arial"/>
          <w:sz w:val="17"/>
          <w:szCs w:val="17"/>
          <w:color w:val="auto"/>
        </w:rPr>
        <w:t xml:space="preserve"> gene (“</w:t>
      </w:r>
      <w:r>
        <w:rPr>
          <w:rFonts w:ascii="Arial" w:cs="Arial" w:eastAsia="Arial" w:hAnsi="Arial"/>
          <w:sz w:val="17"/>
          <w:szCs w:val="17"/>
          <w:i w:val="1"/>
          <w:iCs w:val="1"/>
          <w:color w:val="auto"/>
        </w:rPr>
        <w:t>HTT</w:t>
      </w:r>
      <w:r>
        <w:rPr>
          <w:rFonts w:ascii="Arial" w:cs="Arial" w:eastAsia="Arial" w:hAnsi="Arial"/>
          <w:sz w:val="17"/>
          <w:szCs w:val="17"/>
          <w:color w:val="auto"/>
        </w:rPr>
        <w:t xml:space="preserve">”): rs362307 (“HTT SNP1”) and rs362331 (“HTT SNP2”), respectively. Targeting mRNA transcript with these SNPs allows us to lower the mutant allele transcript, while leaving the healthy transcript relatively intact. We commonly refer to this method (or approach) as “allele specific targeting.” SNPs are naturally occurring variations within a given genetic sequence and in certain instances can be used to distinguish between two related copies of a gene where only one is associated with the expression of a disease-causing protein. We have shown that by targeting HTT SNP1 and HTT SNP2 in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the production of disease-causing proteins associated with HD can be reduced. As part of ongoing, required and routine toxicology support of our clinical programs, we continue to conduct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nonclinical toxicology studies for WVE-120101 and WVE-120102. A recent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micronucleus assay yielded results that require additional nonclinical studies that we are planning to conduct. In July 2017, we initiated PRECISION-HD, a global clinical program consisting of the PRECISION-HD1 and PRECISION-HD2 clinical trials. PRECISION-HD1 and PRECISION-HD2 are two parallel, multicenter, double-blind, randomized, placebo-controlled Phase 1b/2a clinical trials evaluating WVE-120101 and WVE-120102, respectively, administered intrathecally, consisting of single-ascending dose and multiple-ascending dose portions. The primary objective of these two trials is to assess the safety and tolerability of intrathecal doses of WVE-120101 and WVE-120102, respectively, in early manifest HD patients. Additional objectives include measurement of total HTT protein and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ind w:left="1040" w:right="20"/>
        <w:spacing w:after="0" w:line="271" w:lineRule="auto"/>
        <w:rPr>
          <w:sz w:val="20"/>
          <w:szCs w:val="20"/>
          <w:color w:val="auto"/>
        </w:rPr>
      </w:pPr>
      <w:r>
        <w:rPr>
          <w:rFonts w:ascii="Arial" w:cs="Arial" w:eastAsia="Arial" w:hAnsi="Arial"/>
          <w:sz w:val="17"/>
          <w:szCs w:val="17"/>
          <w:color w:val="auto"/>
        </w:rPr>
        <w:t>mutant HTT protein, and exploratory pharmacokinetic, pharmacodynamic, clinical and MRI endpoints. Each trial is expected to enroll approximately 50 Stage I or Stage II HD patients, ages 25-65, who have screened positively for the presence of SNP1 or SNP2. Outside of the United States, we are enrolling patients in both the single-ascending dose and multiple-ascending dose portions of the PRECISION-HD1 and PRECISION-HD2 trials. In the United States, we received approvals to proceed with the single-dose portions of both trials. However, the FDA indicated to us that we cannot progress to the multiple-ascending dose portions of these trials in the United States unless we conduct an additional preclinical study and present the resulting data to the FDA for its review. For the single-dose portion of the PRECISION-HD1 trial in the United States, escalation to our highest proposed doses is subject to the FDA’s review and approval of additional monitoring plans. We expect to deliver topline clinical data from the PRECISION-HD trials in the first half of 2019.</w:t>
      </w:r>
    </w:p>
    <w:p>
      <w:pPr>
        <w:spacing w:after="0" w:line="71" w:lineRule="exact"/>
        <w:rPr>
          <w:sz w:val="20"/>
          <w:szCs w:val="20"/>
          <w:color w:val="auto"/>
        </w:rPr>
      </w:pPr>
    </w:p>
    <w:p>
      <w:pPr>
        <w:ind w:left="1040" w:right="20" w:hanging="519"/>
        <w:spacing w:after="0" w:line="255"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 amyotrophic lateral sclerosis (“ALS”) and frontotemporal dementia (“FTD”), we are advancing WVE-3972-01, which preferentially targets the transcript containing the GGGGCC (“G4C2”) expansion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WVE-3972-01 is designed to minimize the impact on normal C9ORF72 protein in patients, thereby reducing potential on-target risk. The G4C2 expansion in the </w:t>
      </w:r>
      <w:r>
        <w:rPr>
          <w:rFonts w:ascii="Arial" w:cs="Arial" w:eastAsia="Arial" w:hAnsi="Arial"/>
          <w:sz w:val="18"/>
          <w:szCs w:val="18"/>
          <w:i w:val="1"/>
          <w:iCs w:val="1"/>
          <w:color w:val="auto"/>
        </w:rPr>
        <w:t>C9ORF72</w:t>
      </w:r>
      <w:r>
        <w:rPr>
          <w:rFonts w:ascii="Arial" w:cs="Arial" w:eastAsia="Arial" w:hAnsi="Arial"/>
          <w:sz w:val="18"/>
          <w:szCs w:val="18"/>
          <w:color w:val="auto"/>
        </w:rPr>
        <w:t xml:space="preserve"> gene is the most common cause of familial ALS and FTD and is a strong genetic risk factor for non-inherited (sporadic) forms of ALS and FTD. Subject to our submission of clinical trial applications and approval to proceed, we would expect to deliver topline clinical data for WVE-3972-01 in the second half of 2020.</w:t>
      </w:r>
    </w:p>
    <w:p>
      <w:pPr>
        <w:spacing w:after="0" w:line="85" w:lineRule="exact"/>
        <w:rPr>
          <w:rFonts w:ascii="Arial" w:cs="Arial" w:eastAsia="Arial" w:hAnsi="Arial"/>
          <w:sz w:val="18"/>
          <w:szCs w:val="18"/>
          <w:color w:val="auto"/>
        </w:rPr>
      </w:pPr>
    </w:p>
    <w:p>
      <w:pPr>
        <w:ind w:left="1040" w:right="28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In spinocerebellar ataxia 3 (“SCA3”), we are advancing a lead candidate targeting </w:t>
      </w:r>
      <w:r>
        <w:rPr>
          <w:rFonts w:ascii="Arial" w:cs="Arial" w:eastAsia="Arial" w:hAnsi="Arial"/>
          <w:sz w:val="17"/>
          <w:szCs w:val="17"/>
          <w:i w:val="1"/>
          <w:iCs w:val="1"/>
          <w:color w:val="auto"/>
        </w:rPr>
        <w:t>ATXN3</w:t>
      </w:r>
      <w:r>
        <w:rPr>
          <w:rFonts w:ascii="Arial" w:cs="Arial" w:eastAsia="Arial" w:hAnsi="Arial"/>
          <w:sz w:val="17"/>
          <w:szCs w:val="17"/>
          <w:color w:val="auto"/>
        </w:rPr>
        <w:t xml:space="preserve">. SCA3 is a rare, hereditary (autosomal dominant), progressive, neurodegenerative disorder that is caused by a CAG-repeat expansion in the </w:t>
      </w:r>
      <w:r>
        <w:rPr>
          <w:rFonts w:ascii="Arial" w:cs="Arial" w:eastAsia="Arial" w:hAnsi="Arial"/>
          <w:sz w:val="17"/>
          <w:szCs w:val="17"/>
          <w:i w:val="1"/>
          <w:iCs w:val="1"/>
          <w:color w:val="auto"/>
        </w:rPr>
        <w:t>ATXN3</w:t>
      </w:r>
      <w:r>
        <w:rPr>
          <w:rFonts w:ascii="Arial" w:cs="Arial" w:eastAsia="Arial" w:hAnsi="Arial"/>
          <w:sz w:val="17"/>
          <w:szCs w:val="17"/>
          <w:color w:val="auto"/>
        </w:rPr>
        <w:t xml:space="preserve"> gene.</w:t>
      </w:r>
    </w:p>
    <w:p>
      <w:pPr>
        <w:spacing w:after="0" w:line="38" w:lineRule="exact"/>
        <w:rPr>
          <w:rFonts w:ascii="Arial" w:cs="Arial" w:eastAsia="Arial" w:hAnsi="Arial"/>
          <w:sz w:val="17"/>
          <w:szCs w:val="17"/>
          <w:color w:val="auto"/>
        </w:rPr>
      </w:pPr>
    </w:p>
    <w:p>
      <w:pPr>
        <w:ind w:left="1040" w:right="120" w:hanging="519"/>
        <w:spacing w:after="0" w:line="25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collaborating with Takeda Pharmaceutical Company Limited (“Takeda”) to advance genetically defined targets for the treatment of other CNS disorders, including Alzheimer’s disease and Parkinson’s disease. Under the terms of the agreement, we may collaborate with Takeda on up to six preclinical programs at any one time, during a four-year term. Takeda is entitled to exclusively license multiple preclinical programs from us during the term.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Ophthalmology</w:t>
      </w:r>
    </w:p>
    <w:p>
      <w:pPr>
        <w:spacing w:after="0" w:line="117" w:lineRule="exact"/>
        <w:rPr>
          <w:sz w:val="20"/>
          <w:szCs w:val="20"/>
          <w:color w:val="auto"/>
        </w:rPr>
      </w:pPr>
    </w:p>
    <w:p>
      <w:pPr>
        <w:ind w:left="1040" w:right="20" w:hanging="519"/>
        <w:spacing w:after="0" w:line="255"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designing and advancing stereopure oligonucleotides for the potential treatment of rare, inherited eye diseases. Our research is assessing four inherited retinal diseases, which typically begin in childhood or adolescence and commonly lead to progressive vision loss: retinitis pigmentosa due to a P23H mutation in the RHO gene, Stargardt disease, Usher syndrome type 2A and Leber congenital amaurosis 10. Our preclinical data demonstrate that a single intravitreal injection of stereopure oligonucleotide in the eye of non-human primates resulted in greater than 95% knockdown of a target RNA in the retina for at least four months. Based on these data, we are working to design candidates that could achieve a therapeutic effect with only two doses per year. We expect to announce our first ophthalmology candidate in the second half of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Hepatic</w:t>
      </w:r>
    </w:p>
    <w:p>
      <w:pPr>
        <w:spacing w:after="0" w:line="117" w:lineRule="exact"/>
        <w:rPr>
          <w:sz w:val="20"/>
          <w:szCs w:val="20"/>
          <w:color w:val="auto"/>
        </w:rPr>
      </w:pPr>
    </w:p>
    <w:p>
      <w:pPr>
        <w:ind w:left="1040" w:hanging="519"/>
        <w:spacing w:after="0" w:line="255"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collaborating with Pfizer to advance genetically defined targets for the treatment of metabolic diseases, bringing together our proprietary drug development platform across antisense and single-stranded RNAi modalities, along with GalNAc and Pfizer’s hepatic targeting technology for delivery to the liver. Pfizer has selected five targets, including Apolipoprotein C-III (APOC3), which is the maximum number of targets that Pfizer may select under the terms of the agreement. We will advance five targets from discovery through the selection of clinical candidates, at which point Pfizer may elect to exclusively license the programs and undertake further development and potential commercialization.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28, 2019, we closed a follow-on underwritten public offering of 3,950,000 ordinary shares for gross proceeds of $150.1 million, and on February 26, 2019, we closed on the sale of an additional 592,500 ordinary shares pursuant to the underwriters’ option (on the same terms and conditions as the initial closing) for gross proceeds of an additional $22.5 million (collectively, the “January 2019 Offering”). Net proceeds to us from the January 2019 Offering are expected to be approximately $161.6 million, after deducting underwriting discounts and commissions and estimated offering expenses. We intend to use the net proceeds from the January 2019 Offering for clinical trial costs and other research and development expenses; continued growth of our manufacturing capabilities; initial investments in commercial and medical affairs infrastructure to support our transition to a fully integrated, commercial-stage genetic medicines company; continued investment in our proprietary discovery and drug development platform PRISM; and working capital, capital expenditures and general and administrative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have never been profitable, and since our inception, we have incurred significant operating losses. Our net losses were $146.7 million in 2018, $102.0 million in 2017, and $55.7 million in 2016. As of December 31, 2018 and 2017, we had an accumulated deficit of $339.7 million and $192.7 million, respectively. We expect to incur significant expenses and increasing operating losses for the foreseeable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generated any product revenue since our inception and do not expect to generate any revenue from the sale of products for the foreseeable future. Our revenue during the year ended December 31, 2018 represented revenue earned under our revenue-generating two collaboration agreements: the Pfizer Collaboration Agreement (as defined in Note 5 in the notes to the consolidated financial statements appearing elsewhere in this Annual Report on Form 10-K (“Note 5”)), which was entered into in May 2016, and the Takeda Collaboration Agreement (as defined in Note 5), which became effective in April 2018. Our revenue during the years ended December 31, 2017 and 2016 represents revenue earned under the Pfizer Collaboration Agreement only. The only revenue-generating license or collaboration agreements to which we are currently a party are the Pfizer Collaboration Agreement and the Takeda Collaboration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since inception have consisted primarily of research and development costs and general and administrative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which include:</w:t>
      </w:r>
    </w:p>
    <w:p>
      <w:pPr>
        <w:spacing w:after="0" w:line="62" w:lineRule="exact"/>
        <w:rPr>
          <w:sz w:val="20"/>
          <w:szCs w:val="20"/>
          <w:color w:val="auto"/>
        </w:rPr>
      </w:pPr>
    </w:p>
    <w:p>
      <w:pPr>
        <w:ind w:left="1040" w:right="1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compensation-related expenses, including employee salaries, bonuses, share-based compensation expense and other related benefits expenses for personnel in our research and development organization;</w:t>
      </w:r>
    </w:p>
    <w:p>
      <w:pPr>
        <w:spacing w:after="0" w:line="62" w:lineRule="exact"/>
        <w:rPr>
          <w:rFonts w:ascii="Arial" w:cs="Arial" w:eastAsia="Arial" w:hAnsi="Arial"/>
          <w:sz w:val="18"/>
          <w:szCs w:val="18"/>
          <w:color w:val="auto"/>
        </w:rPr>
      </w:pPr>
    </w:p>
    <w:p>
      <w:pPr>
        <w:jc w:val="both"/>
        <w:ind w:left="1040" w:right="240" w:hanging="519"/>
        <w:spacing w:after="0" w:line="264"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(“CROs”) that conduct research, preclinical and clinical activities on our behalf, as well as contract manufacturing organizations (“CMOs”) that manufacture drug product for use in our preclinical studies and clinical trials;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incurred related to our internal manufacturing of drug substance for use in our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related to compliance with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related to third-party consultants, including fees and share based-compensation;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and development supplies and services expenses;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facility-related expenses, including rent, maintenance and other general operating expenses.</w:t>
      </w:r>
    </w:p>
    <w:p>
      <w:pPr>
        <w:spacing w:after="0" w:line="225"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recognize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expenses.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Our primary research and development focus since inception has been the development of our proprietary discovery and drug development platform, PRISM.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using PRISM to design, develop and commercialize a broad pipeline of nucleic acid therapeutic candidates.</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research and development expenses consist primarily of expenses related to our CROs, CMOs, consultants, other external vendors and fees paid to global regulatory agencies to conduct our clinical trials, in addition to compensation-related expenses, internal manufacturing expenses, facility-related expenses and other general operating expenses. These expenses are incurred in connection with research and development efforts and our preclinical studies and clinical trials. We track certain external expenses on a program-by-program basis. However, we do not allocate compensation-related expenses, internal manufacturing expenses, equipment repairs and maintenance expense, facility-related expenses or other operating expenses to specific programs. These expenses, which are not allocated on a program-by-program basis, are included in the “PRISM and other research and development expenses” category along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8" w:name="page89"/>
    <w:bookmarkEnd w:id="88"/>
    <w:p>
      <w:pPr>
        <w:ind w:right="620"/>
        <w:spacing w:after="0" w:line="277" w:lineRule="auto"/>
        <w:rPr>
          <w:sz w:val="20"/>
          <w:szCs w:val="20"/>
          <w:color w:val="auto"/>
        </w:rPr>
      </w:pPr>
      <w:r>
        <w:rPr>
          <w:rFonts w:ascii="Arial" w:cs="Arial" w:eastAsia="Arial" w:hAnsi="Arial"/>
          <w:sz w:val="18"/>
          <w:szCs w:val="18"/>
          <w:color w:val="auto"/>
        </w:rPr>
        <w:t>with other external expenses related to our discovery and development programs, as well as platform development and identification of potential drug discovery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research and development expenses incurred for the years ended December 31, 2018,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Year Ended December 31,</w:t>
            </w: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195"/>
              <w:spacing w:after="0" w:line="155"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4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tcPr>
          <w:p>
            <w:pPr>
              <w:jc w:val="center"/>
              <w:ind w:right="520"/>
              <w:spacing w:after="0" w:line="155" w:lineRule="exact"/>
              <w:rPr>
                <w:sz w:val="20"/>
                <w:szCs w:val="20"/>
                <w:color w:val="auto"/>
              </w:rPr>
            </w:pPr>
            <w:r>
              <w:rPr>
                <w:rFonts w:ascii="Arial" w:cs="Arial" w:eastAsia="Arial" w:hAnsi="Arial"/>
                <w:sz w:val="14"/>
                <w:szCs w:val="14"/>
                <w:color w:val="auto"/>
                <w:w w:val="92"/>
              </w:rPr>
              <w:t>(in thousands)</w:t>
            </w: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DMD programs</w:t>
            </w:r>
          </w:p>
        </w:tc>
        <w:tc>
          <w:tcPr>
            <w:tcW w:w="1800" w:type="dxa"/>
            <w:vAlign w:val="bottom"/>
            <w:gridSpan w:val="2"/>
            <w:shd w:val="clear" w:color="auto" w:fill="CFF0FC"/>
          </w:tcPr>
          <w:p>
            <w:pPr>
              <w:jc w:val="right"/>
              <w:ind w:right="87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24,202</w:t>
            </w:r>
          </w:p>
        </w:tc>
        <w:tc>
          <w:tcPr>
            <w:tcW w:w="52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13,762</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HD programs</w:t>
            </w: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14,828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8,968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ALS and FTD programs</w:t>
            </w:r>
          </w:p>
        </w:tc>
        <w:tc>
          <w:tcPr>
            <w:tcW w:w="7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5,535</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PRISM and other research and development expenses (1)</w:t>
            </w:r>
          </w:p>
        </w:tc>
        <w:tc>
          <w:tcPr>
            <w:tcW w:w="7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89,863</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54,921</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32,502</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7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134,428</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40" w:hanging="512"/>
        <w:spacing w:after="0" w:line="26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discovery and development programs, identification of potential drug discovery candidates, and compensation-related expenses, internal manufacturing expenses, equipment repairs and maintenance expense, facility-related expenses and other operating expenses, which are not allocated to specific programs.</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continue to manage our existing clinical trials, initiate additional clinical trials for certain product candidates, pursue later stages of clinical development for certain product candidates, further expand our manufacturing capabilities and continue to discover and develop additional product candidates in therapeutic areas including neurology, ophthalmology and hepatic.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General and administrative expenses consist primarily of compensation-related expenses, including salaries, bonuses, share-based compensation and other related benefits costs for personnel in our executive, finance, corporate, legal and administrative functions, as well as compensation-related expenses for our board of directors. General and administrative expenses also include legal fees relating to intellectual property and general corporate matters; expenses associated with being a public company; professional fees for accounting, auditing, tax and consulting services; insurance costs; travel expenses; other operating costs; and facility-related expenses.</w:t>
      </w:r>
    </w:p>
    <w:p>
      <w:pPr>
        <w:spacing w:after="0" w:line="18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anticipate that our general and administrative expenses will increase in the future, primarily due to additional compensation-related expenses, as we increase our employee headcount to support the growth in our research and development activities and the potential commercialization of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income (expense), net consists primarily of refundable tax credits from tax authorities and dividend and interest income earned on cash and cash equivalents balances for the years ended December 31, 2018, 2017 and 2016. We recognize refundable tax credits when there is reasonable assurance that we will comply with the requirements of the refundable tax credit and that the refundable tax credit will be received.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a Singapore multi-national company subject to taxation in the United States and various other jurisdictions.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2018, 2017 and 2016, our provision for income taxes was $0.1 million, $0.8 million and $0.5 million, respectively, on pre-tax loss of $146.6 million,</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$101.1 million and $55.2 million, respectively. As of December 31, 2018 and 2017, we have recorded a full valuation allowance against our net operating loss carryforwards and federal and state tax credits in all jurisdictions due to uncertainty regarding future taxable income.</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Tax Cuts and Jobs Act (the “Tax Act”) was enacted on December 22, 2017 and includes significant changes to the U.S. corporate tax system. Effective January 1, 2018, the Tax Act reduced the U.S. federal corporate tax rate from 35% to 21% and transitioned the U.S. federal tax system from a worldwide tax system to a territorial tax system. On December 22, 2017, the SEC issued Staff Accounting Bulletin 118 (“SAB 118”) that provides additional guidance allowing companies to apply a measurement period of up to twelve months to account for the impacts of the Tax Act in our financial statements. As of December 31, 2018, we have finalized our accounting for the impacts of the Tax Act. In 2018, we recognized a $0.2 million benefit related to the remeasurement of our deferred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ind w:right="280"/>
        <w:spacing w:after="0" w:line="277" w:lineRule="auto"/>
        <w:rPr>
          <w:sz w:val="20"/>
          <w:szCs w:val="20"/>
          <w:color w:val="auto"/>
        </w:rPr>
      </w:pPr>
      <w:r>
        <w:rPr>
          <w:rFonts w:ascii="Arial" w:cs="Arial" w:eastAsia="Arial" w:hAnsi="Arial"/>
          <w:sz w:val="18"/>
          <w:szCs w:val="18"/>
          <w:color w:val="auto"/>
        </w:rPr>
        <w:t>tax assets and liabilities as a result of filing our 2017 U.S. tax return. This amount was included as a component of our provision for income taxes and was fully offset by a corresponding amount in our valuation allowance.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2018 to the Year Ended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2018 and 2017:</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For the Year Ended 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color w:val="auto"/>
                <w:w w:val="92"/>
              </w:rPr>
              <w:t>(in thousands)</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14,414</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(159,523)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(102,391)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(146,584)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(101,138)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(101,980)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 was $14.4 million and $3.9 million for the years ended December 31, 2018 and 2017, respectively. Revenue for 2017 was earned only under the Pfizer Collaboration Agreement. The increase of $10.5 million is due to revenue earned under the Takeda Collaboration Agreement, which became effective in April 2018, as well as an increase in research and development services under the Pfizer Agreement, which was entered into in May 2016. Revenue for both periods is presented under ASC 606 (as defined in Note 2 of our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for the years ended December 31,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3320" w:type="dxa"/>
            <w:vAlign w:val="bottom"/>
            <w:tcBorders>
              <w:bottom w:val="single" w:sz="8" w:color="auto"/>
            </w:tcBorders>
            <w:gridSpan w:val="5"/>
          </w:tcPr>
          <w:p>
            <w:pPr>
              <w:jc w:val="right"/>
              <w:ind w:right="535"/>
              <w:spacing w:after="0"/>
              <w:rPr>
                <w:sz w:val="20"/>
                <w:szCs w:val="20"/>
                <w:color w:val="auto"/>
              </w:rPr>
            </w:pPr>
            <w:r>
              <w:rPr>
                <w:rFonts w:ascii="Arial" w:cs="Arial" w:eastAsia="Arial" w:hAnsi="Arial"/>
                <w:sz w:val="14"/>
                <w:szCs w:val="14"/>
                <w:b w:val="1"/>
                <w:bCs w:val="1"/>
                <w:color w:val="auto"/>
              </w:rPr>
              <w:t>For the Year Ended December 31,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ind w:right="55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95"/>
              <w:spacing w:after="0" w:line="155" w:lineRule="exact"/>
              <w:rPr>
                <w:sz w:val="20"/>
                <w:szCs w:val="20"/>
                <w:color w:val="auto"/>
              </w:rPr>
            </w:pPr>
            <w:r>
              <w:rPr>
                <w:rFonts w:ascii="Arial" w:cs="Arial" w:eastAsia="Arial" w:hAnsi="Arial"/>
                <w:sz w:val="14"/>
                <w:szCs w:val="14"/>
                <w:color w:val="auto"/>
                <w:w w:val="99"/>
              </w:rPr>
              <w:t>(in thousands)</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DMD programs</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24,202</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13,762</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HD programs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14,828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8,968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ALS and FTD programs</w:t>
            </w: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PRISM and other research and development expenses (1)</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920" w:type="dxa"/>
            <w:vAlign w:val="bottom"/>
            <w:tcBorders>
              <w:bottom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134,428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40" w:hanging="512"/>
        <w:spacing w:after="0" w:line="26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discovery and development programs, identification of potential drug discovery candidates, and compensation-related expenses, internal manufacturing expenses, equipment repairs and maintenance expense, facility-related expenses and other operating expenses, which are not allocated to specific programs.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$134.4 million for the year ended December 31, 2018, compared to approximately $79.3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increase of $55.1 million was due primarily to the following:</w:t>
      </w:r>
    </w:p>
    <w:p>
      <w:pPr>
        <w:spacing w:after="0" w:line="103" w:lineRule="exact"/>
        <w:rPr>
          <w:sz w:val="20"/>
          <w:szCs w:val="20"/>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$10.4 million in external expenses related to our DMD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$5.9 million in external expenses related to our HD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$3.9 million in external expenses related to our ALS and FTD programs; and</w:t>
      </w:r>
    </w:p>
    <w:p>
      <w:pPr>
        <w:spacing w:after="0" w:line="117" w:lineRule="exact"/>
        <w:rPr>
          <w:rFonts w:ascii="Arial" w:cs="Arial" w:eastAsia="Arial" w:hAnsi="Arial"/>
          <w:sz w:val="18"/>
          <w:szCs w:val="18"/>
          <w:color w:val="auto"/>
        </w:rPr>
      </w:pPr>
    </w:p>
    <w:p>
      <w:pPr>
        <w:ind w:left="1040" w:right="320" w:hanging="519"/>
        <w:spacing w:after="0" w:line="279"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 increase of $34.9 million in internal and external expenses that are not allocated on a program-by-program basis and are related to other discovery and development programs, platform development and identification of potential drug discovery candidates, due to an increase of $12.5 million in compensation-related expenses, which is the result of organizational growth, and an increase of $22.4 million in external research and development supplies and services expenses and facility-related expenses.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 and administrative expenses were $39.5 million for the year ended December 31, 2018 compared to $27.0 million for the year ended December 31, 2017. The increase of $12.5 million was primarily due to a $6.8 million increase in compensation-related costs resulting from an increase in employee headcount. Increased professional services expenses and other general and administrative operating expenses account for the remaining increase of approximately $5.7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Other income (expense), net for the years ended December 31, 2018 and 2017 was $12.9 million and $1.3 million, respectively. The increase in other income (expense), net is primarily due to the $10.2 million increase related to our claim for refundable tax credits, the majority of which we claimed for the first time during the year ended December 31, 2018 and relates to the UK research and development tax credit regime for small and medium sized companies. Additionally, there was an increase of $1.8 million in dividend income earned on our cash equivalents during the year ended December 31,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(Provision)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years ended December 31, 2018 and 2017, we recorded a tax provision of $0.1 million and $0.8 million, respectively. The 2018 tax provision was due to adjustments related to the filing of our 2017 tax returns with the relevant tax authorities. The 2017 tax provision was due to our establishment of a valuation allowance against our U.S. deferred tax assets, as well as income earned under research and management services arrangements between our U.S. and Singapore entities, which is taxed in the United States. During the years ended December 31, 2018 and 2017, we did not record any income tax benefit for the net operating losses incurred in Singapore due to uncertainty regarding future taxable income in that jurisdiction. During the year ended December 31, 2018, we did not record any income tax benefit for the net operating losses incurred in the United States and Japan due to uncertainty regarding future taxable income in those jurisdictions. In May 2016, we established a wholly-owned subsidiary in Ireland, however no income tax expense or benefit has been recorded during the years ended December 31, 2018 and 2017. In April 2017, we established a wholly-owned subsidiary in the United Kingdom and during the years ended December 31, 2018 and 2017, we did not record any income tax benefit for the net operating losses incurred in the United Kingdom due to uncertainty regarding future taxable income in that jurisdiction.</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2017 to the Year Ended December 31,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For the Year Ended December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color w:val="auto"/>
                <w:w w:val="92"/>
              </w:rPr>
              <w:t>(in thousands)</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(102,391)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(101,138)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(55,660)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Revenue for 2017 and 2016 was earned under the Pfizer Collaboration Agreement, which was entered into in May 2016. There was $3.9 million in revenue for 2017, which represents an increase of $2.8 million in revenue over the $1.1 million in revenue for 2016. The increase in revenue was the result of Wave providing more research and development services to Pfizer in 2017. Revenue for both periods is presented under ASC 606.</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by program and on our platform for 2017 and 2016:</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6"/>
              </w:rPr>
              <w:t>For the Year Ended December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9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15"/>
              <w:spacing w:after="0" w:line="155" w:lineRule="exact"/>
              <w:rPr>
                <w:sz w:val="20"/>
                <w:szCs w:val="20"/>
                <w:color w:val="auto"/>
              </w:rPr>
            </w:pPr>
            <w:r>
              <w:rPr>
                <w:rFonts w:ascii="Arial" w:cs="Arial" w:eastAsia="Arial" w:hAnsi="Arial"/>
                <w:sz w:val="14"/>
                <w:szCs w:val="14"/>
                <w:color w:val="auto"/>
                <w:w w:val="92"/>
              </w:rPr>
              <w:t>(in thousands)</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DMD programs</w:t>
            </w:r>
          </w:p>
        </w:tc>
        <w:tc>
          <w:tcPr>
            <w:tcW w:w="6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w:t>
            </w:r>
          </w:p>
        </w:tc>
        <w:tc>
          <w:tcPr>
            <w:tcW w:w="3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HD programs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ALS and FTD programs</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8"/>
              </w:rPr>
              <w:t>PRISM and other research and development expenses (1)</w:t>
            </w:r>
          </w:p>
        </w:tc>
        <w:tc>
          <w:tcPr>
            <w:tcW w:w="4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54,921</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4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discovery and development programs, identification of potential drug discovery candidates, and compensation-related expenses, internal manufacturing expenses, equipment repairs and maintenance expense, facility-related expenses and other operating expenses, which are not allocated to specific programs.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Research and development expenses were $79.3 million for the year ended December 31, 2017, compared to $40.8 million for the year ended December 31, 2016. The increase of $38.5 million was due, in part, to the following:</w:t>
      </w:r>
    </w:p>
    <w:p>
      <w:pPr>
        <w:spacing w:after="0" w:line="62" w:lineRule="exact"/>
        <w:rPr>
          <w:sz w:val="20"/>
          <w:szCs w:val="20"/>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of $11.7 million in external expenses related to our DMD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of $2.8 million in external expenses related to our HD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of $1.6 million in external expenses related to our ALS and FTD programs</w:t>
      </w:r>
      <w:r>
        <w:rPr>
          <w:rFonts w:ascii="Arial" w:cs="Arial" w:eastAsia="Arial" w:hAnsi="Arial"/>
          <w:sz w:val="18"/>
          <w:szCs w:val="18"/>
          <w:i w:val="1"/>
          <w:iCs w:val="1"/>
          <w:color w:val="auto"/>
        </w:rPr>
        <w:t>;</w:t>
      </w:r>
      <w:r>
        <w:rPr>
          <w:rFonts w:ascii="Arial" w:cs="Arial" w:eastAsia="Arial" w:hAnsi="Arial"/>
          <w:sz w:val="18"/>
          <w:szCs w:val="18"/>
          <w:color w:val="auto"/>
        </w:rPr>
        <w:t xml:space="preserve"> and</w:t>
      </w:r>
    </w:p>
    <w:p>
      <w:pPr>
        <w:spacing w:after="0" w:line="117" w:lineRule="exact"/>
        <w:rPr>
          <w:rFonts w:ascii="Arial" w:cs="Arial" w:eastAsia="Arial" w:hAnsi="Arial"/>
          <w:sz w:val="18"/>
          <w:szCs w:val="18"/>
          <w:color w:val="auto"/>
        </w:rPr>
      </w:pPr>
    </w:p>
    <w:p>
      <w:pPr>
        <w:ind w:left="1040" w:right="180" w:hanging="519"/>
        <w:spacing w:after="0" w:line="279" w:lineRule="auto"/>
        <w:tabs>
          <w:tab w:leader="none" w:pos="10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increase of $22.4 million in internal and external expenses that are not allocated on a program-by-program basis and are related to other discovery and development programs, platform development and identification of potential drug discovery candidates, due to an increase of $14.3 million in compensation-related expenses, which is the result of organizational growth, and an increase of $8.1 million in external research and development supplies and services expenses and facility-related expenses.</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49"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General and administrative expenses were $27.0 million for the year ended December 31, 2017 compared to $16.0 million for the year ended December 31, 2016. The increase of $11.0 million was primarily due to the $4.9 million increase in compensation-related costs resulting from an increase in employee headcount. Increased professional services expenses and other general and administrative operating expenses account for the remaining increase of approximately $6.1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Other income (expense), net for the years ended December 31, 2017 and 2016 was $1.3 million and $0.5 million, respectively. The increase in other income (expense), net is primarily due to increased dividend income earned in 2017 on our cash equivalents.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(Provision)</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the years ended December 31, 2017 and 2016, we recorded a tax provision of $0.8 million and $0.5 million, respectively. The 2017 tax provision was due to our establishment of a valuation allowance against our U.S. deferred tax assets, as well as income earned under research and management services arrangements between our U.S. and Singapore entities, which is taxed in the United States. The 2016 tax provision is a result of income earned under research and management services arrangements between our U.S. and Singapore entities, which is taxed in the United States. During the years ended December 31, 2017 and 2016, we did not record any income tax benefit for the net operating losses incurred in Singapore due to uncertainty regarding future taxable income in that jurisdiction. During the year ended December 31, 2016, the Company recorded no income tax benefit for the net operating losses incurred in Japan, due to uncertainty regarding future taxable income in that jurisdiction. In May 2016, we established a wholly-owned subsidiary in Ireland, however no income tax expense or benefit has been recorded during the years ended December 31, 2017 and 2016. In April 2017, we established a wholly-owned subsidiary in the United Kingdom and during the year ended December 31, 2017, we did not record any income tax benefit for the net operating losses incurred in the United Kingdom due to uncertainty regarding future taxable income in that jurisdiction.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Since our inception, we have not generated any product revenue and have incurred recurring net losses. To date, we have primarily funded our operations through private placements of debt and equity securities, public offerings of our ordinary shares and collaborations with third parties. Through December 31, 2018, we have received an aggregate of approximately $493.2 million in net proceeds from these transactions. We received $89.3 million in net proceeds from private placements of our debt and equity securities, $100.4 million in net proceeds from our initial public offering, $40.0 million under the Pfizer Agreements (as defined in Note 5), including $10.0 million as an upfront payment under the Pfizer Collaboration Agreement and $30.0 million in the form of an equity investment, $93.5 million in net proceeds from our April 2017 follow-on underwritten public offering, and $170.0 million in upfront payments under the Takeda Agreements (as defined in Note 5), including $110.0 million as an upfront payment under the Takeda Collaboration Agreement (as defined in Note 5) and $60.0 million in the form of an equity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we had cash and cash equivalents of $174.8 million, restricted cash of $3.6 million and an accumulated deficit of $339.7 million.</w:t>
      </w:r>
    </w:p>
    <w:p>
      <w:pPr>
        <w:spacing w:after="0" w:line="24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January 28, 2019, we closed a follow-on public offering of 3,950,000 ordinary shares for gross proceeds of $150.1 million, and on February 26, 2019, we closed on the sale of an additional 592,500 ordinary shares pursuant to the underwriters’ option (on the same terms and conditions as the initial closing) for gross proceeds of an additional $22.5 million (collectively, the “January 2019 Offering”). Net proceeds to us from the January 2019 Offering are expected to be approximately $161.6 million, after deducting underwriting discounts and commissions and estimated offering expenses.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expect that our existing cash and cash equivalents will be sufficient to fund our operations for at least the next twelve months. We have based this expectation on assumptions that may prove to be incorrect, and we may use our available capital resources sooner than we currently expect. In addition, we may elect to raise additional funds before we need them if the conditions for raising capital are favorable due to market conditions or strategic considerations, even if we expect we have sufficient funds for our current or future operating plans.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Until we can generate significant revenue from product sales, if ever, we expect to continue to finance our operations through a combination of public or private equity or debt financings or other sources, which may include collaborations with third parties. As of March 1, 2019, we have approximately $227.4 million of our securities registered and available for sale under our existing shelf registration statement that was declared effective by the SEC on February 6, 2017 and will remain in effect for three years from that date. In addition, for so long as we continue to satisfy the requirements of a “well-known seasoned issuer” under SEC rules, we may file an automatic shelf registration statement, which would become effective immediately upon filing and would provide us with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3" w:name="page94"/>
    <w:bookmarkEnd w:id="93"/>
    <w:p>
      <w:pPr>
        <w:ind w:right="80"/>
        <w:spacing w:after="0" w:line="264" w:lineRule="auto"/>
        <w:rPr>
          <w:sz w:val="20"/>
          <w:szCs w:val="20"/>
          <w:color w:val="auto"/>
        </w:rPr>
      </w:pPr>
      <w:r>
        <w:rPr>
          <w:rFonts w:ascii="Arial" w:cs="Arial" w:eastAsia="Arial" w:hAnsi="Arial"/>
          <w:sz w:val="18"/>
          <w:szCs w:val="18"/>
          <w:color w:val="auto"/>
        </w:rPr>
        <w:t>immediate access to the capital markets to sell our securities from time to time.Adequate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3"/>
          </w:tcPr>
          <w:p>
            <w:pPr>
              <w:jc w:val="right"/>
              <w:ind w:right="420"/>
              <w:spacing w:after="0" w:line="155" w:lineRule="exact"/>
              <w:rPr>
                <w:sz w:val="20"/>
                <w:szCs w:val="20"/>
                <w:color w:val="auto"/>
              </w:rPr>
            </w:pPr>
            <w:r>
              <w:rPr>
                <w:rFonts w:ascii="Arial" w:cs="Arial" w:eastAsia="Arial" w:hAnsi="Arial"/>
                <w:sz w:val="14"/>
                <w:szCs w:val="14"/>
                <w:color w:val="auto"/>
                <w:w w:val="94"/>
              </w:rPr>
              <w:t>(in thousands)</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(22,862)</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(83,671)</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(31,925)</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(18,887)</w:t>
            </w:r>
          </w:p>
        </w:tc>
        <w:tc>
          <w:tcPr>
            <w:tcW w:w="2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(5,563)</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65,094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94,374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29,121</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Effect of foreign exchange rates on cash</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09"/>
        </w:trPr>
        <w:tc>
          <w:tcPr>
            <w:tcW w:w="42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1"/>
              </w:rPr>
              <w:t>Net increase (decrease) in cash, cash equivalents and</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32,331</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(7,781)</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(8,381)</w:t>
            </w: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2018, operating activities used $22.9 million of cash, due to our net loss of $146.7 million, which was offset by changes in our operating assets and liabilities of $102.4 million and non-cash charges of $21.4 million. The largest changes in operating assets and liabilities were an increase of $160.6 million in deferred revenue offset by an increase of $59.0 million in accounts receivable, which were primarily driven by the upfront consideration received and accounts receivable recorded upon entry into the Takeda Collaboration Agreement, as well as increases of $4.9 million in accounts payable and $5.9 million in accrued expenses and other liabilities. The non-cash charges for 2018 related mainly to share-based compensation expense of $15.6 million and $5.6 million of depreciation expense.</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2017, operating activities used $83.7 million of cash, primarily resulting from our net loss of $102.0 million offset by non-cash charges of $18.8 million. The non-cash charges for 2017 related mainly to share-based compensation expense of $12.1 million, an increase in deferred rent of $3.6 million and $2.2 million of depreciation expense.</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2016, operating activities used $31.9 million of cash, primarily resulting from our net loss of $55.7 million offset by non-cash charges of $7.2 million and by cash provided by changes in our operating assets and liabilities of $16.6 million. The non-cash charges for 2016 related primarily to share-based compensation expense of $6.8 million. Net cash provided by changes in our operating assets and liabilities during the year ended December 31, 2016 was primarily due to increases in deferred revenue, accounts payable and accrued expenses and other liabilities.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2018, investing activities used $9.9 million of cash, consisting of purchases of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2017, investing activities used $18.9 million of cash, consisting of purchases of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2016, investing activities used $5.6 million of cash, consisting primarily of purchases of property and equipment.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2018, net cash provided by financing activities was $65.1 million, which was primarily due to the $60.0 million in proceeds from the issuance of 1,096,892 ordinary shares to Takeda, as well as the $5.1 million in proceeds from the exercise of share options.</w:t>
      </w:r>
    </w:p>
    <w:p>
      <w:pPr>
        <w:spacing w:after="0" w:line="17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During 2017, net cash provided by financing activities was $94.4 million, which was primarily due to the $93.5 million in net proceeds from the April 2017 follow-on underwritten public offering of 4,166,667 ordinary shares as well as the $0.9 million in proceeds from the exercise of share options.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2016, net cash provided by financing activities was $29.1 million, which was primarily due to the $30.0 million in proceeds from the issuance of 1,875,000 shares to an affiliate of Pfizer related to the Pfizer Equity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our expenses will continue to increase in connection with our ongoing research and development activities and our internal cGMP manufacturing activities. Furthermore, we anticipate that our expenses will continue to increase if and as we:</w:t>
      </w:r>
    </w:p>
    <w:p>
      <w:pPr>
        <w:spacing w:after="0" w:line="62" w:lineRule="exact"/>
        <w:rPr>
          <w:sz w:val="20"/>
          <w:szCs w:val="20"/>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conduct our clinical trials evaluating our product candidates in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conduct research and preclinical development of discovery targets and advance additional programs into clinical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 clinical trial applications with global regulatory agencies and conduct clinical trials for our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expand our research and development activities to design and advance potential treatments for rare, inherited eye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strategic investments in PRISM and in optimizing our manufacturing processes and formulations;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further expand our manufacturing capabilities through our internal facility and our CMOs;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maintain our intellectual property portfolio and consider the acquisition of complementary intellectual property;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seek and obtain regulatory approvals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and build capabilities to market, distribute and sell our product candidates.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may experience delays or encounter issues with any of the above, including but not limited to failed studies, complex results, safety issues or other regulatory challenges.</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Because of the numerous risks and uncertainties associated with the development of our product candidates and because the extent to which we may enter into collaborations with third parties for development of product candidates is unknown, we are unable to estimate the amounts of increased capital outlays and operating expenses associated with completing the research and development for our programs. Our future capital requirements for our programs will depend on many factors, including:</w:t>
      </w:r>
    </w:p>
    <w:p>
      <w:pPr>
        <w:spacing w:after="0" w:line="79" w:lineRule="exact"/>
        <w:rPr>
          <w:sz w:val="20"/>
          <w:szCs w:val="20"/>
          <w:color w:val="auto"/>
        </w:rPr>
      </w:pPr>
    </w:p>
    <w:p>
      <w:pPr>
        <w:ind w:left="1040" w:right="24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progress and results of conducting research and continued preclinical and clinical development within our programs and with respect to future potential pipeline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programs that we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and to what extent milestone events are achieved under our collaborations with Pfizer or Takeda or any potential future licensee or collaborator;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marketing approval for our product candidates;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acceptance of our product candidates, to the extent any are approved for commercial sale, and the revenue, if any, received from commercial sales of our product candidates for which we receive marketing approval;</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040" w:right="820" w:hanging="519"/>
        <w:spacing w:after="0" w:line="277"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 if any, will be derived from sales of products that we do not expect to be commercially available for many years, if ever. Accordingly, we will need to obtain substantial additional funds to achieve our business objectives.</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95" w:name="page96"/>
    <w:bookmarkEnd w:id="95"/>
    <w:p>
      <w:pPr>
        <w:ind w:right="120"/>
        <w:spacing w:after="0" w:line="291" w:lineRule="auto"/>
        <w:rPr>
          <w:sz w:val="20"/>
          <w:szCs w:val="20"/>
          <w:color w:val="auto"/>
        </w:rPr>
      </w:pPr>
      <w:r>
        <w:rPr>
          <w:rFonts w:ascii="Arial" w:cs="Arial" w:eastAsia="Arial" w:hAnsi="Arial"/>
          <w:sz w:val="16"/>
          <w:szCs w:val="16"/>
          <w:color w:val="auto"/>
        </w:rPr>
        <w:t>Adequate additional funds may not be available to us on acceptable terms when we need them, or at all. We do not currently have any committed external source of funds, except for possible future payments from Pfizer if milestones under the Pfizer Collaboration Agreement are achieved and committed funds and possible future milestones and payments from our collaboration with Takeda under the Takeda Collaboration Agreement. To the extent that we raise additional capital through the sale of equity or convertible debt securities, the ownership interest of our existing shareholders will be diluted, and the terms may include liquidation or other preferences that adversely affect the rights of our shareholders.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shareholders’ ownership interests.</w:t>
      </w:r>
    </w:p>
    <w:p>
      <w:pPr>
        <w:spacing w:after="0" w:line="16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2018 and the effect such obligations are expected to have on our liquidity and cash flows in future periods: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2020 and 2021</w:t>
            </w:r>
          </w:p>
        </w:tc>
        <w:tc>
          <w:tcPr>
            <w:tcW w:w="140" w:type="dxa"/>
            <w:vAlign w:val="bottom"/>
          </w:tcPr>
          <w:p>
            <w:pPr>
              <w:spacing w:after="0"/>
              <w:rPr>
                <w:sz w:val="14"/>
                <w:szCs w:val="14"/>
                <w:color w:val="auto"/>
              </w:rPr>
            </w:pPr>
          </w:p>
        </w:tc>
        <w:tc>
          <w:tcPr>
            <w:tcW w:w="116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2022 and 2023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After 2023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56"/>
        </w:trPr>
        <w:tc>
          <w:tcPr>
            <w:tcW w:w="37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139"/>
              <w:spacing w:after="0" w:line="155" w:lineRule="exact"/>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commitments</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5,675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11,437</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20,927</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7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49,906</w:t>
            </w:r>
          </w:p>
        </w:tc>
        <w:tc>
          <w:tcPr>
            <w:tcW w:w="100" w:type="dxa"/>
            <w:vAlign w:val="bottom"/>
            <w:shd w:val="clear" w:color="auto" w:fill="CFF0FC"/>
          </w:tcPr>
          <w:p>
            <w:pPr>
              <w:spacing w:after="0"/>
              <w:rPr>
                <w:sz w:val="19"/>
                <w:szCs w:val="19"/>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5,675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49,906</w:t>
            </w:r>
          </w:p>
        </w:tc>
        <w:tc>
          <w:tcPr>
            <w:tcW w:w="10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enter into contracts in the normal course of business with CROs and CMOs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no off-balance sheet arrangements (as that term is defined in Item 303(a)(4)(ii) of Regulation S-K) as of December 31, 2018 that have, or are reasonably likely to have, a current or future effect on our financial condition, changes in financial condition, revenues or expenses, results of operations, liquidity, capital expenditures or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For detailed information regarding recently issued and adopted accounting pronouncements and the expected impact on our consolidated financial statements, see Note 2 “Significant Accounting Policies” in the notes to the consolidated financial statements appearing elsewhere in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of America (“U.S. GAAP”). The preparation of our financial statements and related disclosures requires us to make estimates and assumptions that affect the reported amount of assets, liabilities, revenue, costs and expenses and related disclosures. We believe that our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and the assumptions and estimates used in our analysis of contracts with CROs and CMOs to estimate the contract expense, involve a greater degree of judgement, and therefore we consider them to be our critical accounting policies. We evaluate our estimates and assumptions on an ongoing basis. Our actual results may differ from these estimates under different assumptions and conditions.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Effective January 1, 2018, the Company adopted Accounting Standards Codification (“ASC”) Topic 606, Revenue from Contracts with Customers (“ASC 606”), using the full retrospective transition method. Under this method, the Company revised its consolidated financial statements for the years ended December 31, 2017 and 2016, and applicable interim periods within those years, as if ASC 606 had been effective for those periods.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Company has entered into collaboration agreements for research, development, and commercial services, under which the Company licenses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Any variable consideration is constrained, and therefore, the cumulative revenue associated with this consideration is not recognized until it is deemed not to be at significant risk of reversal.</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determining the appropriate amount of revenue to be recognized as the Company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timing of satisfaction of performance obligations as a measure of progress in step (v) above. The Company uses significant judgment to determine whether milestones or other variable consideration, except for royalties, should be included in the transaction price as described further below. The transaction price is allocated to the optional goods and services the Company expects to provide. The Company uses estimates to determine the timing of satisfaction of performance obligations.</w:t>
      </w:r>
    </w:p>
    <w:p>
      <w:pPr>
        <w:spacing w:after="0" w:line="17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Amounts received prior to being recognized as revenue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In assessing whether a promise or performance obligation is distinct from the other promises, the Company considers</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such as the research, development,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7" w:name="page98"/>
    <w:bookmarkEnd w:id="97"/>
    <w:p>
      <w:pPr>
        <w:ind w:right="40"/>
        <w:spacing w:after="0" w:line="289"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If an arrangement is determined to contain a promise or obligation for the Company to perform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services, the Company must determine whether these services are distinct from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 additional goods or services, the goods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standalone selling price. As a practical alternative to estimating the standalone selling price when the goods or services are both (i) similar to the original goods and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not recognized as revenue until the option is exercised and the performance obligation is satisfied.</w:t>
      </w:r>
    </w:p>
    <w:p>
      <w:pPr>
        <w:spacing w:after="0" w:line="18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milestone payments, the Company evaluates whether a significant reversal of</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The Company recognizes as an asset the incremental costs of obtaining a contract with a customer if the costs are expected to be recovered.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practical expedient, the Company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of accounting for collaboration revenues, see Note 5 of our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and Accrued Research and Development Expenses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we prepare our financial statements, we are required to estimate our prepaid and accrued expenses. For certain contracts with our CROs and CMOs, if the billing terms do not align with the pattern in which the work is completed by the CRO or CMO as of the end of the period, we are required to perform an analysis to estimate the expense, for the period and to date for each contract.</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Contracts that are subject to this analysis generally relate to the following services: research and development services, manufacturing services, toxicology studies and clinical trial services. Once we have completed our analysis, we will record the estimated expense in the period for each contract and, depending on the invoicing activity related to each contract, we either have a prepaid or accrual as of the end of the period. We base our estimates on communications with internal study managers, our knowledge of the ongoing and past work at the CROs and CMOs, communications and reporting from our CROs and CMOs, where applicable.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are exposed to interest rate risk in the ordinary course of our business. Our cash and cash equivalents are held in readily available checking and money market accounts.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our operations outside of the Unites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 the results of our operations or our cash flows. For the years ended December 31, 2018, 2017 and 2016, changes in foreign currency exchange rates did not have a material impact on our historical financial position, our business, our financial condition, the results of our operations or our cash flows.</w:t>
      </w:r>
    </w:p>
    <w:p>
      <w:pPr>
        <w:spacing w:after="0" w:line="18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 hypothetical 10% change in foreign currency rates would not have a material impact on our historical financial position or results of operations. However, there can be no assurance that changes in foreign currency exchange rates will not have a material adverse impact on us in the future.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in the last three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currently have no product revenues and depend on funds raised through other sources. One possible source of funding is through further equity offerings.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raise funds in this manner depends upon capital market forces affecting our share price.</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8 is included at the end of this Annual Report on Form 10-K beginning on page F-1.</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of December 31,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2018, our principal executive officer and principal financial officer concluded that, as of such date, our disclosure controls and procedures were effective at the reasonable assurance level.</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of such internal control required by Rule 13a-15(d) and 15d-15(d) of the Exchange Act that occurred during the fiscal quarter ended December 31, 2018 that have materially affected, or are reasonably likely to materially affect, our internal control over financial reporting.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4" w:lineRule="exact"/>
        <w:rPr>
          <w:sz w:val="20"/>
          <w:szCs w:val="20"/>
          <w:color w:val="auto"/>
        </w:rPr>
      </w:pPr>
    </w:p>
    <w:p>
      <w:pPr>
        <w:ind w:left="104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ind w:left="1040" w:right="460" w:hanging="519"/>
        <w:spacing w:after="0" w:line="264"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2018. In making this assessment, management used the criteria set forth by the Committee of Sponsoring Organizations of the Treadway Commission (“COSO”) in Internal Control-Integrated Framework (2013).</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Based on our assessment, management believes that, as of December 31, 2018, our internal control over financial reporting is effective based on those criteria.</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2018 has been audited by KPMG LLP, an independent registered public accounting firm, as stated in their report which appears in this Annual Report on Form 10-K.</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We have audited Wave Life Sciences Ltd.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6"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and comprehensive loss, Series A preferred shares and shareholders’ equity, and cash flows for each of the years in the three-year period ended December 31, 2018, and the related notes (collectively, the consolidated financial statements), and our report dated March 1, 2019 expressed an unqualified opinion on those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1" w:name="page102"/>
    <w:bookmarkEnd w:id="101"/>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Securities and Exchange Commission on Schedule 14A in connection with our 2019 Annual General Meeting of Shareholders, or the Proxy Statement, if the Proxy Statement is filed not later than 120 days after the end of our fiscal year ended December 31, 2018, in the sections titled “Management and Corporate Governance,” “Section 16(a) Beneficial Ownership Reporting Compliance,” and “Code of Business Conduct and Ethics,” and is incorporated herein by reference. If the Proxy Statement is not filed within such 120-day period, the information required by this item will be contained in an amendment to this Annual Report on Form 10-K to be filed with the Securities and Exchange Commission, or the Form 10-K/A.</w:t>
      </w:r>
    </w:p>
    <w:p>
      <w:pPr>
        <w:spacing w:after="0" w:line="29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Officer and Director Compensation,” “Compensation Discussion and Analysis,” “Management and Corporate Governance – Compensation Committee Interlocks and Insider Participation,” “Compensation Committee Report” and “Risks Related to Compensation Practices and Policies” in our Proxy Statement. If the Proxy Statement is not filed within 120 days after the end of our fiscal year ended December 31, 2018, the information required by this item will be contained in the Form 10-K/A.</w:t>
      </w:r>
    </w:p>
    <w:p>
      <w:pPr>
        <w:spacing w:after="0" w:line="29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“Security Ownership of Certain Beneficial Owners and Management” and “Equity Compensation Plan Information” in our Proxy Statement. If the Proxy Statement is not filed within 120 days after the end of our fiscal year ended December 31, 2018, the information required by this item will be contained in the Form 10-K/A.</w:t>
      </w:r>
    </w:p>
    <w:p>
      <w:pPr>
        <w:spacing w:after="0" w:line="2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“Certain Relationships and Related Person Transactions” and “Management and Corporate Governance – Board of Directors” in our Proxy Statement. If the Proxy Statement is not filed within 120 days after the end of our fiscal year ended December 31, 2018, the information required by this item will be contained in the Form 10-K/A.</w:t>
      </w:r>
    </w:p>
    <w:p>
      <w:pPr>
        <w:spacing w:after="0" w:line="2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information required by this item regarding principal accountant fees and services is incorporated by reference to the information set forth in the sections titled “Principal Accounting Fees and Services” and “Policy on Audit Committee Pre-Approval of Audit and Permissible Non-Audit Services of Independent Public Accountant and Independent Singapore Auditor” in our Proxy Statement. If the Proxy Statement is not filed within 120 days after the end of our fiscal year ended December 31, 2018, the information required by this item will be contained in the Form 10-K/A.</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1200" w:hanging="179"/>
        <w:spacing w:after="0"/>
        <w:tabs>
          <w:tab w:leader="none" w:pos="12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See Index to Consolidated Financial Statements on page F-1 of this Annual Report on Form 10-K.</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All schedules are omitted because they are not applicable or the required information is shown in the financial statements or notes thereto.</w:t>
      </w:r>
    </w:p>
    <w:p>
      <w:pPr>
        <w:spacing w:after="0" w:line="1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Filed</w:t>
            </w:r>
          </w:p>
        </w:tc>
        <w:tc>
          <w:tcPr>
            <w:tcW w:w="2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Incorporated by</w:t>
            </w: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with</w:t>
            </w:r>
          </w:p>
        </w:tc>
        <w:tc>
          <w:tcPr>
            <w:tcW w:w="2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140" w:type="dxa"/>
            <w:vAlign w:val="bottom"/>
            <w:gridSpan w:val="19"/>
            <w:vMerge w:val="restart"/>
          </w:tcPr>
          <w:p>
            <w:pPr>
              <w:ind w:left="10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this</w:t>
            </w:r>
          </w:p>
        </w:tc>
        <w:tc>
          <w:tcPr>
            <w:tcW w:w="2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60" w:type="dxa"/>
            <w:vAlign w:val="bottom"/>
            <w:vMerge w:val="restart"/>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19"/>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80" w:type="dxa"/>
            <w:vAlign w:val="bottom"/>
          </w:tcPr>
          <w:p>
            <w:pPr>
              <w:spacing w:after="0"/>
              <w:rPr>
                <w:sz w:val="14"/>
                <w:szCs w:val="14"/>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4820" w:type="dxa"/>
            <w:vAlign w:val="bottom"/>
            <w:tcBorders>
              <w:bottom w:val="single" w:sz="8" w:color="0000EE"/>
            </w:tcBorders>
            <w:gridSpan w:val="23"/>
          </w:tcPr>
          <w:p>
            <w:pPr>
              <w:spacing w:after="0"/>
              <w:rPr>
                <w:rFonts w:ascii="Arial" w:cs="Arial" w:eastAsia="Arial" w:hAnsi="Arial"/>
                <w:sz w:val="18"/>
                <w:szCs w:val="18"/>
                <w:color w:val="0000EE"/>
                <w:w w:val="92"/>
              </w:rPr>
            </w:pPr>
            <w:hyperlink r:id="rId156">
              <w:r>
                <w:rPr>
                  <w:rFonts w:ascii="Arial" w:cs="Arial" w:eastAsia="Arial" w:hAnsi="Arial"/>
                  <w:sz w:val="18"/>
                  <w:szCs w:val="18"/>
                  <w:color w:val="0000EE"/>
                  <w:w w:val="92"/>
                </w:rPr>
                <w:t>Constitution (formerly known as Memorandum of Association and</w:t>
              </w:r>
            </w:hyperlink>
          </w:p>
        </w:tc>
        <w:tc>
          <w:tcPr>
            <w:tcW w:w="1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Amendment No. 5</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11/10/2015</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gridSpan w:val="26"/>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Articles of Association)</w:t>
              </w:r>
            </w:hyperlink>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0"/>
              </w:rPr>
              <w:t>to Form S-1</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(Exhibit 3.2)</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5000" w:type="dxa"/>
            <w:vAlign w:val="bottom"/>
            <w:gridSpan w:val="26"/>
          </w:tcPr>
          <w:p>
            <w:pPr>
              <w:spacing w:after="0"/>
              <w:rPr>
                <w:rFonts w:ascii="Arial" w:cs="Arial" w:eastAsia="Arial" w:hAnsi="Arial"/>
                <w:sz w:val="18"/>
                <w:szCs w:val="18"/>
                <w:color w:val="0000EE"/>
              </w:rPr>
            </w:pPr>
            <w:hyperlink r:id="rId157">
              <w:r>
                <w:rPr>
                  <w:rFonts w:ascii="Arial" w:cs="Arial" w:eastAsia="Arial" w:hAnsi="Arial"/>
                  <w:sz w:val="18"/>
                  <w:szCs w:val="18"/>
                  <w:color w:val="0000EE"/>
                </w:rPr>
                <w:t>Form of Specimen Ordinary Share Certificate</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Amendment No. 3</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11/06/2015</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to Form S-1</w:t>
            </w: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(Exhibit 4.1)</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24"/>
                <w:szCs w:val="24"/>
                <w:color w:val="auto"/>
              </w:rPr>
            </w:pPr>
          </w:p>
        </w:tc>
        <w:tc>
          <w:tcPr>
            <w:tcW w:w="4500" w:type="dxa"/>
            <w:vAlign w:val="bottom"/>
            <w:tcBorders>
              <w:bottom w:val="single" w:sz="8" w:color="0000EE"/>
            </w:tcBorders>
            <w:gridSpan w:val="15"/>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Investors’ Rights Agreement by and among the Registrant and</w:t>
              </w:r>
            </w:hyperlink>
          </w:p>
        </w:tc>
        <w:tc>
          <w:tcPr>
            <w:tcW w:w="50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certain of its shareholders, dated as of August 14, 2015</w:t>
              </w:r>
            </w:hyperlink>
          </w:p>
        </w:tc>
        <w:tc>
          <w:tcPr>
            <w:tcW w:w="1040" w:type="dxa"/>
            <w:vAlign w:val="bottom"/>
            <w:gridSpan w:val="16"/>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40"/>
              <w:spacing w:after="0" w:line="196" w:lineRule="exact"/>
              <w:rPr>
                <w:sz w:val="20"/>
                <w:szCs w:val="20"/>
                <w:color w:val="auto"/>
              </w:rPr>
            </w:pPr>
            <w:r>
              <w:rPr>
                <w:rFonts w:ascii="Arial" w:cs="Arial" w:eastAsia="Arial" w:hAnsi="Arial"/>
                <w:sz w:val="18"/>
                <w:szCs w:val="18"/>
                <w:color w:val="auto"/>
                <w:w w:val="95"/>
              </w:rPr>
              <w:t>(Exhibit 4.2)</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24"/>
                <w:szCs w:val="24"/>
                <w:color w:val="auto"/>
              </w:rPr>
            </w:pPr>
          </w:p>
        </w:tc>
        <w:tc>
          <w:tcPr>
            <w:tcW w:w="5000" w:type="dxa"/>
            <w:vAlign w:val="bottom"/>
            <w:gridSpan w:val="26"/>
          </w:tcPr>
          <w:p>
            <w:pPr>
              <w:spacing w:after="0"/>
              <w:rPr>
                <w:rFonts w:ascii="Arial" w:cs="Arial" w:eastAsia="Arial" w:hAnsi="Arial"/>
                <w:sz w:val="18"/>
                <w:szCs w:val="18"/>
                <w:color w:val="0000EE"/>
                <w:w w:val="96"/>
              </w:rPr>
            </w:pPr>
            <w:hyperlink r:id="rId159">
              <w:r>
                <w:rPr>
                  <w:rFonts w:ascii="Arial" w:cs="Arial" w:eastAsia="Arial" w:hAnsi="Arial"/>
                  <w:sz w:val="18"/>
                  <w:szCs w:val="18"/>
                  <w:color w:val="0000EE"/>
                  <w:w w:val="96"/>
                </w:rPr>
                <w:t>Amendment No. 1 to Investors’ Rights Agreement by and among</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Form 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11/09/2018</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r:id="rId159">
              <w:r>
                <w:rPr>
                  <w:rFonts w:ascii="Arial" w:cs="Arial" w:eastAsia="Arial" w:hAnsi="Arial"/>
                  <w:sz w:val="18"/>
                  <w:szCs w:val="18"/>
                  <w:color w:val="0000EE"/>
                  <w:w w:val="88"/>
                </w:rPr>
                <w:t>the Registrant and certain of its shareholders, dated as of</w:t>
              </w:r>
            </w:hyperlink>
          </w:p>
        </w:tc>
        <w:tc>
          <w:tcPr>
            <w:tcW w:w="620" w:type="dxa"/>
            <w:vAlign w:val="bottom"/>
            <w:tcBorders>
              <w:top w:val="single" w:sz="8" w:color="0000EE"/>
            </w:tcBorders>
            <w:gridSpan w:val="8"/>
          </w:tcPr>
          <w:p>
            <w:pPr>
              <w:spacing w:after="0"/>
              <w:rPr>
                <w:sz w:val="17"/>
                <w:szCs w:val="17"/>
                <w:color w:val="auto"/>
              </w:rPr>
            </w:pPr>
          </w:p>
        </w:tc>
        <w:tc>
          <w:tcPr>
            <w:tcW w:w="30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10.2)</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November 8, 2018</w:t>
              </w:r>
            </w:hyperlink>
          </w:p>
        </w:tc>
        <w:tc>
          <w:tcPr>
            <w:tcW w:w="3660" w:type="dxa"/>
            <w:vAlign w:val="bottom"/>
            <w:gridSpan w:val="22"/>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4.3†</w:t>
            </w:r>
          </w:p>
        </w:tc>
        <w:tc>
          <w:tcPr>
            <w:tcW w:w="5000" w:type="dxa"/>
            <w:vAlign w:val="bottom"/>
            <w:gridSpan w:val="26"/>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Share Purchase Agreement by and between the Registrant and C.P.</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Form 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08/15/2016</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tcBorders>
              <w:top w:val="single" w:sz="8" w:color="0000EE"/>
            </w:tcBorders>
            <w:gridSpan w:val="22"/>
          </w:tcPr>
          <w:p>
            <w:pPr>
              <w:spacing w:after="0" w:line="196" w:lineRule="exact"/>
              <w:rPr>
                <w:rFonts w:ascii="Arial" w:cs="Arial" w:eastAsia="Arial" w:hAnsi="Arial"/>
                <w:sz w:val="18"/>
                <w:szCs w:val="18"/>
                <w:color w:val="0000EE"/>
                <w:w w:val="99"/>
              </w:rPr>
            </w:pPr>
            <w:hyperlink r:id="rId160">
              <w:r>
                <w:rPr>
                  <w:rFonts w:ascii="Arial" w:cs="Arial" w:eastAsia="Arial" w:hAnsi="Arial"/>
                  <w:sz w:val="18"/>
                  <w:szCs w:val="18"/>
                  <w:color w:val="0000EE"/>
                  <w:w w:val="99"/>
                </w:rPr>
                <w:t>Pharmaceuticals International C.V., dated as of May 5, 2016</w:t>
              </w:r>
            </w:hyperlink>
          </w:p>
        </w:tc>
        <w:tc>
          <w:tcPr>
            <w:tcW w:w="20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10.2)</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80" w:type="dxa"/>
            <w:vAlign w:val="bottom"/>
            <w:gridSpan w:val="28"/>
          </w:tcPr>
          <w:p>
            <w:pPr>
              <w:spacing w:after="0"/>
              <w:rPr>
                <w:sz w:val="20"/>
                <w:szCs w:val="20"/>
                <w:color w:val="auto"/>
              </w:rPr>
            </w:pPr>
            <w:r>
              <w:rPr>
                <w:rFonts w:ascii="Arial" w:cs="Arial" w:eastAsia="Arial" w:hAnsi="Arial"/>
                <w:sz w:val="18"/>
                <w:szCs w:val="18"/>
                <w:b w:val="1"/>
                <w:bCs w:val="1"/>
                <w:color w:val="auto"/>
              </w:rPr>
              <w:t>Lease Agreements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4580" w:type="dxa"/>
            <w:vAlign w:val="bottom"/>
            <w:tcBorders>
              <w:bottom w:val="single" w:sz="8" w:color="0000EE"/>
            </w:tcBorders>
            <w:gridSpan w:val="18"/>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Lease Agreement by and among Harvard Real Estate—Allston,</w:t>
              </w:r>
            </w:hyperlink>
          </w:p>
        </w:tc>
        <w:tc>
          <w:tcPr>
            <w:tcW w:w="42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gridSpan w:val="26"/>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Inc., Shin Nippon Biomedical Laboratories Ltd., dated</w:t>
              </w:r>
            </w:hyperlink>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10.2)</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61">
              <w:r>
                <w:rPr>
                  <w:rFonts w:ascii="Arial" w:cs="Arial" w:eastAsia="Arial" w:hAnsi="Arial"/>
                  <w:sz w:val="18"/>
                  <w:szCs w:val="18"/>
                  <w:color w:val="0000EE"/>
                  <w:w w:val="85"/>
                </w:rPr>
                <w:t>June 25, 2009</w:t>
              </w:r>
            </w:hyperlink>
          </w:p>
        </w:tc>
        <w:tc>
          <w:tcPr>
            <w:tcW w:w="2920" w:type="dxa"/>
            <w:vAlign w:val="bottom"/>
            <w:tcBorders>
              <w:top w:val="single" w:sz="8" w:color="0000EE"/>
            </w:tcBorders>
            <w:gridSpan w:val="6"/>
          </w:tcPr>
          <w:p>
            <w:pPr>
              <w:spacing w:after="0"/>
              <w:rPr>
                <w:sz w:val="17"/>
                <w:szCs w:val="17"/>
                <w:color w:val="auto"/>
              </w:rPr>
            </w:pPr>
          </w:p>
        </w:tc>
        <w:tc>
          <w:tcPr>
            <w:tcW w:w="1080" w:type="dxa"/>
            <w:vAlign w:val="bottom"/>
            <w:gridSpan w:val="18"/>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4560" w:type="dxa"/>
            <w:vAlign w:val="bottom"/>
            <w:tcBorders>
              <w:bottom w:val="single" w:sz="8" w:color="0000EE"/>
            </w:tcBorders>
            <w:gridSpan w:val="17"/>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Commercial Lease Agreement by and among SNBL USA, Ltd.</w:t>
              </w:r>
            </w:hyperlink>
          </w:p>
        </w:tc>
        <w:tc>
          <w:tcPr>
            <w:tcW w:w="440" w:type="dxa"/>
            <w:vAlign w:val="bottom"/>
            <w:gridSpan w:val="9"/>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gridSpan w:val="26"/>
          </w:tcPr>
          <w:p>
            <w:pPr>
              <w:spacing w:after="0" w:line="196" w:lineRule="exact"/>
              <w:rPr>
                <w:rFonts w:ascii="Arial" w:cs="Arial" w:eastAsia="Arial" w:hAnsi="Arial"/>
                <w:sz w:val="18"/>
                <w:szCs w:val="18"/>
                <w:color w:val="0000EE"/>
                <w:w w:val="95"/>
              </w:rPr>
            </w:pPr>
            <w:hyperlink r:id="rId162">
              <w:r>
                <w:rPr>
                  <w:rFonts w:ascii="Arial" w:cs="Arial" w:eastAsia="Arial" w:hAnsi="Arial"/>
                  <w:sz w:val="18"/>
                  <w:szCs w:val="18"/>
                  <w:color w:val="0000EE"/>
                  <w:w w:val="95"/>
                </w:rPr>
                <w:t>and Ontorii, Inc. (now Wave Life Sciences USA, Inc.), dated as of</w:t>
              </w:r>
            </w:hyperlink>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10.4)</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r:id="rId162">
              <w:r>
                <w:rPr>
                  <w:rFonts w:ascii="Arial" w:cs="Arial" w:eastAsia="Arial" w:hAnsi="Arial"/>
                  <w:sz w:val="18"/>
                  <w:szCs w:val="18"/>
                  <w:color w:val="0000EE"/>
                  <w:w w:val="86"/>
                </w:rPr>
                <w:t>January 1, 2010</w:t>
              </w:r>
            </w:hyperlink>
          </w:p>
        </w:tc>
        <w:tc>
          <w:tcPr>
            <w:tcW w:w="3620" w:type="dxa"/>
            <w:vAlign w:val="bottom"/>
            <w:tcBorders>
              <w:top w:val="single" w:sz="8" w:color="0000EE"/>
            </w:tcBorders>
            <w:gridSpan w:val="17"/>
          </w:tcPr>
          <w:p>
            <w:pPr>
              <w:spacing w:after="0"/>
              <w:rPr>
                <w:sz w:val="17"/>
                <w:szCs w:val="17"/>
                <w:color w:val="auto"/>
              </w:rPr>
            </w:pPr>
          </w:p>
        </w:tc>
        <w:tc>
          <w:tcPr>
            <w:tcW w:w="240" w:type="dxa"/>
            <w:vAlign w:val="bottom"/>
            <w:gridSpan w:val="6"/>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5000" w:type="dxa"/>
            <w:vAlign w:val="bottom"/>
            <w:gridSpan w:val="26"/>
          </w:tcPr>
          <w:p>
            <w:pPr>
              <w:spacing w:after="0"/>
              <w:rPr>
                <w:rFonts w:ascii="Arial" w:cs="Arial" w:eastAsia="Arial" w:hAnsi="Arial"/>
                <w:sz w:val="18"/>
                <w:szCs w:val="18"/>
                <w:color w:val="0000EE"/>
                <w:w w:val="94"/>
              </w:rPr>
            </w:pPr>
            <w:hyperlink r:id="rId163">
              <w:r>
                <w:rPr>
                  <w:rFonts w:ascii="Arial" w:cs="Arial" w:eastAsia="Arial" w:hAnsi="Arial"/>
                  <w:sz w:val="18"/>
                  <w:szCs w:val="18"/>
                  <w:color w:val="0000EE"/>
                  <w:w w:val="94"/>
                </w:rPr>
                <w:t>Consent to Office Space Sublease by and among SNBL USA, Ltd,</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Ontorii, Inc. (now Wave Life Sciences USA, Inc.) and Harvard</w:t>
              </w:r>
            </w:hyperlink>
          </w:p>
        </w:tc>
        <w:tc>
          <w:tcPr>
            <w:tcW w:w="240" w:type="dxa"/>
            <w:vAlign w:val="bottom"/>
            <w:tcBorders>
              <w:top w:val="single" w:sz="8" w:color="0000EE"/>
            </w:tcBorders>
            <w:gridSpan w:val="5"/>
          </w:tcPr>
          <w:p>
            <w:pPr>
              <w:spacing w:after="0"/>
              <w:rPr>
                <w:sz w:val="17"/>
                <w:szCs w:val="17"/>
                <w:color w:val="auto"/>
              </w:rPr>
            </w:pPr>
          </w:p>
        </w:tc>
        <w:tc>
          <w:tcPr>
            <w:tcW w:w="220" w:type="dxa"/>
            <w:vAlign w:val="bottom"/>
            <w:gridSpan w:val="5"/>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10.3)</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gridSpan w:val="2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Real Estate—Allston, Inc., dated as of January 1, 2010</w:t>
              </w:r>
            </w:hyperlink>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5000" w:type="dxa"/>
            <w:vAlign w:val="bottom"/>
            <w:gridSpan w:val="26"/>
          </w:tcPr>
          <w:p>
            <w:pPr>
              <w:spacing w:after="0"/>
              <w:rPr>
                <w:rFonts w:ascii="Arial" w:cs="Arial" w:eastAsia="Arial" w:hAnsi="Arial"/>
                <w:sz w:val="18"/>
                <w:szCs w:val="18"/>
                <w:color w:val="0000EE"/>
              </w:rPr>
            </w:pPr>
            <w:hyperlink r:id="rId164">
              <w:r>
                <w:rPr>
                  <w:rFonts w:ascii="Arial" w:cs="Arial" w:eastAsia="Arial" w:hAnsi="Arial"/>
                  <w:sz w:val="18"/>
                  <w:szCs w:val="18"/>
                  <w:color w:val="0000EE"/>
                </w:rPr>
                <w:t>Amendment 1 to the Commercial Lease Agreement by and</w:t>
              </w:r>
            </w:hyperlink>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333-207379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64">
              <w:r>
                <w:rPr>
                  <w:rFonts w:ascii="Arial" w:cs="Arial" w:eastAsia="Arial" w:hAnsi="Arial"/>
                  <w:sz w:val="18"/>
                  <w:szCs w:val="18"/>
                  <w:color w:val="0000EE"/>
                  <w:w w:val="93"/>
                </w:rPr>
                <w:t>between SNBL USA, Ltd. and Ontorii, Inc. (now Wave Life</w:t>
              </w:r>
            </w:hyperlink>
          </w:p>
        </w:tc>
        <w:tc>
          <w:tcPr>
            <w:tcW w:w="660" w:type="dxa"/>
            <w:vAlign w:val="bottom"/>
            <w:gridSpan w:val="12"/>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jc w:val="center"/>
              <w:ind w:right="60"/>
              <w:spacing w:after="0" w:line="196" w:lineRule="exact"/>
              <w:rPr>
                <w:sz w:val="20"/>
                <w:szCs w:val="20"/>
                <w:color w:val="auto"/>
              </w:rPr>
            </w:pPr>
            <w:r>
              <w:rPr>
                <w:rFonts w:ascii="Arial" w:cs="Arial" w:eastAsia="Arial" w:hAnsi="Arial"/>
                <w:sz w:val="18"/>
                <w:szCs w:val="18"/>
                <w:color w:val="auto"/>
                <w:w w:val="96"/>
              </w:rPr>
              <w:t>(Exhibit 10.5)</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0" w:type="dxa"/>
            <w:vAlign w:val="bottom"/>
            <w:gridSpan w:val="26"/>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Sciences USA, Inc.), dated as of July 1, 2011</w:t>
              </w:r>
            </w:hyperlink>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40" w:type="dxa"/>
            <w:vAlign w:val="bottom"/>
            <w:tcBorders>
              <w:top w:val="single" w:sz="8" w:color="0000EE"/>
            </w:tcBorders>
            <w:gridSpan w:val="6"/>
          </w:tcPr>
          <w:p>
            <w:pPr>
              <w:spacing w:after="0"/>
              <w:rPr>
                <w:sz w:val="24"/>
                <w:szCs w:val="24"/>
                <w:color w:val="auto"/>
              </w:rPr>
            </w:pPr>
          </w:p>
        </w:tc>
        <w:tc>
          <w:tcPr>
            <w:tcW w:w="1760" w:type="dxa"/>
            <w:vAlign w:val="bottom"/>
            <w:gridSpan w:val="20"/>
          </w:tcPr>
          <w:p>
            <w:pPr>
              <w:jc w:val="right"/>
              <w:ind w:right="40"/>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3" w:name="page104"/>
    <w:bookmarkEnd w:id="103"/>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right"/>
              <w:ind w:right="117"/>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20" w:type="dxa"/>
            <w:vAlign w:val="bottom"/>
            <w:gridSpan w:val="6"/>
            <w:vMerge w:val="restart"/>
          </w:tcPr>
          <w:p>
            <w:pPr>
              <w:ind w:left="15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40" w:type="dxa"/>
            <w:vAlign w:val="bottom"/>
          </w:tcPr>
          <w:p>
            <w:pPr>
              <w:jc w:val="right"/>
              <w:ind w:right="437"/>
              <w:spacing w:after="0"/>
              <w:rPr>
                <w:sz w:val="20"/>
                <w:szCs w:val="20"/>
                <w:color w:val="auto"/>
              </w:rPr>
            </w:pPr>
            <w:r>
              <w:rPr>
                <w:rFonts w:ascii="Arial" w:cs="Arial" w:eastAsia="Arial" w:hAnsi="Arial"/>
                <w:sz w:val="18"/>
                <w:szCs w:val="18"/>
                <w:color w:val="auto"/>
                <w:w w:val="85"/>
              </w:rPr>
              <w:t>10.5</w:t>
            </w:r>
          </w:p>
        </w:tc>
        <w:tc>
          <w:tcPr>
            <w:tcW w:w="40" w:type="dxa"/>
            <w:vAlign w:val="bottom"/>
          </w:tcPr>
          <w:p>
            <w:pPr>
              <w:spacing w:after="0"/>
              <w:rPr>
                <w:sz w:val="24"/>
                <w:szCs w:val="24"/>
                <w:color w:val="auto"/>
              </w:rPr>
            </w:pPr>
          </w:p>
        </w:tc>
        <w:tc>
          <w:tcPr>
            <w:tcW w:w="4520" w:type="dxa"/>
            <w:vAlign w:val="bottom"/>
            <w:tcBorders>
              <w:bottom w:val="single" w:sz="8" w:color="0000EE"/>
            </w:tcBorders>
            <w:gridSpan w:val="4"/>
          </w:tcPr>
          <w:p>
            <w:pPr>
              <w:spacing w:after="0"/>
              <w:rPr>
                <w:rFonts w:ascii="Arial" w:cs="Arial" w:eastAsia="Arial" w:hAnsi="Arial"/>
                <w:sz w:val="18"/>
                <w:szCs w:val="18"/>
                <w:color w:val="0000EE"/>
                <w:w w:val="89"/>
              </w:rPr>
            </w:pPr>
            <w:hyperlink r:id="rId167">
              <w:r>
                <w:rPr>
                  <w:rFonts w:ascii="Arial" w:cs="Arial" w:eastAsia="Arial" w:hAnsi="Arial"/>
                  <w:sz w:val="18"/>
                  <w:szCs w:val="18"/>
                  <w:color w:val="0000EE"/>
                  <w:w w:val="89"/>
                </w:rPr>
                <w:t>Lease Agreement by and between the Registrant and King 733</w:t>
              </w:r>
            </w:hyperlink>
          </w:p>
        </w:tc>
        <w:tc>
          <w:tcPr>
            <w:tcW w:w="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Concord LLC, dated as of April 6, 2015</w:t>
              </w:r>
            </w:hyperlink>
          </w:p>
        </w:tc>
        <w:tc>
          <w:tcPr>
            <w:tcW w:w="20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7"/>
              <w:spacing w:after="0"/>
              <w:rPr>
                <w:sz w:val="20"/>
                <w:szCs w:val="20"/>
                <w:color w:val="auto"/>
              </w:rPr>
            </w:pPr>
            <w:r>
              <w:rPr>
                <w:rFonts w:ascii="Arial" w:cs="Arial" w:eastAsia="Arial" w:hAnsi="Arial"/>
                <w:sz w:val="18"/>
                <w:szCs w:val="18"/>
                <w:color w:val="auto"/>
                <w:w w:val="85"/>
              </w:rPr>
              <w:t>10.6</w:t>
            </w:r>
          </w:p>
        </w:tc>
        <w:tc>
          <w:tcPr>
            <w:tcW w:w="40" w:type="dxa"/>
            <w:vAlign w:val="bottom"/>
          </w:tcPr>
          <w:p>
            <w:pPr>
              <w:spacing w:after="0"/>
              <w:rPr>
                <w:sz w:val="24"/>
                <w:szCs w:val="24"/>
                <w:color w:val="auto"/>
              </w:rPr>
            </w:pPr>
          </w:p>
        </w:tc>
        <w:tc>
          <w:tcPr>
            <w:tcW w:w="4980" w:type="dxa"/>
            <w:vAlign w:val="bottom"/>
            <w:tcBorders>
              <w:bottom w:val="single" w:sz="8" w:color="0000EE"/>
            </w:tcBorders>
            <w:gridSpan w:val="7"/>
          </w:tcPr>
          <w:p>
            <w:pPr>
              <w:spacing w:after="0"/>
              <w:rPr>
                <w:rFonts w:ascii="Arial" w:cs="Arial" w:eastAsia="Arial" w:hAnsi="Arial"/>
                <w:sz w:val="18"/>
                <w:szCs w:val="18"/>
                <w:color w:val="0000EE"/>
                <w:w w:val="89"/>
              </w:rPr>
            </w:pPr>
            <w:hyperlink r:id="rId168">
              <w:r>
                <w:rPr>
                  <w:rFonts w:ascii="Arial" w:cs="Arial" w:eastAsia="Arial" w:hAnsi="Arial"/>
                  <w:sz w:val="18"/>
                  <w:szCs w:val="18"/>
                  <w:color w:val="0000EE"/>
                  <w:w w:val="89"/>
                </w:rPr>
                <w:t>Lease Agreement by and between Wave Life Sciences USA, Inc. and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King 115 Hartwell LLC, dated as of September 26, 2016.</w:t>
              </w:r>
            </w:hyperlink>
          </w:p>
        </w:tc>
        <w:tc>
          <w:tcPr>
            <w:tcW w:w="8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437"/>
              <w:spacing w:after="0"/>
              <w:rPr>
                <w:sz w:val="20"/>
                <w:szCs w:val="20"/>
                <w:color w:val="auto"/>
              </w:rPr>
            </w:pPr>
            <w:r>
              <w:rPr>
                <w:rFonts w:ascii="Arial" w:cs="Arial" w:eastAsia="Arial" w:hAnsi="Arial"/>
                <w:sz w:val="18"/>
                <w:szCs w:val="18"/>
                <w:color w:val="auto"/>
                <w:w w:val="85"/>
              </w:rPr>
              <w:t>10.7</w:t>
            </w:r>
          </w:p>
        </w:tc>
        <w:tc>
          <w:tcPr>
            <w:tcW w:w="40" w:type="dxa"/>
            <w:vAlign w:val="bottom"/>
          </w:tcPr>
          <w:p>
            <w:pPr>
              <w:spacing w:after="0"/>
              <w:rPr>
                <w:sz w:val="24"/>
                <w:szCs w:val="24"/>
                <w:color w:val="auto"/>
              </w:rPr>
            </w:pPr>
          </w:p>
        </w:tc>
        <w:tc>
          <w:tcPr>
            <w:tcW w:w="4980" w:type="dxa"/>
            <w:vAlign w:val="bottom"/>
            <w:gridSpan w:val="7"/>
          </w:tcPr>
          <w:p>
            <w:pPr>
              <w:spacing w:after="0"/>
              <w:rPr>
                <w:rFonts w:ascii="Arial" w:cs="Arial" w:eastAsia="Arial" w:hAnsi="Arial"/>
                <w:sz w:val="18"/>
                <w:szCs w:val="18"/>
                <w:color w:val="0000EE"/>
                <w:w w:val="95"/>
              </w:rPr>
            </w:pPr>
            <w:hyperlink r:id="rId169">
              <w:r>
                <w:rPr>
                  <w:rFonts w:ascii="Arial" w:cs="Arial" w:eastAsia="Arial" w:hAnsi="Arial"/>
                  <w:sz w:val="18"/>
                  <w:szCs w:val="18"/>
                  <w:color w:val="0000EE"/>
                  <w:w w:val="95"/>
                </w:rPr>
                <w:t>First Amendment (to Lease) by and between Wave Life Sciences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USA, Inc. and King 115 Hartwell LLC, dated as of December 31,</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69">
              <w:r>
                <w:rPr>
                  <w:rFonts w:ascii="Arial" w:cs="Arial" w:eastAsia="Arial" w:hAnsi="Arial"/>
                  <w:sz w:val="18"/>
                  <w:szCs w:val="18"/>
                  <w:color w:val="0000EE"/>
                  <w:w w:val="84"/>
                </w:rPr>
                <w:t>2016</w:t>
              </w:r>
            </w:hyperlink>
          </w:p>
        </w:tc>
        <w:tc>
          <w:tcPr>
            <w:tcW w:w="2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and License Agreements</w:t>
      </w:r>
    </w:p>
    <w:p>
      <w:pPr>
        <w:spacing w:after="0" w:line="162"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170">
        <w:r>
          <w:rPr>
            <w:rFonts w:ascii="Arial" w:cs="Arial" w:eastAsia="Arial" w:hAnsi="Arial"/>
            <w:sz w:val="16"/>
            <w:szCs w:val="16"/>
            <w:u w:val="single" w:color="auto"/>
            <w:color w:val="0000EE"/>
          </w:rPr>
          <w:t>Co-Exclusive License Agreement by and between the Registrant and</w:t>
        </w:r>
      </w:hyperlink>
    </w:p>
    <w:p>
      <w:pPr>
        <w:spacing w:after="0" w:line="23" w:lineRule="exact"/>
        <w:rPr>
          <w:sz w:val="20"/>
          <w:szCs w:val="20"/>
          <w:color w:val="auto"/>
        </w:rPr>
      </w:pPr>
    </w:p>
    <w:p>
      <w:pPr>
        <w:jc w:val="center"/>
        <w:spacing w:after="0"/>
        <w:rPr>
          <w:rFonts w:ascii="Arial" w:cs="Arial" w:eastAsia="Arial" w:hAnsi="Arial"/>
          <w:sz w:val="18"/>
          <w:szCs w:val="18"/>
          <w:u w:val="single" w:color="auto"/>
          <w:color w:val="0000EE"/>
        </w:rPr>
      </w:pPr>
      <w:hyperlink r:id="rId170">
        <w:r>
          <w:rPr>
            <w:rFonts w:ascii="Arial" w:cs="Arial" w:eastAsia="Arial" w:hAnsi="Arial"/>
            <w:sz w:val="18"/>
            <w:szCs w:val="18"/>
            <w:u w:val="single" w:color="auto"/>
            <w:color w:val="0000EE"/>
          </w:rPr>
          <w:t>Max-Planck-Innovation GmbH, dated as of June 8, 2015</w:t>
        </w:r>
      </w:hyperlink>
    </w:p>
    <w:p>
      <w:pPr>
        <w:spacing w:after="0" w:line="116" w:lineRule="exact"/>
        <w:rPr>
          <w:sz w:val="20"/>
          <w:szCs w:val="20"/>
          <w:color w:val="auto"/>
        </w:rPr>
      </w:pPr>
    </w:p>
    <w:p>
      <w:pPr>
        <w:ind w:left="880" w:right="540" w:hanging="877"/>
        <w:spacing w:after="0" w:line="308" w:lineRule="auto"/>
        <w:tabs>
          <w:tab w:leader="none" w:pos="860" w:val="left"/>
        </w:tabs>
        <w:rPr>
          <w:rFonts w:ascii="Arial" w:cs="Arial" w:eastAsia="Arial" w:hAnsi="Arial"/>
          <w:sz w:val="17"/>
          <w:szCs w:val="17"/>
          <w:u w:val="single" w:color="auto"/>
          <w:color w:val="0000EE"/>
        </w:rPr>
      </w:pPr>
      <w:r>
        <w:rPr>
          <w:rFonts w:ascii="Arial" w:cs="Arial" w:eastAsia="Arial" w:hAnsi="Arial"/>
          <w:sz w:val="18"/>
          <w:szCs w:val="18"/>
          <w:color w:val="auto"/>
        </w:rPr>
        <w:t>10.9.1†</w:t>
      </w:r>
      <w:r>
        <w:rPr>
          <w:sz w:val="20"/>
          <w:szCs w:val="20"/>
          <w:color w:val="auto"/>
        </w:rPr>
        <w:tab/>
      </w:r>
      <w:hyperlink r:id="rId171">
        <w:r>
          <w:rPr>
            <w:rFonts w:ascii="Arial" w:cs="Arial" w:eastAsia="Arial" w:hAnsi="Arial"/>
            <w:sz w:val="17"/>
            <w:szCs w:val="17"/>
            <w:u w:val="single" w:color="auto"/>
            <w:color w:val="0000EE"/>
          </w:rPr>
          <w:t>Research, License and Option Agreement by and between the</w:t>
        </w:r>
      </w:hyperlink>
      <w:r>
        <w:rPr>
          <w:rFonts w:ascii="Arial" w:cs="Arial" w:eastAsia="Arial" w:hAnsi="Arial"/>
          <w:sz w:val="17"/>
          <w:szCs w:val="17"/>
          <w:u w:val="single" w:color="auto"/>
          <w:color w:val="0000EE"/>
        </w:rPr>
        <w:t xml:space="preserve"> </w:t>
      </w:r>
      <w:hyperlink r:id="rId171">
        <w:r>
          <w:rPr>
            <w:rFonts w:ascii="Arial" w:cs="Arial" w:eastAsia="Arial" w:hAnsi="Arial"/>
            <w:sz w:val="17"/>
            <w:szCs w:val="17"/>
            <w:u w:val="single" w:color="auto"/>
            <w:color w:val="0000EE"/>
          </w:rPr>
          <w:t>Registrant and Pfizer Inc., dated as of May 5, 2016</w:t>
        </w:r>
      </w:hyperlink>
    </w:p>
    <w:p>
      <w:pPr>
        <w:spacing w:after="0" w:line="52" w:lineRule="exact"/>
        <w:rPr>
          <w:sz w:val="20"/>
          <w:szCs w:val="20"/>
          <w:color w:val="auto"/>
        </w:rPr>
      </w:pPr>
    </w:p>
    <w:p>
      <w:pPr>
        <w:ind w:left="880" w:right="60" w:hanging="877"/>
        <w:spacing w:after="0" w:line="26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10.9.2</w:t>
      </w:r>
      <w:r>
        <w:rPr>
          <w:sz w:val="20"/>
          <w:szCs w:val="20"/>
          <w:color w:val="auto"/>
        </w:rPr>
        <w:tab/>
      </w:r>
      <w:hyperlink r:id="rId172">
        <w:r>
          <w:rPr>
            <w:rFonts w:ascii="Arial" w:cs="Arial" w:eastAsia="Arial" w:hAnsi="Arial"/>
            <w:sz w:val="18"/>
            <w:szCs w:val="18"/>
            <w:u w:val="single" w:color="auto"/>
            <w:color w:val="0000EE"/>
          </w:rPr>
          <w:t>Amendment No. 1 to Research, License and Option Agreement by</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and between the Registrant and Pfizer Inc., dated as of November 5,</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2017</w:t>
        </w:r>
      </w:hyperlink>
    </w:p>
    <w:p>
      <w:pPr>
        <w:spacing w:after="0" w:line="181" w:lineRule="exact"/>
        <w:rPr>
          <w:rFonts w:ascii="Arial" w:cs="Arial" w:eastAsia="Arial" w:hAnsi="Arial"/>
          <w:sz w:val="18"/>
          <w:szCs w:val="18"/>
          <w:u w:val="single" w:color="auto"/>
          <w:color w:val="0000EE"/>
        </w:rPr>
      </w:pPr>
    </w:p>
    <w:p>
      <w:pPr>
        <w:jc w:val="both"/>
        <w:ind w:left="880" w:right="260" w:hanging="877"/>
        <w:spacing w:after="0" w:line="31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73">
        <w:r>
          <w:rPr>
            <w:rFonts w:ascii="Arial" w:cs="Arial" w:eastAsia="Arial" w:hAnsi="Arial"/>
            <w:sz w:val="16"/>
            <w:szCs w:val="16"/>
            <w:u w:val="single" w:color="auto"/>
            <w:color w:val="0000EE"/>
          </w:rPr>
          <w:t>Collaboration and License Agreement by and between Wave Life</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Sciences USA, Inc., Wave Life Sciences UK Limited and Takeda</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Pharmaceutical Company Limited, dated as of February 19, 2018</w:t>
        </w:r>
      </w:hyperlink>
    </w:p>
    <w:p>
      <w:pPr>
        <w:spacing w:after="0" w:line="147" w:lineRule="exact"/>
        <w:rPr>
          <w:rFonts w:ascii="Arial" w:cs="Arial" w:eastAsia="Arial" w:hAnsi="Arial"/>
          <w:sz w:val="16"/>
          <w:szCs w:val="16"/>
          <w:u w:val="single" w:color="auto"/>
          <w:color w:val="0000EE"/>
        </w:rPr>
      </w:pPr>
    </w:p>
    <w:p>
      <w:pPr>
        <w:ind w:left="880" w:right="60" w:hanging="877"/>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174">
        <w:r>
          <w:rPr>
            <w:rFonts w:ascii="Arial" w:cs="Arial" w:eastAsia="Arial" w:hAnsi="Arial"/>
            <w:sz w:val="16"/>
            <w:szCs w:val="16"/>
            <w:u w:val="single" w:color="auto"/>
            <w:color w:val="0000EE"/>
          </w:rPr>
          <w:t>Share Purchase Agreement by and between Takeda Pharmaceutical</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Company Limited and the Registrant, dated as of February 19, 2018</w:t>
        </w:r>
      </w:hyperlink>
    </w:p>
    <w:p>
      <w:pPr>
        <w:spacing w:after="0" w:line="124" w:lineRule="exact"/>
        <w:rPr>
          <w:sz w:val="20"/>
          <w:szCs w:val="20"/>
          <w:color w:val="auto"/>
        </w:rPr>
      </w:pPr>
    </w:p>
    <w:p>
      <w:pPr>
        <w:ind w:left="880" w:right="420" w:hanging="877"/>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75">
        <w:r>
          <w:rPr>
            <w:rFonts w:ascii="Arial" w:cs="Arial" w:eastAsia="Arial" w:hAnsi="Arial"/>
            <w:sz w:val="16"/>
            <w:szCs w:val="16"/>
            <w:u w:val="single" w:color="auto"/>
            <w:color w:val="0000EE"/>
          </w:rPr>
          <w:t>Investor Agreement by and between Takeda Pharmaceutical</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Company Limited and the Registrant, dated as of April 2, 2018</w:t>
        </w:r>
      </w:hyperlink>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Agreements with Executive Officers and Directors</w:t>
      </w:r>
    </w:p>
    <w:p>
      <w:pPr>
        <w:spacing w:after="0" w:line="40" w:lineRule="exact"/>
        <w:rPr>
          <w:sz w:val="20"/>
          <w:szCs w:val="20"/>
          <w:color w:val="auto"/>
        </w:rPr>
      </w:pPr>
    </w:p>
    <w:p>
      <w:pPr>
        <w:ind w:left="880" w:right="8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76">
        <w:r>
          <w:rPr>
            <w:rFonts w:ascii="Arial" w:cs="Arial" w:eastAsia="Arial" w:hAnsi="Arial"/>
            <w:sz w:val="18"/>
            <w:szCs w:val="18"/>
            <w:u w:val="single" w:color="auto"/>
            <w:color w:val="0000EE"/>
          </w:rPr>
          <w:t>Form of Deed of Indemnity by and between the Registrant and each</w:t>
        </w:r>
      </w:hyperlink>
      <w:r>
        <w:rPr>
          <w:rFonts w:ascii="Arial" w:cs="Arial" w:eastAsia="Arial" w:hAnsi="Arial"/>
          <w:sz w:val="18"/>
          <w:szCs w:val="18"/>
          <w:u w:val="single" w:color="auto"/>
          <w:color w:val="0000EE"/>
        </w:rPr>
        <w:t xml:space="preserve"> </w:t>
      </w:r>
      <w:hyperlink r:id="rId176">
        <w:r>
          <w:rPr>
            <w:rFonts w:ascii="Arial" w:cs="Arial" w:eastAsia="Arial" w:hAnsi="Arial"/>
            <w:sz w:val="18"/>
            <w:szCs w:val="18"/>
            <w:u w:val="single" w:color="auto"/>
            <w:color w:val="0000EE"/>
          </w:rPr>
          <w:t>of its directors and certain of its officers</w:t>
        </w:r>
      </w:hyperlink>
    </w:p>
    <w:p>
      <w:pPr>
        <w:spacing w:after="0" w:line="76" w:lineRule="exact"/>
        <w:rPr>
          <w:sz w:val="20"/>
          <w:szCs w:val="20"/>
          <w:color w:val="auto"/>
        </w:rPr>
      </w:pPr>
    </w:p>
    <w:p>
      <w:pPr>
        <w:ind w:left="880" w:right="10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77">
        <w:r>
          <w:rPr>
            <w:rFonts w:ascii="Arial" w:cs="Arial" w:eastAsia="Arial" w:hAnsi="Arial"/>
            <w:sz w:val="18"/>
            <w:szCs w:val="18"/>
            <w:u w:val="single" w:color="auto"/>
            <w:color w:val="0000EE"/>
          </w:rPr>
          <w:t>Employment Agreement by and between the Registrant and Paul B.</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Bolno, M.D., dated as of December 12, 2013</w:t>
        </w:r>
      </w:hyperlink>
    </w:p>
    <w:p>
      <w:pPr>
        <w:spacing w:after="0" w:line="76" w:lineRule="exact"/>
        <w:rPr>
          <w:sz w:val="20"/>
          <w:szCs w:val="20"/>
          <w:color w:val="auto"/>
        </w:rPr>
      </w:pPr>
    </w:p>
    <w:p>
      <w:pPr>
        <w:ind w:left="880" w:right="20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78">
        <w:r>
          <w:rPr>
            <w:rFonts w:ascii="Arial" w:cs="Arial" w:eastAsia="Arial" w:hAnsi="Arial"/>
            <w:sz w:val="18"/>
            <w:szCs w:val="18"/>
            <w:u w:val="single" w:color="auto"/>
            <w:color w:val="0000EE"/>
          </w:rPr>
          <w:t>Offer Letter by and between the Registrant and Chandra Vargeese,</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Ph.D., dated as of July 2, 2014</w:t>
        </w:r>
      </w:hyperlink>
    </w:p>
    <w:p>
      <w:pPr>
        <w:spacing w:after="0" w:line="76" w:lineRule="exact"/>
        <w:rPr>
          <w:sz w:val="20"/>
          <w:szCs w:val="20"/>
          <w:color w:val="auto"/>
        </w:rPr>
      </w:pPr>
    </w:p>
    <w:p>
      <w:pPr>
        <w:ind w:left="880" w:right="6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79">
        <w:r>
          <w:rPr>
            <w:rFonts w:ascii="Arial" w:cs="Arial" w:eastAsia="Arial" w:hAnsi="Arial"/>
            <w:sz w:val="18"/>
            <w:szCs w:val="18"/>
            <w:u w:val="single" w:color="auto"/>
            <w:color w:val="0000EE"/>
          </w:rPr>
          <w:t>Offer Letter by and between the Registrant and Christopher Francis,</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Ph.D., dated as of March 10, 2014</w:t>
        </w:r>
      </w:hyperlink>
    </w:p>
    <w:p>
      <w:pPr>
        <w:spacing w:after="0" w:line="76" w:lineRule="exact"/>
        <w:rPr>
          <w:sz w:val="20"/>
          <w:szCs w:val="20"/>
          <w:color w:val="auto"/>
        </w:rPr>
      </w:pPr>
    </w:p>
    <w:p>
      <w:pPr>
        <w:ind w:left="880" w:right="56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80">
        <w:r>
          <w:rPr>
            <w:rFonts w:ascii="Arial" w:cs="Arial" w:eastAsia="Arial" w:hAnsi="Arial"/>
            <w:sz w:val="18"/>
            <w:szCs w:val="18"/>
            <w:u w:val="single" w:color="auto"/>
            <w:color w:val="0000EE"/>
          </w:rPr>
          <w:t>Employment Agreement between the Registrant and Michael</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Panzara, M.D. dated as of July 11, 2016</w:t>
        </w:r>
      </w:hyperlink>
    </w:p>
    <w:p>
      <w:pPr>
        <w:spacing w:after="0" w:line="76" w:lineRule="exact"/>
        <w:rPr>
          <w:sz w:val="20"/>
          <w:szCs w:val="20"/>
          <w:color w:val="auto"/>
        </w:rPr>
      </w:pPr>
    </w:p>
    <w:p>
      <w:pPr>
        <w:ind w:left="880" w:right="54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81">
        <w:r>
          <w:rPr>
            <w:rFonts w:ascii="Arial" w:cs="Arial" w:eastAsia="Arial" w:hAnsi="Arial"/>
            <w:sz w:val="18"/>
            <w:szCs w:val="18"/>
            <w:u w:val="single" w:color="auto"/>
            <w:color w:val="0000EE"/>
          </w:rPr>
          <w:t>Employment Agreement between the Registrant and Keith C.</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Regnante dated as of August 16, 2016</w:t>
        </w:r>
      </w:hyperlink>
    </w:p>
    <w:p>
      <w:pPr>
        <w:spacing w:after="0" w:line="17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Filed</w:t>
            </w:r>
          </w:p>
        </w:tc>
        <w:tc>
          <w:tcPr>
            <w:tcW w:w="2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Incorporated by</w:t>
            </w: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with</w:t>
            </w:r>
          </w:p>
        </w:tc>
        <w:tc>
          <w:tcPr>
            <w:tcW w:w="2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this</w:t>
            </w:r>
          </w:p>
        </w:tc>
        <w:tc>
          <w:tcPr>
            <w:tcW w:w="2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60" w:type="dxa"/>
            <w:vAlign w:val="bottom"/>
            <w:vMerge w:val="restart"/>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60" w:type="dxa"/>
            <w:vAlign w:val="bottom"/>
          </w:tcPr>
          <w:p>
            <w:pPr>
              <w:spacing w:after="0"/>
              <w:rPr>
                <w:sz w:val="14"/>
                <w:szCs w:val="14"/>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6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17"/>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(Exhibit 10.7)</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09/27/2016</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(Exhibit 10.1)</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01/06/2017</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(Exhibit 10.1)</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10.10)</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Form10-Q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08/15/2016</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(Exhibit 10.1)</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Form 10-K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03/12/2018</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10.9.2)</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Form 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05/09/2018</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(Exhibit 10.1)</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Form 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05/09/2018</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(Exhibit 10.2)</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Form 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05/09/2018</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(Exhibit 10.3)</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6"/>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10.11)</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10.12)</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10.14)</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Form S-1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10.15)</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Form 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11/09/2016</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(Exhibit 10.4)</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Form 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11/09/2016</w:t>
            </w:r>
          </w:p>
        </w:tc>
        <w:tc>
          <w:tcPr>
            <w:tcW w:w="6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8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(Exhibit 10.5)</w:t>
            </w: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5860" w:space="80"/>
            <w:col w:w="5480"/>
          </w:cols>
          <w:pgMar w:left="240" w:top="104" w:right="239" w:bottom="1440" w:gutter="0" w:footer="0" w:header="0"/>
        </w:sectPr>
      </w:pPr>
    </w:p>
    <w:bookmarkStart w:id="104" w:name="page105"/>
    <w:bookmarkEnd w:id="104"/>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180" w:type="dxa"/>
            <w:vAlign w:val="bottom"/>
            <w:gridSpan w:val="4"/>
            <w:vMerge w:val="restart"/>
          </w:tcPr>
          <w:p>
            <w:pPr>
              <w:ind w:left="9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18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00" w:type="dxa"/>
            <w:vAlign w:val="bottom"/>
          </w:tcPr>
          <w:p>
            <w:pPr>
              <w:jc w:val="right"/>
              <w:ind w:right="297"/>
              <w:spacing w:after="0"/>
              <w:rPr>
                <w:sz w:val="20"/>
                <w:szCs w:val="20"/>
                <w:color w:val="auto"/>
              </w:rPr>
            </w:pPr>
            <w:r>
              <w:rPr>
                <w:rFonts w:ascii="Arial" w:cs="Arial" w:eastAsia="Arial" w:hAnsi="Arial"/>
                <w:sz w:val="18"/>
                <w:szCs w:val="18"/>
                <w:color w:val="auto"/>
                <w:w w:val="89"/>
              </w:rPr>
              <w:t>10.19+</w:t>
            </w:r>
          </w:p>
        </w:tc>
        <w:tc>
          <w:tcPr>
            <w:tcW w:w="60" w:type="dxa"/>
            <w:vAlign w:val="bottom"/>
          </w:tcPr>
          <w:p>
            <w:pPr>
              <w:spacing w:after="0"/>
              <w:rPr>
                <w:sz w:val="24"/>
                <w:szCs w:val="24"/>
                <w:color w:val="auto"/>
              </w:rPr>
            </w:pPr>
          </w:p>
        </w:tc>
        <w:tc>
          <w:tcPr>
            <w:tcW w:w="5360" w:type="dxa"/>
            <w:vAlign w:val="bottom"/>
            <w:tcBorders>
              <w:bottom w:val="single" w:sz="8" w:color="0000EE"/>
            </w:tcBorders>
            <w:gridSpan w:val="5"/>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Non-Employee Director Compensation Policy, as amended, effective as of</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5"/>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August 13, 2018</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jc w:val="right"/>
              <w:ind w:right="297"/>
              <w:spacing w:after="0"/>
              <w:rPr>
                <w:sz w:val="20"/>
                <w:szCs w:val="20"/>
                <w:color w:val="auto"/>
              </w:rPr>
            </w:pPr>
            <w:r>
              <w:rPr>
                <w:rFonts w:ascii="Arial" w:cs="Arial" w:eastAsia="Arial" w:hAnsi="Arial"/>
                <w:sz w:val="18"/>
                <w:szCs w:val="18"/>
                <w:color w:val="auto"/>
                <w:w w:val="89"/>
              </w:rPr>
              <w:t>10.20+</w:t>
            </w:r>
          </w:p>
        </w:tc>
        <w:tc>
          <w:tcPr>
            <w:tcW w:w="60" w:type="dxa"/>
            <w:vAlign w:val="bottom"/>
          </w:tcPr>
          <w:p>
            <w:pPr>
              <w:spacing w:after="0"/>
              <w:rPr>
                <w:sz w:val="24"/>
                <w:szCs w:val="24"/>
                <w:color w:val="auto"/>
              </w:rPr>
            </w:pPr>
          </w:p>
        </w:tc>
        <w:tc>
          <w:tcPr>
            <w:tcW w:w="5360" w:type="dxa"/>
            <w:vAlign w:val="bottom"/>
            <w:gridSpan w:val="5"/>
          </w:tcPr>
          <w:p>
            <w:pPr>
              <w:spacing w:after="0"/>
              <w:rPr>
                <w:rFonts w:ascii="Arial" w:cs="Arial" w:eastAsia="Arial" w:hAnsi="Arial"/>
                <w:sz w:val="18"/>
                <w:szCs w:val="18"/>
                <w:color w:val="0000EE"/>
                <w:w w:val="99"/>
              </w:rPr>
            </w:pPr>
            <w:hyperlink r:id="rId184">
              <w:r>
                <w:rPr>
                  <w:rFonts w:ascii="Arial" w:cs="Arial" w:eastAsia="Arial" w:hAnsi="Arial"/>
                  <w:sz w:val="18"/>
                  <w:szCs w:val="18"/>
                  <w:color w:val="0000EE"/>
                  <w:w w:val="99"/>
                </w:rPr>
                <w:t>Consulting Agreement by and between Ontorii, Inc. (now Wave Life</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4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Sciences USA, Inc.) and Gregory Verdine, dated as of April 1, 2012</w:t>
              </w:r>
            </w:hyperlink>
          </w:p>
        </w:tc>
        <w:tc>
          <w:tcPr>
            <w:tcW w:w="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7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tcPr>
          <w:p>
            <w:pPr>
              <w:jc w:val="right"/>
              <w:ind w:right="297"/>
              <w:spacing w:after="0"/>
              <w:rPr>
                <w:sz w:val="20"/>
                <w:szCs w:val="20"/>
                <w:color w:val="auto"/>
              </w:rPr>
            </w:pPr>
            <w:r>
              <w:rPr>
                <w:rFonts w:ascii="Arial" w:cs="Arial" w:eastAsia="Arial" w:hAnsi="Arial"/>
                <w:sz w:val="18"/>
                <w:szCs w:val="18"/>
                <w:color w:val="auto"/>
                <w:w w:val="89"/>
              </w:rPr>
              <w:t>10.21+</w:t>
            </w:r>
          </w:p>
        </w:tc>
        <w:tc>
          <w:tcPr>
            <w:tcW w:w="60" w:type="dxa"/>
            <w:vAlign w:val="bottom"/>
          </w:tcPr>
          <w:p>
            <w:pPr>
              <w:spacing w:after="0"/>
              <w:rPr>
                <w:sz w:val="24"/>
                <w:szCs w:val="24"/>
                <w:color w:val="auto"/>
              </w:rPr>
            </w:pPr>
          </w:p>
        </w:tc>
        <w:tc>
          <w:tcPr>
            <w:tcW w:w="4980" w:type="dxa"/>
            <w:vAlign w:val="bottom"/>
            <w:tcBorders>
              <w:bottom w:val="single" w:sz="8" w:color="0000EE"/>
            </w:tcBorders>
            <w:gridSpan w:val="4"/>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Nominee Director Fee Agreement by and between the Registrant and</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60" w:type="dxa"/>
            <w:vAlign w:val="bottom"/>
            <w:gridSpan w:val="5"/>
          </w:tcPr>
          <w:p>
            <w:pPr>
              <w:spacing w:after="0" w:line="196" w:lineRule="exact"/>
              <w:rPr>
                <w:rFonts w:ascii="Arial" w:cs="Arial" w:eastAsia="Arial" w:hAnsi="Arial"/>
                <w:sz w:val="18"/>
                <w:szCs w:val="18"/>
                <w:color w:val="0000EE"/>
                <w:w w:val="99"/>
              </w:rPr>
            </w:pPr>
            <w:hyperlink r:id="rId185">
              <w:r>
                <w:rPr>
                  <w:rFonts w:ascii="Arial" w:cs="Arial" w:eastAsia="Arial" w:hAnsi="Arial"/>
                  <w:sz w:val="18"/>
                  <w:szCs w:val="18"/>
                  <w:color w:val="0000EE"/>
                  <w:w w:val="99"/>
                </w:rPr>
                <w:t>Miura &amp; Associates Management Consultants Pte. Ltd., dated as of</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October 23, 2012</w:t>
              </w:r>
            </w:hyperlink>
          </w:p>
        </w:tc>
        <w:tc>
          <w:tcPr>
            <w:tcW w:w="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7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and Other Compensation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10.22+</w:t>
            </w:r>
          </w:p>
        </w:tc>
        <w:tc>
          <w:tcPr>
            <w:tcW w:w="5200" w:type="dxa"/>
            <w:vAlign w:val="bottom"/>
            <w:gridSpan w:val="19"/>
          </w:tcPr>
          <w:p>
            <w:pPr>
              <w:spacing w:after="0"/>
              <w:rPr>
                <w:rFonts w:ascii="Arial" w:cs="Arial" w:eastAsia="Arial" w:hAnsi="Arial"/>
                <w:sz w:val="18"/>
                <w:szCs w:val="18"/>
                <w:color w:val="0000EE"/>
                <w:w w:val="93"/>
              </w:rPr>
            </w:pPr>
            <w:hyperlink r:id="rId186">
              <w:r>
                <w:rPr>
                  <w:rFonts w:ascii="Arial" w:cs="Arial" w:eastAsia="Arial" w:hAnsi="Arial"/>
                  <w:sz w:val="18"/>
                  <w:szCs w:val="18"/>
                  <w:color w:val="0000EE"/>
                  <w:w w:val="93"/>
                </w:rPr>
                <w:t>Wave Life Sciences Ltd. 2014 Equity Incentive Plan, as amended (the</w:t>
              </w:r>
            </w:hyperlink>
          </w:p>
        </w:tc>
      </w:tr>
      <w:tr>
        <w:trPr>
          <w:trHeight w:val="196"/>
        </w:trPr>
        <w:tc>
          <w:tcPr>
            <w:tcW w:w="960" w:type="dxa"/>
            <w:vAlign w:val="bottom"/>
          </w:tcPr>
          <w:p>
            <w:pPr>
              <w:spacing w:after="0"/>
              <w:rPr>
                <w:sz w:val="17"/>
                <w:szCs w:val="17"/>
                <w:color w:val="auto"/>
              </w:rPr>
            </w:pPr>
          </w:p>
        </w:tc>
        <w:tc>
          <w:tcPr>
            <w:tcW w:w="50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“2014 Equity Plan”)</w:t>
              </w:r>
            </w:hyperlink>
          </w:p>
        </w:tc>
        <w:tc>
          <w:tcPr>
            <w:tcW w:w="180" w:type="dxa"/>
            <w:vAlign w:val="bottom"/>
            <w:gridSpan w:val="5"/>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10.23.1+</w:t>
            </w:r>
          </w:p>
        </w:tc>
        <w:tc>
          <w:tcPr>
            <w:tcW w:w="5140" w:type="dxa"/>
            <w:vAlign w:val="bottom"/>
            <w:tcBorders>
              <w:bottom w:val="single" w:sz="8" w:color="0000EE"/>
            </w:tcBorders>
            <w:gridSpan w:val="17"/>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Form of Non-qualified Share Option Agreement under the 2014 Equity</w:t>
              </w:r>
            </w:hyperlink>
          </w:p>
        </w:tc>
        <w:tc>
          <w:tcPr>
            <w:tcW w:w="6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200" w:type="dxa"/>
            <w:vAlign w:val="bottom"/>
            <w:gridSpan w:val="19"/>
          </w:tcPr>
          <w:p>
            <w:pPr>
              <w:spacing w:after="0" w:line="196" w:lineRule="exact"/>
              <w:rPr>
                <w:rFonts w:ascii="Arial" w:cs="Arial" w:eastAsia="Arial" w:hAnsi="Arial"/>
                <w:sz w:val="18"/>
                <w:szCs w:val="18"/>
                <w:color w:val="0000EE"/>
              </w:rPr>
            </w:pPr>
            <w:hyperlink r:id="rId187">
              <w:r>
                <w:rPr>
                  <w:rFonts w:ascii="Arial" w:cs="Arial" w:eastAsia="Arial" w:hAnsi="Arial"/>
                  <w:sz w:val="18"/>
                  <w:szCs w:val="18"/>
                  <w:color w:val="0000EE"/>
                </w:rPr>
                <w:t>Plan, effective as of December 2014</w:t>
              </w:r>
            </w:hyperlink>
          </w:p>
        </w:tc>
      </w:tr>
      <w:tr>
        <w:trPr>
          <w:trHeight w:val="20"/>
        </w:trPr>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10.23.2+</w:t>
            </w:r>
          </w:p>
        </w:tc>
        <w:tc>
          <w:tcPr>
            <w:tcW w:w="5140" w:type="dxa"/>
            <w:vAlign w:val="bottom"/>
            <w:tcBorders>
              <w:bottom w:val="single" w:sz="8" w:color="0000EE"/>
            </w:tcBorders>
            <w:gridSpan w:val="17"/>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Form of Non-qualified Share Option Agreement under the 2014 Equity</w:t>
              </w:r>
            </w:hyperlink>
          </w:p>
        </w:tc>
        <w:tc>
          <w:tcPr>
            <w:tcW w:w="6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200" w:type="dxa"/>
            <w:vAlign w:val="bottom"/>
            <w:gridSpan w:val="19"/>
          </w:tcPr>
          <w:p>
            <w:pPr>
              <w:spacing w:after="0" w:line="196" w:lineRule="exact"/>
              <w:rPr>
                <w:rFonts w:ascii="Arial" w:cs="Arial" w:eastAsia="Arial" w:hAnsi="Arial"/>
                <w:sz w:val="18"/>
                <w:szCs w:val="18"/>
                <w:color w:val="0000EE"/>
              </w:rPr>
            </w:pPr>
            <w:hyperlink r:id="rId188">
              <w:r>
                <w:rPr>
                  <w:rFonts w:ascii="Arial" w:cs="Arial" w:eastAsia="Arial" w:hAnsi="Arial"/>
                  <w:sz w:val="18"/>
                  <w:szCs w:val="18"/>
                  <w:color w:val="0000EE"/>
                </w:rPr>
                <w:t>Plan, effective as of September 20, 2016</w:t>
              </w:r>
            </w:hyperlink>
          </w:p>
        </w:tc>
      </w:tr>
      <w:tr>
        <w:trPr>
          <w:trHeight w:val="20"/>
        </w:trPr>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10.23.3+</w:t>
            </w:r>
          </w:p>
        </w:tc>
        <w:tc>
          <w:tcPr>
            <w:tcW w:w="514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35">
              <w:r>
                <w:rPr>
                  <w:rFonts w:ascii="Arial" w:cs="Arial" w:eastAsia="Arial" w:hAnsi="Arial"/>
                  <w:sz w:val="18"/>
                  <w:szCs w:val="18"/>
                  <w:color w:val="0000EE"/>
                  <w:w w:val="91"/>
                </w:rPr>
                <w:t>Form of Non-qualified Share Option Agreement under the 2014 Equity</w:t>
              </w:r>
            </w:hyperlink>
          </w:p>
        </w:tc>
        <w:tc>
          <w:tcPr>
            <w:tcW w:w="6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5200" w:type="dxa"/>
            <w:vAlign w:val="bottom"/>
            <w:gridSpan w:val="19"/>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Plan, effective as of January 1, 2018</w:t>
              </w:r>
            </w:hyperlink>
          </w:p>
        </w:tc>
      </w:tr>
      <w:tr>
        <w:trPr>
          <w:trHeight w:val="20"/>
        </w:trPr>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10.24.1+</w:t>
            </w:r>
          </w:p>
        </w:tc>
        <w:tc>
          <w:tcPr>
            <w:tcW w:w="5200" w:type="dxa"/>
            <w:vAlign w:val="bottom"/>
            <w:tcBorders>
              <w:bottom w:val="single" w:sz="8" w:color="0000EE"/>
            </w:tcBorders>
            <w:gridSpan w:val="19"/>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Form of Incentive Share Option Agreement under the 2014 Equity Plan,</w:t>
              </w:r>
            </w:hyperlink>
          </w:p>
        </w:tc>
      </w:tr>
      <w:tr>
        <w:trPr>
          <w:trHeight w:val="196"/>
        </w:trPr>
        <w:tc>
          <w:tcPr>
            <w:tcW w:w="960" w:type="dxa"/>
            <w:vAlign w:val="bottom"/>
          </w:tcPr>
          <w:p>
            <w:pPr>
              <w:spacing w:after="0"/>
              <w:rPr>
                <w:sz w:val="17"/>
                <w:szCs w:val="17"/>
                <w:color w:val="auto"/>
              </w:rPr>
            </w:pPr>
          </w:p>
        </w:tc>
        <w:tc>
          <w:tcPr>
            <w:tcW w:w="22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87">
              <w:r>
                <w:rPr>
                  <w:rFonts w:ascii="Arial" w:cs="Arial" w:eastAsia="Arial" w:hAnsi="Arial"/>
                  <w:sz w:val="18"/>
                  <w:szCs w:val="18"/>
                  <w:color w:val="0000EE"/>
                  <w:w w:val="89"/>
                </w:rPr>
                <w:t>effective as of December 2014</w:t>
              </w:r>
            </w:hyperlink>
          </w:p>
        </w:tc>
        <w:tc>
          <w:tcPr>
            <w:tcW w:w="3000" w:type="dxa"/>
            <w:vAlign w:val="bottom"/>
            <w:gridSpan w:val="15"/>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10.24.2+</w:t>
            </w:r>
          </w:p>
        </w:tc>
        <w:tc>
          <w:tcPr>
            <w:tcW w:w="5200" w:type="dxa"/>
            <w:vAlign w:val="bottom"/>
            <w:tcBorders>
              <w:bottom w:val="single" w:sz="8" w:color="0000EE"/>
            </w:tcBorders>
            <w:gridSpan w:val="19"/>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Form of Incentive Share Option Agreement under the 2014 Equity Plan,</w:t>
              </w:r>
            </w:hyperlink>
          </w:p>
        </w:tc>
      </w:tr>
      <w:tr>
        <w:trPr>
          <w:trHeight w:val="196"/>
        </w:trPr>
        <w:tc>
          <w:tcPr>
            <w:tcW w:w="96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189">
              <w:r>
                <w:rPr>
                  <w:rFonts w:ascii="Arial" w:cs="Arial" w:eastAsia="Arial" w:hAnsi="Arial"/>
                  <w:sz w:val="18"/>
                  <w:szCs w:val="18"/>
                  <w:color w:val="0000EE"/>
                  <w:w w:val="88"/>
                </w:rPr>
                <w:t>effective as of September 20, 2016</w:t>
              </w:r>
            </w:hyperlink>
          </w:p>
        </w:tc>
        <w:tc>
          <w:tcPr>
            <w:tcW w:w="2700" w:type="dxa"/>
            <w:vAlign w:val="bottom"/>
            <w:gridSpan w:val="14"/>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10.25.1+</w:t>
            </w:r>
          </w:p>
        </w:tc>
        <w:tc>
          <w:tcPr>
            <w:tcW w:w="50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Form of Restricted Share Unit Agreement under the 2014 Equity Plan,</w:t>
              </w:r>
            </w:hyperlink>
          </w:p>
        </w:tc>
        <w:tc>
          <w:tcPr>
            <w:tcW w:w="12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effective as of June 16, 2016</w:t>
              </w:r>
            </w:hyperlink>
          </w:p>
        </w:tc>
        <w:tc>
          <w:tcPr>
            <w:tcW w:w="3140" w:type="dxa"/>
            <w:vAlign w:val="bottom"/>
            <w:gridSpan w:val="16"/>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10.25.2+</w:t>
            </w:r>
          </w:p>
        </w:tc>
        <w:tc>
          <w:tcPr>
            <w:tcW w:w="50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42">
              <w:r>
                <w:rPr>
                  <w:rFonts w:ascii="Arial" w:cs="Arial" w:eastAsia="Arial" w:hAnsi="Arial"/>
                  <w:sz w:val="18"/>
                  <w:szCs w:val="18"/>
                  <w:color w:val="0000EE"/>
                  <w:w w:val="90"/>
                </w:rPr>
                <w:t>Form of Restricted Share Unit Agreement under the 2014 Equity Plan,</w:t>
              </w:r>
            </w:hyperlink>
          </w:p>
        </w:tc>
        <w:tc>
          <w:tcPr>
            <w:tcW w:w="12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20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effective as of January 1, 2018</w:t>
              </w:r>
            </w:hyperlink>
          </w:p>
        </w:tc>
        <w:tc>
          <w:tcPr>
            <w:tcW w:w="3000" w:type="dxa"/>
            <w:vAlign w:val="bottom"/>
            <w:gridSpan w:val="15"/>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10.26.1+</w:t>
            </w:r>
          </w:p>
        </w:tc>
        <w:tc>
          <w:tcPr>
            <w:tcW w:w="4940" w:type="dxa"/>
            <w:vAlign w:val="bottom"/>
            <w:tcBorders>
              <w:bottom w:val="single" w:sz="8" w:color="0000EE"/>
            </w:tcBorders>
            <w:gridSpan w:val="13"/>
          </w:tcPr>
          <w:p>
            <w:pPr>
              <w:spacing w:after="0"/>
              <w:rPr>
                <w:rFonts w:ascii="Arial" w:cs="Arial" w:eastAsia="Arial" w:hAnsi="Arial"/>
                <w:sz w:val="18"/>
                <w:szCs w:val="18"/>
                <w:color w:val="0000EE"/>
                <w:w w:val="92"/>
              </w:rPr>
            </w:pPr>
            <w:hyperlink r:id="rId191">
              <w:r>
                <w:rPr>
                  <w:rFonts w:ascii="Arial" w:cs="Arial" w:eastAsia="Arial" w:hAnsi="Arial"/>
                  <w:sz w:val="18"/>
                  <w:szCs w:val="18"/>
                  <w:color w:val="0000EE"/>
                  <w:w w:val="92"/>
                </w:rPr>
                <w:t>Form of Non-qualified Share Option Agreement for UK Participants</w:t>
              </w:r>
            </w:hyperlink>
          </w:p>
        </w:tc>
        <w:tc>
          <w:tcPr>
            <w:tcW w:w="26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41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91">
              <w:r>
                <w:rPr>
                  <w:rFonts w:ascii="Arial" w:cs="Arial" w:eastAsia="Arial" w:hAnsi="Arial"/>
                  <w:sz w:val="18"/>
                  <w:szCs w:val="18"/>
                  <w:color w:val="0000EE"/>
                  <w:w w:val="89"/>
                </w:rPr>
                <w:t>under the 2014 Equity Plan, effective as of June 21, 2017</w:t>
              </w:r>
            </w:hyperlink>
          </w:p>
        </w:tc>
        <w:tc>
          <w:tcPr>
            <w:tcW w:w="1080" w:type="dxa"/>
            <w:vAlign w:val="bottom"/>
            <w:gridSpan w:val="9"/>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10.26.2+</w:t>
            </w:r>
          </w:p>
        </w:tc>
        <w:tc>
          <w:tcPr>
            <w:tcW w:w="49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49">
              <w:r>
                <w:rPr>
                  <w:rFonts w:ascii="Arial" w:cs="Arial" w:eastAsia="Arial" w:hAnsi="Arial"/>
                  <w:sz w:val="18"/>
                  <w:szCs w:val="18"/>
                  <w:color w:val="0000EE"/>
                  <w:w w:val="92"/>
                </w:rPr>
                <w:t>Form of Non-qualified Share Option Agreement for UK Participants</w:t>
              </w:r>
            </w:hyperlink>
          </w:p>
        </w:tc>
        <w:tc>
          <w:tcPr>
            <w:tcW w:w="260" w:type="dxa"/>
            <w:vAlign w:val="bottom"/>
            <w:gridSpan w:val="6"/>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49">
              <w:r>
                <w:rPr>
                  <w:rFonts w:ascii="Arial" w:cs="Arial" w:eastAsia="Arial" w:hAnsi="Arial"/>
                  <w:sz w:val="18"/>
                  <w:szCs w:val="18"/>
                  <w:color w:val="0000EE"/>
                  <w:w w:val="89"/>
                </w:rPr>
                <w:t>under the 2014 Equity Plan, effective as of January 1, 2018</w:t>
              </w:r>
            </w:hyperlink>
          </w:p>
        </w:tc>
        <w:tc>
          <w:tcPr>
            <w:tcW w:w="940" w:type="dxa"/>
            <w:vAlign w:val="bottom"/>
            <w:gridSpan w:val="8"/>
          </w:tcPr>
          <w:p>
            <w:pPr>
              <w:spacing w:after="0"/>
              <w:rPr>
                <w:sz w:val="17"/>
                <w:szCs w:val="17"/>
                <w:color w:val="auto"/>
              </w:rPr>
            </w:pPr>
          </w:p>
        </w:tc>
      </w:tr>
      <w:tr>
        <w:trPr>
          <w:trHeight w:val="534"/>
        </w:trPr>
        <w:tc>
          <w:tcPr>
            <w:tcW w:w="960" w:type="dxa"/>
            <w:vAlign w:val="bottom"/>
          </w:tcPr>
          <w:p>
            <w:pPr>
              <w:spacing w:after="0"/>
              <w:rPr>
                <w:sz w:val="20"/>
                <w:szCs w:val="20"/>
                <w:color w:val="auto"/>
              </w:rPr>
            </w:pPr>
            <w:r>
              <w:rPr>
                <w:rFonts w:ascii="Arial" w:cs="Arial" w:eastAsia="Arial" w:hAnsi="Arial"/>
                <w:sz w:val="18"/>
                <w:szCs w:val="18"/>
                <w:color w:val="auto"/>
              </w:rPr>
              <w:t>21.1</w:t>
            </w:r>
          </w:p>
        </w:tc>
        <w:tc>
          <w:tcPr>
            <w:tcW w:w="2640" w:type="dxa"/>
            <w:vAlign w:val="bottom"/>
            <w:tcBorders>
              <w:bottom w:val="single" w:sz="8" w:color="0000EE"/>
            </w:tcBorders>
            <w:gridSpan w:val="7"/>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List of Subsidiaries of the Registrant</w:t>
              </w:r>
            </w:hyperlink>
          </w:p>
        </w:tc>
        <w:tc>
          <w:tcPr>
            <w:tcW w:w="2560" w:type="dxa"/>
            <w:vAlign w:val="bottom"/>
            <w:gridSpan w:val="12"/>
          </w:tcPr>
          <w:p>
            <w:pPr>
              <w:spacing w:after="0"/>
              <w:rPr>
                <w:sz w:val="24"/>
                <w:szCs w:val="24"/>
                <w:color w:val="auto"/>
              </w:rPr>
            </w:pPr>
          </w:p>
        </w:tc>
      </w:tr>
      <w:tr>
        <w:trPr>
          <w:trHeight w:val="534"/>
        </w:trPr>
        <w:tc>
          <w:tcPr>
            <w:tcW w:w="960" w:type="dxa"/>
            <w:vAlign w:val="bottom"/>
          </w:tcPr>
          <w:p>
            <w:pPr>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57">
              <w:r>
                <w:rPr>
                  <w:rFonts w:ascii="Arial" w:cs="Arial" w:eastAsia="Arial" w:hAnsi="Arial"/>
                  <w:sz w:val="18"/>
                  <w:szCs w:val="18"/>
                  <w:color w:val="0000EE"/>
                  <w:w w:val="90"/>
                </w:rPr>
                <w:t>Consent of Independent Registered Public Accounting Firm</w:t>
              </w:r>
            </w:hyperlink>
          </w:p>
        </w:tc>
        <w:tc>
          <w:tcPr>
            <w:tcW w:w="880" w:type="dxa"/>
            <w:vAlign w:val="bottom"/>
            <w:gridSpan w:val="7"/>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24.1</w:t>
            </w:r>
          </w:p>
        </w:tc>
        <w:tc>
          <w:tcPr>
            <w:tcW w:w="520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Power of Attorney (included on signature page to this Annual Report on</w:t>
              </w:r>
            </w:hyperlink>
          </w:p>
        </w:tc>
      </w:tr>
      <w:tr>
        <w:trPr>
          <w:trHeight w:val="196"/>
        </w:trPr>
        <w:tc>
          <w:tcPr>
            <w:tcW w:w="9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Form 10-K)</w:t>
              </w:r>
            </w:hyperlink>
          </w:p>
        </w:tc>
        <w:tc>
          <w:tcPr>
            <w:tcW w:w="4340" w:type="dxa"/>
            <w:vAlign w:val="bottom"/>
            <w:gridSpan w:val="18"/>
          </w:tcPr>
          <w:p>
            <w:pPr>
              <w:spacing w:after="0"/>
              <w:rPr>
                <w:sz w:val="17"/>
                <w:szCs w:val="17"/>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5200" w:type="dxa"/>
            <w:vAlign w:val="bottom"/>
            <w:gridSpan w:val="19"/>
          </w:tcPr>
          <w:p>
            <w:pPr>
              <w:spacing w:after="0"/>
              <w:rPr>
                <w:rFonts w:ascii="Arial" w:cs="Arial" w:eastAsia="Arial" w:hAnsi="Arial"/>
                <w:sz w:val="18"/>
                <w:szCs w:val="18"/>
                <w:color w:val="0000EE"/>
                <w:w w:val="92"/>
              </w:rPr>
            </w:pPr>
            <w:hyperlink w:anchor="page158">
              <w:r>
                <w:rPr>
                  <w:rFonts w:ascii="Arial" w:cs="Arial" w:eastAsia="Arial" w:hAnsi="Arial"/>
                  <w:sz w:val="18"/>
                  <w:szCs w:val="18"/>
                  <w:color w:val="0000EE"/>
                  <w:w w:val="92"/>
                </w:rPr>
                <w:t>Certifications of Principal Executive Officer pursuant to Rule 13a-14(a)</w:t>
              </w:r>
            </w:hyperlink>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51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159">
              <w:r>
                <w:rPr>
                  <w:rFonts w:ascii="Arial" w:cs="Arial" w:eastAsia="Arial" w:hAnsi="Arial"/>
                  <w:sz w:val="18"/>
                  <w:szCs w:val="18"/>
                  <w:color w:val="0000EE"/>
                  <w:w w:val="92"/>
                </w:rPr>
                <w:t>Certifications of Principal Financial Officer pursuant to Rule 13a-14(a)</w:t>
              </w:r>
            </w:hyperlink>
          </w:p>
        </w:tc>
        <w:tc>
          <w:tcPr>
            <w:tcW w:w="40" w:type="dxa"/>
            <w:vAlign w:val="bottom"/>
            <w:tcBorders>
              <w:top w:val="single" w:sz="8" w:color="0000EE"/>
            </w:tcBorders>
            <w:gridSpan w:val="2"/>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32*</w:t>
            </w:r>
          </w:p>
        </w:tc>
        <w:tc>
          <w:tcPr>
            <w:tcW w:w="52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60">
              <w:r>
                <w:rPr>
                  <w:rFonts w:ascii="Arial" w:cs="Arial" w:eastAsia="Arial" w:hAnsi="Arial"/>
                  <w:sz w:val="18"/>
                  <w:szCs w:val="18"/>
                  <w:color w:val="0000EE"/>
                  <w:w w:val="89"/>
                </w:rPr>
                <w:t>Certification pursuant to 18 U.S.C. Section 1350, as adopted pursuant to</w:t>
              </w:r>
            </w:hyperlink>
          </w:p>
        </w:tc>
      </w:tr>
      <w:tr>
        <w:trPr>
          <w:trHeight w:val="196"/>
        </w:trPr>
        <w:tc>
          <w:tcPr>
            <w:tcW w:w="960" w:type="dxa"/>
            <w:vAlign w:val="bottom"/>
          </w:tcPr>
          <w:p>
            <w:pPr>
              <w:spacing w:after="0"/>
              <w:rPr>
                <w:sz w:val="17"/>
                <w:szCs w:val="17"/>
                <w:color w:val="auto"/>
              </w:rPr>
            </w:pPr>
          </w:p>
        </w:tc>
        <w:tc>
          <w:tcPr>
            <w:tcW w:w="51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60">
              <w:r>
                <w:rPr>
                  <w:rFonts w:ascii="Arial" w:cs="Arial" w:eastAsia="Arial" w:hAnsi="Arial"/>
                  <w:sz w:val="18"/>
                  <w:szCs w:val="18"/>
                  <w:color w:val="0000EE"/>
                  <w:w w:val="91"/>
                </w:rPr>
                <w:t>Section 906 of the Sarbanes-Oxley Act of 2002, by Principal Executive</w:t>
              </w:r>
            </w:hyperlink>
          </w:p>
        </w:tc>
        <w:tc>
          <w:tcPr>
            <w:tcW w:w="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5200" w:type="dxa"/>
            <w:vAlign w:val="bottom"/>
            <w:gridSpan w:val="19"/>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Officer and Principal Financial Officer.</w:t>
              </w:r>
            </w:hyperlink>
          </w:p>
        </w:tc>
      </w:tr>
      <w:tr>
        <w:trPr>
          <w:trHeight w:val="453"/>
        </w:trPr>
        <w:tc>
          <w:tcPr>
            <w:tcW w:w="960" w:type="dxa"/>
            <w:vAlign w:val="bottom"/>
          </w:tcPr>
          <w:p>
            <w:pPr>
              <w:spacing w:after="0"/>
              <w:rPr>
                <w:sz w:val="24"/>
                <w:szCs w:val="24"/>
                <w:color w:val="auto"/>
              </w:rPr>
            </w:pPr>
          </w:p>
        </w:tc>
        <w:tc>
          <w:tcPr>
            <w:tcW w:w="2820" w:type="dxa"/>
            <w:vAlign w:val="bottom"/>
            <w:tcBorders>
              <w:top w:val="single" w:sz="8" w:color="0000EE"/>
            </w:tcBorders>
            <w:gridSpan w:val="8"/>
          </w:tcPr>
          <w:p>
            <w:pPr>
              <w:spacing w:after="0"/>
              <w:rPr>
                <w:sz w:val="24"/>
                <w:szCs w:val="24"/>
                <w:color w:val="auto"/>
              </w:rPr>
            </w:pPr>
          </w:p>
        </w:tc>
        <w:tc>
          <w:tcPr>
            <w:tcW w:w="2120" w:type="dxa"/>
            <w:vAlign w:val="bottom"/>
            <w:gridSpan w:val="5"/>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Filed</w:t>
            </w: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Incorporated by</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with</w:t>
            </w:r>
          </w:p>
        </w:tc>
        <w:tc>
          <w:tcPr>
            <w:tcW w:w="1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this</w:t>
            </w:r>
          </w:p>
        </w:tc>
        <w:tc>
          <w:tcPr>
            <w:tcW w:w="1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60" w:type="dxa"/>
            <w:vAlign w:val="bottom"/>
            <w:vMerge w:val="restart"/>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6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17"/>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11/09/2018</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10.16)</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S-1</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10/09/2015</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333-207379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(Exhibit 10.17)</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S-8</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12/17/2015</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333-208598</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10.2)</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Form S-8</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12/17/2015</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333-208598</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10.1)</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10.3)</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10.4)</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Form 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11/09/2017</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(Exhibit 10.5)</w:t>
            </w: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Form 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03/12/2018</w:t>
            </w:r>
          </w:p>
        </w:tc>
        <w:tc>
          <w:tcPr>
            <w:tcW w:w="6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001-37627</w:t>
            </w:r>
          </w:p>
        </w:tc>
        <w:tc>
          <w:tcPr>
            <w:tcW w:w="0" w:type="dxa"/>
            <w:vAlign w:val="bottom"/>
          </w:tcPr>
          <w:p>
            <w:pPr>
              <w:spacing w:after="0"/>
              <w:rPr>
                <w:sz w:val="1"/>
                <w:szCs w:val="1"/>
                <w:color w:val="auto"/>
              </w:rPr>
            </w:pPr>
          </w:p>
        </w:tc>
      </w:tr>
    </w:tbl>
    <w:p>
      <w:pPr>
        <w:ind w:left="1180"/>
        <w:spacing w:after="0"/>
        <w:rPr>
          <w:sz w:val="20"/>
          <w:szCs w:val="20"/>
          <w:color w:val="auto"/>
        </w:rPr>
      </w:pPr>
      <w:r>
        <w:rPr>
          <w:rFonts w:ascii="Arial" w:cs="Arial" w:eastAsia="Arial" w:hAnsi="Arial"/>
          <w:sz w:val="18"/>
          <w:szCs w:val="18"/>
          <w:color w:val="auto"/>
        </w:rPr>
        <w:t>(Exhibit 21.1)</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320" w:space="80"/>
            <w:col w:w="5020"/>
          </w:cols>
          <w:pgMar w:left="240" w:top="104"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Filed</w:t>
            </w: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Incorporated by</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with</w:t>
            </w:r>
          </w:p>
        </w:tc>
        <w:tc>
          <w:tcPr>
            <w:tcW w:w="1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36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vMerge w:val="restart"/>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this</w:t>
            </w:r>
          </w:p>
        </w:tc>
        <w:tc>
          <w:tcPr>
            <w:tcW w:w="1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1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60" w:type="dxa"/>
            <w:vAlign w:val="bottom"/>
            <w:vMerge w:val="restart"/>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53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6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58"/>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XBRL Instance Document</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Schema Document</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Calculation Linkbase Document</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Definition Linkbase Document</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Label Linkbase Document</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5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rPr>
              <w:t>X</w:t>
            </w: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60" w:hanging="512"/>
        <w:spacing w:after="0" w:line="259"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certification attached as Exhibit 32 that accompanies this Annual Report on Form 10-K is not deemed filed with the Securities and Exchange Commission and is not to be incorporated by reference into any filing of Wave Life Sciences Ltd. under the Securities Act of 1933, as amended, or the Securities Exchange Act of 1934, as amended, whether made before or after the date of this Form 10-K, irrespective of any general incorporation language contained in such filing.</w:t>
      </w:r>
    </w:p>
    <w:p>
      <w:pPr>
        <w:spacing w:after="0" w:line="79"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7" w:lineRule="exact"/>
        <w:rPr>
          <w:sz w:val="20"/>
          <w:szCs w:val="20"/>
          <w:color w:val="auto"/>
        </w:rPr>
      </w:pPr>
    </w:p>
    <w:p>
      <w:pPr>
        <w:ind w:left="520" w:right="80" w:hanging="512"/>
        <w:spacing w:after="0" w:line="277"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106" w:name="page107"/>
    <w:bookmarkEnd w:id="106"/>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7240" w:type="dxa"/>
            <w:vAlign w:val="bottom"/>
            <w:gridSpan w:val="2"/>
          </w:tcPr>
          <w:p>
            <w:pPr>
              <w:ind w:left="2700"/>
              <w:spacing w:after="0"/>
              <w:rPr>
                <w:sz w:val="20"/>
                <w:szCs w:val="20"/>
                <w:color w:val="auto"/>
              </w:rPr>
            </w:pPr>
            <w:r>
              <w:rPr>
                <w:rFonts w:ascii="Arial" w:cs="Arial" w:eastAsia="Arial" w:hAnsi="Arial"/>
                <w:sz w:val="18"/>
                <w:szCs w:val="18"/>
                <w:color w:val="auto"/>
              </w:rPr>
              <w:t>Wave Life Sciences Ltd.</w:t>
            </w:r>
          </w:p>
        </w:tc>
      </w:tr>
      <w:tr>
        <w:trPr>
          <w:trHeight w:val="459"/>
        </w:trPr>
        <w:tc>
          <w:tcPr>
            <w:tcW w:w="4180" w:type="dxa"/>
            <w:vAlign w:val="bottom"/>
          </w:tcPr>
          <w:p>
            <w:pPr>
              <w:spacing w:after="0"/>
              <w:rPr>
                <w:sz w:val="20"/>
                <w:szCs w:val="20"/>
                <w:color w:val="auto"/>
              </w:rPr>
            </w:pPr>
            <w:r>
              <w:rPr>
                <w:rFonts w:ascii="Arial" w:cs="Arial" w:eastAsia="Arial" w:hAnsi="Arial"/>
                <w:sz w:val="18"/>
                <w:szCs w:val="18"/>
                <w:color w:val="auto"/>
              </w:rPr>
              <w:t>Date: March 1, 2019</w:t>
            </w:r>
          </w:p>
        </w:tc>
        <w:tc>
          <w:tcPr>
            <w:tcW w:w="7240" w:type="dxa"/>
            <w:vAlign w:val="bottom"/>
            <w:gridSpan w:val="2"/>
          </w:tcPr>
          <w:p>
            <w:pPr>
              <w:ind w:left="2700"/>
              <w:spacing w:after="0"/>
              <w:rPr>
                <w:sz w:val="20"/>
                <w:szCs w:val="20"/>
                <w:color w:val="auto"/>
              </w:rPr>
            </w:pPr>
            <w:r>
              <w:rPr>
                <w:rFonts w:ascii="Arial" w:cs="Arial" w:eastAsia="Arial" w:hAnsi="Arial"/>
                <w:sz w:val="18"/>
                <w:szCs w:val="18"/>
                <w:color w:val="auto"/>
              </w:rPr>
              <w:t>By:  /s/ Paul B. Bolno, M.D.</w:t>
            </w:r>
          </w:p>
        </w:tc>
      </w:tr>
      <w:tr>
        <w:trPr>
          <w:trHeight w:val="195"/>
        </w:trPr>
        <w:tc>
          <w:tcPr>
            <w:tcW w:w="41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Paul B. Bolno, M.D.</w:t>
            </w:r>
          </w:p>
        </w:tc>
      </w:tr>
      <w:tr>
        <w:trPr>
          <w:trHeight w:val="230"/>
        </w:trPr>
        <w:tc>
          <w:tcPr>
            <w:tcW w:w="4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Paul B. Bolno, M.D. with full power of substitution and resubstitution and full power to act, as his true and lawful attorney-in-fact and agent to act in his name, place and stead and to execute in the name and on behalf of each person, individually and in each capacity stated below, and to file any and all amendments to this Report and to file the same, with all exhibits thereto, and other documents in connection therewith, with the Securities and Exchange Commission, granting unto said attorney-in-fact and agent, full power and authority to do and perform each and every act and thing, ratifying and confirming all that said attorney-in-fact and agent or his substitute or substitutes may lawfully do or cause to be done by virtue thereof.</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4"/>
                <w:szCs w:val="14"/>
                <w:color w:val="auto"/>
              </w:rPr>
            </w:pPr>
          </w:p>
        </w:tc>
        <w:tc>
          <w:tcPr>
            <w:tcW w:w="504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248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r>
      <w:tr>
        <w:trPr>
          <w:trHeight w:val="426"/>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Paul B. Bolno, M.D.</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2480" w:type="dxa"/>
            <w:vAlign w:val="bottom"/>
          </w:tcPr>
          <w:p>
            <w:pPr>
              <w:ind w:left="720"/>
              <w:spacing w:after="0"/>
              <w:rPr>
                <w:sz w:val="20"/>
                <w:szCs w:val="20"/>
                <w:color w:val="auto"/>
              </w:rPr>
            </w:pPr>
            <w:r>
              <w:rPr>
                <w:rFonts w:ascii="Arial" w:cs="Arial" w:eastAsia="Arial" w:hAnsi="Arial"/>
                <w:sz w:val="18"/>
                <w:szCs w:val="18"/>
                <w:color w:val="auto"/>
              </w:rPr>
              <w:t>March 1, 2019</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Paul B. Bolno, M.D.</w:t>
            </w:r>
          </w:p>
        </w:tc>
        <w:tc>
          <w:tcPr>
            <w:tcW w:w="180" w:type="dxa"/>
            <w:vAlign w:val="bottom"/>
          </w:tcPr>
          <w:p>
            <w:pPr>
              <w:spacing w:after="0"/>
              <w:rPr>
                <w:sz w:val="21"/>
                <w:szCs w:val="21"/>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Keith C. Regnante</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w:t>
            </w:r>
          </w:p>
        </w:tc>
        <w:tc>
          <w:tcPr>
            <w:tcW w:w="2480" w:type="dxa"/>
            <w:vAlign w:val="bottom"/>
          </w:tcPr>
          <w:p>
            <w:pPr>
              <w:ind w:left="720"/>
              <w:spacing w:after="0"/>
              <w:rPr>
                <w:sz w:val="20"/>
                <w:szCs w:val="20"/>
                <w:color w:val="auto"/>
              </w:rPr>
            </w:pPr>
            <w:r>
              <w:rPr>
                <w:rFonts w:ascii="Arial" w:cs="Arial" w:eastAsia="Arial" w:hAnsi="Arial"/>
                <w:sz w:val="18"/>
                <w:szCs w:val="18"/>
                <w:color w:val="auto"/>
              </w:rPr>
              <w:t>March 1, 2019</w:t>
            </w:r>
          </w:p>
        </w:tc>
        <w:tc>
          <w:tcPr>
            <w:tcW w:w="20" w:type="dxa"/>
            <w:vAlign w:val="bottom"/>
          </w:tcPr>
          <w:p>
            <w:pPr>
              <w:spacing w:after="0"/>
              <w:rPr>
                <w:sz w:val="24"/>
                <w:szCs w:val="24"/>
                <w:color w:val="auto"/>
              </w:rPr>
            </w:pPr>
          </w:p>
        </w:tc>
      </w:tr>
      <w:tr>
        <w:trPr>
          <w:trHeight w:val="196"/>
        </w:trPr>
        <w:tc>
          <w:tcPr>
            <w:tcW w:w="3560" w:type="dxa"/>
            <w:vAlign w:val="bottom"/>
          </w:tcPr>
          <w:p>
            <w:pPr>
              <w:ind w:left="100"/>
              <w:spacing w:after="0" w:line="196" w:lineRule="exact"/>
              <w:rPr>
                <w:sz w:val="20"/>
                <w:szCs w:val="20"/>
                <w:color w:val="auto"/>
              </w:rPr>
            </w:pPr>
            <w:r>
              <w:rPr>
                <w:rFonts w:ascii="Arial" w:cs="Arial" w:eastAsia="Arial" w:hAnsi="Arial"/>
                <w:sz w:val="18"/>
                <w:szCs w:val="18"/>
                <w:color w:val="auto"/>
              </w:rPr>
              <w:t>Keith C. Regnante</w:t>
            </w:r>
          </w:p>
        </w:tc>
        <w:tc>
          <w:tcPr>
            <w:tcW w:w="180" w:type="dxa"/>
            <w:vAlign w:val="bottom"/>
          </w:tcPr>
          <w:p>
            <w:pPr>
              <w:spacing w:after="0"/>
              <w:rPr>
                <w:sz w:val="17"/>
                <w:szCs w:val="17"/>
                <w:color w:val="auto"/>
              </w:rPr>
            </w:pPr>
          </w:p>
        </w:tc>
        <w:tc>
          <w:tcPr>
            <w:tcW w:w="5200" w:type="dxa"/>
            <w:vAlign w:val="bottom"/>
            <w:gridSpan w:val="2"/>
          </w:tcPr>
          <w:p>
            <w:pPr>
              <w:ind w:left="14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w:t>
            </w: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Christian Henry</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 Directors</w:t>
            </w:r>
          </w:p>
        </w:tc>
        <w:tc>
          <w:tcPr>
            <w:tcW w:w="2480" w:type="dxa"/>
            <w:vAlign w:val="bottom"/>
          </w:tcPr>
          <w:p>
            <w:pPr>
              <w:ind w:left="780"/>
              <w:spacing w:after="0"/>
              <w:rPr>
                <w:sz w:val="20"/>
                <w:szCs w:val="20"/>
                <w:color w:val="auto"/>
              </w:rPr>
            </w:pPr>
            <w:r>
              <w:rPr>
                <w:rFonts w:ascii="Arial" w:cs="Arial" w:eastAsia="Arial" w:hAnsi="Arial"/>
                <w:sz w:val="18"/>
                <w:szCs w:val="18"/>
                <w:color w:val="auto"/>
              </w:rPr>
              <w:t>March 1, 2019</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Christian Henry</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Gregory L. Verdine, Ph.D.</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720"/>
              <w:spacing w:after="0"/>
              <w:rPr>
                <w:sz w:val="20"/>
                <w:szCs w:val="20"/>
                <w:color w:val="auto"/>
              </w:rPr>
            </w:pPr>
            <w:r>
              <w:rPr>
                <w:rFonts w:ascii="Arial" w:cs="Arial" w:eastAsia="Arial" w:hAnsi="Arial"/>
                <w:sz w:val="18"/>
                <w:szCs w:val="18"/>
                <w:color w:val="auto"/>
              </w:rPr>
              <w:t>March 1, 2019</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Gregory L. Verdine, Ph.D.</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Kolchinsky, Ph.D.</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720"/>
              <w:spacing w:after="0"/>
              <w:rPr>
                <w:sz w:val="20"/>
                <w:szCs w:val="20"/>
                <w:color w:val="auto"/>
              </w:rPr>
            </w:pPr>
            <w:r>
              <w:rPr>
                <w:rFonts w:ascii="Arial" w:cs="Arial" w:eastAsia="Arial" w:hAnsi="Arial"/>
                <w:sz w:val="18"/>
                <w:szCs w:val="18"/>
                <w:color w:val="auto"/>
              </w:rPr>
              <w:t>March 1, 2019</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Peter Kolchinsky, Ph.D.</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Koji Miura</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720"/>
              <w:spacing w:after="0"/>
              <w:rPr>
                <w:sz w:val="20"/>
                <w:szCs w:val="20"/>
                <w:color w:val="auto"/>
              </w:rPr>
            </w:pPr>
            <w:r>
              <w:rPr>
                <w:rFonts w:ascii="Arial" w:cs="Arial" w:eastAsia="Arial" w:hAnsi="Arial"/>
                <w:sz w:val="18"/>
                <w:szCs w:val="18"/>
                <w:color w:val="auto"/>
              </w:rPr>
              <w:t>March 1, 2019</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Koji Miura</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Adrian Rawcliffe</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720"/>
              <w:spacing w:after="0"/>
              <w:rPr>
                <w:sz w:val="20"/>
                <w:szCs w:val="20"/>
                <w:color w:val="auto"/>
              </w:rPr>
            </w:pPr>
            <w:r>
              <w:rPr>
                <w:rFonts w:ascii="Arial" w:cs="Arial" w:eastAsia="Arial" w:hAnsi="Arial"/>
                <w:sz w:val="18"/>
                <w:szCs w:val="18"/>
                <w:color w:val="auto"/>
              </w:rPr>
              <w:t>March 1, 2019</w:t>
            </w:r>
          </w:p>
        </w:tc>
        <w:tc>
          <w:tcPr>
            <w:tcW w:w="20" w:type="dxa"/>
            <w:vAlign w:val="bottom"/>
          </w:tcPr>
          <w:p>
            <w:pPr>
              <w:spacing w:after="0"/>
              <w:rPr>
                <w:sz w:val="24"/>
                <w:szCs w:val="24"/>
                <w:color w:val="auto"/>
              </w:rPr>
            </w:pPr>
          </w:p>
        </w:tc>
      </w:tr>
      <w:tr>
        <w:trPr>
          <w:trHeight w:val="250"/>
        </w:trPr>
        <w:tc>
          <w:tcPr>
            <w:tcW w:w="3560" w:type="dxa"/>
            <w:vAlign w:val="bottom"/>
          </w:tcPr>
          <w:p>
            <w:pPr>
              <w:ind w:left="80"/>
              <w:spacing w:after="0"/>
              <w:rPr>
                <w:sz w:val="20"/>
                <w:szCs w:val="20"/>
                <w:color w:val="auto"/>
              </w:rPr>
            </w:pPr>
            <w:r>
              <w:rPr>
                <w:rFonts w:ascii="Arial" w:cs="Arial" w:eastAsia="Arial" w:hAnsi="Arial"/>
                <w:sz w:val="18"/>
                <w:szCs w:val="18"/>
                <w:color w:val="auto"/>
              </w:rPr>
              <w:t>Adrian Rawcliffe</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32"/>
        </w:trPr>
        <w:tc>
          <w:tcPr>
            <w:tcW w:w="3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Ken Takanashi</w:t>
            </w:r>
          </w:p>
        </w:tc>
        <w:tc>
          <w:tcPr>
            <w:tcW w:w="18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720"/>
              <w:spacing w:after="0"/>
              <w:rPr>
                <w:sz w:val="20"/>
                <w:szCs w:val="20"/>
                <w:color w:val="auto"/>
              </w:rPr>
            </w:pPr>
            <w:r>
              <w:rPr>
                <w:rFonts w:ascii="Arial" w:cs="Arial" w:eastAsia="Arial" w:hAnsi="Arial"/>
                <w:sz w:val="18"/>
                <w:szCs w:val="18"/>
                <w:color w:val="auto"/>
              </w:rPr>
              <w:t>March 1, 2019</w:t>
            </w:r>
          </w:p>
        </w:tc>
        <w:tc>
          <w:tcPr>
            <w:tcW w:w="20" w:type="dxa"/>
            <w:vAlign w:val="bottom"/>
          </w:tcPr>
          <w:p>
            <w:pPr>
              <w:spacing w:after="0"/>
              <w:rPr>
                <w:sz w:val="24"/>
                <w:szCs w:val="24"/>
                <w:color w:val="auto"/>
              </w:rPr>
            </w:pPr>
          </w:p>
        </w:tc>
      </w:tr>
      <w:tr>
        <w:trPr>
          <w:trHeight w:val="250"/>
        </w:trPr>
        <w:tc>
          <w:tcPr>
            <w:tcW w:w="3560" w:type="dxa"/>
            <w:vAlign w:val="bottom"/>
          </w:tcPr>
          <w:p>
            <w:pPr>
              <w:ind w:left="100"/>
              <w:spacing w:after="0"/>
              <w:rPr>
                <w:sz w:val="20"/>
                <w:szCs w:val="20"/>
                <w:color w:val="auto"/>
              </w:rPr>
            </w:pPr>
            <w:r>
              <w:rPr>
                <w:rFonts w:ascii="Arial" w:cs="Arial" w:eastAsia="Arial" w:hAnsi="Arial"/>
                <w:sz w:val="18"/>
                <w:szCs w:val="18"/>
                <w:color w:val="auto"/>
              </w:rPr>
              <w:t>Ken Takanashi</w:t>
            </w:r>
          </w:p>
        </w:tc>
        <w:tc>
          <w:tcPr>
            <w:tcW w:w="1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864"/>
        </w:trPr>
        <w:tc>
          <w:tcPr>
            <w:tcW w:w="3560" w:type="dxa"/>
            <w:vAlign w:val="bottom"/>
          </w:tcPr>
          <w:p>
            <w:pPr>
              <w:spacing w:after="0"/>
              <w:rPr>
                <w:sz w:val="24"/>
                <w:szCs w:val="24"/>
                <w:color w:val="auto"/>
              </w:rPr>
            </w:pPr>
          </w:p>
        </w:tc>
        <w:tc>
          <w:tcPr>
            <w:tcW w:w="5220" w:type="dxa"/>
            <w:vAlign w:val="bottom"/>
            <w:gridSpan w:val="2"/>
          </w:tcPr>
          <w:p>
            <w:pPr>
              <w:jc w:val="right"/>
              <w:ind w:right="2851"/>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60" w:type="dxa"/>
            <w:vAlign w:val="bottom"/>
            <w:gridSpan w:val="4"/>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0"/>
                <w:szCs w:val="20"/>
                <w:color w:val="auto"/>
              </w:rPr>
            </w:pPr>
          </w:p>
        </w:tc>
      </w:tr>
      <w:tr>
        <w:trPr>
          <w:trHeight w:val="392"/>
        </w:trPr>
        <w:tc>
          <w:tcPr>
            <w:tcW w:w="9620" w:type="dxa"/>
            <w:vAlign w:val="bottom"/>
            <w:gridSpan w:val="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Report of Independent Registered Public Accounting Firm</w:t>
              </w:r>
            </w:hyperlink>
          </w:p>
        </w:tc>
        <w:tc>
          <w:tcPr>
            <w:tcW w:w="1800" w:type="dxa"/>
            <w:vAlign w:val="bottom"/>
          </w:tcPr>
          <w:p>
            <w:pPr>
              <w:ind w:left="1560"/>
              <w:spacing w:after="0"/>
              <w:rPr>
                <w:sz w:val="20"/>
                <w:szCs w:val="20"/>
                <w:color w:val="auto"/>
              </w:rPr>
            </w:pPr>
            <w:r>
              <w:rPr>
                <w:rFonts w:ascii="Arial" w:cs="Arial" w:eastAsia="Arial" w:hAnsi="Arial"/>
                <w:sz w:val="18"/>
                <w:szCs w:val="18"/>
                <w:color w:val="auto"/>
                <w:w w:val="81"/>
              </w:rPr>
              <w:t>F-1</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5400" w:type="dxa"/>
            <w:vAlign w:val="bottom"/>
            <w:gridSpan w:val="3"/>
          </w:tcPr>
          <w:p>
            <w:pPr>
              <w:spacing w:after="0"/>
              <w:rPr>
                <w:sz w:val="17"/>
                <w:szCs w:val="17"/>
                <w:color w:val="auto"/>
              </w:rPr>
            </w:pPr>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F-2</w:t>
            </w:r>
          </w:p>
        </w:tc>
      </w:tr>
      <w:tr>
        <w:trPr>
          <w:trHeight w:val="196"/>
        </w:trPr>
        <w:tc>
          <w:tcPr>
            <w:tcW w:w="9620" w:type="dxa"/>
            <w:vAlign w:val="bottom"/>
            <w:gridSpan w:val="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Operations and Comprehensive Loss</w:t>
              </w:r>
            </w:hyperlink>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620" w:type="dxa"/>
            <w:vAlign w:val="bottom"/>
            <w:gridSpan w:val="7"/>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Series A Preferred Shares and Shareholders’ Equity</w:t>
              </w:r>
            </w:hyperlink>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Statements of Cash Flows</w:t>
              </w:r>
            </w:hyperlink>
          </w:p>
        </w:tc>
        <w:tc>
          <w:tcPr>
            <w:tcW w:w="2880" w:type="dxa"/>
            <w:vAlign w:val="bottom"/>
            <w:tcBorders>
              <w:top w:val="single" w:sz="8" w:color="0000EE"/>
            </w:tcBorders>
            <w:gridSpan w:val="4"/>
          </w:tcPr>
          <w:p>
            <w:pPr>
              <w:spacing w:after="0"/>
              <w:rPr>
                <w:sz w:val="17"/>
                <w:szCs w:val="17"/>
                <w:color w:val="auto"/>
              </w:rPr>
            </w:pPr>
          </w:p>
        </w:tc>
        <w:tc>
          <w:tcPr>
            <w:tcW w:w="3860" w:type="dxa"/>
            <w:vAlign w:val="bottom"/>
          </w:tcPr>
          <w:p>
            <w:pPr>
              <w:spacing w:after="0"/>
              <w:rPr>
                <w:sz w:val="17"/>
                <w:szCs w:val="17"/>
                <w:color w:val="auto"/>
              </w:rPr>
            </w:pPr>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Notes to Consolidated Financial Statements</w:t>
              </w:r>
            </w:hyperlink>
          </w:p>
        </w:tc>
        <w:tc>
          <w:tcPr>
            <w:tcW w:w="6460" w:type="dxa"/>
            <w:vAlign w:val="bottom"/>
            <w:gridSpan w:val="4"/>
          </w:tcPr>
          <w:p>
            <w:pPr>
              <w:spacing w:after="0"/>
              <w:rPr>
                <w:sz w:val="17"/>
                <w:szCs w:val="17"/>
                <w:color w:val="auto"/>
              </w:rPr>
            </w:pPr>
          </w:p>
        </w:tc>
        <w:tc>
          <w:tcPr>
            <w:tcW w:w="1800" w:type="dxa"/>
            <w:vAlign w:val="bottom"/>
          </w:tcPr>
          <w:p>
            <w:pPr>
              <w:ind w:left="1560"/>
              <w:spacing w:after="0" w:line="196" w:lineRule="exact"/>
              <w:rPr>
                <w:sz w:val="20"/>
                <w:szCs w:val="20"/>
                <w:color w:val="auto"/>
              </w:rPr>
            </w:pPr>
            <w:r>
              <w:rPr>
                <w:rFonts w:ascii="Arial" w:cs="Arial" w:eastAsia="Arial" w:hAnsi="Arial"/>
                <w:sz w:val="18"/>
                <w:szCs w:val="18"/>
                <w:color w:val="auto"/>
                <w:w w:val="81"/>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have audited the accompanying consolidated balance sheets of Wave Life Sciences Ltd. and subsidiaries (the Company) as of December 31, 2018 and 2017, the related consolidated statements of operations and comprehensive loss, Series A preferred shares and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in conformity with U.S. generally accepted accounting principles.</w:t>
      </w:r>
    </w:p>
    <w:p>
      <w:pPr>
        <w:spacing w:after="0" w:line="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2019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174,819</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accounts receivable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202,273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Long-term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receivable, net of current portion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295,940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Series A preferred shares and shareholders’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13,089</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capital lease obligation</w:t>
            </w: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Current portion of deferred revenue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100,945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lease incentive obligation</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130,041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Deferred rent, net of current portion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Lease incentive obligation, net of current portion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84,677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214,718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80" w:type="dxa"/>
            <w:vAlign w:val="bottom"/>
          </w:tcPr>
          <w:p>
            <w:pPr>
              <w:spacing w:after="0"/>
              <w:rPr>
                <w:sz w:val="20"/>
                <w:szCs w:val="20"/>
                <w:color w:val="auto"/>
              </w:rPr>
            </w:pPr>
            <w:r>
              <w:rPr>
                <w:rFonts w:ascii="Arial" w:cs="Arial" w:eastAsia="Arial" w:hAnsi="Arial"/>
                <w:sz w:val="18"/>
                <w:szCs w:val="18"/>
                <w:color w:val="auto"/>
              </w:rPr>
              <w:t>Series A preferred shares, no par value; 3,901,348 shares issued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and outstanding at December 31, 2018 and 2017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7,874</w:t>
            </w:r>
          </w:p>
        </w:tc>
        <w:tc>
          <w:tcPr>
            <w:tcW w:w="1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Ordinary shares, no par value; 29,472,197 and 27,829,079 shares issued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and outstanding at December 31, 2018 and 2017,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375,148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310,038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(339,721)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(192,716)</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Series A preferred shares and shareholders’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295,940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8"/>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(159,523)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(102,391)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Dividend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(146,584)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63"/>
        </w:trPr>
        <w:tc>
          <w:tcPr>
            <w:tcW w:w="6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(146,653)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(101,980)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(55,660)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ordinary</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shareholders—basic and diluted</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(5.06)</w:t>
            </w:r>
          </w:p>
        </w:tc>
        <w:tc>
          <w:tcPr>
            <w:tcW w:w="4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(3.85)</w:t>
            </w: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ordinary shares used in computing</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20"/>
              <w:spacing w:after="0"/>
              <w:rPr>
                <w:sz w:val="20"/>
                <w:szCs w:val="20"/>
                <w:color w:val="auto"/>
              </w:rPr>
            </w:pPr>
            <w:r>
              <w:rPr>
                <w:rFonts w:ascii="Arial" w:cs="Arial" w:eastAsia="Arial" w:hAnsi="Arial"/>
                <w:sz w:val="18"/>
                <w:szCs w:val="18"/>
                <w:color w:val="auto"/>
              </w:rPr>
              <w:t>net loss per share attributable to ordinary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shareholders—basic and diluted</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28,970,404</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26,513,382</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22,800,628</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(146,653)</w:t>
            </w:r>
          </w:p>
        </w:tc>
        <w:tc>
          <w:tcPr>
            <w:tcW w:w="4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(101,980)</w:t>
            </w: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(146,616)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(101,573)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SERIES A PREFERRED SHARES AND SHAREHOLDERS’ EQUITY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60" w:type="dxa"/>
            <w:vAlign w:val="bottom"/>
            <w:gridSpan w:val="4"/>
          </w:tcPr>
          <w:p>
            <w:pPr>
              <w:jc w:val="center"/>
              <w:ind w:left="661"/>
              <w:spacing w:after="0"/>
              <w:rPr>
                <w:sz w:val="20"/>
                <w:szCs w:val="20"/>
                <w:color w:val="auto"/>
              </w:rPr>
            </w:pPr>
            <w:r>
              <w:rPr>
                <w:rFonts w:ascii="Arial" w:cs="Arial" w:eastAsia="Arial" w:hAnsi="Arial"/>
                <w:sz w:val="14"/>
                <w:szCs w:val="14"/>
                <w:b w:val="1"/>
                <w:bCs w:val="1"/>
                <w:color w:val="auto"/>
                <w:w w:val="85"/>
              </w:rPr>
              <w:t>Series A</w:t>
            </w:r>
          </w:p>
        </w:tc>
        <w:tc>
          <w:tcPr>
            <w:tcW w:w="7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2240" w:type="dxa"/>
            <w:vAlign w:val="bottom"/>
            <w:tcBorders>
              <w:right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86"/>
              </w:rPr>
              <w:t>Preferred Shares</w:t>
            </w:r>
          </w:p>
        </w:tc>
        <w:tc>
          <w:tcPr>
            <w:tcW w:w="100" w:type="dxa"/>
            <w:vAlign w:val="bottom"/>
          </w:tcPr>
          <w:p>
            <w:pPr>
              <w:spacing w:after="0"/>
              <w:rPr>
                <w:sz w:val="14"/>
                <w:szCs w:val="14"/>
                <w:color w:val="auto"/>
              </w:rPr>
            </w:pPr>
          </w:p>
        </w:tc>
        <w:tc>
          <w:tcPr>
            <w:tcW w:w="19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Ordinary 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Additional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3"/>
        </w:trPr>
        <w:tc>
          <w:tcPr>
            <w:tcW w:w="24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61"/>
              <w:spacing w:after="0" w:line="143" w:lineRule="exact"/>
              <w:rPr>
                <w:sz w:val="20"/>
                <w:szCs w:val="20"/>
                <w:color w:val="auto"/>
              </w:rPr>
            </w:pPr>
            <w:r>
              <w:rPr>
                <w:rFonts w:ascii="Arial" w:cs="Arial" w:eastAsia="Arial" w:hAnsi="Arial"/>
                <w:sz w:val="14"/>
                <w:szCs w:val="14"/>
                <w:b w:val="1"/>
                <w:bCs w:val="1"/>
                <w:color w:val="auto"/>
                <w:w w:val="93"/>
              </w:rPr>
              <w:t>Paid-In-</w:t>
            </w:r>
          </w:p>
        </w:tc>
        <w:tc>
          <w:tcPr>
            <w:tcW w:w="220" w:type="dxa"/>
            <w:vAlign w:val="bottom"/>
          </w:tcPr>
          <w:p>
            <w:pPr>
              <w:spacing w:after="0"/>
              <w:rPr>
                <w:sz w:val="12"/>
                <w:szCs w:val="12"/>
                <w:color w:val="auto"/>
              </w:rPr>
            </w:pPr>
          </w:p>
        </w:tc>
        <w:tc>
          <w:tcPr>
            <w:tcW w:w="10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2"/>
                <w:szCs w:val="12"/>
                <w:color w:val="auto"/>
              </w:rPr>
            </w:pPr>
          </w:p>
        </w:tc>
        <w:tc>
          <w:tcPr>
            <w:tcW w:w="1120" w:type="dxa"/>
            <w:vAlign w:val="bottom"/>
            <w:gridSpan w:val="3"/>
          </w:tcPr>
          <w:p>
            <w:pPr>
              <w:jc w:val="right"/>
              <w:ind w:right="300"/>
              <w:spacing w:after="0" w:line="143" w:lineRule="exact"/>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w w:val="85"/>
              </w:rPr>
              <w:t>Shareholders’</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CFF0FC"/>
              <w:right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Capital</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6"/>
              </w:rPr>
              <w:t>Balance as of December 31, 2015</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3,901,348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7,874</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21,551,423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185,344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3,182</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2"/>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(35,076)</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Issuance of ordinary shares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Option exercises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75,746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w w:val="96"/>
              </w:rPr>
              <w:t>Other comprehensive income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Net loss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(55,660)</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(55,660)</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2016</w:t>
            </w: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60" w:type="dxa"/>
            <w:vAlign w:val="bottom"/>
            <w:vMerge w:val="continue"/>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3,901,348</w:t>
            </w:r>
          </w:p>
        </w:tc>
        <w:tc>
          <w:tcPr>
            <w:tcW w:w="3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7,874</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23,502,169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215,602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10,029</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(291)</w:t>
            </w:r>
          </w:p>
        </w:tc>
        <w:tc>
          <w:tcPr>
            <w:tcW w:w="260" w:type="dxa"/>
            <w:vAlign w:val="bottom"/>
            <w:gridSpan w:val="2"/>
            <w:shd w:val="clear" w:color="auto" w:fill="CFF0FC"/>
          </w:tcPr>
          <w:p>
            <w:pPr>
              <w:jc w:val="right"/>
              <w:ind w:right="12"/>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(90,736)</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Issuance of ordinary shares,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120"/>
              <w:spacing w:after="0"/>
              <w:rPr>
                <w:sz w:val="20"/>
                <w:szCs w:val="20"/>
                <w:color w:val="auto"/>
              </w:rPr>
            </w:pPr>
            <w:r>
              <w:rPr>
                <w:rFonts w:ascii="Arial" w:cs="Arial" w:eastAsia="Arial" w:hAnsi="Arial"/>
                <w:sz w:val="16"/>
                <w:szCs w:val="16"/>
                <w:color w:val="auto"/>
              </w:rPr>
              <w:t>net of issuance costs of $491</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4,166,667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93,509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93,509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Vesting of RSUs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Option exercises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137,493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w w:val="96"/>
              </w:rPr>
              <w:t>Other comprehensive income (loss)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(101,980)</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(101,980)</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2017</w:t>
            </w: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460" w:type="dxa"/>
            <w:vAlign w:val="bottom"/>
            <w:vMerge w:val="continue"/>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3,901,348</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7,874</w:t>
            </w:r>
          </w:p>
        </w:tc>
        <w:tc>
          <w:tcPr>
            <w:tcW w:w="2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27,829,079</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310,038</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22,172</w:t>
            </w:r>
          </w:p>
        </w:tc>
        <w:tc>
          <w:tcPr>
            <w:tcW w:w="4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21"/>
                <w:szCs w:val="21"/>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(192,716)</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139,610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Issuance of ordinary shares</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right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1,096,892</w:t>
            </w: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15,596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Vesting of RSUs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rPr>
              <w:t>Option exercises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507,632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Impact of adoption of ASU 2016-</w:t>
            </w: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16</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(352)</w:t>
            </w: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20"/>
                <w:szCs w:val="20"/>
                <w:color w:val="auto"/>
              </w:rPr>
            </w:pPr>
            <w:r>
              <w:rPr>
                <w:rFonts w:ascii="Arial" w:cs="Arial" w:eastAsia="Arial" w:hAnsi="Arial"/>
                <w:sz w:val="16"/>
                <w:szCs w:val="16"/>
                <w:color w:val="auto"/>
                <w:w w:val="96"/>
              </w:rPr>
              <w:t>Other comprehensive income (loss)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(146,653)</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(146,653)</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Balance at December 31, 2018</w:t>
            </w: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46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3,901,348</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7,874</w:t>
            </w:r>
          </w:p>
        </w:tc>
        <w:tc>
          <w:tcPr>
            <w:tcW w:w="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29,472,197</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375,148</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37,768</w:t>
            </w:r>
          </w:p>
        </w:tc>
        <w:tc>
          <w:tcPr>
            <w:tcW w:w="4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153</w:t>
            </w:r>
          </w:p>
        </w:tc>
        <w:tc>
          <w:tcPr>
            <w:tcW w:w="140" w:type="dxa"/>
            <w:vAlign w:val="bottom"/>
          </w:tcPr>
          <w:p>
            <w:pPr>
              <w:spacing w:after="0"/>
              <w:rPr>
                <w:sz w:val="17"/>
                <w:szCs w:val="17"/>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(339,721)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73,348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For the Year Ended December 31,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6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7"/>
                <w:szCs w:val="17"/>
                <w:color w:val="auto"/>
              </w:rPr>
              <w:t>Net loss</w:t>
            </w:r>
          </w:p>
        </w:tc>
        <w:tc>
          <w:tcPr>
            <w:tcW w:w="1620" w:type="dxa"/>
            <w:vAlign w:val="bottom"/>
            <w:gridSpan w:val="2"/>
          </w:tcPr>
          <w:p>
            <w:pPr>
              <w:jc w:val="right"/>
              <w:ind w:right="787"/>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w w:val="93"/>
              </w:rPr>
              <w:t>(146,653)</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(101,980)</w:t>
            </w:r>
          </w:p>
        </w:tc>
        <w:tc>
          <w:tcPr>
            <w:tcW w:w="380" w:type="dxa"/>
            <w:vAlign w:val="bottom"/>
            <w:gridSpan w:val="2"/>
          </w:tcPr>
          <w:p>
            <w:pPr>
              <w:jc w:val="right"/>
              <w:ind w:right="205"/>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(55,660)</w:t>
            </w:r>
          </w:p>
        </w:tc>
      </w:tr>
      <w:tr>
        <w:trPr>
          <w:trHeight w:val="198"/>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net loss to net cash</w:t>
            </w:r>
          </w:p>
        </w:tc>
        <w:tc>
          <w:tcPr>
            <w:tcW w:w="6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0"/>
        </w:trPr>
        <w:tc>
          <w:tcPr>
            <w:tcW w:w="53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provided by (used in) operating activities:</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5320" w:type="dxa"/>
            <w:vAlign w:val="bottom"/>
          </w:tcPr>
          <w:p>
            <w:pPr>
              <w:ind w:left="260"/>
              <w:spacing w:after="0"/>
              <w:rPr>
                <w:sz w:val="20"/>
                <w:szCs w:val="20"/>
                <w:color w:val="auto"/>
              </w:rPr>
            </w:pPr>
            <w:r>
              <w:rPr>
                <w:rFonts w:ascii="Arial" w:cs="Arial" w:eastAsia="Arial" w:hAnsi="Arial"/>
                <w:sz w:val="17"/>
                <w:szCs w:val="17"/>
                <w:color w:val="auto"/>
              </w:rPr>
              <w:t>Amortization of lease incentive obligation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rPr>
              <w:t>(790)</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(208)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3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Depreciation of property and equipment</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5,581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60"/>
              <w:spacing w:after="0"/>
              <w:rPr>
                <w:sz w:val="20"/>
                <w:szCs w:val="20"/>
                <w:color w:val="auto"/>
              </w:rPr>
            </w:pPr>
            <w:r>
              <w:rPr>
                <w:rFonts w:ascii="Arial" w:cs="Arial" w:eastAsia="Arial" w:hAnsi="Arial"/>
                <w:sz w:val="17"/>
                <w:szCs w:val="17"/>
                <w:color w:val="auto"/>
              </w:rPr>
              <w:t>Share-based compensation expense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15,596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12,143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6,847</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Net (gain) loss on disposal of property and equipment</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320" w:type="dxa"/>
            <w:vAlign w:val="bottom"/>
          </w:tcPr>
          <w:p>
            <w:pPr>
              <w:ind w:left="260"/>
              <w:spacing w:after="0"/>
              <w:rPr>
                <w:sz w:val="20"/>
                <w:szCs w:val="20"/>
                <w:color w:val="auto"/>
              </w:rPr>
            </w:pPr>
            <w:r>
              <w:rPr>
                <w:rFonts w:ascii="Arial" w:cs="Arial" w:eastAsia="Arial" w:hAnsi="Arial"/>
                <w:sz w:val="17"/>
                <w:szCs w:val="17"/>
                <w:color w:val="auto"/>
              </w:rPr>
              <w:t>Deferred rent</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973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Deferred income taxes</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908</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(698)</w:t>
            </w:r>
          </w:p>
        </w:tc>
      </w:tr>
      <w:tr>
        <w:trPr>
          <w:trHeight w:val="216"/>
        </w:trPr>
        <w:tc>
          <w:tcPr>
            <w:tcW w:w="5320" w:type="dxa"/>
            <w:vAlign w:val="bottom"/>
          </w:tcPr>
          <w:p>
            <w:pPr>
              <w:ind w:left="260"/>
              <w:spacing w:after="0"/>
              <w:rPr>
                <w:sz w:val="20"/>
                <w:szCs w:val="20"/>
                <w:color w:val="auto"/>
              </w:rPr>
            </w:pPr>
            <w:r>
              <w:rPr>
                <w:rFonts w:ascii="Arial" w:cs="Arial" w:eastAsia="Arial" w:hAnsi="Arial"/>
                <w:sz w:val="17"/>
                <w:szCs w:val="17"/>
                <w:color w:val="auto"/>
              </w:rPr>
              <w:t>Tax benefit related to share-based compensation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(310)</w:t>
            </w:r>
          </w:p>
        </w:tc>
      </w:tr>
      <w:tr>
        <w:trPr>
          <w:trHeight w:val="216"/>
        </w:trPr>
        <w:tc>
          <w:tcPr>
            <w:tcW w:w="53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rPr>
              <w:t>(59,000)</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5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7"/>
                <w:szCs w:val="17"/>
                <w:color w:val="auto"/>
              </w:rPr>
              <w:t>(10,469)</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(5,502)</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(1,337)</w:t>
            </w:r>
          </w:p>
        </w:tc>
      </w:tr>
      <w:tr>
        <w:trPr>
          <w:trHeight w:val="216"/>
        </w:trPr>
        <w:tc>
          <w:tcPr>
            <w:tcW w:w="5320" w:type="dxa"/>
            <w:vAlign w:val="bottom"/>
          </w:tcPr>
          <w:p>
            <w:pPr>
              <w:ind w:left="500"/>
              <w:spacing w:after="0"/>
              <w:rPr>
                <w:sz w:val="20"/>
                <w:szCs w:val="20"/>
                <w:color w:val="auto"/>
              </w:rPr>
            </w:pPr>
            <w:r>
              <w:rPr>
                <w:rFonts w:ascii="Arial" w:cs="Arial" w:eastAsia="Arial" w:hAnsi="Arial"/>
                <w:sz w:val="17"/>
                <w:szCs w:val="17"/>
                <w:color w:val="auto"/>
              </w:rPr>
              <w:t>Other assets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rPr>
              <w:t>(52)</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(358)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(53)</w:t>
            </w:r>
          </w:p>
        </w:tc>
      </w:tr>
      <w:tr>
        <w:trPr>
          <w:trHeight w:val="216"/>
        </w:trPr>
        <w:tc>
          <w:tcPr>
            <w:tcW w:w="5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payable</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4,936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3,892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3,369</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500"/>
              <w:spacing w:after="0"/>
              <w:rPr>
                <w:sz w:val="20"/>
                <w:szCs w:val="20"/>
                <w:color w:val="auto"/>
              </w:rPr>
            </w:pPr>
            <w:r>
              <w:rPr>
                <w:rFonts w:ascii="Arial" w:cs="Arial" w:eastAsia="Arial" w:hAnsi="Arial"/>
                <w:sz w:val="17"/>
                <w:szCs w:val="17"/>
                <w:color w:val="auto"/>
              </w:rPr>
              <w:t>Accrued expenses and other current liabilities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5,864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2,296</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160,585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(2,893)</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11,408</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7"/>
                <w:szCs w:val="17"/>
                <w:color w:val="auto"/>
              </w:rPr>
              <w:t>Other non-current liabilities</w:t>
            </w:r>
          </w:p>
        </w:tc>
        <w:tc>
          <w:tcPr>
            <w:tcW w:w="6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864</w:t>
            </w:r>
          </w:p>
        </w:tc>
        <w:tc>
          <w:tcPr>
            <w:tcW w:w="100" w:type="dxa"/>
            <w:vAlign w:val="bottom"/>
            <w:tcBorders>
              <w:bottom w:val="single" w:sz="8" w:color="CFF0FC"/>
            </w:tcBorders>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Net cash used in operating activities</w:t>
            </w:r>
          </w:p>
        </w:tc>
        <w:tc>
          <w:tcPr>
            <w:tcW w:w="6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7"/>
              </w:rPr>
              <w:t>(22,862)</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(83,671)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(31,925)</w:t>
            </w:r>
          </w:p>
        </w:tc>
        <w:tc>
          <w:tcPr>
            <w:tcW w:w="100" w:type="dxa"/>
            <w:vAlign w:val="bottom"/>
            <w:shd w:val="clear" w:color="auto" w:fill="CFF0FC"/>
          </w:tcPr>
          <w:p>
            <w:pPr>
              <w:spacing w:after="0"/>
              <w:rPr>
                <w:sz w:val="18"/>
                <w:szCs w:val="18"/>
                <w:color w:val="auto"/>
              </w:rPr>
            </w:pPr>
          </w:p>
        </w:tc>
      </w:tr>
      <w:tr>
        <w:trPr>
          <w:trHeight w:val="206"/>
        </w:trPr>
        <w:tc>
          <w:tcPr>
            <w:tcW w:w="53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Proceeds from the sale of property and equipment</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FF0FC"/>
          </w:tcPr>
          <w:p>
            <w:pPr>
              <w:spacing w:after="0"/>
              <w:rPr>
                <w:sz w:val="19"/>
                <w:szCs w:val="19"/>
                <w:color w:val="auto"/>
              </w:rPr>
            </w:pPr>
          </w:p>
        </w:tc>
      </w:tr>
      <w:tr>
        <w:trPr>
          <w:trHeight w:val="198"/>
        </w:trPr>
        <w:tc>
          <w:tcPr>
            <w:tcW w:w="5320" w:type="dxa"/>
            <w:vAlign w:val="bottom"/>
          </w:tcPr>
          <w:p>
            <w:pPr>
              <w:spacing w:after="0"/>
              <w:rPr>
                <w:sz w:val="20"/>
                <w:szCs w:val="20"/>
                <w:color w:val="auto"/>
              </w:rPr>
            </w:pPr>
            <w:r>
              <w:rPr>
                <w:rFonts w:ascii="Arial" w:cs="Arial" w:eastAsia="Arial" w:hAnsi="Arial"/>
                <w:sz w:val="17"/>
                <w:szCs w:val="17"/>
                <w:color w:val="auto"/>
              </w:rPr>
              <w:t>Purchases of property and equipment, net of</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5320" w:type="dxa"/>
            <w:vAlign w:val="bottom"/>
          </w:tcPr>
          <w:p>
            <w:pPr>
              <w:ind w:left="140"/>
              <w:spacing w:after="0"/>
              <w:rPr>
                <w:sz w:val="20"/>
                <w:szCs w:val="20"/>
                <w:color w:val="auto"/>
              </w:rPr>
            </w:pPr>
            <w:r>
              <w:rPr>
                <w:rFonts w:ascii="Arial" w:cs="Arial" w:eastAsia="Arial" w:hAnsi="Arial"/>
                <w:sz w:val="17"/>
                <w:szCs w:val="17"/>
                <w:color w:val="auto"/>
              </w:rPr>
              <w:t>tenant improvement allowances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7"/>
                <w:szCs w:val="17"/>
                <w:color w:val="auto"/>
              </w:rPr>
              <w:t>(9,938)</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(18,887)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(5,567)</w:t>
            </w:r>
          </w:p>
        </w:tc>
      </w:tr>
      <w:tr>
        <w:trPr>
          <w:trHeight w:val="212"/>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used in investing activities</w:t>
            </w:r>
          </w:p>
        </w:tc>
        <w:tc>
          <w:tcPr>
            <w:tcW w:w="6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(9,938)</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(18,887)</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(5,563)</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53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Costs associated with initial public offering</w:t>
            </w:r>
          </w:p>
        </w:tc>
        <w:tc>
          <w:tcPr>
            <w:tcW w:w="6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8"/>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(1,075)</w:t>
            </w:r>
          </w:p>
        </w:tc>
      </w:tr>
      <w:tr>
        <w:trPr>
          <w:trHeight w:val="216"/>
        </w:trPr>
        <w:tc>
          <w:tcPr>
            <w:tcW w:w="5320" w:type="dxa"/>
            <w:vAlign w:val="bottom"/>
          </w:tcPr>
          <w:p>
            <w:pPr>
              <w:spacing w:after="0"/>
              <w:rPr>
                <w:sz w:val="20"/>
                <w:szCs w:val="20"/>
                <w:color w:val="auto"/>
              </w:rPr>
            </w:pPr>
            <w:r>
              <w:rPr>
                <w:rFonts w:ascii="Arial" w:cs="Arial" w:eastAsia="Arial" w:hAnsi="Arial"/>
                <w:sz w:val="17"/>
                <w:szCs w:val="17"/>
                <w:color w:val="auto"/>
              </w:rPr>
              <w:t>Proceeds from issuance of ordinary shares, net of offering costs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93,509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Payments on capital lease obligation</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8"/>
              <w:spacing w:after="0"/>
              <w:rPr>
                <w:sz w:val="20"/>
                <w:szCs w:val="20"/>
                <w:color w:val="auto"/>
              </w:rPr>
            </w:pPr>
            <w:r>
              <w:rPr>
                <w:rFonts w:ascii="Arial" w:cs="Arial" w:eastAsia="Arial" w:hAnsi="Arial"/>
                <w:sz w:val="17"/>
                <w:szCs w:val="17"/>
                <w:color w:val="auto"/>
              </w:rPr>
              <w:t>(16)</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(62)</w:t>
            </w: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(62)</w:t>
            </w:r>
          </w:p>
        </w:tc>
      </w:tr>
      <w:tr>
        <w:trPr>
          <w:trHeight w:val="216"/>
        </w:trPr>
        <w:tc>
          <w:tcPr>
            <w:tcW w:w="53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Proceeds from the exercise of share options</w:t>
            </w:r>
          </w:p>
        </w:tc>
        <w:tc>
          <w:tcPr>
            <w:tcW w:w="6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5,110</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Borders>
              <w:bottom w:val="single" w:sz="8" w:color="CFF0FC"/>
            </w:tcBorders>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6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65,094</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94,374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29,121</w:t>
            </w:r>
          </w:p>
        </w:tc>
        <w:tc>
          <w:tcPr>
            <w:tcW w:w="100" w:type="dxa"/>
            <w:vAlign w:val="bottom"/>
            <w:shd w:val="clear" w:color="auto" w:fill="CFF0FC"/>
          </w:tcPr>
          <w:p>
            <w:pPr>
              <w:spacing w:after="0"/>
              <w:rPr>
                <w:sz w:val="18"/>
                <w:szCs w:val="18"/>
                <w:color w:val="auto"/>
              </w:rPr>
            </w:pPr>
          </w:p>
        </w:tc>
      </w:tr>
      <w:tr>
        <w:trPr>
          <w:trHeight w:val="210"/>
        </w:trPr>
        <w:tc>
          <w:tcPr>
            <w:tcW w:w="53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Effect of foreign exchange rates on cash</w:t>
            </w:r>
          </w:p>
        </w:tc>
        <w:tc>
          <w:tcPr>
            <w:tcW w:w="6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FF0FC"/>
            </w:tcBorders>
          </w:tcPr>
          <w:p>
            <w:pPr>
              <w:spacing w:after="0"/>
              <w:rPr>
                <w:sz w:val="18"/>
                <w:szCs w:val="18"/>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6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32,331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(7,781)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(8,381)</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beginning of period</w:t>
            </w:r>
          </w:p>
        </w:tc>
        <w:tc>
          <w:tcPr>
            <w:tcW w:w="6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146,113</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153,894</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162,275</w:t>
            </w:r>
          </w:p>
        </w:tc>
        <w:tc>
          <w:tcPr>
            <w:tcW w:w="100" w:type="dxa"/>
            <w:vAlign w:val="bottom"/>
            <w:tcBorders>
              <w:bottom w:val="single" w:sz="8" w:color="CFF0FC"/>
            </w:tcBorders>
          </w:tcPr>
          <w:p>
            <w:pPr>
              <w:spacing w:after="0"/>
              <w:rPr>
                <w:sz w:val="18"/>
                <w:szCs w:val="18"/>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cash equivalents and restricted cash, end of period</w:t>
            </w:r>
          </w:p>
        </w:tc>
        <w:tc>
          <w:tcPr>
            <w:tcW w:w="6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178,444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146,113</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153,894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t>Wave Life Sciences Ltd.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Wave Life Sciences Ltd. (together with its subsidiaries, “Wave” or the “Company”) is a clinical-stage genetic medicines company committed to delivering life-changing treatments for people battling devastating diseases. Using PRISM, Wave’s proprietary discovery and drug development platform, enables Wave to target genetically defined diseases with stereopure oligonucleotides across multiple therapeutic modalities.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was incorporated in Singapore on July 23, 2012 and has its principal U.S. office in Cambridge, Massachusetts. The Company was incorporated with the purpose of combining two commonly held companies, Wave Life Sciences USA, Inc. (“Wave USA”), a Delaware corporation (formerly Ontorii, Inc.), and Wave Life Sciences Japan, Inc. (“Wave Japan”), a company organized under the laws of Japan (formerly Chiralgen., Ltd.), which occurred on September 13, 2012. On May 31, 2016, Wave Life Sciences Ireland Limited (“Wave Ireland”) was formed as a wholly</w:t>
      </w:r>
      <w:r>
        <w:rPr>
          <w:rFonts w:ascii="Arial" w:cs="Arial" w:eastAsia="Arial" w:hAnsi="Arial"/>
          <w:sz w:val="16"/>
          <w:szCs w:val="16"/>
          <w:b w:val="1"/>
          <w:bCs w:val="1"/>
          <w:color w:val="auto"/>
        </w:rPr>
        <w:t>-</w:t>
      </w:r>
      <w:r>
        <w:rPr>
          <w:rFonts w:ascii="Arial" w:cs="Arial" w:eastAsia="Arial" w:hAnsi="Arial"/>
          <w:sz w:val="16"/>
          <w:szCs w:val="16"/>
          <w:color w:val="auto"/>
        </w:rPr>
        <w:t>owned subsidiary of Wave Life Sciences Ltd. On April 3, 2017, Wave Life Sciences UK Limited (“Wave UK”) was formed as a wholly</w:t>
      </w:r>
      <w:r>
        <w:rPr>
          <w:rFonts w:ascii="Arial" w:cs="Arial" w:eastAsia="Arial" w:hAnsi="Arial"/>
          <w:sz w:val="16"/>
          <w:szCs w:val="16"/>
          <w:b w:val="1"/>
          <w:bCs w:val="1"/>
          <w:color w:val="auto"/>
        </w:rPr>
        <w:t>-</w:t>
      </w:r>
      <w:r>
        <w:rPr>
          <w:rFonts w:ascii="Arial" w:cs="Arial" w:eastAsia="Arial" w:hAnsi="Arial"/>
          <w:sz w:val="16"/>
          <w:szCs w:val="16"/>
          <w:color w:val="auto"/>
        </w:rPr>
        <w:t>owned subsidiary of Wave Life Sciences Ltd.</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primary activities since inception have been developing PRISM to design, develop and commercialize oligonucleotide therapeutics, advancing the Company’s neurology business, building the Company’s research and development activities in ophthalmology and hepatic, advancing programs into the clinic, furthering clinical development of such clinical-stage programs, building the Company’s intellectual property, and assuring adequate capital to support these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is subject to risks common to companies in the biotechnology industry including, but not limited to, new technological innovations, protection of proprietary technology, developing internal manufacturing capabilities, dependence on key personnel, compliance with government regulations and the need to obtain additional financing. The Company’s therapeutic programs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efforts will be successful,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prepared the accompanying consolidated financial statements in conformity with generally accepted accounting principles in the United States (“U.S. GAAP”) and in U.S. dollars.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securities with original final maturities of three months or less from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comprised of funds in money market accounts.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consolidated financial statements include the accounts of the Company and its wholly-owned subsidiaries. All intercompany balances and transactions have been eliminated in consolidation.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the valuation of the Company’s ordinary shares prior to the initial public offering in November 2015, the assumptions used to determine the fair value of share-based awards, the Company’s revenue recognition policy, particularly, (a) assessing the number of performance obligations; (b) determining the transaction price; (c) allocating the transaction price to the performance obligations in the contract; and (d) determining the pattern over which performance obligations are satisfied, including estimates to complete performance obligations, the evaluation of progress to completion of external research and development costs which can result in prepaid or accrued expenses related to the Company’s contract research organizations (“CROs”) and contract manufacturing organizations (“CMOs”), and the valuation allowance required for the Company’s deferred tax assets and determining uncertain tax positions and the related liabilities. Estimates are periodically reviewed in light of changes in circumstances, facts and experience. Actual results could differ from the Company’s estimates.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developing its proprietary discovery and drug development platform, PRISM, to develop and commercialize a broad pipeline of nucleic acid-based therapeutics, or oligonucleotides.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functional currency is the U.S. dollar for all of the Company’s entities aside from Wave Japan, which has the Japanese Yen as its functional currency. Assets and liabilities of Wave Japan are translated at period end exchange rates while revenues and expenses are translated at average exchange rates for the period. Net unrealized gains and losses from foreign currency translation are reflected as other comprehensive income (loss) within the consolidated statements of Series A preferred shares and shareholders’ equity and the consolidated statements of operations and comprehensive loss. Gains and losses on foreign currency transactions are included in the consolidated statements of operations and comprehensive loss within other income (expenses), net.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required to disclose information on all assets and liabilities reported at fair value that enables an assessment of the inputs used in determining the reported fair values. The fair value hierarchy is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financial instrument based on market data obtained from sources independent of the Company. Unobservable inputs are inputs that reflect the Company’s assumptions about the inputs that market participants would use in pricing the financial instrument and are developed based on the information available in the circumstances. The fair value hierarchy applies only to the valuation inputs used in determining the reported fair value of the investments and is not a measure of the investment credit quality. The hierarchy defines three levels of valuation inputs: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1—Unadjusted quoted prices in active markets that are accessible at the measurement date of identical, unrestricted assets.</w:t>
      </w:r>
    </w:p>
    <w:p>
      <w:pPr>
        <w:spacing w:after="0" w:line="117" w:lineRule="exact"/>
        <w:rPr>
          <w:sz w:val="20"/>
          <w:szCs w:val="20"/>
          <w:color w:val="auto"/>
        </w:rPr>
      </w:pPr>
    </w:p>
    <w:p>
      <w:pPr>
        <w:ind w:left="520" w:right="160"/>
        <w:spacing w:after="0" w:line="264" w:lineRule="auto"/>
        <w:rPr>
          <w:sz w:val="20"/>
          <w:szCs w:val="20"/>
          <w:color w:val="auto"/>
        </w:rPr>
      </w:pPr>
      <w:r>
        <w:rPr>
          <w:rFonts w:ascii="Arial" w:cs="Arial" w:eastAsia="Arial" w:hAnsi="Arial"/>
          <w:sz w:val="18"/>
          <w:szCs w:val="18"/>
          <w:color w:val="auto"/>
        </w:rPr>
        <w:t>Level 2—Quoted prices for similar assets, or inputs that are observable, either directly or indirectly, for substantially the full term through corroboration with observable market data. Level 2 includes investments valued at quoted prices adjusted for legal or contractual restrictions specific to the security.</w:t>
      </w:r>
    </w:p>
    <w:p>
      <w:pPr>
        <w:spacing w:after="0" w:line="73" w:lineRule="exact"/>
        <w:rPr>
          <w:sz w:val="20"/>
          <w:szCs w:val="20"/>
          <w:color w:val="auto"/>
        </w:rPr>
      </w:pPr>
    </w:p>
    <w:p>
      <w:pPr>
        <w:ind w:left="520" w:right="80"/>
        <w:spacing w:after="0" w:line="308" w:lineRule="auto"/>
        <w:rPr>
          <w:sz w:val="20"/>
          <w:szCs w:val="20"/>
          <w:color w:val="auto"/>
        </w:rPr>
      </w:pPr>
      <w:r>
        <w:rPr>
          <w:rFonts w:ascii="Arial" w:cs="Arial" w:eastAsia="Arial" w:hAnsi="Arial"/>
          <w:sz w:val="17"/>
          <w:szCs w:val="17"/>
          <w:color w:val="auto"/>
        </w:rPr>
        <w:t>Level 3—Pricing inputs are unobservable for the asset, that is, inputs that reflect the reporting entity’s own assumptions about the assumptions market participants would use in pricing the asset. Level 3 includes private investments that are supported by little or no market activity.</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cash equivalents and restricted cash are Level 1 assets which are comprised of funds held in checking and money market accounts. Cash, cash equivalents and restricted cash were recorded at fair value as of December 31, 2018 and 2017, totaling $178.4 million and $146.1 million, respectively. The carrying amounts of accounts payable and accrued expenses approximate their fair values due to their short-term maturities. Accounts receivable relate to the Company’s collaboration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and cash equivalents are financial instruments that potentially subject the Company to concentration of credit risk. The Company uses several financial institutions to maintain its cash and cash equivalents, all of which are high quality, accredited financial institutions and, accordingly, such funds are subject to minimal credit risk. The Company has not experienced any losses in such accounts and management believes that the Company is not exposed to significant credit risk due to the financial position of the depository institutions in which those deposits are held. The Company has no financial instruments with off-balance sheet risk of loss.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Restricted cash consists primarily of cash placed in separate restricted bank accounts as required under the terms of the Company’s lease agreements for its Cambridge, Massachusetts and Lexington, Massachusetts facilities (refer to Note 8). As of December 31, 2018 and 2017, the Company had $3.6 million of restricted cash, of which $2.6 million related to the Lexington facility and $1.0 million related to the Cambridge facility.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Property and equipment, which consists primarily of equipment, furniture, software and leasehold improvements, are stated at cost less accumulated depreciation. Depreciation is calculated on a straight-line basis over the following estimated useful lives of the assets:</w:t>
      </w:r>
    </w:p>
    <w:p>
      <w:pPr>
        <w:sectPr>
          <w:pgSz w:w="11900" w:h="16838" w:orient="portrait"/>
          <w:cols w:equalWidth="0" w:num="1">
            <w:col w:w="11420"/>
          </w:cols>
          <w:pgMar w:left="240" w:top="449"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Equipment, Furniture and Software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3-7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asset life or lease term</w:t>
      </w:r>
    </w:p>
    <w:p>
      <w:pPr>
        <w:spacing w:after="0" w:line="222" w:lineRule="exact"/>
        <w:rPr>
          <w:sz w:val="20"/>
          <w:szCs w:val="20"/>
          <w:color w:val="auto"/>
        </w:rPr>
      </w:pPr>
    </w:p>
    <w:p>
      <w:pPr>
        <w:sectPr>
          <w:pgSz w:w="11900" w:h="16838" w:orient="portrait"/>
          <w:cols w:equalWidth="0" w:num="2">
            <w:col w:w="5140" w:space="720"/>
            <w:col w:w="5560"/>
          </w:cols>
          <w:pgMar w:left="240" w:top="449" w:right="239" w:bottom="1440" w:gutter="0" w:footer="0" w:header="0"/>
          <w:type w:val="continuous"/>
        </w:sectPr>
      </w:pPr>
    </w:p>
    <w:p>
      <w:pPr>
        <w:spacing w:after="0" w:line="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Depreciation begins at the time the asset is placed in service. Maintenance and repairs are charged to operations as incurred. Upon retirement or sale, the cost of the disposed asset and the related accumulated depreciation are removed from the accounts and any resulting gain or loss is reflected in the consolidated statements of operations and comprehensive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Long-lived assets consist of property and equipment. Long-lived assets are reviewed for impairment whenever events or other changes in circumstances indicate that the carrying amount may not be recoverable. Certain factors may exist or events may occur that indicate that impairment exists including, but not limited to, the following: significant underperformance relative to historical or projected future operating results; significant changes in the manner of use of the underlying assets; and significant adverse industry or market economic trends.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When performing the impairment assessment for long-lived assets, the Company compares the carrying value of such assets to the estimated undiscounted future net cash flows expected from the use of the assets and their eventual disposition. In the event that the carrying value of the assets is determined to be unrecoverable, the Company would estimate the fair value of the assets and record an impairment charge for the excess of the carrying value over the fair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Effective January 1, 2018, the Company adopted Accounting Standards Codification (“ASC”) Topic 606, Revenue from Contracts with Customers (“ASC 606”), using the full retrospective transition method. Under this method, the Company revised its consolidated financial statements for the years ended December 31, 2017 and 2016, and applicable interim periods within those years, as if ASC 606 had been effective for those periods.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to which it is entitled in exchange for the goods or services it transfers to the customer. 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Company has entered into collaboration agreements for research, development, and commercial services, under which the Company licenses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Any variable consideration is constrained and, therefore, the cumulative revenue associated with this consideration is not recognized until it is deemed not to be at significant risk of reversal.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16" w:name="page117"/>
    <w:bookmarkEnd w:id="116"/>
    <w:p>
      <w:pPr>
        <w:spacing w:after="0" w:line="237" w:lineRule="auto"/>
        <w:rPr>
          <w:sz w:val="20"/>
          <w:szCs w:val="20"/>
          <w:color w:val="auto"/>
        </w:rPr>
      </w:pPr>
      <w:r>
        <w:rPr>
          <w:rFonts w:ascii="Arial" w:cs="Arial" w:eastAsia="Arial" w:hAnsi="Arial"/>
          <w:sz w:val="17"/>
          <w:szCs w:val="17"/>
          <w:color w:val="auto"/>
        </w:rPr>
        <w:t>In determining the appropriate amount of revenue to be recognized as the Company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timing of satisfaction of performance obligations as a measure of progress in step (v) above. The Company uses significant judgment to determine whether milestones or other variable consideration, except for royalties, should be included in the transaction price as described further below. The transaction price is allocated to the optional goods and services the Company expects to provide. The Company uses estimates to determine the timing of satisfaction of performance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Amounts received prior to being recognized as revenue are recorded as deferred revenue. Amounts expected to be recognized as revenue within the</w:t>
      </w:r>
    </w:p>
    <w:p>
      <w:pPr>
        <w:spacing w:after="0" w:line="1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In assessing whether a promise or performance obligation is distinct from the other promises, the Company considers</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such as the research, development,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i w:val="1"/>
          <w:iCs w:val="1"/>
          <w:color w:val="auto"/>
        </w:rPr>
        <w:t>Research and development services</w:t>
      </w:r>
      <w:r>
        <w:rPr>
          <w:rFonts w:ascii="Arial" w:cs="Arial" w:eastAsia="Arial" w:hAnsi="Arial"/>
          <w:sz w:val="16"/>
          <w:szCs w:val="16"/>
          <w:color w:val="auto"/>
        </w:rPr>
        <w:t>: If an arrangement is determined to contain a promise or obligation for the Company to perform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the Company must determine whether these services are distinct from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 additional goods or services, the goods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standalone selling price. As a practical alternative to estimating the standalone selling price when the goods or services are both (i) similar to the original goods and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not recognized as revenue until the option is exercised and the performance obligation is satisfied.</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milestone payments, the Company evaluates whether a significant reversal of</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7" w:name="page118"/>
    <w:bookmarkEnd w:id="117"/>
    <w:p>
      <w:pPr>
        <w:ind w:right="10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Contract costs</w:t>
      </w:r>
      <w:r>
        <w:rPr>
          <w:rFonts w:ascii="Arial" w:cs="Arial" w:eastAsia="Arial" w:hAnsi="Arial"/>
          <w:sz w:val="18"/>
          <w:szCs w:val="18"/>
          <w:color w:val="auto"/>
        </w:rPr>
        <w:t>: The Company recognizes as an asset the incremental costs of obtaining a contract with a customer if the costs are expected to be recovered.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practical expedient, the Company recognizes the incremental costs of obtaining a contract as an expense when incurred if the amortization period of the asset that it otherwise would have recognized is one year or less. To date, the Company has not incurred any incremental costs of obtaining a contract with a customer.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of accounting for collaboration revenues, see Note 5.</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had no product revenue to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Research and development expenses are expensed as incurred. External development costs are recognized based on an evaluation of the progress to completion of specific tasks. Payments for these activities are based on the terms of the individual agreements, which may differ from the pattern of costs incurred, and are reflected in the accompanying consolidated balance sheets as prepaid or accrued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Refundable Tax Credits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is eligible for refundable tax credits with tax authorities for certain qualified operating expenses. The Company recognizes refundable tax credits when there is reasonable assurance that the Company will comply with the requirements of the refundable tax credit and that the refundable tax credit will be received.</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Refundable tax credits are recorded as income and classified in other income (expense), net in the consolidated statements of operations and comprehensive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Basic net loss per share is computed using the weighted-average number of ordinary shares outstanding during the period. Diluted net loss per share is computed using the sum of the weighted-average number of ordinary shares outstanding during the period and, if dilutive, the weighted-average number of potential ordinary shares, including the assumed exercise of share options.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applies the two-class method to calculate its basic and diluted net loss per share attributable to ordinary shareholders, as its Series A preferred shares are participating securities. The two-class method is an earnings allocation formula that treats a participating security as having rights to earnings that otherwise would have been available to ordinary shareholders. However, for the periods presented, the two-class method does not impact the net loss per ordinary share as the Company was in a net loss position for each of the periods presented and holders of Series A preferred shares do not participate in losses.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Series A preferred shares contractually entitle the holders of such shares to participate in dividends but do not contractually require the holders of such shares to participate in losses of the Company. Accordingly, for periods in which the Company reports a net loss attributable to ordinary shareholders, diluted net loss per share attributable to ordinary shareholders is the same as basic net loss per share attributable to ordinary shareholders, since dilutive ordinary shares are not assumed to have been issued if their effect is anti-dilutive.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and Patent Costs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Costs associated with licenses of technology and patent costs are expensed as incurred and are generally included in research and development expense in the consolidated statements of operations and comprehensive loss.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measures and recognizes share-based compensation expense, for both employee and director option awards, based on the grant date fair value of the awards. The Company calculates the fair value of restricted share unit awards based on the grant date fair value of the underlying ordinary shares. The Company recognizes share-based compensation expense on a straight-line basis over the requisite service period of the awards, which is generally the vesting period.</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determines the fair value of share-based awards granted to non-employees as either the fair value of the consideration received or the fair value of the equity instruments issued, whichever is more reliably measurable. All equity instruments issued to non-employees as consideration for goods or services received by the Company are accounted for based on the fair value of the equity instruments issued. These awards are recorded in expense and additional paid-in capital in shareholders’ equity over the applicable service periods based on the fair value of the options at the end of each period. The Company accounts for the expense from share-based awards to non-employees by re-measuring the awards at fair value over the vesting period.</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classifies share-based compensation expense in its consolidated statements of operations and comprehensive loss in the same manner in which the award recipient’s compensation costs are classified or in which the award recipient’s service payments are classified.</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fair value of each share option grant was determined using the methods and assumptions discussed below. These inputs are generally subjective and require significant judgment and estimation by management.</w:t>
      </w:r>
    </w:p>
    <w:p>
      <w:pPr>
        <w:spacing w:after="0" w:line="62" w:lineRule="exact"/>
        <w:rPr>
          <w:sz w:val="20"/>
          <w:szCs w:val="20"/>
          <w:color w:val="auto"/>
        </w:rPr>
      </w:pPr>
    </w:p>
    <w:p>
      <w:pPr>
        <w:ind w:left="1040" w:right="4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Ordinary Shares </w:t>
      </w:r>
      <w:r>
        <w:rPr>
          <w:rFonts w:ascii="Arial" w:cs="Arial" w:eastAsia="Arial" w:hAnsi="Arial"/>
          <w:sz w:val="18"/>
          <w:szCs w:val="18"/>
          <w:color w:val="auto"/>
        </w:rPr>
        <w:t>The fair value of the ordinary shares underlying the Company’s share-based awards is based on the closing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Company’s ordinary shares as reported by the Nasdaq Global Market on the date of grant.</w:t>
      </w:r>
    </w:p>
    <w:p>
      <w:pPr>
        <w:spacing w:after="0" w:line="62"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share options represents the weighted-average period that the share options are expected to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The Company estimated the expected term using the simplified method, which is an average of the contractual term of the option and the vesting period.</w:t>
      </w:r>
    </w:p>
    <w:p>
      <w:pPr>
        <w:spacing w:after="0" w:line="73" w:lineRule="exact"/>
        <w:rPr>
          <w:rFonts w:ascii="Arial" w:cs="Arial" w:eastAsia="Arial" w:hAnsi="Arial"/>
          <w:sz w:val="18"/>
          <w:szCs w:val="18"/>
          <w:color w:val="auto"/>
        </w:rPr>
      </w:pPr>
    </w:p>
    <w:p>
      <w:pPr>
        <w:ind w:left="1040" w:right="80" w:hanging="519"/>
        <w:spacing w:after="0" w:line="286"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there is limited historical data for the Company’s ordinary shares and limited company-specific historical volatility, it</w:t>
      </w:r>
      <w:r>
        <w:rPr>
          <w:rFonts w:ascii="Arial" w:cs="Arial" w:eastAsia="Arial" w:hAnsi="Arial"/>
          <w:sz w:val="17"/>
          <w:szCs w:val="17"/>
          <w:i w:val="1"/>
          <w:iCs w:val="1"/>
          <w:color w:val="auto"/>
        </w:rPr>
        <w:t xml:space="preserve"> </w:t>
      </w:r>
      <w:r>
        <w:rPr>
          <w:rFonts w:ascii="Arial" w:cs="Arial" w:eastAsia="Arial" w:hAnsi="Arial"/>
          <w:sz w:val="17"/>
          <w:szCs w:val="17"/>
          <w:color w:val="auto"/>
        </w:rPr>
        <w:t>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57" w:lineRule="exact"/>
        <w:rPr>
          <w:rFonts w:ascii="Arial" w:cs="Arial" w:eastAsia="Arial" w:hAnsi="Arial"/>
          <w:sz w:val="17"/>
          <w:szCs w:val="17"/>
          <w:color w:val="auto"/>
        </w:rPr>
      </w:pPr>
    </w:p>
    <w:p>
      <w:pPr>
        <w:ind w:left="1040" w:right="460" w:hanging="519"/>
        <w:spacing w:after="0" w:line="277" w:lineRule="auto"/>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in effect at the time of the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remaining terms similar to the expected term of the options.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Dividend Rate </w:t>
      </w:r>
      <w:r>
        <w:rPr>
          <w:rFonts w:ascii="Arial" w:cs="Arial" w:eastAsia="Arial" w:hAnsi="Arial"/>
          <w:sz w:val="16"/>
          <w:szCs w:val="16"/>
          <w:color w:val="auto"/>
        </w:rPr>
        <w:t>The expected dividend was assumed to be zero as the Company has never paid dividends and has no current plans to do so.</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accounts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 Therefore, the Company provides a valuation allowance to the extent that it is more likely than not that all or a portion of the deferred tax assets will not be realized in the future.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recognizes interest and penalties related to uncertain tax positions in the income tax provision on the consolidated statements of operations and comprehensive loss.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has certain service arrangements in place between its U.S., Japan, UK and Singapore entities, which include transfer pricing assumptions. The determination of the appropriate level of transfer pricing requires judgment based on transfer pricing analyses of comparable companies. The Company monitors the nature of its service arrangements for changes in its operations as well as economic conditions. The Company also periodically reviews the transfer pricing analyses for changes in the composition in the pool of comparable companies as well as the related ongoing results of the comparable companies.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February 2016, the Financial Accounting Standards Board (the “FASB”) issued Accounting Standards Update (“ASU”) No. 2016-02, Leases (“ASU 2016-02”)</w:t>
      </w:r>
      <w:r>
        <w:rPr>
          <w:rFonts w:ascii="Arial" w:cs="Arial" w:eastAsia="Arial" w:hAnsi="Arial"/>
          <w:sz w:val="16"/>
          <w:szCs w:val="16"/>
          <w:i w:val="1"/>
          <w:iCs w:val="1"/>
          <w:color w:val="auto"/>
        </w:rPr>
        <w:t>,</w:t>
      </w:r>
      <w:r>
        <w:rPr>
          <w:rFonts w:ascii="Arial" w:cs="Arial" w:eastAsia="Arial" w:hAnsi="Arial"/>
          <w:sz w:val="16"/>
          <w:szCs w:val="16"/>
          <w:color w:val="auto"/>
        </w:rPr>
        <w:t xml:space="preserve"> which was further clarified in July 2018 when the FASB issued Accounting Standards Update No. 2018-10, Codification Improvements to Topic 842, Leases (“ASU 2018-10”) and Accounting Standards Update No. 2018-11, Leases (Topic 842)—Targeted Improvements (“ASU 2018-11”). ASU 2016-02, ASU 2018-10 and ASU 2018-11 require a lessee to recognize assets and liabilities on the balance sheet for operating leases and changes many key definitions, including the definition of a lease. The update includes a short-term lease exception for leases with a term of 12 months or less, in which a lessee can make an accounting policy election not to recognize lease assets and lease liabilities.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have not significantly changed from previous U.S.</w:t>
      </w:r>
    </w:p>
    <w:p>
      <w:pPr>
        <w:spacing w:after="0" w:line="1"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GAAP. Lessees and lessors are required to recognize and measure leases at the beginning of the earliest period presented using a modified retrospective approach. The modified retrospective approach includes a number of optional practical expedients that entities may elect to apply, as well as transition guidance specific to nonstandard leasing transactions. ASU 2016-02, ASU 2018-10 and ASU 2018-11 are effective for fiscal years beginning after December 15, 2018, and interim periods within those fiscal years. The adoption of the new standard will result in the recognition of a material right-of-use asset and lease liability on the Company’s consolidated balance sheet. The Company does not expect the adoption of the new standard to have a material impact on its consolidated statement of operations or its liquidity.</w:t>
      </w:r>
    </w:p>
    <w:p>
      <w:pPr>
        <w:spacing w:after="0" w:line="17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February 2018, the FASB issued Accounting Standards Update No. 2018-02, Income Statement—Reporting Comprehensive Income (Topic 220): Reclassification of Certain Tax Effects from Accumulated Other Comprehensive Income (“ASU 2018-02”), which allows companies to make a one-time reclassification of the stranded tax effects (as defined by ASU 2018-02) from accumulated other comprehensive income to retained earnings as a result of the tax legislation enacted in December 2017, commonly known as the “Tax Cuts and Jobs Act” (the “Tax Act”), and requires certain disclosures about the stranded tax effects. The new guidance is effective for fiscal years beginning after December 15, 2018, including interim periods within those fiscal years. The Company is currently evaluating the potential impact that the adoption of ASU 2018-02 may have on its consolidated financial statements.</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March 2018, the FASB issued Accounting Standards Update No. 2018-05, Income Taxes (Topic 740): Amendments to SEC Paragraphs Pursuant to SEC Staff Accounting Bulletin No. 118 (“ASU 2018-05”). The standard amends Accounting Standards Codification 740, Income Taxes (“ASC 740”), to provide guidance on accounting for the tax effects of the Tax Act pursuant to Staff Accounting Bulletin No. 118. As of December 31, 2018, the Company has finalized its accounting for the impact of 2018-05. In 2018, the Company recognized a $0.2 million benefit related to the remeasurement of its deferred tax assets and liabilities as a result of filing its 2017 U.S. tax return.</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November 2018, the FASB issued Accounting Standards Update No. 2018-18, Collaborative Arrangements (Topic 808): Clarifying the Interaction between Topic 808 and Topic 606 (“ASU 2018-18”). The standard amends Accounting Standards Codification 808, Collaborative Agreements and Accounting Standards Codification 606, Revenue from Contracts with Customers, to clarify the interaction between collaborative arrangement participants that should be accounted for as revenue under ASC 606. In transactions when the collaborative arrangement participant is a customer in the context of a unit of account, revenue should be accounted for using the guidance in Topic 606. The amendments in Update No. 2018-18 are effective for fiscal years beginning after December 15, 2019, and interim periods within those fiscal years. The Company is currently evaluating the new guidance included in ASU 2018-18, but does not expect it to have a material impact on its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2014, the FASB issued Accounting Standards Update No. 2014-09, which amends the guidance for accounting for revenue from contracts with customers. This ASU supersedes the revenue recognition requirements in ASC Topic 605, Revenue Recognition, (“ASC 605”), and creates a new topic, ASC 606, Revenue from Contracts with Customers. In 2015 and 2016, the FASB issued additional ASUs related to ASC 606 that delayed the effective date of the guidance and clarified various aspects of the new revenue guidance, including principal versus agent considerations, identifying performance obligations, and licensing, and they include other improvements and practical expedients. The Company adopted this new standard on January 1, 2018 using the full retrospective transition method.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i w:val="1"/>
          <w:iCs w:val="1"/>
          <w:color w:val="auto"/>
        </w:rPr>
        <w:t>Impact of Adoption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result of adopting ASC 606 on January 1, 2018, the Company has revised its comparative financial statements for the prior year as if ASC 606 had been effective for that period. As a result, the following financial statement line items were affected as of December 31, 2017 and for the years ended December 31, 2017 and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ind w:right="98"/>
              <w:spacing w:after="0"/>
              <w:rPr>
                <w:sz w:val="20"/>
                <w:szCs w:val="20"/>
                <w:color w:val="auto"/>
              </w:rPr>
            </w:pPr>
            <w:r>
              <w:rPr>
                <w:rFonts w:ascii="Arial" w:cs="Arial" w:eastAsia="Arial" w:hAnsi="Arial"/>
                <w:sz w:val="14"/>
                <w:szCs w:val="14"/>
                <w:b w:val="1"/>
                <w:bCs w:val="1"/>
                <w:color w:val="auto"/>
                <w:w w:val="90"/>
              </w:rPr>
              <w:t>As of December 31, 2017</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center"/>
              <w:ind w:right="298"/>
              <w:spacing w:after="0" w:line="133" w:lineRule="exact"/>
              <w:rPr>
                <w:sz w:val="20"/>
                <w:szCs w:val="20"/>
                <w:color w:val="auto"/>
              </w:rPr>
            </w:pPr>
            <w:r>
              <w:rPr>
                <w:rFonts w:ascii="Arial" w:cs="Arial" w:eastAsia="Arial" w:hAnsi="Arial"/>
                <w:sz w:val="14"/>
                <w:szCs w:val="14"/>
                <w:b w:val="1"/>
                <w:bCs w:val="1"/>
                <w:color w:val="auto"/>
                <w:w w:val="87"/>
              </w:rPr>
              <w:t>As revised</w:t>
            </w:r>
          </w:p>
        </w:tc>
        <w:tc>
          <w:tcPr>
            <w:tcW w:w="200" w:type="dxa"/>
            <w:vAlign w:val="bottom"/>
          </w:tcPr>
          <w:p>
            <w:pPr>
              <w:spacing w:after="0"/>
              <w:rPr>
                <w:sz w:val="11"/>
                <w:szCs w:val="11"/>
                <w:color w:val="auto"/>
              </w:rPr>
            </w:pPr>
          </w:p>
        </w:tc>
        <w:tc>
          <w:tcPr>
            <w:tcW w:w="1720" w:type="dxa"/>
            <w:vAlign w:val="bottom"/>
          </w:tcPr>
          <w:p>
            <w:pPr>
              <w:jc w:val="center"/>
              <w:ind w:right="238"/>
              <w:spacing w:after="0" w:line="133" w:lineRule="exact"/>
              <w:rPr>
                <w:sz w:val="20"/>
                <w:szCs w:val="20"/>
                <w:color w:val="auto"/>
              </w:rPr>
            </w:pPr>
            <w:r>
              <w:rPr>
                <w:rFonts w:ascii="Arial" w:cs="Arial" w:eastAsia="Arial" w:hAnsi="Arial"/>
                <w:sz w:val="14"/>
                <w:szCs w:val="14"/>
                <w:b w:val="1"/>
                <w:bCs w:val="1"/>
                <w:color w:val="auto"/>
                <w:w w:val="93"/>
              </w:rPr>
              <w:t>As originally reported</w:t>
            </w:r>
          </w:p>
        </w:tc>
        <w:tc>
          <w:tcPr>
            <w:tcW w:w="240" w:type="dxa"/>
            <w:vAlign w:val="bottom"/>
          </w:tcPr>
          <w:p>
            <w:pPr>
              <w:spacing w:after="0"/>
              <w:rPr>
                <w:sz w:val="11"/>
                <w:szCs w:val="11"/>
                <w:color w:val="auto"/>
              </w:rPr>
            </w:pPr>
          </w:p>
        </w:tc>
        <w:tc>
          <w:tcPr>
            <w:tcW w:w="15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Effect of change</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298"/>
              <w:spacing w:after="0"/>
              <w:rPr>
                <w:sz w:val="20"/>
                <w:szCs w:val="20"/>
                <w:color w:val="auto"/>
              </w:rPr>
            </w:pPr>
            <w:r>
              <w:rPr>
                <w:rFonts w:ascii="Arial" w:cs="Arial" w:eastAsia="Arial" w:hAnsi="Arial"/>
                <w:sz w:val="14"/>
                <w:szCs w:val="14"/>
                <w:b w:val="1"/>
                <w:bCs w:val="1"/>
                <w:color w:val="auto"/>
                <w:w w:val="94"/>
              </w:rPr>
              <w:t>under ASC 606</w:t>
            </w:r>
          </w:p>
        </w:tc>
        <w:tc>
          <w:tcPr>
            <w:tcW w:w="200" w:type="dxa"/>
            <w:vAlign w:val="bottom"/>
          </w:tcPr>
          <w:p>
            <w:pPr>
              <w:spacing w:after="0"/>
              <w:rPr>
                <w:sz w:val="14"/>
                <w:szCs w:val="14"/>
                <w:color w:val="auto"/>
              </w:rPr>
            </w:pPr>
          </w:p>
        </w:tc>
        <w:tc>
          <w:tcPr>
            <w:tcW w:w="1720" w:type="dxa"/>
            <w:vAlign w:val="bottom"/>
          </w:tcPr>
          <w:p>
            <w:pPr>
              <w:jc w:val="center"/>
              <w:ind w:right="258"/>
              <w:spacing w:after="0"/>
              <w:rPr>
                <w:sz w:val="20"/>
                <w:szCs w:val="20"/>
                <w:color w:val="auto"/>
              </w:rPr>
            </w:pPr>
            <w:r>
              <w:rPr>
                <w:rFonts w:ascii="Arial" w:cs="Arial" w:eastAsia="Arial" w:hAnsi="Arial"/>
                <w:sz w:val="14"/>
                <w:szCs w:val="14"/>
                <w:b w:val="1"/>
                <w:bCs w:val="1"/>
                <w:color w:val="auto"/>
                <w:w w:val="94"/>
              </w:rPr>
              <w:t>under ASC 605</w:t>
            </w:r>
          </w:p>
        </w:tc>
        <w:tc>
          <w:tcPr>
            <w:tcW w:w="2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center"/>
              <w:ind w:right="298"/>
              <w:spacing w:after="0" w:line="155" w:lineRule="exact"/>
              <w:rPr>
                <w:sz w:val="20"/>
                <w:szCs w:val="20"/>
                <w:color w:val="auto"/>
              </w:rPr>
            </w:pPr>
            <w:r>
              <w:rPr>
                <w:rFonts w:ascii="Arial" w:cs="Arial" w:eastAsia="Arial" w:hAnsi="Arial"/>
                <w:sz w:val="14"/>
                <w:szCs w:val="14"/>
                <w:color w:val="auto"/>
                <w:w w:val="92"/>
              </w:rPr>
              <w:t>(in thousands)</w:t>
            </w: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1,275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2,705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tcPr>
          <w:p>
            <w:pPr>
              <w:spacing w:after="0"/>
              <w:rPr>
                <w:sz w:val="19"/>
                <w:szCs w:val="19"/>
                <w:color w:val="auto"/>
              </w:rPr>
            </w:pPr>
          </w:p>
        </w:tc>
        <w:tc>
          <w:tcPr>
            <w:tcW w:w="1600" w:type="dxa"/>
            <w:vAlign w:val="bottom"/>
          </w:tcPr>
          <w:p>
            <w:pPr>
              <w:jc w:val="right"/>
              <w:ind w:right="78"/>
              <w:spacing w:after="0"/>
              <w:rPr>
                <w:sz w:val="20"/>
                <w:szCs w:val="20"/>
                <w:color w:val="auto"/>
              </w:rPr>
            </w:pPr>
            <w:r>
              <w:rPr>
                <w:rFonts w:ascii="Arial" w:cs="Arial" w:eastAsia="Arial" w:hAnsi="Arial"/>
                <w:sz w:val="18"/>
                <w:szCs w:val="18"/>
                <w:color w:val="auto"/>
              </w:rPr>
              <w:t>7,241</w:t>
            </w:r>
          </w:p>
        </w:tc>
        <w:tc>
          <w:tcPr>
            <w:tcW w:w="200" w:type="dxa"/>
            <w:vAlign w:val="bottom"/>
          </w:tcPr>
          <w:p>
            <w:pPr>
              <w:spacing w:after="0"/>
              <w:rPr>
                <w:sz w:val="19"/>
                <w:szCs w:val="19"/>
                <w:color w:val="auto"/>
              </w:rPr>
            </w:pPr>
          </w:p>
        </w:tc>
        <w:tc>
          <w:tcPr>
            <w:tcW w:w="1720" w:type="dxa"/>
            <w:vAlign w:val="bottom"/>
          </w:tcPr>
          <w:p>
            <w:pPr>
              <w:jc w:val="right"/>
              <w:ind w:right="138"/>
              <w:spacing w:after="0"/>
              <w:rPr>
                <w:sz w:val="20"/>
                <w:szCs w:val="20"/>
                <w:color w:val="auto"/>
              </w:rPr>
            </w:pPr>
            <w:r>
              <w:rPr>
                <w:rFonts w:ascii="Arial" w:cs="Arial" w:eastAsia="Arial" w:hAnsi="Arial"/>
                <w:sz w:val="18"/>
                <w:szCs w:val="18"/>
                <w:color w:val="auto"/>
              </w:rPr>
              <w:t>5,607</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(192,716)</w:t>
            </w: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(192,512)</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446"/>
        </w:trPr>
        <w:tc>
          <w:tcPr>
            <w:tcW w:w="592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center"/>
              <w:ind w:left="1098"/>
              <w:spacing w:after="0"/>
              <w:rPr>
                <w:sz w:val="20"/>
                <w:szCs w:val="20"/>
                <w:color w:val="auto"/>
              </w:rPr>
            </w:pPr>
            <w:r>
              <w:rPr>
                <w:rFonts w:ascii="Arial" w:cs="Arial" w:eastAsia="Arial" w:hAnsi="Arial"/>
                <w:sz w:val="14"/>
                <w:szCs w:val="14"/>
                <w:b w:val="1"/>
                <w:bCs w:val="1"/>
                <w:color w:val="auto"/>
                <w:w w:val="93"/>
              </w:rPr>
              <w:t>For the Year Ended December 31, 2017</w:t>
            </w:r>
          </w:p>
        </w:tc>
        <w:tc>
          <w:tcPr>
            <w:tcW w:w="1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center"/>
              <w:ind w:right="298"/>
              <w:spacing w:after="0" w:line="133" w:lineRule="exact"/>
              <w:rPr>
                <w:sz w:val="20"/>
                <w:szCs w:val="20"/>
                <w:color w:val="auto"/>
              </w:rPr>
            </w:pPr>
            <w:r>
              <w:rPr>
                <w:rFonts w:ascii="Arial" w:cs="Arial" w:eastAsia="Arial" w:hAnsi="Arial"/>
                <w:sz w:val="14"/>
                <w:szCs w:val="14"/>
                <w:b w:val="1"/>
                <w:bCs w:val="1"/>
                <w:color w:val="auto"/>
                <w:w w:val="87"/>
              </w:rPr>
              <w:t>As revised</w:t>
            </w:r>
          </w:p>
        </w:tc>
        <w:tc>
          <w:tcPr>
            <w:tcW w:w="200" w:type="dxa"/>
            <w:vAlign w:val="bottom"/>
          </w:tcPr>
          <w:p>
            <w:pPr>
              <w:spacing w:after="0"/>
              <w:rPr>
                <w:sz w:val="11"/>
                <w:szCs w:val="11"/>
                <w:color w:val="auto"/>
              </w:rPr>
            </w:pPr>
          </w:p>
        </w:tc>
        <w:tc>
          <w:tcPr>
            <w:tcW w:w="1720" w:type="dxa"/>
            <w:vAlign w:val="bottom"/>
          </w:tcPr>
          <w:p>
            <w:pPr>
              <w:jc w:val="center"/>
              <w:ind w:right="238"/>
              <w:spacing w:after="0" w:line="133" w:lineRule="exact"/>
              <w:rPr>
                <w:sz w:val="20"/>
                <w:szCs w:val="20"/>
                <w:color w:val="auto"/>
              </w:rPr>
            </w:pPr>
            <w:r>
              <w:rPr>
                <w:rFonts w:ascii="Arial" w:cs="Arial" w:eastAsia="Arial" w:hAnsi="Arial"/>
                <w:sz w:val="14"/>
                <w:szCs w:val="14"/>
                <w:b w:val="1"/>
                <w:bCs w:val="1"/>
                <w:color w:val="auto"/>
                <w:w w:val="93"/>
              </w:rPr>
              <w:t>As originally reported</w:t>
            </w:r>
          </w:p>
        </w:tc>
        <w:tc>
          <w:tcPr>
            <w:tcW w:w="240" w:type="dxa"/>
            <w:vAlign w:val="bottom"/>
          </w:tcPr>
          <w:p>
            <w:pPr>
              <w:spacing w:after="0"/>
              <w:rPr>
                <w:sz w:val="11"/>
                <w:szCs w:val="11"/>
                <w:color w:val="auto"/>
              </w:rPr>
            </w:pPr>
          </w:p>
        </w:tc>
        <w:tc>
          <w:tcPr>
            <w:tcW w:w="15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Effect of change</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298"/>
              <w:spacing w:after="0"/>
              <w:rPr>
                <w:sz w:val="20"/>
                <w:szCs w:val="20"/>
                <w:color w:val="auto"/>
              </w:rPr>
            </w:pPr>
            <w:r>
              <w:rPr>
                <w:rFonts w:ascii="Arial" w:cs="Arial" w:eastAsia="Arial" w:hAnsi="Arial"/>
                <w:sz w:val="14"/>
                <w:szCs w:val="14"/>
                <w:b w:val="1"/>
                <w:bCs w:val="1"/>
                <w:color w:val="auto"/>
                <w:w w:val="94"/>
              </w:rPr>
              <w:t>under ASC 606</w:t>
            </w:r>
          </w:p>
        </w:tc>
        <w:tc>
          <w:tcPr>
            <w:tcW w:w="200" w:type="dxa"/>
            <w:vAlign w:val="bottom"/>
          </w:tcPr>
          <w:p>
            <w:pPr>
              <w:spacing w:after="0"/>
              <w:rPr>
                <w:sz w:val="14"/>
                <w:szCs w:val="14"/>
                <w:color w:val="auto"/>
              </w:rPr>
            </w:pPr>
          </w:p>
        </w:tc>
        <w:tc>
          <w:tcPr>
            <w:tcW w:w="1720" w:type="dxa"/>
            <w:vAlign w:val="bottom"/>
          </w:tcPr>
          <w:p>
            <w:pPr>
              <w:jc w:val="center"/>
              <w:ind w:right="258"/>
              <w:spacing w:after="0"/>
              <w:rPr>
                <w:sz w:val="20"/>
                <w:szCs w:val="20"/>
                <w:color w:val="auto"/>
              </w:rPr>
            </w:pPr>
            <w:r>
              <w:rPr>
                <w:rFonts w:ascii="Arial" w:cs="Arial" w:eastAsia="Arial" w:hAnsi="Arial"/>
                <w:sz w:val="14"/>
                <w:szCs w:val="14"/>
                <w:b w:val="1"/>
                <w:bCs w:val="1"/>
                <w:color w:val="auto"/>
                <w:w w:val="94"/>
              </w:rPr>
              <w:t>under ASC 605</w:t>
            </w:r>
          </w:p>
        </w:tc>
        <w:tc>
          <w:tcPr>
            <w:tcW w:w="2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gridSpan w:val="3"/>
          </w:tcPr>
          <w:p>
            <w:pPr>
              <w:jc w:val="center"/>
              <w:ind w:left="1338"/>
              <w:spacing w:after="0" w:line="155" w:lineRule="exact"/>
              <w:rPr>
                <w:sz w:val="20"/>
                <w:szCs w:val="20"/>
                <w:color w:val="auto"/>
              </w:rPr>
            </w:pPr>
            <w:r>
              <w:rPr>
                <w:rFonts w:ascii="Arial" w:cs="Arial" w:eastAsia="Arial" w:hAnsi="Arial"/>
                <w:sz w:val="14"/>
                <w:szCs w:val="14"/>
                <w:color w:val="auto"/>
                <w:w w:val="90"/>
              </w:rPr>
              <w:t>(in thousands, except per share data)</w:t>
            </w: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3,893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3,704</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(102,391)</w:t>
            </w:r>
          </w:p>
        </w:tc>
        <w:tc>
          <w:tcPr>
            <w:tcW w:w="200" w:type="dxa"/>
            <w:vAlign w:val="bottom"/>
          </w:tcPr>
          <w:p>
            <w:pPr>
              <w:spacing w:after="0"/>
              <w:rPr>
                <w:sz w:val="19"/>
                <w:szCs w:val="19"/>
                <w:color w:val="auto"/>
              </w:rPr>
            </w:pPr>
          </w:p>
        </w:tc>
        <w:tc>
          <w:tcPr>
            <w:tcW w:w="1720" w:type="dxa"/>
            <w:vAlign w:val="bottom"/>
          </w:tcPr>
          <w:p>
            <w:pPr>
              <w:jc w:val="right"/>
              <w:ind w:right="58"/>
              <w:spacing w:after="0"/>
              <w:rPr>
                <w:sz w:val="20"/>
                <w:szCs w:val="20"/>
                <w:color w:val="auto"/>
              </w:rPr>
            </w:pPr>
            <w:r>
              <w:rPr>
                <w:rFonts w:ascii="Arial" w:cs="Arial" w:eastAsia="Arial" w:hAnsi="Arial"/>
                <w:sz w:val="18"/>
                <w:szCs w:val="18"/>
                <w:color w:val="auto"/>
              </w:rPr>
              <w:t>(102,580)</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(842)</w:t>
            </w: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(708)</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20"/>
                <w:szCs w:val="20"/>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(101,980)</w:t>
            </w:r>
          </w:p>
        </w:tc>
        <w:tc>
          <w:tcPr>
            <w:tcW w:w="200" w:type="dxa"/>
            <w:vAlign w:val="bottom"/>
          </w:tcPr>
          <w:p>
            <w:pPr>
              <w:spacing w:after="0"/>
              <w:rPr>
                <w:sz w:val="20"/>
                <w:szCs w:val="20"/>
                <w:color w:val="auto"/>
              </w:rPr>
            </w:pPr>
          </w:p>
        </w:tc>
        <w:tc>
          <w:tcPr>
            <w:tcW w:w="1720" w:type="dxa"/>
            <w:vAlign w:val="bottom"/>
          </w:tcPr>
          <w:p>
            <w:pPr>
              <w:jc w:val="right"/>
              <w:ind w:right="58"/>
              <w:spacing w:after="0"/>
              <w:rPr>
                <w:sz w:val="20"/>
                <w:szCs w:val="20"/>
                <w:color w:val="auto"/>
              </w:rPr>
            </w:pPr>
            <w:r>
              <w:rPr>
                <w:rFonts w:ascii="Arial" w:cs="Arial" w:eastAsia="Arial" w:hAnsi="Arial"/>
                <w:sz w:val="18"/>
                <w:szCs w:val="18"/>
                <w:color w:val="auto"/>
              </w:rPr>
              <w:t>(102,035)</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gridSpan w:val="4"/>
          </w:tcPr>
          <w:p>
            <w:pPr>
              <w:jc w:val="center"/>
              <w:ind w:left="1098"/>
              <w:spacing w:after="0"/>
              <w:rPr>
                <w:sz w:val="20"/>
                <w:szCs w:val="20"/>
                <w:color w:val="auto"/>
              </w:rPr>
            </w:pPr>
            <w:r>
              <w:rPr>
                <w:rFonts w:ascii="Arial" w:cs="Arial" w:eastAsia="Arial" w:hAnsi="Arial"/>
                <w:sz w:val="14"/>
                <w:szCs w:val="14"/>
                <w:b w:val="1"/>
                <w:bCs w:val="1"/>
                <w:color w:val="auto"/>
                <w:w w:val="93"/>
              </w:rPr>
              <w:t>For the Year Ended December 31, 2016</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9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center"/>
              <w:ind w:right="298"/>
              <w:spacing w:after="0" w:line="133" w:lineRule="exact"/>
              <w:rPr>
                <w:sz w:val="20"/>
                <w:szCs w:val="20"/>
                <w:color w:val="auto"/>
              </w:rPr>
            </w:pPr>
            <w:r>
              <w:rPr>
                <w:rFonts w:ascii="Arial" w:cs="Arial" w:eastAsia="Arial" w:hAnsi="Arial"/>
                <w:sz w:val="14"/>
                <w:szCs w:val="14"/>
                <w:b w:val="1"/>
                <w:bCs w:val="1"/>
                <w:color w:val="auto"/>
                <w:w w:val="87"/>
              </w:rPr>
              <w:t>As revised</w:t>
            </w:r>
          </w:p>
        </w:tc>
        <w:tc>
          <w:tcPr>
            <w:tcW w:w="200" w:type="dxa"/>
            <w:vAlign w:val="bottom"/>
          </w:tcPr>
          <w:p>
            <w:pPr>
              <w:spacing w:after="0"/>
              <w:rPr>
                <w:sz w:val="11"/>
                <w:szCs w:val="11"/>
                <w:color w:val="auto"/>
              </w:rPr>
            </w:pPr>
          </w:p>
        </w:tc>
        <w:tc>
          <w:tcPr>
            <w:tcW w:w="1720" w:type="dxa"/>
            <w:vAlign w:val="bottom"/>
          </w:tcPr>
          <w:p>
            <w:pPr>
              <w:jc w:val="center"/>
              <w:ind w:right="238"/>
              <w:spacing w:after="0" w:line="133" w:lineRule="exact"/>
              <w:rPr>
                <w:sz w:val="20"/>
                <w:szCs w:val="20"/>
                <w:color w:val="auto"/>
              </w:rPr>
            </w:pPr>
            <w:r>
              <w:rPr>
                <w:rFonts w:ascii="Arial" w:cs="Arial" w:eastAsia="Arial" w:hAnsi="Arial"/>
                <w:sz w:val="14"/>
                <w:szCs w:val="14"/>
                <w:b w:val="1"/>
                <w:bCs w:val="1"/>
                <w:color w:val="auto"/>
                <w:w w:val="93"/>
              </w:rPr>
              <w:t>As originally reported</w:t>
            </w:r>
          </w:p>
        </w:tc>
        <w:tc>
          <w:tcPr>
            <w:tcW w:w="240" w:type="dxa"/>
            <w:vAlign w:val="bottom"/>
          </w:tcPr>
          <w:p>
            <w:pPr>
              <w:spacing w:after="0"/>
              <w:rPr>
                <w:sz w:val="11"/>
                <w:szCs w:val="11"/>
                <w:color w:val="auto"/>
              </w:rPr>
            </w:pPr>
          </w:p>
        </w:tc>
        <w:tc>
          <w:tcPr>
            <w:tcW w:w="15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Effect of change</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298"/>
              <w:spacing w:after="0"/>
              <w:rPr>
                <w:sz w:val="20"/>
                <w:szCs w:val="20"/>
                <w:color w:val="auto"/>
              </w:rPr>
            </w:pPr>
            <w:r>
              <w:rPr>
                <w:rFonts w:ascii="Arial" w:cs="Arial" w:eastAsia="Arial" w:hAnsi="Arial"/>
                <w:sz w:val="14"/>
                <w:szCs w:val="14"/>
                <w:b w:val="1"/>
                <w:bCs w:val="1"/>
                <w:color w:val="auto"/>
                <w:w w:val="94"/>
              </w:rPr>
              <w:t>under ASC 606</w:t>
            </w:r>
          </w:p>
        </w:tc>
        <w:tc>
          <w:tcPr>
            <w:tcW w:w="200" w:type="dxa"/>
            <w:vAlign w:val="bottom"/>
          </w:tcPr>
          <w:p>
            <w:pPr>
              <w:spacing w:after="0"/>
              <w:rPr>
                <w:sz w:val="14"/>
                <w:szCs w:val="14"/>
                <w:color w:val="auto"/>
              </w:rPr>
            </w:pPr>
          </w:p>
        </w:tc>
        <w:tc>
          <w:tcPr>
            <w:tcW w:w="1720" w:type="dxa"/>
            <w:vAlign w:val="bottom"/>
          </w:tcPr>
          <w:p>
            <w:pPr>
              <w:jc w:val="center"/>
              <w:ind w:right="258"/>
              <w:spacing w:after="0"/>
              <w:rPr>
                <w:sz w:val="20"/>
                <w:szCs w:val="20"/>
                <w:color w:val="auto"/>
              </w:rPr>
            </w:pPr>
            <w:r>
              <w:rPr>
                <w:rFonts w:ascii="Arial" w:cs="Arial" w:eastAsia="Arial" w:hAnsi="Arial"/>
                <w:sz w:val="14"/>
                <w:szCs w:val="14"/>
                <w:b w:val="1"/>
                <w:bCs w:val="1"/>
                <w:color w:val="auto"/>
                <w:w w:val="94"/>
              </w:rPr>
              <w:t>under ASC 605</w:t>
            </w:r>
          </w:p>
        </w:tc>
        <w:tc>
          <w:tcPr>
            <w:tcW w:w="2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520" w:type="dxa"/>
            <w:vAlign w:val="bottom"/>
            <w:tcBorders>
              <w:top w:val="single" w:sz="8" w:color="auto"/>
            </w:tcBorders>
            <w:gridSpan w:val="3"/>
          </w:tcPr>
          <w:p>
            <w:pPr>
              <w:jc w:val="center"/>
              <w:ind w:left="1338"/>
              <w:spacing w:after="0" w:line="155" w:lineRule="exact"/>
              <w:rPr>
                <w:sz w:val="20"/>
                <w:szCs w:val="20"/>
                <w:color w:val="auto"/>
              </w:rPr>
            </w:pPr>
            <w:r>
              <w:rPr>
                <w:rFonts w:ascii="Arial" w:cs="Arial" w:eastAsia="Arial" w:hAnsi="Arial"/>
                <w:sz w:val="14"/>
                <w:szCs w:val="14"/>
                <w:color w:val="auto"/>
                <w:w w:val="90"/>
              </w:rPr>
              <w:t>(in thousands, except per share data)</w:t>
            </w: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1,092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1,485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(55,720)</w:t>
            </w:r>
          </w:p>
        </w:tc>
        <w:tc>
          <w:tcPr>
            <w:tcW w:w="200" w:type="dxa"/>
            <w:vAlign w:val="bottom"/>
          </w:tcPr>
          <w:p>
            <w:pPr>
              <w:spacing w:after="0"/>
              <w:rPr>
                <w:sz w:val="19"/>
                <w:szCs w:val="19"/>
                <w:color w:val="auto"/>
              </w:rPr>
            </w:pPr>
          </w:p>
        </w:tc>
        <w:tc>
          <w:tcPr>
            <w:tcW w:w="1720" w:type="dxa"/>
            <w:vAlign w:val="bottom"/>
          </w:tcPr>
          <w:p>
            <w:pPr>
              <w:jc w:val="right"/>
              <w:ind w:right="58"/>
              <w:spacing w:after="0"/>
              <w:rPr>
                <w:sz w:val="20"/>
                <w:szCs w:val="20"/>
                <w:color w:val="auto"/>
              </w:rPr>
            </w:pPr>
            <w:r>
              <w:rPr>
                <w:rFonts w:ascii="Arial" w:cs="Arial" w:eastAsia="Arial" w:hAnsi="Arial"/>
                <w:sz w:val="18"/>
                <w:szCs w:val="18"/>
                <w:color w:val="auto"/>
              </w:rPr>
              <w:t>(55,327)</w:t>
            </w:r>
          </w:p>
        </w:tc>
        <w:tc>
          <w:tcPr>
            <w:tcW w:w="2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(provision)</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(55,660)</w:t>
            </w:r>
          </w:p>
        </w:tc>
        <w:tc>
          <w:tcPr>
            <w:tcW w:w="200" w:type="dxa"/>
            <w:vAlign w:val="bottom"/>
          </w:tcPr>
          <w:p>
            <w:pPr>
              <w:spacing w:after="0"/>
              <w:rPr>
                <w:sz w:val="19"/>
                <w:szCs w:val="19"/>
                <w:color w:val="auto"/>
              </w:rPr>
            </w:pPr>
          </w:p>
        </w:tc>
        <w:tc>
          <w:tcPr>
            <w:tcW w:w="1720" w:type="dxa"/>
            <w:vAlign w:val="bottom"/>
          </w:tcPr>
          <w:p>
            <w:pPr>
              <w:jc w:val="right"/>
              <w:ind w:right="58"/>
              <w:spacing w:after="0"/>
              <w:rPr>
                <w:sz w:val="20"/>
                <w:szCs w:val="20"/>
                <w:color w:val="auto"/>
              </w:rPr>
            </w:pPr>
            <w:r>
              <w:rPr>
                <w:rFonts w:ascii="Arial" w:cs="Arial" w:eastAsia="Arial" w:hAnsi="Arial"/>
                <w:sz w:val="18"/>
                <w:szCs w:val="18"/>
                <w:color w:val="auto"/>
              </w:rPr>
              <w:t>(55,401)</w:t>
            </w:r>
          </w:p>
        </w:tc>
        <w:tc>
          <w:tcPr>
            <w:tcW w:w="2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5"/>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ordinary</w:t>
            </w:r>
          </w:p>
        </w:tc>
        <w:tc>
          <w:tcPr>
            <w:tcW w:w="2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shareholders—basic and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446"/>
        </w:trPr>
        <w:tc>
          <w:tcPr>
            <w:tcW w:w="5920" w:type="dxa"/>
            <w:vAlign w:val="bottom"/>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220" w:type="dxa"/>
            <w:vAlign w:val="bottom"/>
          </w:tcPr>
          <w:p>
            <w:pPr>
              <w:spacing w:after="0"/>
              <w:rPr>
                <w:sz w:val="24"/>
                <w:szCs w:val="24"/>
                <w:color w:val="auto"/>
              </w:rPr>
            </w:pPr>
          </w:p>
        </w:tc>
        <w:tc>
          <w:tcPr>
            <w:tcW w:w="3760" w:type="dxa"/>
            <w:vAlign w:val="bottom"/>
            <w:gridSpan w:val="4"/>
            <w:vMerge w:val="restart"/>
          </w:tcPr>
          <w:p>
            <w:pPr>
              <w:jc w:val="center"/>
              <w:ind w:left="1098"/>
              <w:spacing w:after="0"/>
              <w:rPr>
                <w:sz w:val="20"/>
                <w:szCs w:val="20"/>
                <w:color w:val="auto"/>
              </w:rPr>
            </w:pPr>
            <w:r>
              <w:rPr>
                <w:rFonts w:ascii="Arial" w:cs="Arial" w:eastAsia="Arial" w:hAnsi="Arial"/>
                <w:sz w:val="14"/>
                <w:szCs w:val="14"/>
                <w:b w:val="1"/>
                <w:bCs w:val="1"/>
                <w:color w:val="auto"/>
                <w:w w:val="93"/>
              </w:rPr>
              <w:t>For the Year Ended December 31, 2017</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4"/>
            <w:vMerge w:val="continue"/>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center"/>
              <w:ind w:right="298"/>
              <w:spacing w:after="0" w:line="133" w:lineRule="exact"/>
              <w:rPr>
                <w:sz w:val="20"/>
                <w:szCs w:val="20"/>
                <w:color w:val="auto"/>
              </w:rPr>
            </w:pPr>
            <w:r>
              <w:rPr>
                <w:rFonts w:ascii="Arial" w:cs="Arial" w:eastAsia="Arial" w:hAnsi="Arial"/>
                <w:sz w:val="14"/>
                <w:szCs w:val="14"/>
                <w:b w:val="1"/>
                <w:bCs w:val="1"/>
                <w:color w:val="auto"/>
                <w:w w:val="87"/>
              </w:rPr>
              <w:t>As revised</w:t>
            </w:r>
          </w:p>
        </w:tc>
        <w:tc>
          <w:tcPr>
            <w:tcW w:w="200" w:type="dxa"/>
            <w:vAlign w:val="bottom"/>
          </w:tcPr>
          <w:p>
            <w:pPr>
              <w:spacing w:after="0"/>
              <w:rPr>
                <w:sz w:val="11"/>
                <w:szCs w:val="11"/>
                <w:color w:val="auto"/>
              </w:rPr>
            </w:pPr>
          </w:p>
        </w:tc>
        <w:tc>
          <w:tcPr>
            <w:tcW w:w="1720" w:type="dxa"/>
            <w:vAlign w:val="bottom"/>
          </w:tcPr>
          <w:p>
            <w:pPr>
              <w:jc w:val="center"/>
              <w:ind w:right="238"/>
              <w:spacing w:after="0" w:line="133" w:lineRule="exact"/>
              <w:rPr>
                <w:sz w:val="20"/>
                <w:szCs w:val="20"/>
                <w:color w:val="auto"/>
              </w:rPr>
            </w:pPr>
            <w:r>
              <w:rPr>
                <w:rFonts w:ascii="Arial" w:cs="Arial" w:eastAsia="Arial" w:hAnsi="Arial"/>
                <w:sz w:val="14"/>
                <w:szCs w:val="14"/>
                <w:b w:val="1"/>
                <w:bCs w:val="1"/>
                <w:color w:val="auto"/>
                <w:w w:val="93"/>
              </w:rPr>
              <w:t>As originally reported</w:t>
            </w:r>
          </w:p>
        </w:tc>
        <w:tc>
          <w:tcPr>
            <w:tcW w:w="240" w:type="dxa"/>
            <w:vAlign w:val="bottom"/>
          </w:tcPr>
          <w:p>
            <w:pPr>
              <w:spacing w:after="0"/>
              <w:rPr>
                <w:sz w:val="11"/>
                <w:szCs w:val="11"/>
                <w:color w:val="auto"/>
              </w:rPr>
            </w:pPr>
          </w:p>
        </w:tc>
        <w:tc>
          <w:tcPr>
            <w:tcW w:w="15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Effect of change</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298"/>
              <w:spacing w:after="0"/>
              <w:rPr>
                <w:sz w:val="20"/>
                <w:szCs w:val="20"/>
                <w:color w:val="auto"/>
              </w:rPr>
            </w:pPr>
            <w:r>
              <w:rPr>
                <w:rFonts w:ascii="Arial" w:cs="Arial" w:eastAsia="Arial" w:hAnsi="Arial"/>
                <w:sz w:val="14"/>
                <w:szCs w:val="14"/>
                <w:b w:val="1"/>
                <w:bCs w:val="1"/>
                <w:color w:val="auto"/>
                <w:w w:val="94"/>
              </w:rPr>
              <w:t>under ASC 606</w:t>
            </w:r>
          </w:p>
        </w:tc>
        <w:tc>
          <w:tcPr>
            <w:tcW w:w="200" w:type="dxa"/>
            <w:vAlign w:val="bottom"/>
          </w:tcPr>
          <w:p>
            <w:pPr>
              <w:spacing w:after="0"/>
              <w:rPr>
                <w:sz w:val="14"/>
                <w:szCs w:val="14"/>
                <w:color w:val="auto"/>
              </w:rPr>
            </w:pPr>
          </w:p>
        </w:tc>
        <w:tc>
          <w:tcPr>
            <w:tcW w:w="1720" w:type="dxa"/>
            <w:vAlign w:val="bottom"/>
          </w:tcPr>
          <w:p>
            <w:pPr>
              <w:jc w:val="center"/>
              <w:ind w:right="258"/>
              <w:spacing w:after="0"/>
              <w:rPr>
                <w:sz w:val="20"/>
                <w:szCs w:val="20"/>
                <w:color w:val="auto"/>
              </w:rPr>
            </w:pPr>
            <w:r>
              <w:rPr>
                <w:rFonts w:ascii="Arial" w:cs="Arial" w:eastAsia="Arial" w:hAnsi="Arial"/>
                <w:sz w:val="14"/>
                <w:szCs w:val="14"/>
                <w:b w:val="1"/>
                <w:bCs w:val="1"/>
                <w:color w:val="auto"/>
                <w:w w:val="94"/>
              </w:rPr>
              <w:t>under ASC 605</w:t>
            </w:r>
          </w:p>
        </w:tc>
        <w:tc>
          <w:tcPr>
            <w:tcW w:w="2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center"/>
              <w:ind w:right="298"/>
              <w:spacing w:after="0" w:line="155" w:lineRule="exact"/>
              <w:rPr>
                <w:sz w:val="20"/>
                <w:szCs w:val="20"/>
                <w:color w:val="auto"/>
              </w:rPr>
            </w:pPr>
            <w:r>
              <w:rPr>
                <w:rFonts w:ascii="Arial" w:cs="Arial" w:eastAsia="Arial" w:hAnsi="Arial"/>
                <w:sz w:val="14"/>
                <w:szCs w:val="14"/>
                <w:color w:val="auto"/>
                <w:w w:val="92"/>
              </w:rPr>
              <w:t>(in thousands)</w:t>
            </w: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(101,980)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(102,035)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Adjustments to reconcile net loss to net cash</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provided by (used in) operating activities:</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908</w:t>
            </w: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(2,893)</w:t>
            </w: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(2,704)</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393"/>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60" w:type="dxa"/>
            <w:vAlign w:val="bottom"/>
            <w:gridSpan w:val="4"/>
          </w:tcPr>
          <w:p>
            <w:pPr>
              <w:jc w:val="center"/>
              <w:ind w:left="1098"/>
              <w:spacing w:after="0"/>
              <w:rPr>
                <w:sz w:val="20"/>
                <w:szCs w:val="20"/>
                <w:color w:val="auto"/>
              </w:rPr>
            </w:pPr>
            <w:r>
              <w:rPr>
                <w:rFonts w:ascii="Arial" w:cs="Arial" w:eastAsia="Arial" w:hAnsi="Arial"/>
                <w:sz w:val="14"/>
                <w:szCs w:val="14"/>
                <w:b w:val="1"/>
                <w:bCs w:val="1"/>
                <w:color w:val="auto"/>
                <w:w w:val="93"/>
              </w:rPr>
              <w:t>For the Year Ended December 31, 2016</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59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5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tcPr>
          <w:p>
            <w:pPr>
              <w:jc w:val="center"/>
              <w:ind w:right="298"/>
              <w:spacing w:after="0" w:line="133" w:lineRule="exact"/>
              <w:rPr>
                <w:sz w:val="20"/>
                <w:szCs w:val="20"/>
                <w:color w:val="auto"/>
              </w:rPr>
            </w:pPr>
            <w:r>
              <w:rPr>
                <w:rFonts w:ascii="Arial" w:cs="Arial" w:eastAsia="Arial" w:hAnsi="Arial"/>
                <w:sz w:val="14"/>
                <w:szCs w:val="14"/>
                <w:b w:val="1"/>
                <w:bCs w:val="1"/>
                <w:color w:val="auto"/>
                <w:w w:val="87"/>
              </w:rPr>
              <w:t>As revised</w:t>
            </w:r>
          </w:p>
        </w:tc>
        <w:tc>
          <w:tcPr>
            <w:tcW w:w="200" w:type="dxa"/>
            <w:vAlign w:val="bottom"/>
          </w:tcPr>
          <w:p>
            <w:pPr>
              <w:spacing w:after="0"/>
              <w:rPr>
                <w:sz w:val="11"/>
                <w:szCs w:val="11"/>
                <w:color w:val="auto"/>
              </w:rPr>
            </w:pPr>
          </w:p>
        </w:tc>
        <w:tc>
          <w:tcPr>
            <w:tcW w:w="1720" w:type="dxa"/>
            <w:vAlign w:val="bottom"/>
          </w:tcPr>
          <w:p>
            <w:pPr>
              <w:jc w:val="center"/>
              <w:ind w:right="238"/>
              <w:spacing w:after="0" w:line="133" w:lineRule="exact"/>
              <w:rPr>
                <w:sz w:val="20"/>
                <w:szCs w:val="20"/>
                <w:color w:val="auto"/>
              </w:rPr>
            </w:pPr>
            <w:r>
              <w:rPr>
                <w:rFonts w:ascii="Arial" w:cs="Arial" w:eastAsia="Arial" w:hAnsi="Arial"/>
                <w:sz w:val="14"/>
                <w:szCs w:val="14"/>
                <w:b w:val="1"/>
                <w:bCs w:val="1"/>
                <w:color w:val="auto"/>
                <w:w w:val="93"/>
              </w:rPr>
              <w:t>As originally reported</w:t>
            </w:r>
          </w:p>
        </w:tc>
        <w:tc>
          <w:tcPr>
            <w:tcW w:w="240" w:type="dxa"/>
            <w:vAlign w:val="bottom"/>
          </w:tcPr>
          <w:p>
            <w:pPr>
              <w:spacing w:after="0"/>
              <w:rPr>
                <w:sz w:val="11"/>
                <w:szCs w:val="11"/>
                <w:color w:val="auto"/>
              </w:rPr>
            </w:pPr>
          </w:p>
        </w:tc>
        <w:tc>
          <w:tcPr>
            <w:tcW w:w="15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Effect of change</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center"/>
              <w:ind w:right="298"/>
              <w:spacing w:after="0"/>
              <w:rPr>
                <w:sz w:val="20"/>
                <w:szCs w:val="20"/>
                <w:color w:val="auto"/>
              </w:rPr>
            </w:pPr>
            <w:r>
              <w:rPr>
                <w:rFonts w:ascii="Arial" w:cs="Arial" w:eastAsia="Arial" w:hAnsi="Arial"/>
                <w:sz w:val="14"/>
                <w:szCs w:val="14"/>
                <w:b w:val="1"/>
                <w:bCs w:val="1"/>
                <w:color w:val="auto"/>
                <w:w w:val="94"/>
              </w:rPr>
              <w:t>under ASC 606</w:t>
            </w:r>
          </w:p>
        </w:tc>
        <w:tc>
          <w:tcPr>
            <w:tcW w:w="200" w:type="dxa"/>
            <w:vAlign w:val="bottom"/>
          </w:tcPr>
          <w:p>
            <w:pPr>
              <w:spacing w:after="0"/>
              <w:rPr>
                <w:sz w:val="14"/>
                <w:szCs w:val="14"/>
                <w:color w:val="auto"/>
              </w:rPr>
            </w:pPr>
          </w:p>
        </w:tc>
        <w:tc>
          <w:tcPr>
            <w:tcW w:w="1720" w:type="dxa"/>
            <w:vAlign w:val="bottom"/>
          </w:tcPr>
          <w:p>
            <w:pPr>
              <w:jc w:val="center"/>
              <w:ind w:right="258"/>
              <w:spacing w:after="0"/>
              <w:rPr>
                <w:sz w:val="20"/>
                <w:szCs w:val="20"/>
                <w:color w:val="auto"/>
              </w:rPr>
            </w:pPr>
            <w:r>
              <w:rPr>
                <w:rFonts w:ascii="Arial" w:cs="Arial" w:eastAsia="Arial" w:hAnsi="Arial"/>
                <w:sz w:val="14"/>
                <w:szCs w:val="14"/>
                <w:b w:val="1"/>
                <w:bCs w:val="1"/>
                <w:color w:val="auto"/>
                <w:w w:val="94"/>
              </w:rPr>
              <w:t>under ASC 605</w:t>
            </w:r>
          </w:p>
        </w:tc>
        <w:tc>
          <w:tcPr>
            <w:tcW w:w="2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center"/>
              <w:ind w:right="298"/>
              <w:spacing w:after="0" w:line="155" w:lineRule="exact"/>
              <w:rPr>
                <w:sz w:val="20"/>
                <w:szCs w:val="20"/>
                <w:color w:val="auto"/>
              </w:rPr>
            </w:pPr>
            <w:r>
              <w:rPr>
                <w:rFonts w:ascii="Arial" w:cs="Arial" w:eastAsia="Arial" w:hAnsi="Arial"/>
                <w:sz w:val="14"/>
                <w:szCs w:val="14"/>
                <w:color w:val="auto"/>
                <w:w w:val="92"/>
              </w:rPr>
              <w:t>(in thousands)</w:t>
            </w: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(55,660)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(55,401)</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Adjustments to reconcile net loss to net cash</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provided by (used in) operating activities:</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9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11,408</w:t>
            </w:r>
          </w:p>
        </w:tc>
        <w:tc>
          <w:tcPr>
            <w:tcW w:w="20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11,015</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most significant changes relate to the Company’s revenue recognition pattern for the Pfizer Collaboration Agreement (as defined in Note 5) and the accounting for milestone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ind w:right="40"/>
        <w:spacing w:after="0" w:line="286" w:lineRule="auto"/>
        <w:rPr>
          <w:sz w:val="20"/>
          <w:szCs w:val="20"/>
          <w:color w:val="auto"/>
        </w:rPr>
      </w:pPr>
      <w:r>
        <w:rPr>
          <w:rFonts w:ascii="Arial" w:cs="Arial" w:eastAsia="Arial" w:hAnsi="Arial"/>
          <w:sz w:val="17"/>
          <w:szCs w:val="17"/>
          <w:color w:val="auto"/>
        </w:rPr>
        <w:t>Under ASC 605, the Company was recognizing the revenue allocated to each unit of accounting on a straight-line basis over the period the Company is expected to complete its obligations. Under ASC 606, the Company is recognizing the revenue allocated to each performance obligation over time, measuring progress using an input method over the period the Company is expected to complete each performance obligation.</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Under ASC 605, the Company recognized revenue related to milestone payments as the milestone was achieved, using the milestone method. Under ASC 606, the Company performs an assessment of the probability of milestone achievement at each reporting date and determines whether the cumulative revenue related to the milestone is at risk of significant reversal.</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October 2016, the FASB issued Accounting Standards Update No. 2016-16, Income Taxes (Topic 740): Intra-Entity Transfers of Assets Other Than Inventory (“ASU 2016-16”). Under the new guidance, companies are required to recognize the income tax consequences of an intra-entity transfer of an asset, other than inventory, when the transfer occurs, even though the pre-tax effects of that transaction are eliminated in consolidation. The amendments are effective for fiscal years, and interim periods within those fiscal years, beginning after December 15, 2017. The Company adopted ASU 2016-16 effective January 1, 2018, which resulted in a $0.4 million cumulative-effect adjustment to retained earnings.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November 2016, the FASB issued Accounting Standards Update No. 2016-18, Statement of Cash Flows (Topic 230): Restricted Cash (“ASU 2016-18”). ASU 2016-18 requires that an entity explain the changes in the total of cash, cash equivalents, restricted cash and restricted cash equivalents on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ASU is effective for annual and interim periods beginning after December 15, 2017. The Company adopted ASU 2016-18 effective January 1, 2018 on a retrospective basis, which resulted in a change in presentation of restricted cash within the Company’s consolidated statements of cash flows.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Software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Fixed assets in progress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49,431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31,751</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(9,500)</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(4,417)</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$5.6 million, $2.2 million and $0.8 million for the years ended December 31, 2018, 2017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w w:val="96"/>
              </w:rPr>
              <w:t>2017</w:t>
            </w: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8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9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7,507</w:t>
            </w:r>
          </w:p>
        </w:tc>
        <w:tc>
          <w:tcPr>
            <w:tcW w:w="5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Accrued expenses related to CROs and CMOs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5,502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7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740" w:type="dxa"/>
            <w:vAlign w:val="bottom"/>
          </w:tcPr>
          <w:p>
            <w:pPr>
              <w:spacing w:after="0"/>
              <w:rPr>
                <w:sz w:val="19"/>
                <w:szCs w:val="19"/>
                <w:color w:val="auto"/>
              </w:rPr>
            </w:pPr>
          </w:p>
        </w:tc>
      </w:tr>
      <w:tr>
        <w:trPr>
          <w:trHeight w:val="223"/>
        </w:trPr>
        <w:tc>
          <w:tcPr>
            <w:tcW w:w="5460" w:type="dxa"/>
            <w:vAlign w:val="bottom"/>
            <w:gridSpan w:val="2"/>
          </w:tcPr>
          <w:p>
            <w:pPr>
              <w:ind w:left="1720"/>
              <w:spacing w:after="0"/>
              <w:rPr>
                <w:sz w:val="20"/>
                <w:szCs w:val="20"/>
                <w:color w:val="auto"/>
              </w:rPr>
            </w:pPr>
            <w:r>
              <w:rPr>
                <w:rFonts w:ascii="Arial" w:cs="Arial" w:eastAsia="Arial" w:hAnsi="Arial"/>
                <w:sz w:val="18"/>
                <w:szCs w:val="18"/>
                <w:color w:val="auto"/>
                <w:w w:val="91"/>
              </w:rPr>
              <w:t>Total accrued expenses and other current liabilities</w:t>
            </w:r>
          </w:p>
        </w:tc>
        <w:tc>
          <w:tcPr>
            <w:tcW w:w="17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14,736</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8,898</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18"/>
        </w:trPr>
        <w:tc>
          <w:tcPr>
            <w:tcW w:w="1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980" w:type="dxa"/>
            <w:vAlign w:val="bottom"/>
            <w:gridSpan w:val="2"/>
          </w:tcPr>
          <w:p>
            <w:pPr>
              <w:jc w:val="right"/>
              <w:ind w:right="1485"/>
              <w:spacing w:after="0"/>
              <w:rPr>
                <w:sz w:val="20"/>
                <w:szCs w:val="20"/>
                <w:color w:val="auto"/>
              </w:rPr>
            </w:pPr>
            <w:r>
              <w:rPr>
                <w:rFonts w:ascii="Arial" w:cs="Arial" w:eastAsia="Arial" w:hAnsi="Arial"/>
                <w:sz w:val="18"/>
                <w:szCs w:val="18"/>
                <w:color w:val="auto"/>
              </w:rPr>
              <w:t>F-14</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5. COLLABORATION AGREEMENTS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Collaboration and Equity Agreements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2016, the Company entered into a Research, License and Option Agreement (as amended in November 2017, the “Pfizer Collaboration Agreement”) with Pfizer Inc. (“Pfizer”). Pursuant to the terms of the Pfizer Collaboration Agreement, the Company and Pfizer agreed to collaborate on the discovery, development and commercialization of stereopure oligonucleotide therapeutics for up to five programs (the “Pfizer Programs”), each directed at a genetically-defined hepatic target selected by Pfizer (the “Pfizer Collaboration”). The Company received $10.0 million as an upfront license fee under the Pfizer Collaboration Agreement. Subject to option exercises by Pfizer, the Company may earn potential research, development and commercial milestone payments, plus royalties, tiered up to low double-digits, on sales of any products that may result from the Pfizer Collaboration. None of the payments under the Pfizer Collaboration Agreement are refundable.</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Simultaneously with the entry into the Pfizer Collaboration Agreement, the Company entered into a Share Purchase Agreement (the “Pfizer Equity Agreement,” and together with the Pfizer Collaboration Agreement, the “Pfizer Agreements”) with C.P. Pharmaceuticals International C.V., an affiliate of Pfizer (the “Pfizer Affiliate”). Pursuant to the terms of the Pfizer Equity Agreement, the Pfizer Affiliate purchased 1,875,000 of the Company’s ordinary shares (the “Shares”) at a purchase price of $16.00 per share, for an aggregate purchase price of $30.0 million. The Company did not incur any material costs in connection with the issuance of the Shares.</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Pfizer Collaboration Agreement, the parties agreed to collaborate during a four-year research term. During the research term, the Company is responsible to use its commercially reasonable efforts to advance up to five programs through to the selection of clinical candidates. At that stage, Pfizer may elect to license any of these Pfizer Programs exclusively and obtain exclusive rights to undertake the clinical development of the resulting clinical candidates into products and the potential commercialization of any such products thereafter. In addition, the Company received a non-exclusive, royalty-bearing sublicensable license to use Pfizer’s hepatic targeting technology in any of the Company’s own hepatic programs that are outside the scope of the Pfizer Collaboration (the “Wave Programs”). If the Company uses this technology on the Wave Programs, Pfizer is eligible to receive potential development and commercial milestone payments from the Company. Pfizer is also eligible to receive tiered royalties on sales of any products that include Pfizer’s hepatic targeting technology.</w:t>
      </w:r>
    </w:p>
    <w:p>
      <w:pPr>
        <w:spacing w:after="0" w:line="19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stated term of the Pfizer Collaboration Agreement commenced on May 5, 2016 and terminates on the date of the last to expire payment obligation with respect to each Pfizer Program and, with respect to each Wave Program, expires on a program-by-program basis accordingly. Pfizer may terminate its rights related to a Pfizer Program under the Pfizer Collaboration Agreement at its own convenience upon 90 days’ notice to the Company. The Company may also terminate its rights related to a Wave Program at its own convenience upon 90 days’ notice to Pfizer. The Pfizer Collaboration Agreement may also be terminated by either party in the event of an uncured material breach of the Pfizer Collaboration Agreement by the other party.</w:t>
      </w:r>
    </w:p>
    <w:p>
      <w:pPr>
        <w:spacing w:after="0" w:line="15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Pfizer nominated two hepatic targets upon entry into the Pfizer Collaboration in May 2016. The Pfizer Collaboration Agreement provides Pfizer with options to nominate up to three additional programs by making nomination milestone payments. Pfizer nominated the third, fourth and fifth hepatic targets in August 2016, March 2018 and April 2018, respectively.</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Pfizer Collaboration is managed by a joint steering committee in which both parties are represented equally, which will oversee the scientific progression of each Pfizer Program up to the clinical candidate stage. During the four-year research term and for a period of two years thereafter, the Company has agreed to work exclusively with Pfizer with respect to using any of the Company’s stereopure oligonucleotide technology that is specific for the applicable hepatic target which is the basis of any Pfizer Program. Within a specified period after receiving a data package for a candidate under each nominated program, Pfizer may exercise an option to obtain a license to develop, manufacture and commercialize the program candidate by paying an exercise price per program.</w:t>
      </w:r>
    </w:p>
    <w:p>
      <w:pPr>
        <w:spacing w:after="0" w:line="1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assessed this arrangement in accordance with ASC 606 and concluded that the contract counterparty, Pfizer, is a customer. The Company identified the following promises under the arrangement: (1) the non-exclusive, royalty-free research and development license; (2) the research and development services for Programs 1 and 2; (3) the program nomination options for Programs 3, 4 and 5; (4) the research and development services associated with Programs 3, 4 and 5; (5) the options to obtain a license to develop, manufacture and commercialize Programs 1 and 2; and (6) the options to obtain a license to develop, manufacture and commercialize Programs 3, 4 and 5. The research and development services for each of Programs 1 and 2 were determined to not be distinct from the research and development license and should be combined into a single performance obligation for each program. The promises under the Pfizer Collaboration Agreement relate primarily to the research and development required by the Company for each of the programs nominated by Pfizer.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3" w:name="page124"/>
    <w:bookmarkEnd w:id="123"/>
    <w:p>
      <w:pPr>
        <w:ind w:right="40"/>
        <w:spacing w:after="0" w:line="253" w:lineRule="auto"/>
        <w:rPr>
          <w:sz w:val="20"/>
          <w:szCs w:val="20"/>
          <w:color w:val="auto"/>
        </w:rPr>
      </w:pPr>
      <w:r>
        <w:rPr>
          <w:rFonts w:ascii="Arial" w:cs="Arial" w:eastAsia="Arial" w:hAnsi="Arial"/>
          <w:sz w:val="18"/>
          <w:szCs w:val="18"/>
          <w:color w:val="auto"/>
        </w:rPr>
        <w:t>Additionally, the Company determined that the program nomination options for Programs 3, 4 and 5 were priced at a discount and, as such, provide material rights to Pfizer, representing three separate performance obligations. The research and development services associated with Programs 3, 4 and 5 and the options to obtain a license to develop, manufacture and commercialize Programs 3, 4 and 5 are subject to Pfizer’s exercise of the program nomination options for such programs and therefore do not represent performance obligations at the outset of the arrangement. The options to obtain a license to develop, manufacture and commercialize Programs 1 and 2 do not represent material rights; as such, they are not representative of performance obligations at the outset of the arrangement. Based on these assessments, the Company identified five performance obligations in the Pfizer Collaboration Agreement: (1) research and development services and license for Program 1; (2) research and development services and license for Program 2; (3) material right provided for the option to nominate Program 3; (4) material right provided for the option to nominate Program 4; and (5) material right provided for the option to nominate Program 5.</w:t>
      </w:r>
    </w:p>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the outset of the arrangement, the transaction price included only the $10.0 million up-front consideration received. The Company determined that the Pfizer Collaboration Agreement did not contain a significant financing component. The program nomination option exercise fees for research and development services associated with Programs 3, 4 and 5 that may be received are excluded from the transaction price until each customer option is exercised. The potential milestone payments were excluded from the transaction price, as all milestone amounts were fully constrained at the inception of the Pfizer Collaboration Agreement. The exercise fees for the options to obtain a license to develop, manufacture and commercialize Programs 3, 4 and 5 that may be received are excluded from the transaction price until each customer option is exercised. The Company will reevaluate the transaction price at the end of each reporting period and as uncertain events are resolved or other changes in circumstances occur, and, if necessary, will adjust its estimate of the transaction price.</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year ended December 31, 2017, it became probable that a significant reversal of cumulative revenue would not occur for a developmental milestone under the Pfizer Collaboration Agreement. At such time, the associated consideration was added to the estimated transaction price and allocated to the existing performance obligations, and the Company recognized a cumulative catch-up to revenue for this developmental milestone, representing the amount that would have been recognized had the milestone payment been included in the transaction price from the outset of the arrangement. The remainder will be recognized in the same manner as the remaining, unrecognized transaction price over the remaining period until each performance obligation is satisfied.</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associated with the performance obligations relating to Programs 1 and 2 is being recognized as revenue as the research and development services are provided using an input method, according to the full-time employee (“FTE”) hours incurred on each program and the FTE hours expected to be incurred in the future to satisfy the performance obligation. The transfer of control occurs over time and, in management’s judgment, this input method is the best measure of progress towards satisfying the performance obligation. The amount allocated to the three material rights will be recognized as the underlying research and development services are provided commencing from the date that Pfizer exercises each respective option, or immediately as each option expires unexercised. The amounts received that have not yet been recognized as revenue are recorded in deferred revenue on the Company’s consolidated balance sheet.</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Pfizer nominated the third, fourth and fifth hepatic targets in August 2016, March 2018 and April 2018, respectively. Upon each exercise, the Company allocated the transaction price amount allocated to the material right at inception of the arrangement plus the program nomination option exercise fee paid by Pfizer at the time of exercising the option to a new performance obligation, which will be recognized as revenue as the research and development services are provided using the same method as the performance obligations relating to Programs 1 and 2.</w:t>
      </w:r>
    </w:p>
    <w:p>
      <w:pPr>
        <w:spacing w:after="0" w:line="18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Through December 31, 2018, the Company had recognized revenue of $9.9 million as collaboration revenue in the Company’s consolidated statements of operations and comprehensive loss under the Pfizer Collaboration Agreement. During the years ended December 31, 2018, 2017 and 2016, the Company recognized revenue of $4.9 million, $3.9 million and $1.1 million, respectively, under the Pfizer Collaboration Agreement. The aggregate amount of the transaction price allocated to the Company’s partially unsatisfied performance obligations and recorded in deferred revenue at December 31, 2018 is $8.7 million, of which $6.8 million is included in current liabilities. The Company expects to recognize the remaining deferred revenue according to FTE hours incurred, over the remaining research term, which is 16 months as of December 31, 2018.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Collaboration and Equity Agreements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February 2018, Wave USA and Wave UK entered into a global strategic collaboration (the “Takeda Collaboration”) with Takeda Pharmaceutical Company Limited (“Takeda”), pursuant to which Wave USA, Wave UK and Takeda agreed to collaborate on the research, development and commercialization of oligonucleotide therapeutics for disorders of the Central Nervous System (“CNS”). The Takeda Collaboration provides Wave with at least $230.0 million in committed cash and Takeda with the option to co-develop and co-commercialize Wave’s CNS development programs in (1) Huntington’s disease (“HD”); (2) amyotrophic lateral sclerosis (“ALS”) and frontotemporal dementia (“FTD”); and (3) Wave’s discovery-stage program targeting </w:t>
      </w:r>
      <w:r>
        <w:rPr>
          <w:rFonts w:ascii="Arial" w:cs="Arial" w:eastAsia="Arial" w:hAnsi="Arial"/>
          <w:sz w:val="16"/>
          <w:szCs w:val="16"/>
          <w:i w:val="1"/>
          <w:iCs w:val="1"/>
          <w:color w:val="auto"/>
        </w:rPr>
        <w:t>ATXN3</w:t>
      </w:r>
      <w:r>
        <w:rPr>
          <w:rFonts w:ascii="Arial" w:cs="Arial" w:eastAsia="Arial" w:hAnsi="Arial"/>
          <w:sz w:val="16"/>
          <w:szCs w:val="16"/>
          <w:color w:val="auto"/>
        </w:rPr>
        <w:t xml:space="preserve"> for the treatment of spinocerebellar ataxia 3 (“SCA3”) (collectively, “Category 1 Programs”). In addition, Takeda will have the right to exclusively license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4" w:name="page125"/>
    <w:bookmarkEnd w:id="124"/>
    <w:p>
      <w:pPr>
        <w:ind w:right="20"/>
        <w:spacing w:after="0" w:line="259" w:lineRule="auto"/>
        <w:rPr>
          <w:sz w:val="20"/>
          <w:szCs w:val="20"/>
          <w:color w:val="auto"/>
        </w:rPr>
      </w:pPr>
      <w:r>
        <w:rPr>
          <w:rFonts w:ascii="Arial" w:cs="Arial" w:eastAsia="Arial" w:hAnsi="Arial"/>
          <w:sz w:val="18"/>
          <w:szCs w:val="18"/>
          <w:color w:val="auto"/>
        </w:rPr>
        <w:t>multiple preclinical programs for CNS disorders, including Alzheimer’s disease and Parkinson’s disease (collectively, “Category 2 Programs”). In April 2018, the Takeda Collaboration became effective and Takeda paid Wave $110.0 million as an upfront payment. Takeda also agreed to fund Wave’s research and preclinical activities in the amount of $60.0 million during the four-year research term and to reimburse Wave for any collaboration-budgeted research and preclinical expenses incurred by Wave that exceed that amount.</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Simultaneously with Wave USA and Wave UK’s entry into the collaboration and license agreement with Takeda (the “Takeda Collaboration Agreement”), the Company entered into a share purchase agreement with Takeda (the “Takeda Equity Agreement,” and together with the Takeda Collaboration Agreement, the “Takeda Agreements”) pursuant to which it agreed to sell to Takeda 1,096,892 of its ordinary shares at a purchase price of $54.70 per share. In April 2018, the Company closed the Takeda Equity Agreement and received aggregate cash proceeds of $60.0 million. The Company did not incur any material costs in connection with the issuance of shares.</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With respect to Category 1 Programs, Wave will be responsible for researching and developing products and companion diagnostics for Category 1 Programs through completion of the first proof of mechanism study for such products. Takeda will have an exclusive option for each target and all associated products and companion diagnostics for such target, which it may exercise at any time through completion of the proof of mechanism study. If Takeda exercises this option, Wave will receive an opt-in payment and will lead manufacturing and joint clinical co-development activities and Takeda will lead joint co-commercial activities in the United States and all commercial activities outside of the United States. Global costs and potential profits will be shared 50:50 and Wave will be eligible to receive development and commercial milestone payments. In addition to its 50% profit share, Wave is eligible to receive option exercise fees and development and commercial milestone payments for each of the Category 1 Programs.</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With respect to Category 2 Programs, Wave has granted Takeda the right to exclusively license multiple preclinical programs during a four-year research term (subject to limited extension for programs that were initiated prior to the expiration of the research term, in accordance with the Takeda Collaboration Agreement) (“Category 2 Research Term”). During that term, the parties may collaborate on preclinical programs for up to six targets at any one time. Wave will be responsible for researching and preclinically developing products and companion diagnostics directed to the agreed upon targets through completion of IND-enabling studies in the first major market country. Thereafter, Takeda will have an exclusive worldwide license to develop and commercialize products and companion diagnostics directed to such targets, subject to Wave’s retained rights to lead manufacturing activities for products directed to such targets. Takeda will fund Wave’s research and preclinical activities in the amount of $60.0 million during the research term and will reimburse Wave for any collaboration-budgeted research and preclinical expenses incurred by Wave that exceed that amount. Wave is also eligible to receive tiered high single-digit to mid-teen royalties on Takeda’s global commercial sales of products from each Category 2 Program.</w:t>
      </w:r>
    </w:p>
    <w:p>
      <w:pPr>
        <w:spacing w:after="0" w:line="16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Under the Takeda Collaboration Agreement, each party grants to the other party specific intellectual property licenses to enable the other party to perform its obligations and exercise its rights under the Takeda Collaboration Agreement, including license grants to enable each party to conduct research, development and commercialization activities pursuant to the terms of the Takeda Collaboration Agreement.</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term of the Takeda Collaboration Agreement commenced on April 2, 2018 and, unless terminated earlier, will continue until the date on which: (i) with respect to each Category 1 Program target for which Takeda does not exercise its option, the expiration or termination of the development program with respect to such target; (ii) with respect to each Category 1 Program target for which Takeda exercises its option, the date on which neither party is researching, developing or manufacturing any products or companion diagnostics directed to such target; or (iii) with respect to each Category 2 Program target, the date on which royalties are no longer payable with respect to products directed to such target.</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Takeda may terminate the Takeda Collaboration Agreement for convenience on 180 days’ notice, in its entirety or on a target-by-target basis. Subject to certain exceptions, each party has the right to terminate the Takeda Collaboration Agreement on a target-by-target basis if the other party, or a third party related to such party, challenges the patentability, enforceability or validity of any patents within the licensed technology that cover any product or companion diagnostic that is subject to the Takeda Collaboration Agreement. In the event of any material breach of the Takeda Collaboration Agreement by a party, subject to cure rights, the other party may terminate the Takeda Collaboration Agreement in its entirety if the breach relates to all targets or on a target-by-target basis if the breach relates to a specific target. In the event that Takeda and its affiliates cease development, manufacturing and commercialization activities with respect to compounds or products subject to the Takeda Collaboration Agreement and directed to a particular target, Wave may terminate the Takeda Collaboration Agreement with respect to such target. Either party may terminate the Takeda Collaboration Agreement for the other party’s insolvency. In certain termination circumstances, Wave would receive a license from Takeda to continue researching, developing and manufacturing certain products, and companion diagnostics.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5" w:name="page126"/>
    <w:bookmarkEnd w:id="125"/>
    <w:p>
      <w:pPr>
        <w:ind w:right="20"/>
        <w:spacing w:after="0" w:line="289" w:lineRule="auto"/>
        <w:rPr>
          <w:sz w:val="20"/>
          <w:szCs w:val="20"/>
          <w:color w:val="auto"/>
        </w:rPr>
      </w:pPr>
      <w:r>
        <w:rPr>
          <w:rFonts w:ascii="Arial" w:cs="Arial" w:eastAsia="Arial" w:hAnsi="Arial"/>
          <w:sz w:val="16"/>
          <w:szCs w:val="16"/>
          <w:color w:val="auto"/>
        </w:rPr>
        <w:t>The Company assessed this arrangement in accordance with ASC 606 and concluded that the contract counterparty, Takeda, is a customer for Category 1 Programs prior to Takeda exercising its option, and for Category 2 Programs during the Category 2 Research Term. The Company identified the following material promises under the arrangement: (1) the non-exclusive, royalty-free research and development license for each Category 1 Program; (2) the research and development services for each Category 1 Program through completion of the first proof of mechanism study; (3) the exclusive option to license, co-develop and co-commercialize each Category 1 Program; (4) the right to exclusively license the Category 2 Programs; and (5) the research and preclinical development services of the Category 2 Programs through completion of IND-enabling studies. The research and development services for each Category 1 Program were determined to not be distinct from the research and development license and should therefore be combined into a single performance obligation for each Category 1 Program. The research and preclinical development services for the Category 2 Programs were determined to not be distinct from the exclusive licenses for the Category 2 Programs and should therefore be combined into a single performance obligation.</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the Company determined that the exclusive option for each Category 1 Program was priced at a discount and, as such, provide material rights to Takeda, representing three separate performance obligations. Based on these assessments, the Company identified seven performance obligations in the Takeda Collaboration Agreement: (1) research and development services through completion of the first proof of mechanism and non-exclusive research and development license for HD; (2) research and development services through completion of the first proof of mechanism and non-exclusive research and development license for ALS and FTD; (3) research and development services through completion of the first proof of mechanism and non-exclusive research and development license for SCA3; (4) the material right provided for the exclusive option to license, co-develop and co-commercialize HD; (5) the material right provided for the exclusive option to license, co-develop and co-commercialize ALS and FTD; (6) the material right provided for the exclusive option to license, co-develop and co-commercialize SCA3; and (7) the research and preclinical development services and right to exclusively license the Category 2 Programs.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At the outset of the arrangement, the transaction price included the $110.0 million upfront consideration received and the $60.0 million of committed research and preclinical funding for the Category 2 Programs. The Company determined that the Takeda Collaboration Agreement did not contain a significant financing component. The option exercise fees to license, co-develop and co-commercialize each Category 1 Program that may be received are excluded from the transaction price until each customer option is exercised. The potential milestone payments were excluded from the transaction price, as all milestone amounts were fully constrained at the inception of the Takeda Collaboration Agreement. The Company will reevaluate the transaction price at the end of each reporting period and, as uncertain events are resolved or other changes in circumstances occur, if necessary, will adjust its estimate of the transaction price.</w:t>
      </w:r>
    </w:p>
    <w:p>
      <w:pPr>
        <w:spacing w:after="0" w:line="16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Revenue associated with the research and development services for each Category 1 Program performance obligation is being recognized as the research and development services are provided using an input method, according to the costs incurred on each Category 1 Program and the total costs expected to be incurred to satisfy each Category 1 Program performance obligation. Revenue associated with the research and preclinical development services for the Category 2 Programs performance obligation is being recognized as the research and preclinical development services are provided using an input method, according to the costs incurred on Category 2 Programs and the total costs expected to be incurred to satisfy the performance obligation. The transfer of control for these performance obligations occurs over time and, in management’s judgment, this input method is the best measure of progress towards satisfying the performance obligations. The amount allocated to the material right for each Category 1 Program option will be recognized on the date that Takeda exercises each respective option, or immediately as each option expires unexercised. The amounts received that have not yet been recognized as revenue are recorded in deferred revenue on the Company’s consolidated balance sheet.</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year ended December 31, 2018, the Company recognized revenue of $9.6 million in the Company’s consolidated statements of operations and comprehensive loss under the Takeda Collaboration Agreement. The aggregate amount of the transaction price allocated to the Company’s unsatisfied and partially unsatisfied performance obligations and recorded in deferred revenue at December 31, 2018 is $160.4 million, of which $94.1 million is included in current liabilities. The Company expects to recognize revenue for the portion of the deferred revenue that relates to the research and development services for each Category 1 Program and the Category 2 Programs as costs are incurred over the remaining research term. The Company expects to recognize revenue for the portion of the deferred revenue that relates to the material right for each Category 1 Program option upon Takeda’s exercise of such option, or immediately as each option expires unexercised. The aggregate amount of the transaction price included in accounts receivable at December 31, 2018 is $60.0 million, of which $10.0 million is included in current assets.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historical ordinary share transactions of the Company from December 31, 2015 through December 31, 2018:</w:t>
      </w:r>
    </w:p>
    <w:p>
      <w:pPr>
        <w:spacing w:after="0" w:line="117" w:lineRule="exact"/>
        <w:rPr>
          <w:sz w:val="20"/>
          <w:szCs w:val="20"/>
          <w:color w:val="auto"/>
        </w:rPr>
      </w:pPr>
    </w:p>
    <w:p>
      <w:pPr>
        <w:ind w:left="1040" w:right="8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May 2016, the Company granted 1,875,000 ordinary shares to Pfizer under the Pfizer Agreements (Note 5) at a purchase price of $16.00 per share, for an aggregate purchase price of $30.0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ind w:left="1040" w:right="120" w:hanging="519"/>
        <w:spacing w:after="0" w:line="264"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April 2017, the Company closed a follow-on underwritten public offering of 4,166,667 ordinary shares at a purchase price of $24.00 per share for gross proceeds of $100.0 million. The net proceeds from this issuance were $93.5 million after deducting underwriting discounts and commissions and other offering expenses.</w:t>
      </w:r>
    </w:p>
    <w:p>
      <w:pPr>
        <w:spacing w:after="0" w:line="73"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April 2018, the Company granted 1,096,892 ordinary shares to Takeda under the Takeda Collaboration Agreement (Note 5) at a purchase price of $54.70 per share, for an aggregate purchase price of $60.0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Features of the Series A Preferred Shares and Ordinary Shares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Series A preferred shares and ordinary shares have no par value and there is no concept of authorized share capital under Singapore law. The Series A preferred shares are not redeemable.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holders of Series A preferred shares are not entitled to vote on any of the matters proposed to shareholders, other than as specified in the Company's Constitution. The holders of ordinary shares are entitled to one vote for each ordinary share held at all meetings of shareholders and written actions in lieu of meetings.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All dividends, if any, shall be declared and paid pro rata according to the number of shares held by each member entitled to receive dividends. The Company’s board of directors may deduct from any dividend all sums of money presently payable by the member to the Company on account of calls.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In the event of a liquidation, dissolution or winding up of, or a return of capital by the Company, the ordinary shares will rank equally with the Series A preferred shares after the payment of the liquidation preference of an aggregate of approximately $10 thousand for Series A preferred shares.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SHARE-BASED COMPENSATION</w:t>
      </w:r>
    </w:p>
    <w:p>
      <w:pPr>
        <w:spacing w:after="0" w:line="12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December 2014, the Company’s board of directors adopted the Wave Life Sciences Ltd. 2014 Equity Incentive Plan (the “2014 Plan”), and reserved 1,763,714 ordinary shares for issuance under this plan, which was increased to 5,064,544 in 2015, to 6,064,544 in 2017 and to 6,943,344 in 2018. The 2014 Plan authorizes the board of directors or a committee of the board to grant incentive share options, non-qualified share options, share appreciation rights, restricted awards, which include restricted shares and restricted share units (“RSUs”), and performance awards to eligible employees, consultants and directors of the Company. The company accounts for grants to its board of directors as grants to employees.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1,545,151 ordinary shares remained available for future grant under the 2014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option activity under the 2014 Plan is summarized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220" w:type="dxa"/>
            <w:vAlign w:val="bottom"/>
          </w:tcPr>
          <w:p>
            <w:pPr>
              <w:spacing w:after="0"/>
              <w:rPr>
                <w:sz w:val="14"/>
                <w:szCs w:val="1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3,767,130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830,420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44.77</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(507,632)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(73,328)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19.93</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4,016,590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w:t>
            </w:r>
          </w:p>
        </w:tc>
        <w:tc>
          <w:tcPr>
            <w:tcW w:w="14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93,520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Options exercisable as of December 31, 2018</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6.51</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78,280</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2,451,584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10.11</w:t>
            </w:r>
          </w:p>
        </w:tc>
        <w:tc>
          <w:tcPr>
            <w:tcW w:w="140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Options unvested as of December 31, 2018</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1,565,006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right="140" w:hanging="512"/>
        <w:spacing w:after="0" w:line="342" w:lineRule="auto"/>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aggregate intrinsic value of options is calculated as the difference between the exercise price of the share options and the fair value of the Company’s ordinary shares for those share options that had exercise prices lower than the fair value of the ordinary shares as of the end of the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ind w:right="140"/>
        <w:spacing w:after="0" w:line="277" w:lineRule="auto"/>
        <w:rPr>
          <w:sz w:val="20"/>
          <w:szCs w:val="20"/>
          <w:color w:val="auto"/>
        </w:rPr>
      </w:pPr>
      <w:r>
        <w:rPr>
          <w:rFonts w:ascii="Arial" w:cs="Arial" w:eastAsia="Arial" w:hAnsi="Arial"/>
          <w:sz w:val="18"/>
          <w:szCs w:val="18"/>
          <w:color w:val="auto"/>
        </w:rPr>
        <w:t>Options generally vest over periods of one to four years, and options that are forfeited or cancelled are available to be granted again. The contractual life of options is generally five or ten years from the grant date.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assumptions used in the Black-Scholes option pricing model to determine the fair value of share options granted to employees during the period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For the Year Ended December 31,</w:t>
            </w: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40" w:type="dxa"/>
            <w:vAlign w:val="bottom"/>
            <w:gridSpan w:val="2"/>
          </w:tcPr>
          <w:p>
            <w:pPr>
              <w:jc w:val="right"/>
              <w:ind w:right="430"/>
              <w:spacing w:after="0" w:line="155" w:lineRule="exact"/>
              <w:rPr>
                <w:sz w:val="20"/>
                <w:szCs w:val="20"/>
                <w:color w:val="auto"/>
              </w:rPr>
            </w:pPr>
            <w:r>
              <w:rPr>
                <w:rFonts w:ascii="Arial" w:cs="Arial" w:eastAsia="Arial" w:hAnsi="Arial"/>
                <w:sz w:val="14"/>
                <w:szCs w:val="14"/>
                <w:b w:val="1"/>
                <w:bCs w:val="1"/>
                <w:color w:val="auto"/>
              </w:rPr>
              <w:t>2018</w:t>
            </w:r>
          </w:p>
        </w:tc>
        <w:tc>
          <w:tcPr>
            <w:tcW w:w="1880" w:type="dxa"/>
            <w:vAlign w:val="bottom"/>
            <w:gridSpan w:val="4"/>
          </w:tcPr>
          <w:p>
            <w:pPr>
              <w:jc w:val="right"/>
              <w:ind w:right="59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right"/>
              <w:ind w:right="570"/>
              <w:spacing w:after="0" w:line="155" w:lineRule="exact"/>
              <w:rPr>
                <w:sz w:val="20"/>
                <w:szCs w:val="20"/>
                <w:color w:val="auto"/>
              </w:rPr>
            </w:pPr>
            <w:r>
              <w:rPr>
                <w:rFonts w:ascii="Arial" w:cs="Arial" w:eastAsia="Arial" w:hAnsi="Arial"/>
                <w:sz w:val="14"/>
                <w:szCs w:val="14"/>
                <w:b w:val="1"/>
                <w:bCs w:val="1"/>
                <w:color w:val="auto"/>
              </w:rPr>
              <w:t>2016</w:t>
            </w: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3.01%</w:t>
            </w:r>
          </w:p>
        </w:tc>
        <w:tc>
          <w:tcPr>
            <w:tcW w:w="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2.23%</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2.18%</w:t>
            </w: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720" w:type="dxa"/>
            <w:vAlign w:val="bottom"/>
          </w:tcPr>
          <w:p>
            <w:pPr>
              <w:ind w:left="20"/>
              <w:spacing w:after="0"/>
              <w:rPr>
                <w:sz w:val="20"/>
                <w:szCs w:val="20"/>
                <w:color w:val="auto"/>
              </w:rPr>
            </w:pPr>
            <w:r>
              <w:rPr>
                <w:rFonts w:ascii="Arial" w:cs="Arial" w:eastAsia="Arial" w:hAnsi="Arial"/>
                <w:sz w:val="18"/>
                <w:szCs w:val="18"/>
                <w:color w:val="auto"/>
              </w:rPr>
              <w:t>– 6.25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3.00</w:t>
            </w:r>
          </w:p>
        </w:tc>
        <w:tc>
          <w:tcPr>
            <w:tcW w:w="1120" w:type="dxa"/>
            <w:vAlign w:val="bottom"/>
            <w:gridSpan w:val="3"/>
          </w:tcPr>
          <w:p>
            <w:pPr>
              <w:ind w:left="20"/>
              <w:spacing w:after="0"/>
              <w:rPr>
                <w:sz w:val="20"/>
                <w:szCs w:val="20"/>
                <w:color w:val="auto"/>
              </w:rPr>
            </w:pPr>
            <w:r>
              <w:rPr>
                <w:rFonts w:ascii="Arial" w:cs="Arial" w:eastAsia="Arial" w:hAnsi="Arial"/>
                <w:sz w:val="18"/>
                <w:szCs w:val="18"/>
                <w:color w:val="auto"/>
              </w:rPr>
              <w:t>– 6.25</w:t>
            </w: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880" w:type="dxa"/>
            <w:vAlign w:val="bottom"/>
          </w:tcPr>
          <w:p>
            <w:pPr>
              <w:ind w:left="20"/>
              <w:spacing w:after="0"/>
              <w:rPr>
                <w:sz w:val="20"/>
                <w:szCs w:val="20"/>
                <w:color w:val="auto"/>
              </w:rPr>
            </w:pPr>
            <w:r>
              <w:rPr>
                <w:rFonts w:ascii="Arial" w:cs="Arial" w:eastAsia="Arial" w:hAnsi="Arial"/>
                <w:sz w:val="18"/>
                <w:szCs w:val="18"/>
                <w:color w:val="auto"/>
              </w:rPr>
              <w:t>– 6.25</w:t>
            </w: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64.17%</w:t>
            </w:r>
          </w:p>
        </w:tc>
        <w:tc>
          <w:tcPr>
            <w:tcW w:w="72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 70.90%</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68.95%</w:t>
            </w:r>
          </w:p>
        </w:tc>
        <w:tc>
          <w:tcPr>
            <w:tcW w:w="11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72.24%</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60.89%</w:t>
            </w: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68.76%</w:t>
            </w: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450"/>
              <w:spacing w:after="0"/>
              <w:rPr>
                <w:sz w:val="20"/>
                <w:szCs w:val="20"/>
                <w:color w:val="auto"/>
              </w:rPr>
            </w:pPr>
            <w:r>
              <w:rPr>
                <w:rFonts w:ascii="Arial" w:cs="Arial" w:eastAsia="Arial" w:hAnsi="Arial"/>
                <w:sz w:val="18"/>
                <w:szCs w:val="18"/>
                <w:color w:val="auto"/>
              </w:rPr>
              <w:t>0%</w:t>
            </w:r>
          </w:p>
        </w:tc>
        <w:tc>
          <w:tcPr>
            <w:tcW w:w="1880" w:type="dxa"/>
            <w:vAlign w:val="bottom"/>
            <w:gridSpan w:val="4"/>
          </w:tcPr>
          <w:p>
            <w:pPr>
              <w:jc w:val="right"/>
              <w:ind w:right="61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61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options granted to non-employees in 2018, 2017 or 2016. The options that were granted to non-employees in 2015 were fully vested as of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RSU activity for the year ended December 31, 2018 is summarized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RSUs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 dollars per</w:t>
            </w: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1,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154,459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313,747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(38,594)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(21,091)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at December 31,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RSUs generally vest over periods of one to four years. RSUs that are forfeited are available to be granted again.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December 31, 2018, the unrecognized compensation cost related to outstanding options was $29.0 million for employees. The unrecognized compensation cost related to outstanding options for employees is expected to be recognized over a weighted-average period of approximately 2.8 years. For the years ended December 31, 2018, 2017 and 2016, the weighted-average grant date fair value per granted option was $27.90, $16.58 and $30.23, respectively. The aggregate fair value of options that vested during the years ended December 31, 2018, 2017 and 2016, was $9.3 million, $11.5 million and $4.7 million, respectively. The unrecognized compensation costs related to outstanding RSUs was $11.5 million as of December 31, 2018, and is expected to be recognized over a weighted-average period of approximately 2.89 years. The total fair value of RSUs vested during the years ended December 31, 2018 and 2017 was $1.8 million and $0.4 million, respectively. No RSUs vested during the year ended December 31, 2016.</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Share-based compensation expense for the years ended December 31, 2018, 2017 and 2016 is classified as operating expenses in the consolidated statements of operations and comprehensive loss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center"/>
              <w:ind w:left="94"/>
              <w:spacing w:after="0"/>
              <w:rPr>
                <w:sz w:val="20"/>
                <w:szCs w:val="20"/>
                <w:color w:val="auto"/>
              </w:rPr>
            </w:pPr>
            <w:r>
              <w:rPr>
                <w:rFonts w:ascii="Arial" w:cs="Arial" w:eastAsia="Arial" w:hAnsi="Arial"/>
                <w:sz w:val="14"/>
                <w:szCs w:val="14"/>
                <w:b w:val="1"/>
                <w:bCs w:val="1"/>
                <w:color w:val="auto"/>
                <w:w w:val="93"/>
              </w:rPr>
              <w:t>For the Year Ended December 31,</w:t>
            </w: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77"/>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3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57"/>
              <w:spacing w:after="0" w:line="155" w:lineRule="exact"/>
              <w:rPr>
                <w:sz w:val="20"/>
                <w:szCs w:val="20"/>
                <w:color w:val="auto"/>
              </w:rPr>
            </w:pPr>
            <w:r>
              <w:rPr>
                <w:rFonts w:ascii="Arial" w:cs="Arial" w:eastAsia="Arial" w:hAnsi="Arial"/>
                <w:sz w:val="14"/>
                <w:szCs w:val="14"/>
                <w:color w:val="auto"/>
                <w:w w:val="92"/>
              </w:rPr>
              <w:t>(in thousands)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2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9,172</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7,670</w:t>
            </w:r>
          </w:p>
        </w:tc>
        <w:tc>
          <w:tcPr>
            <w:tcW w:w="60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FF0FC"/>
          </w:tcPr>
          <w:p>
            <w:pPr>
              <w:spacing w:after="0"/>
              <w:rPr>
                <w:sz w:val="19"/>
                <w:szCs w:val="19"/>
                <w:color w:val="auto"/>
              </w:rPr>
            </w:pPr>
          </w:p>
        </w:tc>
      </w:tr>
      <w:tr>
        <w:trPr>
          <w:trHeight w:val="230"/>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FF0FC"/>
            </w:tcBorders>
          </w:tcPr>
          <w:p>
            <w:pPr>
              <w:spacing w:after="0"/>
              <w:rPr>
                <w:sz w:val="19"/>
                <w:szCs w:val="19"/>
                <w:color w:val="auto"/>
              </w:rPr>
            </w:pPr>
          </w:p>
        </w:tc>
      </w:tr>
      <w:tr>
        <w:trPr>
          <w:trHeight w:val="223"/>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share-based compensation expense</w:t>
            </w:r>
          </w:p>
        </w:tc>
        <w:tc>
          <w:tcPr>
            <w:tcW w:w="10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15,596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12,143</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the total share-based compensation expense recorded for the years ended December 31, 2018, 2017 and 2016, $1.4 million, $2.9 million and $2.7 million, respectively, related to options granted to non-employees, all of which is included in research and development expenses on the consolidated statements of operations and comprehensive loss.</w:t>
      </w: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28" w:name="page129"/>
    <w:bookmarkEnd w:id="128"/>
    <w:p>
      <w:pPr>
        <w:ind w:right="7780" w:firstLine="8"/>
        <w:spacing w:after="0" w:line="385" w:lineRule="auto"/>
        <w:tabs>
          <w:tab w:leader="none" w:pos="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 Arrangements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lease arrangements for its facilities as well as certain equipment. A summary of the arrangements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September 26, 2016, and as amended on December 31, 2016, the Company entered into a 10 year and 9 month lease, which includes two successive five year renewal options, for its facility in Lexington, Massachusetts, which the Company uses primarily for its cGMP manufacturing, as well as for additional laboratory and office space. Throughout the term of the lease, the Company is responsible for paying certain costs and expenses, in addition to the rent, as specified in the lease, including a proportionate share of applicable taxes, operating expenses and utilities. As required under the terms of the lease agreement, the Company has placed restricted cash of $2.6 million in a separate bank account at December 31, 2018 and 2017.</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2018, the Company has received the $11.4 million of tenant improvement allowances to which it was entitled per the lease for the Lexington, Massachusetts facility; of which $8.5 million, $2.8 million and $0.1 million were received during the years ended December 31, 2018, 2017 and 2016. The lease obligation related to the tenant improvement allowance is amortized over the period from the commencement of tenant improvement construction through to the end of the original lease term.</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April 2015, the Company entered into a lease agreement for an office and laboratory facility in Cambridge, Massachusetts, which commenced in October 2015 with a term of 7.5 years with a five-year renewal option to extend the lease. As required under the terms of the lease agreement, the Company has placed restricted cash of $1.0 million in a separate bank account at December 31, 2018 and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non-cancelable operating leases as of December 31, 2018, are as follows:</w:t>
      </w:r>
    </w:p>
    <w:p>
      <w:pPr>
        <w:spacing w:after="0" w:line="230" w:lineRule="exact"/>
        <w:rPr>
          <w:sz w:val="20"/>
          <w:szCs w:val="20"/>
          <w:color w:val="auto"/>
        </w:rPr>
      </w:pPr>
    </w:p>
    <w:tbl>
      <w:tblPr>
        <w:tblLayout w:type="fixed"/>
        <w:tblInd w:w="2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300" w:type="dxa"/>
            <w:vAlign w:val="bottom"/>
            <w:gridSpan w:val="2"/>
          </w:tcPr>
          <w:p>
            <w:pPr>
              <w:jc w:val="right"/>
              <w:ind w:right="1085"/>
              <w:spacing w:after="0"/>
              <w:rPr>
                <w:sz w:val="20"/>
                <w:szCs w:val="20"/>
                <w:color w:val="auto"/>
              </w:rPr>
            </w:pPr>
            <w:r>
              <w:rPr>
                <w:rFonts w:ascii="Arial" w:cs="Arial" w:eastAsia="Arial" w:hAnsi="Arial"/>
                <w:sz w:val="14"/>
                <w:szCs w:val="14"/>
                <w:b w:val="1"/>
                <w:bCs w:val="1"/>
                <w:color w:val="auto"/>
                <w:w w:val="94"/>
              </w:rPr>
              <w:t>For the Year Ended December 31,</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Amount</w:t>
            </w:r>
          </w:p>
        </w:tc>
      </w:tr>
      <w:tr>
        <w:trPr>
          <w:trHeight w:val="156"/>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right"/>
              <w:ind w:right="414"/>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8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3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2020</w:t>
            </w:r>
          </w:p>
        </w:tc>
        <w:tc>
          <w:tcPr>
            <w:tcW w:w="3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5,846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2022</w:t>
            </w:r>
          </w:p>
        </w:tc>
        <w:tc>
          <w:tcPr>
            <w:tcW w:w="3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6,201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3"/>
              </w:rPr>
              <w:t>Thereafter</w:t>
            </w:r>
          </w:p>
        </w:tc>
        <w:tc>
          <w:tcPr>
            <w:tcW w:w="3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20,927</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30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rent expense of $4.9 million, $5.6 million and $1.5 million for the years ended December 31, 2018, 2017 and 2016,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Unasserted Claims</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and other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9. NET LOSS PER ORDINARY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Basic loss per share is computed by dividing net loss attributable to ordinary shareholders by the weighted-average number of ordinary shares outstanding:</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center"/>
              <w:ind w:left="639"/>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80" w:type="dxa"/>
            <w:vAlign w:val="bottom"/>
            <w:gridSpan w:val="9"/>
          </w:tcPr>
          <w:p>
            <w:pPr>
              <w:jc w:val="center"/>
              <w:ind w:right="94"/>
              <w:spacing w:after="0" w:line="155" w:lineRule="exact"/>
              <w:rPr>
                <w:sz w:val="20"/>
                <w:szCs w:val="20"/>
                <w:color w:val="auto"/>
              </w:rPr>
            </w:pPr>
            <w:r>
              <w:rPr>
                <w:rFonts w:ascii="Arial" w:cs="Arial" w:eastAsia="Arial" w:hAnsi="Arial"/>
                <w:sz w:val="14"/>
                <w:szCs w:val="14"/>
                <w:color w:val="auto"/>
                <w:w w:val="90"/>
              </w:rPr>
              <w:t>(in thousands except share and per share data)</w:t>
            </w: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480" w:type="dxa"/>
            <w:vAlign w:val="bottom"/>
          </w:tcPr>
          <w:p>
            <w:pPr>
              <w:ind w:left="240"/>
              <w:spacing w:after="0"/>
              <w:rPr>
                <w:sz w:val="20"/>
                <w:szCs w:val="20"/>
                <w:color w:val="auto"/>
              </w:rPr>
            </w:pPr>
            <w:r>
              <w:rPr>
                <w:rFonts w:ascii="Arial" w:cs="Arial" w:eastAsia="Arial" w:hAnsi="Arial"/>
                <w:sz w:val="18"/>
                <w:szCs w:val="18"/>
                <w:color w:val="auto"/>
              </w:rPr>
              <w:t>Net loss attributable to ordinary shareholders</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(146,653)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(101,980)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(55,660)</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9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Weighted-average ordinary shares outstanding</w:t>
            </w:r>
          </w:p>
        </w:tc>
        <w:tc>
          <w:tcPr>
            <w:tcW w:w="9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28,970,404</w:t>
            </w:r>
          </w:p>
        </w:tc>
        <w:tc>
          <w:tcPr>
            <w:tcW w:w="12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26,513,382</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22,800,628</w:t>
            </w:r>
          </w:p>
        </w:tc>
        <w:tc>
          <w:tcPr>
            <w:tcW w:w="80" w:type="dxa"/>
            <w:vAlign w:val="bottom"/>
            <w:tcBorders>
              <w:bottom w:val="single" w:sz="8" w:color="CFF0FC"/>
            </w:tcBorders>
          </w:tcPr>
          <w:p>
            <w:pPr>
              <w:spacing w:after="0"/>
              <w:rPr>
                <w:sz w:val="23"/>
                <w:szCs w:val="23"/>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9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potentially dilutive shares, which include outstanding share options to purchase ordinary shares and restricted share units, are considered to be ordinary share equivalents and are only included in the calculation of diluted net loss per share when their effect is dilutive.</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following potential ordinary shares, presented based on amounts outstanding at each period end, were excluded from the calculation of diluted net loss per share attributable to ordinary shareholders for the periods indicated because including them would have had an anti-dilutive effect:</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460" w:type="dxa"/>
            <w:vAlign w:val="bottom"/>
            <w:gridSpan w:val="4"/>
          </w:tcPr>
          <w:p>
            <w:pPr>
              <w:ind w:left="58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4,016,590</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3,767,130</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RSUs</w:t>
            </w:r>
          </w:p>
        </w:tc>
        <w:tc>
          <w:tcPr>
            <w:tcW w:w="1080" w:type="dxa"/>
            <w:vAlign w:val="bottom"/>
          </w:tcPr>
          <w:p>
            <w:pPr>
              <w:jc w:val="right"/>
              <w:spacing w:after="0"/>
              <w:rPr>
                <w:sz w:val="20"/>
                <w:szCs w:val="20"/>
                <w:color w:val="auto"/>
              </w:rPr>
            </w:pPr>
            <w:r>
              <w:rPr>
                <w:rFonts w:ascii="Arial" w:cs="Arial" w:eastAsia="Arial" w:hAnsi="Arial"/>
                <w:sz w:val="18"/>
                <w:szCs w:val="18"/>
                <w:color w:val="auto"/>
              </w:rPr>
              <w:t>408,521</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154,459</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shares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3,901,348</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3,901,348</w:t>
            </w:r>
          </w:p>
        </w:tc>
        <w:tc>
          <w:tcPr>
            <w:tcW w:w="80" w:type="dxa"/>
            <w:vAlign w:val="bottom"/>
            <w:shd w:val="clear" w:color="auto" w:fill="CFF0FC"/>
          </w:tcPr>
          <w:p>
            <w:pPr>
              <w:spacing w:after="0"/>
              <w:rPr>
                <w:sz w:val="19"/>
                <w:szCs w:val="19"/>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years ended December 31, 2018, 2017 and 2016, the Company recorded a tax provision of $0.1 million, $0.8 million and $0.5 million, respectively. The 2018 tax provision was due to adjustments related to the filing of the Company’s 2017 tax returns with the relevant tax authorities. The 2017 tax provision was due to the Company’s establishment of a valuation allowance against the Company’s U.S. deferred tax assets, as well as income generated under research and management services arrangements between the Company’s U.S. and Singapore entities, which is taxed in the United States. The 2016 tax provision was primarily the result of income generated under research and management services arrangements between the Company’s U.S. and Singapore entities, which is taxed in the United States.</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year ended December 31, 2018, the Company recorded no income tax benefit for the net operating losses incurred in Singapore, the United States, Japan and the United Kingdom, due to uncertainty regarding future taxable income in those jurisdictions. During the year ended December 31, 2017, the Company recorded no income tax benefit for the net operating losses incurred in Singapore and the United Kingdom, due to uncertainty regarding future taxable income in those jurisdictions. During the year ended December 31, 2016, the Company recorded no income tax benefit for the net operating losses incurred in Singapore and Japan, due to uncertainty regarding future taxable income in those jurisdictions. In May 2016, the Company established a wholly-owned subsidiary in Ireland, however no income tax expense or benefit has been recorded during the years ended December 31, 2018, 2017 or 2016.</w:t>
      </w:r>
    </w:p>
    <w:p>
      <w:pPr>
        <w:spacing w:after="0" w:line="16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Tax Cuts and Jobs Act (the “Tax Act”) was enacted on December 22, 2017 and includes significant changes to the U.S. corporate tax system. Effective January 1, 2018, the Tax Act reduced the U.S. federal corporate tax rate from 35% to 21% and transitioned the U.S. federal tax system from a worldwide tax system to a territorial tax system. On December 22, 2017, the SEC issued Staff Accounting Bulletin 118 (“SAB 118”) that provides additional guidance allowing companies to apply a measurement period of up to twelve months to account for the impacts of the Tax Act in their financial statements. As of December 31, 2018, the Company has finalized its accounting for the impacts of the Tax Act. During the year ended December 31, 2018, the Company recognized a $0.2 million benefit related to the remeasurement of the Company’s deferred tax assets and liabilities, as a result of filing the Company’s 2017 U.S. tax return. This amount was included as a component of the Company’s provision for income taxes and was fully offset by a corresponding amount in the Company’s valuation allowance.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The components of the benefit (provision) for income taxes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Current benefit (provision) for income taxes:</w:t>
            </w: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Singapore</w:t>
            </w:r>
          </w:p>
        </w:tc>
        <w:tc>
          <w:tcPr>
            <w:tcW w:w="16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 of world</w:t>
            </w: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(1,180)</w:t>
            </w: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 current benefit (provision) for income taxes</w:t>
            </w:r>
          </w:p>
        </w:tc>
        <w:tc>
          <w:tcPr>
            <w:tcW w:w="880" w:type="dxa"/>
            <w:vAlign w:val="bottom"/>
          </w:tcPr>
          <w:p>
            <w:pPr>
              <w:spacing w:after="0"/>
              <w:rPr>
                <w:sz w:val="19"/>
                <w:szCs w:val="19"/>
                <w:color w:val="auto"/>
              </w:rPr>
            </w:pPr>
          </w:p>
        </w:tc>
        <w:tc>
          <w:tcPr>
            <w:tcW w:w="760" w:type="dxa"/>
            <w:vAlign w:val="bottom"/>
            <w:tcBorders>
              <w:top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benefit (provision) for income taxes:</w:t>
            </w:r>
          </w:p>
        </w:tc>
        <w:tc>
          <w:tcPr>
            <w:tcW w:w="8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Arial" w:cs="Arial" w:eastAsia="Arial" w:hAnsi="Arial"/>
                <w:sz w:val="18"/>
                <w:szCs w:val="18"/>
                <w:color w:val="auto"/>
              </w:rPr>
              <w:t>Singapore</w:t>
            </w:r>
          </w:p>
        </w:tc>
        <w:tc>
          <w:tcPr>
            <w:tcW w:w="1640" w:type="dxa"/>
            <w:vAlign w:val="bottom"/>
            <w:gridSpan w:val="2"/>
          </w:tcPr>
          <w:p>
            <w:pPr>
              <w:jc w:val="right"/>
              <w:ind w:right="606"/>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 of world</w:t>
            </w:r>
          </w:p>
        </w:tc>
        <w:tc>
          <w:tcPr>
            <w:tcW w:w="8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9"/>
                <w:szCs w:val="19"/>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 deferred benefit (provision) for income taxes</w:t>
            </w:r>
          </w:p>
        </w:tc>
        <w:tc>
          <w:tcPr>
            <w:tcW w:w="880" w:type="dxa"/>
            <w:vAlign w:val="bottom"/>
          </w:tcPr>
          <w:p>
            <w:pPr>
              <w:spacing w:after="0"/>
              <w:rPr>
                <w:sz w:val="19"/>
                <w:szCs w:val="19"/>
                <w:color w:val="auto"/>
              </w:rPr>
            </w:pPr>
          </w:p>
        </w:tc>
        <w:tc>
          <w:tcPr>
            <w:tcW w:w="760" w:type="dxa"/>
            <w:vAlign w:val="bottom"/>
            <w:tcBorders>
              <w:top w:val="single" w:sz="8" w:color="auto"/>
            </w:tcBorders>
          </w:tcPr>
          <w:p>
            <w:pPr>
              <w:jc w:val="right"/>
              <w:ind w:right="6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benefit (provision) for income taxes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Singapore statutory income tax rate to the Company’s effective income tax rate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Singapore statutory income tax rate</w:t>
            </w:r>
          </w:p>
        </w:tc>
        <w:tc>
          <w:tcPr>
            <w:tcW w:w="132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17.0%</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17.0%</w:t>
            </w: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Federal and state tax credits</w:t>
            </w: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Permanent differences</w:t>
            </w:r>
          </w:p>
        </w:tc>
        <w:tc>
          <w:tcPr>
            <w:tcW w:w="13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(0.3)</w:t>
            </w: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(2.6)</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Changes in reserves for uncertain tax positions</w:t>
            </w: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rate differential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Tax rate change</w:t>
            </w: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Change in deferred tax asset valuation allowance</w:t>
            </w: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(28.7)</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(19.7)</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vMerge w:val="continue"/>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deferred tax assets and liabilities as of December 31, 2018 and 2017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58,661</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28,913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and state tax credits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Accumulated amortization</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4940" w:type="dxa"/>
            <w:vAlign w:val="bottom"/>
            <w:gridSpan w:val="2"/>
          </w:tcPr>
          <w:p>
            <w:pPr>
              <w:ind w:left="1720"/>
              <w:spacing w:after="0"/>
              <w:rPr>
                <w:sz w:val="20"/>
                <w:szCs w:val="20"/>
                <w:color w:val="auto"/>
              </w:rPr>
            </w:pPr>
            <w:r>
              <w:rPr>
                <w:rFonts w:ascii="Arial" w:cs="Arial" w:eastAsia="Arial" w:hAnsi="Arial"/>
                <w:sz w:val="18"/>
                <w:szCs w:val="18"/>
                <w:color w:val="auto"/>
              </w:rPr>
              <w:t>Total deferred tax assets</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100,627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37,435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(99,438)</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(36,069)</w:t>
            </w:r>
          </w:p>
        </w:tc>
        <w:tc>
          <w:tcPr>
            <w:tcW w:w="1740" w:type="dxa"/>
            <w:vAlign w:val="bottom"/>
          </w:tcPr>
          <w:p>
            <w:pPr>
              <w:spacing w:after="0"/>
              <w:rPr>
                <w:sz w:val="19"/>
                <w:szCs w:val="19"/>
                <w:color w:val="auto"/>
              </w:rPr>
            </w:pPr>
          </w:p>
        </w:tc>
      </w:tr>
      <w:tr>
        <w:trPr>
          <w:trHeight w:val="223"/>
        </w:trPr>
        <w:tc>
          <w:tcPr>
            <w:tcW w:w="4940" w:type="dxa"/>
            <w:vAlign w:val="bottom"/>
            <w:gridSpan w:val="2"/>
          </w:tcPr>
          <w:p>
            <w:pPr>
              <w:ind w:left="1720"/>
              <w:spacing w:after="0"/>
              <w:rPr>
                <w:sz w:val="20"/>
                <w:szCs w:val="20"/>
                <w:color w:val="auto"/>
              </w:rPr>
            </w:pPr>
            <w:r>
              <w:rPr>
                <w:rFonts w:ascii="Arial" w:cs="Arial" w:eastAsia="Arial" w:hAnsi="Arial"/>
                <w:sz w:val="18"/>
                <w:szCs w:val="18"/>
                <w:color w:val="auto"/>
              </w:rPr>
              <w:t>Net deferred tax assets</w:t>
            </w:r>
          </w:p>
        </w:tc>
        <w:tc>
          <w:tcPr>
            <w:tcW w:w="2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Accumulated depreciation</w:t>
            </w: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(1,155)</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(1,366)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23"/>
        </w:trPr>
        <w:tc>
          <w:tcPr>
            <w:tcW w:w="4940" w:type="dxa"/>
            <w:vAlign w:val="bottom"/>
            <w:gridSpan w:val="2"/>
          </w:tcPr>
          <w:p>
            <w:pPr>
              <w:ind w:left="1720"/>
              <w:spacing w:after="0"/>
              <w:rPr>
                <w:sz w:val="20"/>
                <w:szCs w:val="20"/>
                <w:color w:val="auto"/>
              </w:rPr>
            </w:pPr>
            <w:r>
              <w:rPr>
                <w:rFonts w:ascii="Arial" w:cs="Arial" w:eastAsia="Arial" w:hAnsi="Arial"/>
                <w:sz w:val="18"/>
                <w:szCs w:val="18"/>
                <w:color w:val="auto"/>
              </w:rPr>
              <w:t>Total deferred tax liabilities</w:t>
            </w:r>
          </w:p>
        </w:tc>
        <w:tc>
          <w:tcPr>
            <w:tcW w:w="2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2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 (liabilities)</w:t>
            </w:r>
          </w:p>
        </w:tc>
        <w:tc>
          <w:tcPr>
            <w:tcW w:w="2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60" w:type="dxa"/>
            <w:vAlign w:val="bottom"/>
            <w:gridSpan w:val="2"/>
          </w:tcPr>
          <w:p>
            <w:pPr>
              <w:jc w:val="right"/>
              <w:ind w:right="1445"/>
              <w:spacing w:after="0"/>
              <w:rPr>
                <w:sz w:val="20"/>
                <w:szCs w:val="20"/>
                <w:color w:val="auto"/>
              </w:rPr>
            </w:pPr>
            <w:r>
              <w:rPr>
                <w:rFonts w:ascii="Arial" w:cs="Arial" w:eastAsia="Arial" w:hAnsi="Arial"/>
                <w:sz w:val="18"/>
                <w:szCs w:val="18"/>
                <w:color w:val="auto"/>
              </w:rPr>
              <w:t>F-23</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A roll-forward of the valuation allowance for the years ended December 31, 2018 and 2017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4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6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36,069</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15,999</w:t>
            </w:r>
          </w:p>
        </w:tc>
        <w:tc>
          <w:tcPr>
            <w:tcW w:w="80" w:type="dxa"/>
            <w:vAlign w:val="bottom"/>
            <w:shd w:val="clear" w:color="auto" w:fill="CFF0FC"/>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Increase in valuation allowance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63,337</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20,595</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Reversal of valuation allowance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(598)</w:t>
            </w:r>
          </w:p>
        </w:tc>
      </w:tr>
      <w:tr>
        <w:trPr>
          <w:trHeight w:val="230"/>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translation</w:t>
            </w:r>
          </w:p>
        </w:tc>
        <w:tc>
          <w:tcPr>
            <w:tcW w:w="1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1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99,438</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31, 2018, the Company had federal net operating loss carryforwards in the United States of $82.6 million, $80.6 million of which may be available to offset future income tax liabilities indefinitely, while $2.0 million of carryforwards that were in existence as of December 31, 2017 may offset future income tax liabilities up through 2037. As of December 31, 2018 and 2017, the Company has U.S. federal research and development tax credit carryforwards of approximately $6.2 million and $2.8 million, respectively, available to offset future U.S. federal income taxes. As of December 31, 2018 and 2017, the Company has state research and development tax credit carryforwards of approximately $1.8 million and $1.1 million, respectively, available to offset future state income taxes. The U.S. federal and state research and development tax credits will begin to expire in 2031. As of December 31, 2018, the Company had a U.S. orphan drug credit carryforward of $5.0 million, which will begin to expire in 2037.</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2018 and 2017, the Company has net operating loss carryforwards in Japan of $2.9 million and $4.1 million, respectively, which may be available to offset future income tax liabilities and begin to expire in 2023.</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2018 and 2017, the Company has net operating loss carryforwards in Singapore of $161.3 million and $149.2 million, respectively, which may be available to offset future income tax liabilities and can be carried forward indefinitely.</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2018 and 2017, the Company has net operating loss carryforwards in the United Kingdom of $46.4 million and $10.5 million, which may be available to offset future income tax liabilities and can be carried forward indefinitely.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its ability to realize its deferred tax assets. As of December 31, 2018,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in all jurisdictions. Accordingly, a full valuation allowance has been established against those deferred tax assets as of December 31, 2018.</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valuation allowance increased by approximately $63.3 million in 2018, $20.1 million in 2017 and $8.5 million in 2016 primarily as a result of operating losses generated with no corresponding financial statement benefit. Additionally, as discussed in Note 2, the Company adopted ASU 2016-16 which resulted in an increase to the Company’s deferred tax assets, which was offset by a valuation allowance. The Company may release this valuation allowance when management determines that it is more-likely-than-not that the deferred tax assets will be realized. Any release of valuation allowance will be recorded as a tax benefit either increasing net income or decreasing net loss.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reserves related to taxes and its accounting for uncertain tax positions are based on a determination of whether and how much of a tax benefit taken by the Company in its tax filings or positions is more-likely-than-not to be realized following resolution of any potential contingencies present related to the tax benefit.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Company’s unrecognized tax benefits is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 at the beginning of the year</w:t>
            </w:r>
          </w:p>
        </w:tc>
        <w:tc>
          <w:tcPr>
            <w:tcW w:w="10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Tax positions related to prior years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(1,066)</w:t>
            </w: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Tax positions related to the current year</w:t>
            </w:r>
          </w:p>
        </w:tc>
        <w:tc>
          <w:tcPr>
            <w:tcW w:w="7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FF0FC"/>
          </w:tcPr>
          <w:p>
            <w:pPr>
              <w:spacing w:after="0"/>
              <w:rPr>
                <w:sz w:val="19"/>
                <w:szCs w:val="19"/>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Unrecognized tax benefit at the end of the year</w:t>
            </w:r>
          </w:p>
        </w:tc>
        <w:tc>
          <w:tcPr>
            <w:tcW w:w="7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December 31, 2018, 2017 and 2016, the total amount of gross unrecognized tax benefits, which excludes interest and penalties, was $10.2 million, $6.2 million and $2.3 million, respectively. At December 31, 2018, $5.8 million of the net unrecognized tax benefits would affect the Company’s annual effective tax rate if recognized.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color w:val="auto"/>
        </w:rPr>
        <w:t>The Company does not expect to record any material reductions in the measurement of its unrecognized tax benefits within the next twelve months.</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policy is to record interest and penalties related to uncertain tax positions as part of its income tax provision. As of December 31, 2018 and 2017, the Company had recorded less than $0.1 million of interest or penalties related to uncertain tax positions.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files income tax returns as prescribed by the tax laws of the jurisdictions in which it operates. In the normal course of business, the Company is subject to examination by various tax authorities in the United States, Japan, Singapore and the United Kingdom. There are currently no pending income tax examinations. Tax years from 2012 to the present are still open to examination in the United States, from 2008 to the present in Japan, from 2012 to the present in Singapore and from 2017 to the present in the United Kingdom. To the extent that the Company has tax attribute carryforwards, the tax years in which the attribute was generated may still be adjusted upon examination by the tax authorities to the extent utilized in a future period.</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December 31, 2018 and 2017, $53.0 million and $48.8 million, respectively, of cash was held by the subsidiaries outside of Singapore. The Company does not provide for Singapore income tax or foreign withholding taxes on foreign unrepatriated earnings, as the Company intends to permanently reinvest undistributed earnings in its foreign subsidiaries. If the Company decides to change this assertion in the future to repatriate any additional foreign earnings, the Company may be required to accrue and pay taxes. Because of the complexity of Singapore and foreign tax rules applicable to the distribution of earnings from foreign subsidiaries to Singapore, the determination of the unrecognized deferred tax liability on these earnings is not practicable.</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Utilization of the net operating loss carryforwards and research and development tax credit carryforwards in the United States may be subject to a substantial annual limitation under Section 382 of the Internal Revenue Code of 1986, as amended (the “Code”),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shares of a corporation by more than 50% over a three-year period. In 2018, the Company completed a study to assess whether an ownership change has occurred or whether there have been multiple ownership changes since its formation. The results of this study indicated that the Company experienced ownership changes as defined by Section 382 of the Code. Based on the results of the study, management has determined that the limitations will not have a material impact on the Company’s ability to utilize its net operating losses and research and development credit carryforwards to offset future tax liabilities. Should an ownership change have occurred after December 31, 2018 or occur in the future, the Company’s ability to utilize its net operating losses and research and development tax credit carryforwards may be limited.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The Company has a 401(k) retirement and savings plan (the “401(k) Plan”) covering employees of Wave USA. The 401(k) Plan allows employees to make contributions up to the maximum allowable amount set by the IRS. Under the 401(k) Plan, the Company may make discretionary contributions as approved by the board of directors. The Company made contributions of $0.7 million and $0.4 million in the years ended December 31, 2018 and 2017, respectively. The Company did not make contributions to the 401(k) Plan during the year ended December 31, 2016.</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PARTIES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had the following related party transactions for the periods presented in the accompanying consolidated financial statements, which have not otherwise been discussed in these notes to the consolidated financial statements:</w:t>
      </w:r>
    </w:p>
    <w:p>
      <w:pPr>
        <w:spacing w:after="0" w:line="62" w:lineRule="exact"/>
        <w:rPr>
          <w:sz w:val="20"/>
          <w:szCs w:val="20"/>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 held cash of $0.1 million in depository accounts with Kagoshima Bank, Ltd., an affiliate of one of the Company’s</w:t>
      </w:r>
    </w:p>
    <w:p>
      <w:pPr>
        <w:spacing w:after="0" w:line="23" w:lineRule="exact"/>
        <w:rPr>
          <w:rFonts w:ascii="Arial" w:cs="Arial" w:eastAsia="Arial" w:hAnsi="Arial"/>
          <w:sz w:val="18"/>
          <w:szCs w:val="18"/>
          <w:color w:val="auto"/>
        </w:rPr>
      </w:pPr>
    </w:p>
    <w:p>
      <w:pPr>
        <w:ind w:left="1040" w:right="20"/>
        <w:spacing w:after="0" w:line="261" w:lineRule="auto"/>
        <w:rPr>
          <w:rFonts w:ascii="Arial" w:cs="Arial" w:eastAsia="Arial" w:hAnsi="Arial"/>
          <w:sz w:val="18"/>
          <w:szCs w:val="18"/>
          <w:color w:val="auto"/>
        </w:rPr>
      </w:pPr>
      <w:r>
        <w:rPr>
          <w:rFonts w:ascii="Arial" w:cs="Arial" w:eastAsia="Arial" w:hAnsi="Arial"/>
          <w:sz w:val="18"/>
          <w:szCs w:val="18"/>
          <w:color w:val="auto"/>
        </w:rPr>
        <w:t>shareholders, Kagoshima Shinsangyo Sousei Investment Limited Partnership, as of December 31, 2017. These depository accounts were closed during the three months ended March 31, 2018.</w:t>
      </w:r>
    </w:p>
    <w:p>
      <w:pPr>
        <w:spacing w:after="0" w:line="75" w:lineRule="exact"/>
        <w:rPr>
          <w:rFonts w:ascii="Arial" w:cs="Arial" w:eastAsia="Arial" w:hAnsi="Arial"/>
          <w:sz w:val="18"/>
          <w:szCs w:val="18"/>
          <w:color w:val="auto"/>
        </w:rPr>
      </w:pPr>
    </w:p>
    <w:p>
      <w:pPr>
        <w:ind w:left="1040" w:right="20" w:hanging="519"/>
        <w:spacing w:after="0" w:line="279" w:lineRule="auto"/>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Pursuant to the terms of various service agreements with Shin Nippon Biomedical Laboratories Ltd., one of the Company’s shareholders, and its affiliates (together “SNBL”), the Company paid SNBL $1.3 million, $0.5 million, and $0.4 million for the nine months ended September 30, 2018 and the years ended December 31, 2017 and 2016, respectively, for contract research services provided to the Company and its affiliates. SNBL ceased providing contract research services to the Company and its affiliates as of October 1, 2018.</w:t>
      </w:r>
    </w:p>
    <w:p>
      <w:pPr>
        <w:spacing w:after="0" w:line="63" w:lineRule="exact"/>
        <w:rPr>
          <w:rFonts w:ascii="Arial" w:cs="Arial" w:eastAsia="Arial" w:hAnsi="Arial"/>
          <w:sz w:val="17"/>
          <w:szCs w:val="17"/>
          <w:color w:val="auto"/>
        </w:rPr>
      </w:pPr>
    </w:p>
    <w:p>
      <w:pPr>
        <w:ind w:left="1040" w:right="60" w:hanging="519"/>
        <w:spacing w:after="0" w:line="259"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2012, the Company entered into a consulting agreement for scientific services with Dr. Gregory L. Verdine, one of the Company’s founders and a member of the Company’s board of directors. The consulting agreement does not have a specific term and may be terminated by either party upon 14 days’ prior written notice. Pursuant to the consulting agreement, the Company pays Dr. Verdine approximately $13 thousand per month, plus reimbursement for certain expenses.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13. SELECTED QUARTERLY FINANCIAL INFORMATION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Selected quarterly results from operations for the years ended December 31, 2018 and 2017 are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2018 Quarter Ended</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20" w:type="dxa"/>
            <w:vAlign w:val="bottom"/>
            <w:gridSpan w:val="4"/>
          </w:tcPr>
          <w:p>
            <w:pPr>
              <w:ind w:left="80"/>
              <w:spacing w:after="0" w:line="155" w:lineRule="exact"/>
              <w:rPr>
                <w:sz w:val="20"/>
                <w:szCs w:val="20"/>
                <w:color w:val="auto"/>
              </w:rPr>
            </w:pPr>
            <w:r>
              <w:rPr>
                <w:rFonts w:ascii="Arial" w:cs="Arial" w:eastAsia="Arial" w:hAnsi="Arial"/>
                <w:sz w:val="14"/>
                <w:szCs w:val="14"/>
                <w:color w:val="auto"/>
                <w:w w:val="95"/>
              </w:rPr>
              <w:t>(in thousands, except for per share data)</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1,422</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4,879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4,493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37,197</w:t>
            </w:r>
          </w:p>
        </w:tc>
        <w:tc>
          <w:tcPr>
            <w:tcW w:w="26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41,452</w:t>
            </w:r>
          </w:p>
        </w:tc>
        <w:tc>
          <w:tcPr>
            <w:tcW w:w="16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42,725</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52,563</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(35,775)</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(36,573)</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(38,232)</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(48,943)</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(35,241)</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(35,894)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(37,631)</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(37,887)</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ordinary share</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r>
        <w:trPr>
          <w:trHeight w:val="446"/>
        </w:trPr>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2017 Quarter Ended</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1"/>
              </w:rPr>
              <w:t>December 31</w:t>
            </w:r>
          </w:p>
        </w:tc>
        <w:tc>
          <w:tcPr>
            <w:tcW w:w="10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520" w:type="dxa"/>
            <w:vAlign w:val="bottom"/>
            <w:gridSpan w:val="4"/>
          </w:tcPr>
          <w:p>
            <w:pPr>
              <w:ind w:left="80"/>
              <w:spacing w:after="0" w:line="155" w:lineRule="exact"/>
              <w:rPr>
                <w:sz w:val="20"/>
                <w:szCs w:val="20"/>
                <w:color w:val="auto"/>
              </w:rPr>
            </w:pPr>
            <w:r>
              <w:rPr>
                <w:rFonts w:ascii="Arial" w:cs="Arial" w:eastAsia="Arial" w:hAnsi="Arial"/>
                <w:sz w:val="14"/>
                <w:szCs w:val="14"/>
                <w:color w:val="auto"/>
                <w:w w:val="95"/>
              </w:rPr>
              <w:t>(in thousands, except for per share data)</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1,097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1,315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20,590</w:t>
            </w:r>
          </w:p>
        </w:tc>
        <w:tc>
          <w:tcPr>
            <w:tcW w:w="260" w:type="dxa"/>
            <w:vAlign w:val="bottom"/>
          </w:tcPr>
          <w:p>
            <w:pPr>
              <w:spacing w:after="0"/>
              <w:rPr>
                <w:sz w:val="19"/>
                <w:szCs w:val="19"/>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25,770</w:t>
            </w:r>
          </w:p>
        </w:tc>
        <w:tc>
          <w:tcPr>
            <w:tcW w:w="16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27,668</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32,256</w:t>
            </w: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(20,207)</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(24,673)</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(26,353)</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(31,158)</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(21,096)</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(24,597)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(25,494)</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(30,793)</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ordinary share</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28, 2019, the Company closed a follow-on underwritten public offering of 3,950,000 ordinary shares for gross proceeds of $150.1 million, and on February 26, 2019, the Company closed on the sale of an additional 592,500 ordinary shares pursuant to the underwriters’ option (on the same terms and conditions as the initial closing) for gross proceeds of an additional $22.5 million (collectively, the “January 2019 Offering”). The net proceeds to the Company from the January 2019 Offering are expected to be approximately $161.6 million, after deducting underwriting discounts and commissions and estimated offering expenses.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121" w:right="27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10.23.3</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Grant No. __</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WAVE LIFE SCIENCES LTD.</w:t>
      </w:r>
    </w:p>
    <w:p>
      <w:pPr>
        <w:jc w:val="center"/>
        <w:spacing w:after="0"/>
        <w:rPr>
          <w:sz w:val="20"/>
          <w:szCs w:val="20"/>
          <w:color w:val="auto"/>
        </w:rPr>
      </w:pPr>
      <w:r>
        <w:rPr>
          <w:rFonts w:ascii="Arial" w:cs="Arial" w:eastAsia="Arial" w:hAnsi="Arial"/>
          <w:sz w:val="22"/>
          <w:szCs w:val="22"/>
          <w:b w:val="1"/>
          <w:bCs w:val="1"/>
          <w:color w:val="auto"/>
        </w:rPr>
        <w:t>2014 EQUITY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Share Option Grant Notice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Company’s Non-qualified Share Option Agreement</w:t>
      </w:r>
    </w:p>
    <w:p>
      <w:pPr>
        <w:spacing w:after="0" w:line="21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Name of Participant:</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7620</wp:posOffset>
            </wp:positionV>
            <wp:extent cx="33445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-292100</wp:posOffset>
            </wp:positionV>
            <wp:extent cx="33445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60" w:type="dxa"/>
            <w:vAlign w:val="bottom"/>
            <w:gridSpan w:val="2"/>
          </w:tcPr>
          <w:p>
            <w:pPr>
              <w:spacing w:after="0"/>
              <w:rPr>
                <w:sz w:val="20"/>
                <w:szCs w:val="20"/>
                <w:color w:val="auto"/>
              </w:rPr>
            </w:pPr>
            <w:r>
              <w:rPr>
                <w:rFonts w:ascii="Arial" w:cs="Arial" w:eastAsia="Arial" w:hAnsi="Arial"/>
                <w:sz w:val="22"/>
                <w:szCs w:val="22"/>
                <w:color w:val="auto"/>
              </w:rPr>
              <w:t>[For employees:</w:t>
            </w:r>
          </w:p>
        </w:tc>
        <w:tc>
          <w:tcPr>
            <w:tcW w:w="5260" w:type="dxa"/>
            <w:vAlign w:val="bottom"/>
          </w:tcPr>
          <w:p>
            <w:pPr>
              <w:spacing w:after="0"/>
              <w:rPr>
                <w:sz w:val="21"/>
                <w:szCs w:val="21"/>
                <w:color w:val="auto"/>
              </w:rPr>
            </w:pPr>
          </w:p>
        </w:tc>
      </w:tr>
      <w:tr>
        <w:trPr>
          <w:trHeight w:val="265"/>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5720" w:type="dxa"/>
            <w:vAlign w:val="bottom"/>
          </w:tcPr>
          <w:p>
            <w:pPr>
              <w:ind w:left="220"/>
              <w:spacing w:after="0"/>
              <w:rPr>
                <w:sz w:val="20"/>
                <w:szCs w:val="20"/>
                <w:color w:val="auto"/>
              </w:rPr>
            </w:pPr>
            <w:r>
              <w:rPr>
                <w:rFonts w:ascii="Arial" w:cs="Arial" w:eastAsia="Arial" w:hAnsi="Arial"/>
                <w:sz w:val="22"/>
                <w:szCs w:val="22"/>
                <w:color w:val="auto"/>
              </w:rPr>
              <w:t>Expiration Date:</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10-year anniversary of the Grant Date</w:t>
            </w:r>
          </w:p>
        </w:tc>
      </w:tr>
      <w:tr>
        <w:trPr>
          <w:trHeight w:val="647"/>
        </w:trPr>
        <w:tc>
          <w:tcPr>
            <w:tcW w:w="6160" w:type="dxa"/>
            <w:vAlign w:val="bottom"/>
            <w:gridSpan w:val="2"/>
          </w:tcPr>
          <w:p>
            <w:pPr>
              <w:spacing w:after="0"/>
              <w:rPr>
                <w:sz w:val="20"/>
                <w:szCs w:val="20"/>
                <w:color w:val="auto"/>
              </w:rPr>
            </w:pPr>
            <w:r>
              <w:rPr>
                <w:rFonts w:ascii="Arial" w:cs="Arial" w:eastAsia="Arial" w:hAnsi="Arial"/>
                <w:sz w:val="22"/>
                <w:szCs w:val="22"/>
                <w:color w:val="auto"/>
              </w:rPr>
              <w:t>[For non-employee directors:</w:t>
            </w:r>
          </w:p>
        </w:tc>
        <w:tc>
          <w:tcPr>
            <w:tcW w:w="5260" w:type="dxa"/>
            <w:vAlign w:val="bottom"/>
          </w:tcPr>
          <w:p>
            <w:pPr>
              <w:spacing w:after="0"/>
              <w:rPr>
                <w:sz w:val="24"/>
                <w:szCs w:val="24"/>
                <w:color w:val="auto"/>
              </w:rPr>
            </w:pPr>
          </w:p>
        </w:tc>
      </w:tr>
      <w:tr>
        <w:trPr>
          <w:trHeight w:val="265"/>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5720" w:type="dxa"/>
            <w:vAlign w:val="bottom"/>
          </w:tcPr>
          <w:p>
            <w:pPr>
              <w:ind w:left="220"/>
              <w:spacing w:after="0"/>
              <w:rPr>
                <w:sz w:val="20"/>
                <w:szCs w:val="20"/>
                <w:color w:val="auto"/>
              </w:rPr>
            </w:pPr>
            <w:r>
              <w:rPr>
                <w:rFonts w:ascii="Arial" w:cs="Arial" w:eastAsia="Arial" w:hAnsi="Arial"/>
                <w:sz w:val="22"/>
                <w:szCs w:val="22"/>
                <w:color w:val="auto"/>
              </w:rPr>
              <w:t>Expiration Date:</w:t>
            </w:r>
          </w:p>
        </w:tc>
        <w:tc>
          <w:tcPr>
            <w:tcW w:w="5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5-year anniversary of the Grant Date</w:t>
            </w:r>
          </w:p>
        </w:tc>
      </w:tr>
    </w:tbl>
    <w:p>
      <w:pPr>
        <w:spacing w:after="0" w:line="200" w:lineRule="exact"/>
        <w:rPr>
          <w:sz w:val="20"/>
          <w:szCs w:val="20"/>
          <w:color w:val="auto"/>
        </w:rPr>
      </w:pPr>
    </w:p>
    <w:p>
      <w:pPr>
        <w:spacing w:after="0" w:line="211" w:lineRule="exact"/>
        <w:rPr>
          <w:sz w:val="20"/>
          <w:szCs w:val="20"/>
          <w:color w:val="auto"/>
        </w:rPr>
      </w:pPr>
    </w:p>
    <w:p>
      <w:pPr>
        <w:ind w:left="660" w:right="5500" w:hanging="652"/>
        <w:spacing w:after="0" w:line="251" w:lineRule="auto"/>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Maximum Number of Ordinary Shares for which this Option is exercisable:</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Exercise (purchase) Price per Ordinary Share:</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Vesting Start Date:</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-292100</wp:posOffset>
            </wp:positionV>
            <wp:extent cx="33445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-592455</wp:posOffset>
            </wp:positionV>
            <wp:extent cx="33445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3344545"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-892175</wp:posOffset>
            </wp:positionV>
            <wp:extent cx="33445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80" w:firstLine="407"/>
        <w:spacing w:after="0" w:line="276" w:lineRule="auto"/>
        <w:rPr>
          <w:sz w:val="20"/>
          <w:szCs w:val="20"/>
          <w:color w:val="auto"/>
        </w:rPr>
      </w:pPr>
      <w:r>
        <w:rPr>
          <w:rFonts w:ascii="Arial" w:cs="Arial" w:eastAsia="Arial" w:hAnsi="Arial"/>
          <w:sz w:val="22"/>
          <w:szCs w:val="22"/>
          <w:color w:val="auto"/>
        </w:rPr>
        <w:t>This Option shall become vested and exercisable with respect to the number of Ordinary Shares set forth below provided that at all times the Participant is providing Continuous Service:</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[__].</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[__].</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[__].</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[__].</w:t>
      </w:r>
    </w:p>
    <w:p>
      <w:pPr>
        <w:spacing w:after="0" w:line="220" w:lineRule="exact"/>
        <w:rPr>
          <w:sz w:val="20"/>
          <w:szCs w:val="20"/>
          <w:color w:val="auto"/>
        </w:rPr>
      </w:pPr>
    </w:p>
    <w:p>
      <w:pPr>
        <w:jc w:val="both"/>
        <w:ind w:firstLine="407"/>
        <w:spacing w:after="0" w:line="266" w:lineRule="auto"/>
        <w:rPr>
          <w:sz w:val="20"/>
          <w:szCs w:val="20"/>
          <w:color w:val="auto"/>
        </w:rPr>
      </w:pPr>
      <w:r>
        <w:rPr>
          <w:rFonts w:ascii="Arial" w:cs="Arial" w:eastAsia="Arial" w:hAnsi="Arial"/>
          <w:sz w:val="22"/>
          <w:szCs w:val="22"/>
          <w:color w:val="auto"/>
        </w:rPr>
        <w:t>The Company and the Participant acknowledge receipt of this Non-qualified Share Option Grant Notice and agree to the terms of the Non-qualified Share Option Agreement attached hereto and incorporated by reference herein, the Company’s 2014 Equity Incentive Plan and the terms of this Option Grant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5" w:name="page136"/>
    <w:bookmarkEnd w:id="135"/>
    <w:p>
      <w:pPr>
        <w:ind w:left="4520"/>
        <w:spacing w:after="0"/>
        <w:rPr>
          <w:sz w:val="20"/>
          <w:szCs w:val="20"/>
          <w:color w:val="auto"/>
        </w:rPr>
      </w:pPr>
      <w:r>
        <w:rPr>
          <w:rFonts w:ascii="Arial" w:cs="Arial" w:eastAsia="Arial" w:hAnsi="Arial"/>
          <w:sz w:val="19"/>
          <w:szCs w:val="19"/>
          <w:b w:val="1"/>
          <w:bCs w:val="1"/>
          <w:color w:val="auto"/>
        </w:rPr>
        <w:t>Wave Life Sciences Ltd.</w:t>
      </w:r>
    </w:p>
    <w:p>
      <w:pPr>
        <w:sectPr>
          <w:pgSz w:w="11900" w:h="16838" w:orient="portrait"/>
          <w:cols w:equalWidth="0" w:num="1">
            <w:col w:w="9019"/>
          </w:cols>
          <w:pgMar w:left="1440" w:top="760"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2984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4980" w:space="540"/>
            <w:col w:w="3499"/>
          </w:cols>
          <w:pgMar w:left="1440" w:top="760" w:right="1440"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Participant</w:t>
      </w:r>
    </w:p>
    <w:p>
      <w:pPr>
        <w:spacing w:after="0" w:line="27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15875</wp:posOffset>
            </wp:positionV>
            <wp:extent cx="2984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1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168275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type w:val="continuous"/>
        </w:sectPr>
      </w:pPr>
    </w:p>
    <w:bookmarkStart w:id="136" w:name="page137"/>
    <w:bookmarkEnd w:id="136"/>
    <w:p>
      <w:pPr>
        <w:jc w:val="center"/>
        <w:ind w:right="-19"/>
        <w:spacing w:after="0"/>
        <w:rPr>
          <w:sz w:val="20"/>
          <w:szCs w:val="20"/>
          <w:color w:val="auto"/>
        </w:rPr>
      </w:pPr>
      <w:r>
        <w:rPr>
          <w:rFonts w:ascii="Arial" w:cs="Arial" w:eastAsia="Arial" w:hAnsi="Arial"/>
          <w:sz w:val="22"/>
          <w:szCs w:val="22"/>
          <w:b w:val="1"/>
          <w:bCs w:val="1"/>
          <w:u w:val="single" w:color="auto"/>
          <w:color w:val="auto"/>
        </w:rPr>
        <w:t>NON-QUALIFIED SHARE OPTION AGREEMENT –</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INCORPORATED TERMS AND CONDITIONS</w:t>
      </w:r>
    </w:p>
    <w:p>
      <w:pPr>
        <w:spacing w:after="0" w:line="188" w:lineRule="exact"/>
        <w:rPr>
          <w:sz w:val="20"/>
          <w:szCs w:val="20"/>
          <w:color w:val="auto"/>
        </w:rPr>
      </w:pPr>
    </w:p>
    <w:p>
      <w:pPr>
        <w:ind w:right="420" w:firstLine="815"/>
        <w:spacing w:after="0"/>
        <w:rPr>
          <w:sz w:val="20"/>
          <w:szCs w:val="20"/>
          <w:color w:val="auto"/>
        </w:rPr>
      </w:pPr>
      <w:r>
        <w:rPr>
          <w:rFonts w:ascii="Arial" w:cs="Arial" w:eastAsia="Arial" w:hAnsi="Arial"/>
          <w:sz w:val="22"/>
          <w:szCs w:val="22"/>
          <w:color w:val="auto"/>
        </w:rPr>
        <w:t>This Non-qualified Share Option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the Grant Date by and between Wave Life Sciences Ltd., a company incorporated in Singapore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w:t>
      </w:r>
      <w:r>
        <w:rPr>
          <w:rFonts w:ascii="Arial" w:cs="Arial" w:eastAsia="Arial" w:hAnsi="Arial"/>
          <w:sz w:val="22"/>
          <w:szCs w:val="22"/>
          <w:u w:val="single" w:color="auto"/>
          <w:color w:val="auto"/>
        </w:rPr>
        <w:t>Participant</w:t>
      </w:r>
      <w:r>
        <w:rPr>
          <w:rFonts w:ascii="Arial" w:cs="Arial" w:eastAsia="Arial" w:hAnsi="Arial"/>
          <w:sz w:val="22"/>
          <w:szCs w:val="22"/>
          <w:color w:val="auto"/>
        </w:rPr>
        <w:t>” whose name appears on the Non-qualified Share Option Grant Notice.</w:t>
      </w:r>
    </w:p>
    <w:p>
      <w:pPr>
        <w:spacing w:after="0" w:line="254" w:lineRule="exact"/>
        <w:rPr>
          <w:sz w:val="20"/>
          <w:szCs w:val="20"/>
          <w:color w:val="auto"/>
        </w:rPr>
      </w:pPr>
    </w:p>
    <w:p>
      <w:pPr>
        <w:ind w:left="820" w:hanging="812"/>
        <w:spacing w:after="0"/>
        <w:tabs>
          <w:tab w:leader="none" w:pos="82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w:t>
      </w:r>
    </w:p>
    <w:p>
      <w:pPr>
        <w:spacing w:after="0" w:line="247" w:lineRule="exact"/>
        <w:rPr>
          <w:sz w:val="20"/>
          <w:szCs w:val="20"/>
          <w:color w:val="auto"/>
        </w:rPr>
      </w:pPr>
    </w:p>
    <w:p>
      <w:pPr>
        <w:ind w:right="140" w:firstLine="407"/>
        <w:spacing w:after="0" w:line="28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Grant; Type of Option</w:t>
      </w:r>
      <w:r>
        <w:rPr>
          <w:rFonts w:ascii="Arial" w:cs="Arial" w:eastAsia="Arial" w:hAnsi="Arial"/>
          <w:sz w:val="19"/>
          <w:szCs w:val="19"/>
          <w:color w:val="auto"/>
        </w:rPr>
        <w:t>. The Company hereby grants to the Participant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(subscribe for) the total number of Ordinary Shares of the Company equal to the number of Ordinary Shares set forth on the Non-qualified Share Option Grant Notice, at the Exercise Price per Ordinary Share set forth on the Non-qualified Share Option Grant Notice. The Option is being granted pursuant to the terms of the Wave Life Sciences Ltd. 2014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The Option is intended to be a Non-qualified Share Option and not an Incentive Share Option.</w:t>
      </w:r>
    </w:p>
    <w:p>
      <w:pPr>
        <w:spacing w:after="0" w:line="188" w:lineRule="exact"/>
        <w:rPr>
          <w:sz w:val="20"/>
          <w:szCs w:val="20"/>
          <w:color w:val="auto"/>
        </w:rPr>
      </w:pPr>
    </w:p>
    <w:p>
      <w:pPr>
        <w:jc w:val="both"/>
        <w:ind w:right="80" w:firstLine="407"/>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Consideration; Subject to Plan</w:t>
      </w:r>
      <w:r>
        <w:rPr>
          <w:rFonts w:ascii="Arial" w:cs="Arial" w:eastAsia="Arial" w:hAnsi="Arial"/>
          <w:sz w:val="22"/>
          <w:szCs w:val="22"/>
          <w:color w:val="auto"/>
        </w:rPr>
        <w:t>. The grant of the Option is made in consideration of the services to be rendered by the Participant to the Company and is subject to the terms and conditions of the Plan. Capitalized terms used but not defined herein will have the meaning ascribed to them in the Plan.</w:t>
      </w:r>
    </w:p>
    <w:p>
      <w:pPr>
        <w:spacing w:after="0" w:line="254" w:lineRule="exact"/>
        <w:rPr>
          <w:sz w:val="20"/>
          <w:szCs w:val="20"/>
          <w:color w:val="auto"/>
        </w:rPr>
      </w:pPr>
    </w:p>
    <w:p>
      <w:pPr>
        <w:ind w:left="820" w:hanging="812"/>
        <w:spacing w:after="0"/>
        <w:tabs>
          <w:tab w:leader="none" w:pos="82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Exercise Period; Vesting</w:t>
      </w:r>
      <w:r>
        <w:rPr>
          <w:rFonts w:ascii="Arial" w:cs="Arial" w:eastAsia="Arial" w:hAnsi="Arial"/>
          <w:sz w:val="22"/>
          <w:szCs w:val="22"/>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jc w:val="right"/>
              <w:ind w:right="712"/>
              <w:spacing w:after="0"/>
              <w:rPr>
                <w:sz w:val="20"/>
                <w:szCs w:val="20"/>
                <w:color w:val="auto"/>
              </w:rPr>
            </w:pPr>
            <w:r>
              <w:rPr>
                <w:rFonts w:ascii="Arial" w:cs="Arial" w:eastAsia="Arial" w:hAnsi="Arial"/>
                <w:sz w:val="22"/>
                <w:szCs w:val="22"/>
                <w:color w:val="auto"/>
              </w:rPr>
              <w:t>2.1</w:t>
            </w:r>
          </w:p>
        </w:tc>
        <w:tc>
          <w:tcPr>
            <w:tcW w:w="9760" w:type="dxa"/>
            <w:vAlign w:val="bottom"/>
            <w:gridSpan w:val="4"/>
          </w:tcPr>
          <w:p>
            <w:pPr>
              <w:spacing w:after="0"/>
              <w:rPr>
                <w:sz w:val="20"/>
                <w:szCs w:val="20"/>
                <w:color w:val="auto"/>
              </w:rPr>
            </w:pPr>
            <w:r>
              <w:rPr>
                <w:rFonts w:ascii="Arial" w:cs="Arial" w:eastAsia="Arial" w:hAnsi="Arial"/>
                <w:sz w:val="22"/>
                <w:szCs w:val="22"/>
                <w:color w:val="auto"/>
                <w:w w:val="88"/>
              </w:rPr>
              <w:t>Vesting Schedule. The Option will become vested and exercisable as set forth on the Non-qualified Share Option</w:t>
            </w:r>
          </w:p>
        </w:tc>
      </w:t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Grant Notice.</w:t>
            </w:r>
          </w:p>
        </w:tc>
        <w:tc>
          <w:tcPr>
            <w:tcW w:w="9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280" w:type="dxa"/>
            <w:vAlign w:val="bottom"/>
          </w:tcPr>
          <w:p>
            <w:pPr>
              <w:spacing w:after="0"/>
              <w:rPr>
                <w:sz w:val="23"/>
                <w:szCs w:val="23"/>
                <w:color w:val="auto"/>
              </w:rPr>
            </w:pPr>
          </w:p>
        </w:tc>
      </w:tr>
      <w:tr>
        <w:trPr>
          <w:trHeight w:val="436"/>
        </w:trPr>
        <w:tc>
          <w:tcPr>
            <w:tcW w:w="1500" w:type="dxa"/>
            <w:vAlign w:val="bottom"/>
          </w:tcPr>
          <w:p>
            <w:pPr>
              <w:jc w:val="right"/>
              <w:ind w:right="712"/>
              <w:spacing w:after="0"/>
              <w:rPr>
                <w:sz w:val="20"/>
                <w:szCs w:val="20"/>
                <w:color w:val="auto"/>
              </w:rPr>
            </w:pPr>
            <w:r>
              <w:rPr>
                <w:rFonts w:ascii="Arial" w:cs="Arial" w:eastAsia="Arial" w:hAnsi="Arial"/>
                <w:sz w:val="22"/>
                <w:szCs w:val="22"/>
                <w:color w:val="auto"/>
              </w:rPr>
              <w:t>2.2</w:t>
            </w:r>
          </w:p>
        </w:tc>
        <w:tc>
          <w:tcPr>
            <w:tcW w:w="9760" w:type="dxa"/>
            <w:vAlign w:val="bottom"/>
            <w:gridSpan w:val="4"/>
          </w:tcPr>
          <w:p>
            <w:pPr>
              <w:spacing w:after="0"/>
              <w:rPr>
                <w:sz w:val="20"/>
                <w:szCs w:val="20"/>
                <w:color w:val="auto"/>
              </w:rPr>
            </w:pPr>
            <w:r>
              <w:rPr>
                <w:rFonts w:ascii="Arial" w:cs="Arial" w:eastAsia="Arial" w:hAnsi="Arial"/>
                <w:sz w:val="22"/>
                <w:szCs w:val="22"/>
                <w:color w:val="auto"/>
                <w:w w:val="96"/>
              </w:rPr>
              <w:t>Unvested Option. The unvested portion of the Option will not be exercisable on or after the Participant's</w:t>
            </w: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300" w:type="dxa"/>
            <w:vAlign w:val="bottom"/>
            <w:gridSpan w:val="2"/>
          </w:tcPr>
          <w:p>
            <w:pPr>
              <w:spacing w:after="0" w:line="20" w:lineRule="exact"/>
              <w:rPr>
                <w:sz w:val="1"/>
                <w:szCs w:val="1"/>
                <w:color w:val="auto"/>
              </w:rPr>
            </w:pPr>
          </w:p>
        </w:tc>
      </w:tr>
      <w:tr>
        <w:trPr>
          <w:trHeight w:val="274"/>
        </w:trPr>
        <w:tc>
          <w:tcPr>
            <w:tcW w:w="11260" w:type="dxa"/>
            <w:vAlign w:val="bottom"/>
            <w:gridSpan w:val="5"/>
          </w:tcPr>
          <w:p>
            <w:pPr>
              <w:spacing w:after="0"/>
              <w:rPr>
                <w:sz w:val="20"/>
                <w:szCs w:val="20"/>
                <w:color w:val="auto"/>
              </w:rPr>
            </w:pPr>
            <w:r>
              <w:rPr>
                <w:rFonts w:ascii="Arial" w:cs="Arial" w:eastAsia="Arial" w:hAnsi="Arial"/>
                <w:sz w:val="22"/>
                <w:szCs w:val="22"/>
                <w:color w:val="auto"/>
              </w:rPr>
              <w:t>termination of Continuous Service.</w:t>
            </w:r>
          </w:p>
        </w:tc>
      </w:tr>
      <w:tr>
        <w:trPr>
          <w:trHeight w:val="449"/>
        </w:trPr>
        <w:tc>
          <w:tcPr>
            <w:tcW w:w="1500" w:type="dxa"/>
            <w:vAlign w:val="bottom"/>
          </w:tcPr>
          <w:p>
            <w:pPr>
              <w:jc w:val="right"/>
              <w:ind w:right="712"/>
              <w:spacing w:after="0"/>
              <w:rPr>
                <w:sz w:val="20"/>
                <w:szCs w:val="20"/>
                <w:color w:val="auto"/>
              </w:rPr>
            </w:pPr>
            <w:r>
              <w:rPr>
                <w:rFonts w:ascii="Arial" w:cs="Arial" w:eastAsia="Arial" w:hAnsi="Arial"/>
                <w:sz w:val="22"/>
                <w:szCs w:val="22"/>
                <w:color w:val="auto"/>
              </w:rPr>
              <w:t>2.3</w:t>
            </w:r>
          </w:p>
        </w:tc>
        <w:tc>
          <w:tcPr>
            <w:tcW w:w="9760" w:type="dxa"/>
            <w:vAlign w:val="bottom"/>
            <w:gridSpan w:val="4"/>
          </w:tcPr>
          <w:p>
            <w:pPr>
              <w:spacing w:after="0"/>
              <w:rPr>
                <w:sz w:val="20"/>
                <w:szCs w:val="20"/>
                <w:color w:val="auto"/>
              </w:rPr>
            </w:pPr>
            <w:r>
              <w:rPr>
                <w:rFonts w:ascii="Arial" w:cs="Arial" w:eastAsia="Arial" w:hAnsi="Arial"/>
                <w:sz w:val="22"/>
                <w:szCs w:val="22"/>
                <w:color w:val="auto"/>
                <w:w w:val="94"/>
              </w:rPr>
              <w:t>Expiration. The Option will expire on the Expiration Date set forth on the Non-qualified Share Option Grant</w:t>
            </w:r>
          </w:p>
        </w:tc>
      </w:tr>
      <w:tr>
        <w:trPr>
          <w:trHeight w:val="20"/>
        </w:trPr>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Notice, or earlier as provided in this Agreement or the Plan.</w:t>
      </w:r>
    </w:p>
    <w:p>
      <w:pPr>
        <w:spacing w:after="0" w:line="274" w:lineRule="exact"/>
        <w:rPr>
          <w:sz w:val="20"/>
          <w:szCs w:val="20"/>
          <w:color w:val="auto"/>
        </w:rPr>
      </w:pPr>
    </w:p>
    <w:p>
      <w:pPr>
        <w:ind w:left="820" w:hanging="812"/>
        <w:spacing w:after="0"/>
        <w:tabs>
          <w:tab w:leader="none" w:pos="82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Termination of Continuous Service</w:t>
      </w:r>
      <w:r>
        <w:rPr>
          <w:rFonts w:ascii="Arial" w:cs="Arial" w:eastAsia="Arial" w:hAnsi="Arial"/>
          <w:sz w:val="22"/>
          <w:szCs w:val="22"/>
          <w:color w:val="auto"/>
        </w:rPr>
        <w:t>.</w:t>
      </w:r>
    </w:p>
    <w:p>
      <w:pPr>
        <w:spacing w:after="0" w:line="247" w:lineRule="exact"/>
        <w:rPr>
          <w:sz w:val="20"/>
          <w:szCs w:val="20"/>
          <w:color w:val="auto"/>
        </w:rPr>
      </w:pPr>
    </w:p>
    <w:p>
      <w:pPr>
        <w:ind w:left="420"/>
        <w:spacing w:after="0"/>
        <w:tabs>
          <w:tab w:leader="none" w:pos="1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Termination for Reasons Other Than Cause, Death, Disability</w:t>
      </w:r>
      <w:r>
        <w:rPr>
          <w:rFonts w:ascii="Arial" w:cs="Arial" w:eastAsia="Arial" w:hAnsi="Arial"/>
          <w:sz w:val="19"/>
          <w:szCs w:val="19"/>
          <w:color w:val="auto"/>
        </w:rPr>
        <w:t>. If the Participant’s Continuous Service is</w:t>
      </w:r>
    </w:p>
    <w:p>
      <w:pPr>
        <w:spacing w:after="0" w:line="8"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color w:val="auto"/>
        </w:rPr>
        <w:t>terminated for any reason other than Cause, death or Disability, the Participant may exercise the vested portion of the Option, but only within such period of time ending on the earlier of: (a) the date three months following the termination of the Participant's Continuous Service; or (b) the Expiration Date.</w:t>
      </w:r>
    </w:p>
    <w:p>
      <w:pPr>
        <w:spacing w:after="0" w:line="228" w:lineRule="exact"/>
        <w:rPr>
          <w:sz w:val="20"/>
          <w:szCs w:val="20"/>
          <w:color w:val="auto"/>
        </w:rPr>
      </w:pPr>
    </w:p>
    <w:p>
      <w:pPr>
        <w:ind w:firstLine="407"/>
        <w:spacing w:after="0" w:line="251"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for Cause</w:t>
      </w:r>
      <w:r>
        <w:rPr>
          <w:rFonts w:ascii="Arial" w:cs="Arial" w:eastAsia="Arial" w:hAnsi="Arial"/>
          <w:sz w:val="22"/>
          <w:szCs w:val="22"/>
          <w:color w:val="auto"/>
        </w:rPr>
        <w:t>. If the Participant’s Continuous Service is terminated for Cause, the Option (whether vested or unvested) shall immediately terminate and cease to be exercisable.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7" w:name="page138"/>
    <w:bookmarkEnd w:id="137"/>
    <w:p>
      <w:pPr>
        <w:jc w:val="both"/>
        <w:ind w:right="200" w:firstLine="407"/>
        <w:spacing w:after="0" w:line="258"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Participant’s Continuous Service terminates as a result of the Participant’s Disability, the Participant may exercise the vested portion of the Option, but only within such period of time ending on the earlier of: (a) the date 12 months following the Participant's termination of Continuous Service; or (b) the Expiration Date.</w:t>
      </w:r>
    </w:p>
    <w:p>
      <w:pPr>
        <w:spacing w:after="0" w:line="194" w:lineRule="exact"/>
        <w:rPr>
          <w:sz w:val="20"/>
          <w:szCs w:val="20"/>
          <w:color w:val="auto"/>
        </w:rPr>
      </w:pPr>
    </w:p>
    <w:p>
      <w:pPr>
        <w:ind w:firstLine="407"/>
        <w:spacing w:after="0" w:line="248"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Participant’s Continuous Service terminates as a result of the Participant’s death, or the Participant dies within a period following termination of the Participant’s Continuous Service during which the vested portion of the Option remains exercisable,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12 months following the Participant's termination of Continuous Service; or (b) the Expiration Date.</w:t>
      </w:r>
    </w:p>
    <w:p>
      <w:pPr>
        <w:spacing w:after="0" w:line="258" w:lineRule="exact"/>
        <w:rPr>
          <w:sz w:val="20"/>
          <w:szCs w:val="20"/>
          <w:color w:val="auto"/>
        </w:rPr>
      </w:pPr>
    </w:p>
    <w:p>
      <w:pPr>
        <w:ind w:left="820" w:hanging="812"/>
        <w:spacing w:after="0"/>
        <w:tabs>
          <w:tab w:leader="none" w:pos="82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33" w:lineRule="exact"/>
        <w:rPr>
          <w:sz w:val="20"/>
          <w:szCs w:val="20"/>
          <w:color w:val="auto"/>
        </w:rPr>
      </w:pPr>
    </w:p>
    <w:p>
      <w:pPr>
        <w:ind w:right="40" w:firstLine="407"/>
        <w:spacing w:after="0" w:line="23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Election to Exercise</w:t>
      </w:r>
      <w:r>
        <w:rPr>
          <w:rFonts w:ascii="Arial" w:cs="Arial" w:eastAsia="Arial" w:hAnsi="Arial"/>
          <w:sz w:val="22"/>
          <w:szCs w:val="22"/>
          <w:color w:val="auto"/>
        </w:rPr>
        <w:t>. To exercise the Option, the Participant (or in the case of exercise after the Participant’s death or incapacity, the Participant’s executor, administrator, heir or legatee, as the case may be) must deliver to the Company a notice of intent to exercise in the manner designated by the Board or the Committee. If someone other than the Participant exercises the Option, then such person must submit documentation reasonably acceptable to the Company verifying that such person has the legal right to exercise the Option.</w:t>
      </w:r>
    </w:p>
    <w:p>
      <w:pPr>
        <w:spacing w:after="0" w:line="269" w:lineRule="exact"/>
        <w:rPr>
          <w:sz w:val="20"/>
          <w:szCs w:val="20"/>
          <w:color w:val="auto"/>
        </w:rPr>
      </w:pPr>
    </w:p>
    <w:p>
      <w:pPr>
        <w:ind w:right="240" w:firstLine="8"/>
        <w:spacing w:after="0" w:line="251" w:lineRule="auto"/>
        <w:tabs>
          <w:tab w:leader="none" w:pos="81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Payment of Exercise Price</w:t>
      </w:r>
      <w:r>
        <w:rPr>
          <w:rFonts w:ascii="Arial" w:cs="Arial" w:eastAsia="Arial" w:hAnsi="Arial"/>
          <w:sz w:val="22"/>
          <w:szCs w:val="22"/>
          <w:color w:val="auto"/>
        </w:rPr>
        <w:t>. The entire Exercise Price of the Option shall be payable in full at the time of exercise in any form of legal consideration allowed pursuant to Section 6.4 of the Plan.</w:t>
      </w:r>
    </w:p>
    <w:p>
      <w:pPr>
        <w:spacing w:after="0" w:line="240" w:lineRule="exact"/>
        <w:rPr>
          <w:rFonts w:ascii="Arial" w:cs="Arial" w:eastAsia="Arial" w:hAnsi="Arial"/>
          <w:sz w:val="22"/>
          <w:szCs w:val="22"/>
          <w:color w:val="auto"/>
        </w:rPr>
      </w:pPr>
    </w:p>
    <w:p>
      <w:pPr>
        <w:jc w:val="both"/>
        <w:ind w:right="200" w:firstLine="8"/>
        <w:spacing w:after="0" w:line="234" w:lineRule="auto"/>
        <w:tabs>
          <w:tab w:leader="none" w:pos="81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Prior to the issuance of shares upon the exercise of the Option, the Participant must make arrangements satisfactory to the Company to pay or provide for any applicable foreign, federal, state and local withholding obligations of the Company. The Participant may satisfy any foreign, federal, state or local tax withholding obligation relating to the exercise of the Option by any of the following means:</w:t>
      </w:r>
    </w:p>
    <w:p>
      <w:pPr>
        <w:spacing w:after="0" w:line="3" w:lineRule="exact"/>
        <w:rPr>
          <w:rFonts w:ascii="Arial" w:cs="Arial" w:eastAsia="Arial" w:hAnsi="Arial"/>
          <w:sz w:val="22"/>
          <w:szCs w:val="22"/>
          <w:color w:val="auto"/>
        </w:rPr>
      </w:pPr>
    </w:p>
    <w:p>
      <w:pPr>
        <w:ind w:left="1720" w:hanging="897"/>
        <w:spacing w:after="0"/>
        <w:tabs>
          <w:tab w:leader="none" w:pos="1720" w:val="left"/>
        </w:tabs>
        <w:numPr>
          <w:ilvl w:val="1"/>
          <w:numId w:val="67"/>
        </w:numPr>
        <w:rPr>
          <w:rFonts w:ascii="Arial" w:cs="Arial" w:eastAsia="Arial" w:hAnsi="Arial"/>
          <w:sz w:val="22"/>
          <w:szCs w:val="22"/>
          <w:color w:val="auto"/>
        </w:rPr>
      </w:pPr>
      <w:r>
        <w:rPr>
          <w:rFonts w:ascii="Arial" w:cs="Arial" w:eastAsia="Arial" w:hAnsi="Arial"/>
          <w:sz w:val="22"/>
          <w:szCs w:val="22"/>
          <w:color w:val="auto"/>
        </w:rPr>
        <w:t>tendering a cash payment; or</w:t>
      </w:r>
    </w:p>
    <w:p>
      <w:pPr>
        <w:spacing w:after="0" w:line="80" w:lineRule="exact"/>
        <w:rPr>
          <w:rFonts w:ascii="Arial" w:cs="Arial" w:eastAsia="Arial" w:hAnsi="Arial"/>
          <w:sz w:val="22"/>
          <w:szCs w:val="22"/>
          <w:color w:val="auto"/>
        </w:rPr>
      </w:pPr>
    </w:p>
    <w:p>
      <w:pPr>
        <w:ind w:right="540" w:firstLine="823"/>
        <w:spacing w:after="0"/>
        <w:tabs>
          <w:tab w:leader="none" w:pos="1715" w:val="left"/>
        </w:tabs>
        <w:numPr>
          <w:ilvl w:val="1"/>
          <w:numId w:val="67"/>
        </w:numPr>
        <w:rPr>
          <w:rFonts w:ascii="Arial" w:cs="Arial" w:eastAsia="Arial" w:hAnsi="Arial"/>
          <w:sz w:val="22"/>
          <w:szCs w:val="22"/>
          <w:color w:val="auto"/>
        </w:rPr>
      </w:pPr>
      <w:r>
        <w:rPr>
          <w:rFonts w:ascii="Arial" w:cs="Arial" w:eastAsia="Arial" w:hAnsi="Arial"/>
          <w:sz w:val="22"/>
          <w:szCs w:val="22"/>
          <w:color w:val="auto"/>
        </w:rPr>
        <w:t xml:space="preserve">authorizing the Company to withhold Ordinary Shares from the Ordinary Shares otherwise issuable to the Participant as a result of the exercise of the Option;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no Ordinary Shares are withheld with a value exceeding the minimum amount of tax required to be withheld by Applicable Laws.</w:t>
      </w:r>
    </w:p>
    <w:p>
      <w:pPr>
        <w:spacing w:after="0" w:line="7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The Company has the right to withhold from any compensation paid to a Participant.</w:t>
      </w:r>
    </w:p>
    <w:p>
      <w:pPr>
        <w:spacing w:after="0" w:line="274" w:lineRule="exact"/>
        <w:rPr>
          <w:sz w:val="20"/>
          <w:szCs w:val="20"/>
          <w:color w:val="auto"/>
        </w:rPr>
      </w:pPr>
    </w:p>
    <w:p>
      <w:pPr>
        <w:ind w:right="200" w:firstLine="8"/>
        <w:spacing w:after="0" w:line="249" w:lineRule="auto"/>
        <w:tabs>
          <w:tab w:leader="none" w:pos="810"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Issuance of Shares</w:t>
      </w:r>
      <w:r>
        <w:rPr>
          <w:rFonts w:ascii="Arial" w:cs="Arial" w:eastAsia="Arial" w:hAnsi="Arial"/>
          <w:sz w:val="21"/>
          <w:szCs w:val="21"/>
          <w:color w:val="auto"/>
        </w:rPr>
        <w:t>. Provided that the exercise notice and payment are in compliance with the Plan and in form and substance satisfactory to the Company, the Company shall issue the Ordinary Shares registered in the name of the Participant, the Participant’s authorized assignee, or the Participant's legal representative, which shall be evidenced by share certificates representing the shares with the appropriate legends affixed thereto, appropriate entry on the books of the Company or of a duly authorized transfer agent, or other appropriate means as determined by the Company.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1" w:right="259" w:bottom="1440" w:gutter="0" w:footer="0" w:header="0"/>
        </w:sectPr>
      </w:pPr>
    </w:p>
    <w:bookmarkStart w:id="138" w:name="page139"/>
    <w:bookmarkEnd w:id="138"/>
    <w:p>
      <w:pPr>
        <w:ind w:right="20" w:firstLine="8"/>
        <w:spacing w:after="0" w:line="249" w:lineRule="auto"/>
        <w:tabs>
          <w:tab w:leader="none" w:pos="810"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No Right to Continued Employment; No Rights as Shareholder</w:t>
      </w:r>
      <w:r>
        <w:rPr>
          <w:rFonts w:ascii="Arial" w:cs="Arial" w:eastAsia="Arial" w:hAnsi="Arial"/>
          <w:sz w:val="21"/>
          <w:szCs w:val="21"/>
          <w:color w:val="auto"/>
        </w:rPr>
        <w:t>. Neither the Plan nor this Agreement shall confer upon the Participant any right to be retained in any position, as an Employee, Consultant or Director of the Company or its Affiliates. Further, nothing in the Plan or this Agreement shall be construed to limit the discretion of the Company to terminate the Participant's Continuous Service at any time, with or without Cause. The Participant shall not have any rights as a shareholder with respect to any Ordinary Shares subject to the Option prior to the date of exercise of the Option.</w:t>
      </w:r>
    </w:p>
    <w:p>
      <w:pPr>
        <w:spacing w:after="0" w:line="259" w:lineRule="exact"/>
        <w:rPr>
          <w:rFonts w:ascii="Arial" w:cs="Arial" w:eastAsia="Arial" w:hAnsi="Arial"/>
          <w:sz w:val="21"/>
          <w:szCs w:val="21"/>
          <w:color w:val="auto"/>
        </w:rPr>
      </w:pPr>
    </w:p>
    <w:p>
      <w:pPr>
        <w:ind w:firstLine="8"/>
        <w:spacing w:after="0" w:line="247" w:lineRule="auto"/>
        <w:tabs>
          <w:tab w:leader="none" w:pos="810"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The Option is not transferable by the Participant other than to a designated beneficiary upon the Participant's death or by will or the laws of descent and distribution or pursuant to a qualified domestic relations order as defined by Applicable Laws, and otherwise shall be exercisable during the Participant's lifetime only by him or her unless the Board allows transfer to a Permitted Transferee. No assignment or transfer of the Option,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Option will terminate and become of no further effect.</w:t>
      </w:r>
    </w:p>
    <w:p>
      <w:pPr>
        <w:spacing w:after="0" w:line="178"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In addition, the Ordinary Shares acquired by the Participant pursuant to the exercise of the Option granted hereby shall not be transferred by the Participant except as permitted by the Shareholders Agreement.</w:t>
      </w:r>
    </w:p>
    <w:p>
      <w:pPr>
        <w:spacing w:after="0" w:line="241" w:lineRule="exact"/>
        <w:rPr>
          <w:sz w:val="20"/>
          <w:szCs w:val="20"/>
          <w:color w:val="auto"/>
        </w:rPr>
      </w:pPr>
    </w:p>
    <w:p>
      <w:pPr>
        <w:ind w:right="300" w:firstLine="8"/>
        <w:spacing w:after="0" w:line="251" w:lineRule="auto"/>
        <w:tabs>
          <w:tab w:leader="none" w:pos="91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Corporate Transactions and Adjustments</w:t>
      </w:r>
      <w:r>
        <w:rPr>
          <w:rFonts w:ascii="Arial" w:cs="Arial" w:eastAsia="Arial" w:hAnsi="Arial"/>
          <w:sz w:val="22"/>
          <w:szCs w:val="22"/>
          <w:color w:val="auto"/>
        </w:rPr>
        <w:t>. The Ordinary Shares subject to the Option may be adjusted or terminated in any manner as contemplated by Sections 11and 12 of the Plan.</w:t>
      </w:r>
    </w:p>
    <w:p>
      <w:pPr>
        <w:spacing w:after="0" w:line="240" w:lineRule="exact"/>
        <w:rPr>
          <w:rFonts w:ascii="Arial" w:cs="Arial" w:eastAsia="Arial" w:hAnsi="Arial"/>
          <w:sz w:val="22"/>
          <w:szCs w:val="22"/>
          <w:color w:val="auto"/>
        </w:rPr>
      </w:pPr>
    </w:p>
    <w:p>
      <w:pPr>
        <w:ind w:firstLine="8"/>
        <w:spacing w:after="0" w:line="235" w:lineRule="auto"/>
        <w:tabs>
          <w:tab w:leader="none" w:pos="91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Tax Liability and Withholding</w:t>
      </w:r>
      <w:r>
        <w:rPr>
          <w:rFonts w:ascii="Arial" w:cs="Arial" w:eastAsia="Arial" w:hAnsi="Arial"/>
          <w:sz w:val="22"/>
          <w:szCs w:val="22"/>
          <w:color w:val="auto"/>
        </w:rPr>
        <w:t>. Notwithstanding any action the Company takes with respect to any or all income tax, social insurance, payroll tax, or other tax-related withholding (“</w:t>
      </w:r>
      <w:r>
        <w:rPr>
          <w:rFonts w:ascii="Arial" w:cs="Arial" w:eastAsia="Arial" w:hAnsi="Arial"/>
          <w:sz w:val="22"/>
          <w:szCs w:val="22"/>
          <w:u w:val="single" w:color="auto"/>
          <w:color w:val="auto"/>
        </w:rPr>
        <w:t>Tax-Related Items</w:t>
      </w:r>
      <w:r>
        <w:rPr>
          <w:rFonts w:ascii="Arial" w:cs="Arial" w:eastAsia="Arial" w:hAnsi="Arial"/>
          <w:sz w:val="22"/>
          <w:szCs w:val="22"/>
          <w:color w:val="auto"/>
        </w:rPr>
        <w:t>”), the ultimate liability for all Tax-Related Items is and remains the Participant's responsibility and the Company (a) makes no representation or undertakings regarding the treatment of any Tax-Related Items in connection with the grant, vesting, or exercise of the Option or the subsequent sale of any shares acquired on exercise; and (b) does not commit to structure the Option to reduce or eliminate the Participant's liability for Tax-Related Items.</w:t>
      </w:r>
    </w:p>
    <w:p>
      <w:pPr>
        <w:spacing w:after="0" w:line="269" w:lineRule="exact"/>
        <w:rPr>
          <w:rFonts w:ascii="Arial" w:cs="Arial" w:eastAsia="Arial" w:hAnsi="Arial"/>
          <w:sz w:val="22"/>
          <w:szCs w:val="22"/>
          <w:color w:val="auto"/>
        </w:rPr>
      </w:pPr>
    </w:p>
    <w:p>
      <w:pPr>
        <w:ind w:right="160" w:firstLine="8"/>
        <w:spacing w:after="0" w:line="235" w:lineRule="auto"/>
        <w:tabs>
          <w:tab w:leader="none" w:pos="91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 The exercise of the Option and the issuance and transfer of Ordinary Shares shall be subject to compliance by the Company and the Participant with all Applicable Laws. No Ordinary Shares shall be issued pursuant to this Option unless and until any then Applicable Laws have been fully complied with to the satisfaction of the Company and its counsel. The Participant understands that the Company is under no obligation to register the Ordinary Shares with the U.S. Securities and Exchange Commission, any state securities commission or any stock exchange or under any other Applicable Laws to effect such compliance.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8" w:right="239" w:bottom="1440" w:gutter="0" w:footer="0" w:header="0"/>
        </w:sectPr>
      </w:pPr>
    </w:p>
    <w:bookmarkStart w:id="139" w:name="page140"/>
    <w:bookmarkEnd w:id="139"/>
    <w:p>
      <w:pPr>
        <w:ind w:left="-8" w:right="20" w:firstLine="8"/>
        <w:spacing w:after="0" w:line="234" w:lineRule="auto"/>
        <w:tabs>
          <w:tab w:leader="none" w:pos="91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construed and interpreted in accordance with the applicable laws of the Republic of Singapore and any other Applicable Laws, without giving effect to the conflict of law principles thereof. For the purpose of litigating any dispute that arises under this Agreement, if the Participant is a tax resident of the United States the parties hereby consent to exclusive jurisdiction in the Commonwealth of Massachusetts and agree that such litigation shall be conducted in the state courts of Middlesex County, Massachusetts or the federal courts of the United States for the District of Massachusetts and if the Participant is a resident of any other country the parties consent to the exclusive jurisdiction in the country in which such Participant resides.</w:t>
      </w:r>
    </w:p>
    <w:p>
      <w:pPr>
        <w:spacing w:after="0" w:line="272" w:lineRule="exact"/>
        <w:rPr>
          <w:rFonts w:ascii="Arial" w:cs="Arial" w:eastAsia="Arial" w:hAnsi="Arial"/>
          <w:sz w:val="22"/>
          <w:szCs w:val="22"/>
          <w:color w:val="auto"/>
        </w:rPr>
      </w:pPr>
    </w:p>
    <w:p>
      <w:pPr>
        <w:ind w:left="-8" w:firstLine="8"/>
        <w:spacing w:after="0" w:line="244" w:lineRule="auto"/>
        <w:tabs>
          <w:tab w:leader="none" w:pos="91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Lock-Up Agreement</w:t>
      </w:r>
      <w:r>
        <w:rPr>
          <w:rFonts w:ascii="Arial" w:cs="Arial" w:eastAsia="Arial" w:hAnsi="Arial"/>
          <w:sz w:val="21"/>
          <w:szCs w:val="21"/>
          <w:color w:val="auto"/>
        </w:rPr>
        <w:t>. 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Ordinary Shares or other securities of the Company held by the Participant during such period as is determined by the Company and the underwriters, not to exceed 180 days following the closing of the offering, plus such additional period of time as may be required to comply with NASD Rule 2711 or similar rules thereto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257" w:lineRule="exact"/>
        <w:rPr>
          <w:rFonts w:ascii="Arial" w:cs="Arial" w:eastAsia="Arial" w:hAnsi="Arial"/>
          <w:sz w:val="21"/>
          <w:szCs w:val="21"/>
          <w:color w:val="auto"/>
        </w:rPr>
      </w:pPr>
    </w:p>
    <w:p>
      <w:pPr>
        <w:ind w:left="-8" w:right="340" w:firstLine="8"/>
        <w:spacing w:after="0"/>
        <w:tabs>
          <w:tab w:leader="none" w:pos="91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253" w:lineRule="exact"/>
        <w:rPr>
          <w:rFonts w:ascii="Arial" w:cs="Arial" w:eastAsia="Arial" w:hAnsi="Arial"/>
          <w:sz w:val="22"/>
          <w:szCs w:val="22"/>
          <w:color w:val="auto"/>
        </w:rPr>
      </w:pPr>
    </w:p>
    <w:p>
      <w:pPr>
        <w:jc w:val="both"/>
        <w:ind w:left="-8" w:right="80" w:firstLine="8"/>
        <w:spacing w:after="0" w:line="238" w:lineRule="auto"/>
        <w:tabs>
          <w:tab w:leader="none" w:pos="91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Options Subject to Plan</w:t>
      </w:r>
      <w:r>
        <w:rPr>
          <w:rFonts w:ascii="Arial" w:cs="Arial" w:eastAsia="Arial" w:hAnsi="Arial"/>
          <w:sz w:val="22"/>
          <w:szCs w:val="22"/>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266" w:lineRule="exact"/>
        <w:rPr>
          <w:rFonts w:ascii="Arial" w:cs="Arial" w:eastAsia="Arial" w:hAnsi="Arial"/>
          <w:sz w:val="22"/>
          <w:szCs w:val="22"/>
          <w:color w:val="auto"/>
        </w:rPr>
      </w:pPr>
    </w:p>
    <w:p>
      <w:pPr>
        <w:ind w:left="-8" w:right="120" w:firstLine="8"/>
        <w:spacing w:after="0" w:line="287" w:lineRule="auto"/>
        <w:tabs>
          <w:tab w:leader="none" w:pos="91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this Agreement may be transferred by will or the laws of descent or distribution.</w:t>
      </w:r>
    </w:p>
    <w:p>
      <w:pPr>
        <w:spacing w:after="0" w:line="210" w:lineRule="exact"/>
        <w:rPr>
          <w:rFonts w:ascii="Arial" w:cs="Arial" w:eastAsia="Arial" w:hAnsi="Arial"/>
          <w:sz w:val="19"/>
          <w:szCs w:val="19"/>
          <w:color w:val="auto"/>
        </w:rPr>
      </w:pPr>
    </w:p>
    <w:p>
      <w:pPr>
        <w:ind w:left="-8" w:right="200" w:firstLine="8"/>
        <w:spacing w:after="0"/>
        <w:tabs>
          <w:tab w:leader="none" w:pos="91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618" w:right="259" w:bottom="1440" w:gutter="0" w:footer="0" w:header="0"/>
        </w:sectPr>
      </w:pPr>
    </w:p>
    <w:bookmarkStart w:id="140" w:name="page141"/>
    <w:bookmarkEnd w:id="140"/>
    <w:p>
      <w:pPr>
        <w:ind w:firstLine="8"/>
        <w:spacing w:after="0" w:line="236" w:lineRule="auto"/>
        <w:tabs>
          <w:tab w:leader="none" w:pos="91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Discretionary Nature of Plan</w:t>
      </w:r>
      <w:r>
        <w:rPr>
          <w:rFonts w:ascii="Arial" w:cs="Arial" w:eastAsia="Arial" w:hAnsi="Arial"/>
          <w:sz w:val="22"/>
          <w:szCs w:val="22"/>
          <w:color w:val="auto"/>
        </w:rPr>
        <w:t>. The Plan is discretionary and may be amended, cancelled or terminated by the Company at any time, in its discretion. The grant of the Option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268" w:lineRule="exact"/>
        <w:rPr>
          <w:rFonts w:ascii="Arial" w:cs="Arial" w:eastAsia="Arial" w:hAnsi="Arial"/>
          <w:sz w:val="22"/>
          <w:szCs w:val="22"/>
          <w:color w:val="auto"/>
        </w:rPr>
      </w:pPr>
    </w:p>
    <w:p>
      <w:pPr>
        <w:ind w:firstLine="8"/>
        <w:spacing w:after="0" w:line="276" w:lineRule="auto"/>
        <w:tabs>
          <w:tab w:leader="none" w:pos="918"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The Committee has the right to amend, alter, suspend, discontinue or cancel the Option, prospectively or retroactively; </w:t>
      </w:r>
      <w:r>
        <w:rPr>
          <w:rFonts w:ascii="Arial" w:cs="Arial" w:eastAsia="Arial" w:hAnsi="Arial"/>
          <w:sz w:val="19"/>
          <w:szCs w:val="19"/>
          <w:i w:val="1"/>
          <w:iCs w:val="1"/>
          <w:color w:val="auto"/>
        </w:rPr>
        <w:t>provided, that</w:t>
      </w:r>
      <w:r>
        <w:rPr>
          <w:rFonts w:ascii="Arial" w:cs="Arial" w:eastAsia="Arial" w:hAnsi="Arial"/>
          <w:sz w:val="19"/>
          <w:szCs w:val="19"/>
          <w:color w:val="auto"/>
        </w:rPr>
        <w:t>, no such amendment shall adversely affect the Participant's material rights under this Agreement unless</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the Company requests the consent of the Participant; and (b) the Participant consents in writing.</w:t>
      </w:r>
    </w:p>
    <w:p>
      <w:pPr>
        <w:spacing w:after="0" w:line="255" w:lineRule="exact"/>
        <w:rPr>
          <w:rFonts w:ascii="Arial" w:cs="Arial" w:eastAsia="Arial" w:hAnsi="Arial"/>
          <w:sz w:val="19"/>
          <w:szCs w:val="19"/>
          <w:color w:val="auto"/>
        </w:rPr>
      </w:pPr>
    </w:p>
    <w:p>
      <w:pPr>
        <w:ind w:right="940" w:firstLine="8"/>
        <w:spacing w:after="0" w:line="328" w:lineRule="auto"/>
        <w:tabs>
          <w:tab w:leader="none" w:pos="918"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No Impact on Other Benefits</w:t>
      </w:r>
      <w:r>
        <w:rPr>
          <w:rFonts w:ascii="Arial" w:cs="Arial" w:eastAsia="Arial" w:hAnsi="Arial"/>
          <w:sz w:val="19"/>
          <w:szCs w:val="19"/>
          <w:color w:val="auto"/>
        </w:rPr>
        <w:t>. The value of the Participant's Option is not part of his or her normal or expected compensation for purposes of calculating any severance, retirement, welfare, insurance or similar employee benefit.</w:t>
      </w:r>
    </w:p>
    <w:p>
      <w:pPr>
        <w:spacing w:after="0" w:line="172" w:lineRule="exact"/>
        <w:rPr>
          <w:rFonts w:ascii="Arial" w:cs="Arial" w:eastAsia="Arial" w:hAnsi="Arial"/>
          <w:sz w:val="19"/>
          <w:szCs w:val="19"/>
          <w:color w:val="auto"/>
        </w:rPr>
      </w:pPr>
    </w:p>
    <w:p>
      <w:pPr>
        <w:ind w:right="20" w:firstLine="8"/>
        <w:spacing w:after="0" w:line="249" w:lineRule="auto"/>
        <w:tabs>
          <w:tab w:leader="none" w:pos="918"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Data Privacy</w:t>
      </w:r>
      <w:r>
        <w:rPr>
          <w:rFonts w:ascii="Arial" w:cs="Arial" w:eastAsia="Arial" w:hAnsi="Arial"/>
          <w:sz w:val="21"/>
          <w:szCs w:val="21"/>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w:t>
      </w:r>
    </w:p>
    <w:p>
      <w:pPr>
        <w:spacing w:after="0" w:line="259" w:lineRule="exact"/>
        <w:rPr>
          <w:rFonts w:ascii="Arial" w:cs="Arial" w:eastAsia="Arial" w:hAnsi="Arial"/>
          <w:sz w:val="21"/>
          <w:szCs w:val="21"/>
          <w:color w:val="auto"/>
        </w:rPr>
      </w:pPr>
    </w:p>
    <w:p>
      <w:pPr>
        <w:ind w:right="20" w:firstLine="8"/>
        <w:spacing w:after="0" w:line="236" w:lineRule="auto"/>
        <w:tabs>
          <w:tab w:leader="none" w:pos="91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55" w:lineRule="exact"/>
        <w:rPr>
          <w:rFonts w:ascii="Arial" w:cs="Arial" w:eastAsia="Arial" w:hAnsi="Arial"/>
          <w:sz w:val="22"/>
          <w:szCs w:val="22"/>
          <w:color w:val="auto"/>
        </w:rPr>
      </w:pPr>
    </w:p>
    <w:p>
      <w:pPr>
        <w:ind w:right="100" w:firstLine="8"/>
        <w:spacing w:after="0" w:line="249" w:lineRule="auto"/>
        <w:tabs>
          <w:tab w:leader="none" w:pos="918"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Acceptance</w:t>
      </w:r>
      <w:r>
        <w:rPr>
          <w:rFonts w:ascii="Arial" w:cs="Arial" w:eastAsia="Arial" w:hAnsi="Arial"/>
          <w:sz w:val="21"/>
          <w:szCs w:val="21"/>
          <w:color w:val="auto"/>
        </w:rPr>
        <w:t>. The Participant hereby acknowledges receipt of a copy of the Plan and this Agreement. The Participant has read and understands the terms and provisions thereof, and accepts the Option subject to all of the terms and conditions of the Plan and this Agreement, including the restrictions contained in the Shareholders’ Agreement. The Participant acknowledges that there may be adverse tax consequences upon exercise of the Option or disposition of the underlying shares and that the Participant should consult a tax advisor prior to such exercise or disposition.</w:t>
      </w:r>
    </w:p>
    <w:p>
      <w:pPr>
        <w:spacing w:after="0" w:line="179" w:lineRule="exact"/>
        <w:rPr>
          <w:sz w:val="20"/>
          <w:szCs w:val="20"/>
          <w:color w:val="auto"/>
        </w:rPr>
      </w:pPr>
    </w:p>
    <w:p>
      <w:pPr>
        <w:ind w:right="140" w:firstLine="8"/>
        <w:spacing w:after="0"/>
        <w:tabs>
          <w:tab w:leader="none" w:pos="91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Contracts (Rights of Third Parties) Act.</w:t>
      </w:r>
      <w:r>
        <w:rPr>
          <w:rFonts w:ascii="Arial" w:cs="Arial" w:eastAsia="Arial" w:hAnsi="Arial"/>
          <w:sz w:val="22"/>
          <w:szCs w:val="22"/>
          <w:color w:val="auto"/>
        </w:rPr>
        <w:t xml:space="preserve"> Except as provided in the Plan, no person other than the Company (or its subsidiaries) or a Participant shall have any right to enforce any provision of the Plan or this Agreement by virtue of the Contracts (Rights of Third Parties) Act (Chapter 53B of Singapore).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18" w:right="25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10.25.2</w:t>
      </w:r>
    </w:p>
    <w:p>
      <w:pPr>
        <w:spacing w:after="0" w:line="206" w:lineRule="exact"/>
        <w:rPr>
          <w:sz w:val="20"/>
          <w:szCs w:val="20"/>
          <w:color w:val="auto"/>
        </w:rPr>
      </w:pPr>
    </w:p>
    <w:p>
      <w:pPr>
        <w:ind w:left="9500"/>
        <w:spacing w:after="0"/>
        <w:rPr>
          <w:sz w:val="20"/>
          <w:szCs w:val="20"/>
          <w:color w:val="auto"/>
        </w:rPr>
      </w:pPr>
      <w:r>
        <w:rPr>
          <w:rFonts w:ascii="Arial" w:cs="Arial" w:eastAsia="Arial" w:hAnsi="Arial"/>
          <w:sz w:val="19"/>
          <w:szCs w:val="19"/>
          <w:b w:val="1"/>
          <w:bCs w:val="1"/>
          <w:u w:val="single" w:color="auto"/>
          <w:color w:val="auto"/>
        </w:rPr>
        <w:t>Grant. No. RSU-____</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WAVE LIFE SCIENCES LTD.</w:t>
      </w:r>
    </w:p>
    <w:p>
      <w:pPr>
        <w:jc w:val="center"/>
        <w:spacing w:after="0" w:line="230" w:lineRule="auto"/>
        <w:rPr>
          <w:sz w:val="20"/>
          <w:szCs w:val="20"/>
          <w:color w:val="auto"/>
        </w:rPr>
      </w:pPr>
      <w:r>
        <w:rPr>
          <w:rFonts w:ascii="Arial" w:cs="Arial" w:eastAsia="Arial" w:hAnsi="Arial"/>
          <w:sz w:val="22"/>
          <w:szCs w:val="22"/>
          <w:b w:val="1"/>
          <w:bCs w:val="1"/>
          <w:color w:val="auto"/>
        </w:rPr>
        <w:t>2014 EQUITY INCENTIVE PLAN</w:t>
      </w:r>
    </w:p>
    <w:p>
      <w:pPr>
        <w:jc w:val="center"/>
        <w:spacing w:after="0" w:line="231" w:lineRule="auto"/>
        <w:rPr>
          <w:sz w:val="20"/>
          <w:szCs w:val="20"/>
          <w:color w:val="auto"/>
        </w:rPr>
      </w:pPr>
      <w:r>
        <w:rPr>
          <w:rFonts w:ascii="Arial" w:cs="Arial" w:eastAsia="Arial" w:hAnsi="Arial"/>
          <w:sz w:val="22"/>
          <w:szCs w:val="22"/>
          <w:b w:val="1"/>
          <w:bCs w:val="1"/>
          <w:color w:val="auto"/>
        </w:rPr>
        <w:t>Restricted Share Unit Award Grant Notice for</w:t>
      </w:r>
    </w:p>
    <w:p>
      <w:pPr>
        <w:jc w:val="center"/>
        <w:spacing w:after="0"/>
        <w:rPr>
          <w:sz w:val="20"/>
          <w:szCs w:val="20"/>
          <w:color w:val="auto"/>
        </w:rPr>
      </w:pPr>
      <w:r>
        <w:rPr>
          <w:rFonts w:ascii="Arial" w:cs="Arial" w:eastAsia="Arial" w:hAnsi="Arial"/>
          <w:sz w:val="22"/>
          <w:szCs w:val="22"/>
          <w:b w:val="1"/>
          <w:bCs w:val="1"/>
          <w:color w:val="auto"/>
        </w:rPr>
        <w:t>Restricted Share Unit Agreement</w:t>
      </w:r>
    </w:p>
    <w:p>
      <w:pPr>
        <w:spacing w:after="0" w:line="200" w:lineRule="exact"/>
        <w:rPr>
          <w:sz w:val="20"/>
          <w:szCs w:val="20"/>
          <w:color w:val="auto"/>
        </w:rPr>
      </w:pPr>
    </w:p>
    <w:p>
      <w:pPr>
        <w:spacing w:after="0" w:line="204" w:lineRule="exact"/>
        <w:rPr>
          <w:sz w:val="20"/>
          <w:szCs w:val="20"/>
          <w:color w:val="auto"/>
        </w:rPr>
      </w:pPr>
    </w:p>
    <w:p>
      <w:pPr>
        <w:ind w:left="800" w:hanging="792"/>
        <w:spacing w:after="0"/>
        <w:tabs>
          <w:tab w:leader="none" w:pos="8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Name of Participant:</w:t>
      </w:r>
    </w:p>
    <w:p>
      <w:pPr>
        <w:spacing w:after="0" w:line="219" w:lineRule="exact"/>
        <w:rPr>
          <w:rFonts w:ascii="Arial" w:cs="Arial" w:eastAsia="Arial" w:hAnsi="Arial"/>
          <w:sz w:val="22"/>
          <w:szCs w:val="22"/>
          <w:color w:val="auto"/>
        </w:rPr>
      </w:pPr>
    </w:p>
    <w:p>
      <w:pPr>
        <w:ind w:left="800" w:hanging="792"/>
        <w:spacing w:after="0"/>
        <w:tabs>
          <w:tab w:leader="none" w:pos="8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Grant Date:</w:t>
      </w:r>
    </w:p>
    <w:p>
      <w:pPr>
        <w:spacing w:after="0" w:line="219" w:lineRule="exact"/>
        <w:rPr>
          <w:rFonts w:ascii="Arial" w:cs="Arial" w:eastAsia="Arial" w:hAnsi="Arial"/>
          <w:sz w:val="22"/>
          <w:szCs w:val="22"/>
          <w:color w:val="auto"/>
        </w:rPr>
      </w:pPr>
    </w:p>
    <w:p>
      <w:pPr>
        <w:ind w:left="800" w:right="7060" w:hanging="792"/>
        <w:spacing w:after="0" w:line="328" w:lineRule="auto"/>
        <w:tabs>
          <w:tab w:leader="none" w:pos="8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Maximum Number of Shares Underlying Restricted Share Unit Award:</w:t>
      </w:r>
    </w:p>
    <w:p>
      <w:pPr>
        <w:spacing w:after="0" w:line="118" w:lineRule="exact"/>
        <w:rPr>
          <w:rFonts w:ascii="Arial" w:cs="Arial" w:eastAsia="Arial" w:hAnsi="Arial"/>
          <w:sz w:val="19"/>
          <w:szCs w:val="19"/>
          <w:color w:val="auto"/>
        </w:rPr>
      </w:pPr>
    </w:p>
    <w:p>
      <w:pPr>
        <w:ind w:left="800" w:hanging="792"/>
        <w:spacing w:after="0"/>
        <w:tabs>
          <w:tab w:leader="none" w:pos="8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Vesting Start Date:</w:t>
      </w:r>
    </w:p>
    <w:p>
      <w:pPr>
        <w:spacing w:after="0" w:line="219" w:lineRule="exact"/>
        <w:rPr>
          <w:rFonts w:ascii="Arial" w:cs="Arial" w:eastAsia="Arial" w:hAnsi="Arial"/>
          <w:sz w:val="22"/>
          <w:szCs w:val="22"/>
          <w:color w:val="auto"/>
        </w:rPr>
      </w:pPr>
    </w:p>
    <w:p>
      <w:pPr>
        <w:ind w:left="800" w:hanging="792"/>
        <w:spacing w:after="0"/>
        <w:tabs>
          <w:tab w:leader="none" w:pos="800" w:val="left"/>
        </w:tabs>
        <w:numPr>
          <w:ilvl w:val="0"/>
          <w:numId w:val="74"/>
        </w:numPr>
        <w:rPr>
          <w:rFonts w:ascii="Arial" w:cs="Arial" w:eastAsia="Arial" w:hAnsi="Arial"/>
          <w:sz w:val="22"/>
          <w:szCs w:val="22"/>
          <w:color w:val="auto"/>
        </w:rPr>
      </w:pPr>
      <w:r>
        <w:rPr>
          <w:rFonts w:ascii="Arial" w:cs="Arial" w:eastAsia="Arial" w:hAnsi="Arial"/>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-292100</wp:posOffset>
            </wp:positionV>
            <wp:extent cx="36017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-592455</wp:posOffset>
            </wp:positionV>
            <wp:extent cx="36017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-1047115</wp:posOffset>
            </wp:positionV>
            <wp:extent cx="36017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-1346835</wp:posOffset>
            </wp:positionV>
            <wp:extent cx="36017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firstLine="815"/>
        <w:spacing w:after="0" w:line="276" w:lineRule="auto"/>
        <w:rPr>
          <w:sz w:val="20"/>
          <w:szCs w:val="20"/>
          <w:color w:val="auto"/>
        </w:rPr>
      </w:pPr>
      <w:r>
        <w:rPr>
          <w:rFonts w:ascii="Arial" w:cs="Arial" w:eastAsia="Arial" w:hAnsi="Arial"/>
          <w:sz w:val="22"/>
          <w:szCs w:val="22"/>
          <w:color w:val="auto"/>
        </w:rPr>
        <w:t>This Restricted Share Unit Award shall vest as follows provided the Participant remains in Continuous Service through the applicable vesting date:</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22"/>
          <w:szCs w:val="22"/>
          <w:color w:val="auto"/>
        </w:rPr>
        <w:t>[__].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[__].</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color w:val="auto"/>
        </w:rPr>
        <w:t>[__].</w:t>
      </w:r>
    </w:p>
    <w:p>
      <w:pPr>
        <w:spacing w:after="0" w:line="233" w:lineRule="exact"/>
        <w:rPr>
          <w:sz w:val="20"/>
          <w:szCs w:val="20"/>
          <w:color w:val="auto"/>
        </w:rPr>
      </w:pPr>
    </w:p>
    <w:p>
      <w:pPr>
        <w:jc w:val="both"/>
        <w:ind w:firstLine="815"/>
        <w:spacing w:after="0" w:line="266" w:lineRule="auto"/>
        <w:rPr>
          <w:sz w:val="20"/>
          <w:szCs w:val="20"/>
          <w:color w:val="auto"/>
        </w:rPr>
      </w:pPr>
      <w:r>
        <w:rPr>
          <w:rFonts w:ascii="Arial" w:cs="Arial" w:eastAsia="Arial" w:hAnsi="Arial"/>
          <w:sz w:val="22"/>
          <w:szCs w:val="22"/>
          <w:color w:val="auto"/>
        </w:rPr>
        <w:t>The Company and the Participant acknowledge receipt of this Restricted Share Unit Award Grant Notice and agree to the terms of the Restricted Share Unit Agreement attached hereto and incorporated by reference herein, the Company’s 2014 Equity Incentive Plan and the terms of this Restricted Share Unit Award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2" w:name="page143"/>
    <w:bookmarkEnd w:id="142"/>
    <w:p>
      <w:pPr>
        <w:ind w:left="4520"/>
        <w:spacing w:after="0"/>
        <w:rPr>
          <w:sz w:val="20"/>
          <w:szCs w:val="20"/>
          <w:color w:val="auto"/>
        </w:rPr>
      </w:pPr>
      <w:r>
        <w:rPr>
          <w:rFonts w:ascii="Arial" w:cs="Arial" w:eastAsia="Arial" w:hAnsi="Arial"/>
          <w:sz w:val="22"/>
          <w:szCs w:val="22"/>
          <w:b w:val="1"/>
          <w:bCs w:val="1"/>
          <w:color w:val="auto"/>
        </w:rPr>
        <w:t>Wave Life Sciences Ltd.</w:t>
      </w:r>
    </w:p>
    <w:p>
      <w:pPr>
        <w:spacing w:after="0" w:line="200" w:lineRule="exact"/>
        <w:rPr>
          <w:sz w:val="20"/>
          <w:szCs w:val="20"/>
          <w:color w:val="auto"/>
        </w:rPr>
      </w:pPr>
    </w:p>
    <w:p>
      <w:pPr>
        <w:spacing w:after="0" w:line="228" w:lineRule="exact"/>
        <w:rPr>
          <w:sz w:val="20"/>
          <w:szCs w:val="20"/>
          <w:color w:val="auto"/>
        </w:rPr>
      </w:pPr>
    </w:p>
    <w:tbl>
      <w:tblPr>
        <w:tblLayout w:type="fixed"/>
        <w:tblInd w:w="4520" w:type="dxa"/>
        <w:tblCellMar>
          <w:top w:w="0" w:type="dxa"/>
          <w:left w:w="0" w:type="dxa"/>
          <w:bottom w:w="0" w:type="dxa"/>
          <w:right w:w="0" w:type="dxa"/>
        </w:tblCellMar>
      </w:tblPr>
      <w:tr>
        <w:trPr>
          <w:trHeight w:val="265"/>
        </w:trPr>
        <w:tc>
          <w:tcPr>
            <w:tcW w:w="134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3"/>
                <w:szCs w:val="23"/>
                <w:color w:val="auto"/>
              </w:rPr>
            </w:pPr>
          </w:p>
        </w:tc>
      </w:tr>
      <w:tr>
        <w:trPr>
          <w:trHeight w:val="215"/>
        </w:trPr>
        <w:tc>
          <w:tcPr>
            <w:tcW w:w="13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16" w:lineRule="exact"/>
              <w:rPr>
                <w:sz w:val="20"/>
                <w:szCs w:val="20"/>
                <w:color w:val="auto"/>
              </w:rPr>
            </w:pPr>
            <w:r>
              <w:rPr>
                <w:rFonts w:ascii="Arial" w:cs="Arial" w:eastAsia="Arial" w:hAnsi="Arial"/>
                <w:sz w:val="22"/>
                <w:szCs w:val="22"/>
                <w:color w:val="auto"/>
              </w:rPr>
              <w:t>Paul B. Bolno</w:t>
            </w:r>
          </w:p>
        </w:tc>
      </w:tr>
      <w:tr>
        <w:trPr>
          <w:trHeight w:val="275"/>
        </w:trPr>
        <w:tc>
          <w:tcPr>
            <w:tcW w:w="134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President &amp; CEO</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Participant</w:t>
      </w:r>
    </w:p>
    <w:p>
      <w:pPr>
        <w:spacing w:after="0" w:line="21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7620</wp:posOffset>
            </wp:positionV>
            <wp:extent cx="2769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132080</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760"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22"/>
          <w:szCs w:val="22"/>
          <w:b w:val="1"/>
          <w:bCs w:val="1"/>
          <w:u w:val="single" w:color="auto"/>
          <w:color w:val="auto"/>
        </w:rPr>
        <w:t>RESTRICTED SHARE UNIT AGREEMENT - INCORPORATED TERMS AND CONDITIONS</w:t>
      </w:r>
    </w:p>
    <w:p>
      <w:pPr>
        <w:spacing w:after="0" w:line="226" w:lineRule="exact"/>
        <w:rPr>
          <w:sz w:val="20"/>
          <w:szCs w:val="20"/>
          <w:color w:val="auto"/>
        </w:rPr>
      </w:pPr>
    </w:p>
    <w:p>
      <w:pPr>
        <w:ind w:right="40" w:firstLine="407"/>
        <w:spacing w:after="0"/>
        <w:rPr>
          <w:sz w:val="20"/>
          <w:szCs w:val="20"/>
          <w:color w:val="auto"/>
        </w:rPr>
      </w:pPr>
      <w:r>
        <w:rPr>
          <w:rFonts w:ascii="Arial" w:cs="Arial" w:eastAsia="Arial" w:hAnsi="Arial"/>
          <w:sz w:val="22"/>
          <w:szCs w:val="22"/>
          <w:color w:val="auto"/>
        </w:rPr>
        <w:t>This Restricted Share Unit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the Grant Date by and between Wave Life Sciences Ltd., a company incorporated in Singapore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individual whose name appears on the Restricted Share Unit Award Grant Notice (the “</w:t>
      </w:r>
      <w:r>
        <w:rPr>
          <w:rFonts w:ascii="Arial" w:cs="Arial" w:eastAsia="Arial" w:hAnsi="Arial"/>
          <w:sz w:val="22"/>
          <w:szCs w:val="22"/>
          <w:u w:val="single" w:color="auto"/>
          <w:color w:val="auto"/>
        </w:rPr>
        <w:t>Participant</w:t>
      </w:r>
      <w:r>
        <w:rPr>
          <w:rFonts w:ascii="Arial" w:cs="Arial" w:eastAsia="Arial" w:hAnsi="Arial"/>
          <w:sz w:val="22"/>
          <w:szCs w:val="22"/>
          <w:color w:val="auto"/>
        </w:rPr>
        <w:t>” ).</w:t>
      </w:r>
    </w:p>
    <w:p>
      <w:pPr>
        <w:spacing w:after="0" w:line="180" w:lineRule="exact"/>
        <w:rPr>
          <w:sz w:val="20"/>
          <w:szCs w:val="20"/>
          <w:color w:val="auto"/>
        </w:rPr>
      </w:pPr>
    </w:p>
    <w:p>
      <w:pPr>
        <w:ind w:right="520" w:firstLine="40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Wave Life Sciences Ltd. 2014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which awards of Restricted Share Units may be granted; and</w:t>
      </w:r>
    </w:p>
    <w:p>
      <w:pPr>
        <w:spacing w:after="0" w:line="163" w:lineRule="exact"/>
        <w:rPr>
          <w:sz w:val="20"/>
          <w:szCs w:val="20"/>
          <w:color w:val="auto"/>
        </w:rPr>
      </w:pPr>
    </w:p>
    <w:p>
      <w:pPr>
        <w:ind w:right="80" w:firstLine="40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or the Committee has determined that it is in the best interests of the Company and its shareholders to</w:t>
      </w:r>
      <w:r>
        <w:rPr>
          <w:rFonts w:ascii="Arial" w:cs="Arial" w:eastAsia="Arial" w:hAnsi="Arial"/>
          <w:sz w:val="22"/>
          <w:szCs w:val="22"/>
          <w:b w:val="1"/>
          <w:bCs w:val="1"/>
          <w:color w:val="auto"/>
        </w:rPr>
        <w:t xml:space="preserve"> </w:t>
      </w:r>
      <w:r>
        <w:rPr>
          <w:rFonts w:ascii="Arial" w:cs="Arial" w:eastAsia="Arial" w:hAnsi="Arial"/>
          <w:sz w:val="22"/>
          <w:szCs w:val="22"/>
          <w:color w:val="auto"/>
        </w:rPr>
        <w:t>grant the award of Restricted Share Units provided for herein.</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hereto, intending to be legally bound, agree as follows:</w:t>
      </w:r>
    </w:p>
    <w:p>
      <w:pPr>
        <w:spacing w:after="0" w:line="212" w:lineRule="exact"/>
        <w:rPr>
          <w:sz w:val="20"/>
          <w:szCs w:val="20"/>
          <w:color w:val="auto"/>
        </w:rPr>
      </w:pPr>
    </w:p>
    <w:p>
      <w:pPr>
        <w:ind w:right="100" w:firstLine="8"/>
        <w:spacing w:after="0" w:line="236" w:lineRule="auto"/>
        <w:tabs>
          <w:tab w:leader="none" w:pos="81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Grant of Restricted Share Units</w:t>
      </w:r>
      <w:r>
        <w:rPr>
          <w:rFonts w:ascii="Arial" w:cs="Arial" w:eastAsia="Arial" w:hAnsi="Arial"/>
          <w:sz w:val="22"/>
          <w:szCs w:val="22"/>
          <w:color w:val="auto"/>
        </w:rPr>
        <w:t>. Pursuant to Section 7.2 of the Plan, the Company hereby issues to the Participant on the Grant Date set forth in the Restricted Share Unit Award Grant Notice (the “Award”) the number of Restricted Share Units (the “</w:t>
      </w:r>
      <w:r>
        <w:rPr>
          <w:rFonts w:ascii="Arial" w:cs="Arial" w:eastAsia="Arial" w:hAnsi="Arial"/>
          <w:sz w:val="22"/>
          <w:szCs w:val="22"/>
          <w:u w:val="single" w:color="auto"/>
          <w:color w:val="auto"/>
        </w:rPr>
        <w:t>Restricted Share Units</w:t>
      </w:r>
      <w:r>
        <w:rPr>
          <w:rFonts w:ascii="Arial" w:cs="Arial" w:eastAsia="Arial" w:hAnsi="Arial"/>
          <w:sz w:val="22"/>
          <w:szCs w:val="22"/>
          <w:color w:val="auto"/>
        </w:rPr>
        <w:t>”) set forth in the Award. Each Restricted Share Unit represents a contingent right to receive one Ordinary Share, subject to the terms and conditions set forth in this Agreement and the Plan. Capitalized terms that are used but not defined herein have the meaning ascribed to them in the Plan.</w:t>
      </w:r>
    </w:p>
    <w:p>
      <w:pPr>
        <w:spacing w:after="0" w:line="187" w:lineRule="exact"/>
        <w:rPr>
          <w:rFonts w:ascii="Arial" w:cs="Arial" w:eastAsia="Arial" w:hAnsi="Arial"/>
          <w:sz w:val="22"/>
          <w:szCs w:val="22"/>
          <w:color w:val="auto"/>
        </w:rPr>
      </w:pPr>
    </w:p>
    <w:p>
      <w:pPr>
        <w:ind w:right="480" w:firstLine="8"/>
        <w:spacing w:after="0" w:line="251" w:lineRule="auto"/>
        <w:tabs>
          <w:tab w:leader="none" w:pos="81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 The grant of the Restricted Share Units is made in consideration of the services to be rendered by the Participant to the Company.</w:t>
      </w:r>
    </w:p>
    <w:p>
      <w:pPr>
        <w:spacing w:after="0" w:line="173" w:lineRule="exact"/>
        <w:rPr>
          <w:rFonts w:ascii="Arial" w:cs="Arial" w:eastAsia="Arial" w:hAnsi="Arial"/>
          <w:sz w:val="22"/>
          <w:szCs w:val="22"/>
          <w:color w:val="auto"/>
        </w:rPr>
      </w:pPr>
    </w:p>
    <w:p>
      <w:pPr>
        <w:ind w:left="820" w:hanging="812"/>
        <w:spacing w:after="0"/>
        <w:tabs>
          <w:tab w:leader="none" w:pos="82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sz w:val="20"/>
          <w:szCs w:val="20"/>
          <w:color w:val="auto"/>
        </w:rPr>
      </w:pPr>
    </w:p>
    <w:p>
      <w:pPr>
        <w:ind w:right="200" w:firstLine="815"/>
        <w:spacing w:after="0" w:line="258" w:lineRule="auto"/>
        <w:rPr>
          <w:sz w:val="20"/>
          <w:szCs w:val="20"/>
          <w:color w:val="auto"/>
        </w:rPr>
      </w:pPr>
      <w:r>
        <w:rPr>
          <w:rFonts w:ascii="Arial" w:cs="Arial" w:eastAsia="Arial" w:hAnsi="Arial"/>
          <w:sz w:val="21"/>
          <w:szCs w:val="21"/>
          <w:color w:val="auto"/>
        </w:rPr>
        <w:t>3.1 Except as otherwise provided herein, provided that the Participant remains in Continuous Service through the applicable vesting date, the Restricted Share Units will vest, and no longer be subject to any restrictions, in accordance with the schedule set forth in the Award (the period during which restrictions apply, the “</w:t>
      </w:r>
      <w:r>
        <w:rPr>
          <w:rFonts w:ascii="Arial" w:cs="Arial" w:eastAsia="Arial" w:hAnsi="Arial"/>
          <w:sz w:val="21"/>
          <w:szCs w:val="21"/>
          <w:u w:val="single" w:color="auto"/>
          <w:color w:val="auto"/>
        </w:rPr>
        <w:t>Restricted Period</w:t>
      </w:r>
      <w:r>
        <w:rPr>
          <w:rFonts w:ascii="Arial" w:cs="Arial" w:eastAsia="Arial" w:hAnsi="Arial"/>
          <w:sz w:val="21"/>
          <w:szCs w:val="21"/>
          <w:color w:val="auto"/>
        </w:rPr>
        <w:t>”):</w:t>
      </w:r>
    </w:p>
    <w:p>
      <w:pPr>
        <w:spacing w:after="0" w:line="167" w:lineRule="exact"/>
        <w:rPr>
          <w:sz w:val="20"/>
          <w:szCs w:val="20"/>
          <w:color w:val="auto"/>
        </w:rPr>
      </w:pPr>
    </w:p>
    <w:p>
      <w:pPr>
        <w:ind w:firstLine="815"/>
        <w:spacing w:after="0" w:line="238" w:lineRule="auto"/>
        <w:rPr>
          <w:sz w:val="20"/>
          <w:szCs w:val="20"/>
          <w:color w:val="auto"/>
        </w:rPr>
      </w:pPr>
      <w:r>
        <w:rPr>
          <w:rFonts w:ascii="Arial" w:cs="Arial" w:eastAsia="Arial" w:hAnsi="Arial"/>
          <w:sz w:val="22"/>
          <w:szCs w:val="22"/>
          <w:color w:val="auto"/>
        </w:rPr>
        <w:t>3.2 The foregoing vesting schedule notwithstanding, if the Participant's Continuous Service terminates for any reason at any time before all of his or her Restricted Share Units have vested, the Participant's unvested Restricted Share Units shall be automatically forfeited upon such termination of Continuous Service and neither the Company nor any Affiliate shall have any further obligations to the Participant under this Agreement.</w:t>
      </w:r>
    </w:p>
    <w:p>
      <w:pPr>
        <w:spacing w:after="0" w:line="185" w:lineRule="exact"/>
        <w:rPr>
          <w:sz w:val="20"/>
          <w:szCs w:val="20"/>
          <w:color w:val="auto"/>
        </w:rPr>
      </w:pPr>
    </w:p>
    <w:p>
      <w:pPr>
        <w:ind w:left="820" w:hanging="812"/>
        <w:spacing w:after="0"/>
        <w:tabs>
          <w:tab w:leader="none" w:pos="82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Rights as Shareholder; Dividend Equivalents</w:t>
      </w:r>
      <w:r>
        <w:rPr>
          <w:rFonts w:ascii="Arial" w:cs="Arial" w:eastAsia="Arial" w:hAnsi="Arial"/>
          <w:sz w:val="22"/>
          <w:szCs w:val="22"/>
          <w:color w:val="auto"/>
        </w:rPr>
        <w:t>.</w:t>
      </w:r>
    </w:p>
    <w:p>
      <w:pPr>
        <w:spacing w:after="0" w:line="206" w:lineRule="exact"/>
        <w:rPr>
          <w:sz w:val="20"/>
          <w:szCs w:val="20"/>
          <w:color w:val="auto"/>
        </w:rPr>
      </w:pPr>
    </w:p>
    <w:p>
      <w:pPr>
        <w:ind w:right="180" w:firstLine="815"/>
        <w:spacing w:after="0"/>
        <w:rPr>
          <w:sz w:val="20"/>
          <w:szCs w:val="20"/>
          <w:color w:val="auto"/>
        </w:rPr>
      </w:pPr>
      <w:r>
        <w:rPr>
          <w:rFonts w:ascii="Arial" w:cs="Arial" w:eastAsia="Arial" w:hAnsi="Arial"/>
          <w:sz w:val="22"/>
          <w:szCs w:val="22"/>
          <w:color w:val="auto"/>
        </w:rPr>
        <w:t>4.1 The Participant shall not have any rights of a shareholder with respect to the Ordinary Shares underlying the Restricted Share Units (including, without limitation, any voting rights or any right to dividends paid with respect to the Ordinary Shares underlying the Restricted Share Units).</w:t>
      </w:r>
    </w:p>
    <w:p>
      <w:pPr>
        <w:spacing w:after="0" w:line="186" w:lineRule="exact"/>
        <w:rPr>
          <w:sz w:val="20"/>
          <w:szCs w:val="20"/>
          <w:color w:val="auto"/>
        </w:rPr>
      </w:pPr>
    </w:p>
    <w:p>
      <w:pPr>
        <w:ind w:left="820"/>
        <w:spacing w:after="0"/>
        <w:tabs>
          <w:tab w:leader="none" w:pos="17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The Participant shall not be entitled to any Dividend Equivalents in respect of the Restricted Share Units.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44" w:name="page145"/>
    <w:bookmarkEnd w:id="144"/>
    <w:p>
      <w:pPr>
        <w:ind w:left="820" w:hanging="812"/>
        <w:spacing w:after="0"/>
        <w:tabs>
          <w:tab w:leader="none" w:pos="82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Settlement of Restricted Share Units</w:t>
      </w:r>
      <w:r>
        <w:rPr>
          <w:rFonts w:ascii="Arial" w:cs="Arial" w:eastAsia="Arial" w:hAnsi="Arial"/>
          <w:sz w:val="22"/>
          <w:szCs w:val="22"/>
          <w:color w:val="auto"/>
        </w:rPr>
        <w:t>.</w:t>
      </w:r>
    </w:p>
    <w:p>
      <w:pPr>
        <w:spacing w:after="0" w:line="206" w:lineRule="exact"/>
        <w:rPr>
          <w:sz w:val="20"/>
          <w:szCs w:val="20"/>
          <w:color w:val="auto"/>
        </w:rPr>
      </w:pPr>
    </w:p>
    <w:p>
      <w:pPr>
        <w:ind w:right="120" w:firstLine="815"/>
        <w:spacing w:after="0" w:line="287" w:lineRule="auto"/>
        <w:rPr>
          <w:sz w:val="20"/>
          <w:szCs w:val="20"/>
          <w:color w:val="auto"/>
        </w:rPr>
      </w:pPr>
      <w:r>
        <w:rPr>
          <w:rFonts w:ascii="Arial" w:cs="Arial" w:eastAsia="Arial" w:hAnsi="Arial"/>
          <w:sz w:val="19"/>
          <w:szCs w:val="19"/>
          <w:color w:val="auto"/>
        </w:rPr>
        <w:t>5.1 Within ten days of the vesting of a Restricted Share Unit, the Company shall issue Ordinary Shares registered in the name of the Participant, the Participant’s authorized assignee, or the Participant's legal representative, which shall be evidenced by share certificates representing the shares with the appropriate legends affixed thereto, appropriate entry on the books of the Company or of a duly authorized transfer agent, or other appropriate means as determined by the Company.</w:t>
      </w:r>
    </w:p>
    <w:p>
      <w:pPr>
        <w:spacing w:after="0" w:line="143" w:lineRule="exact"/>
        <w:rPr>
          <w:sz w:val="20"/>
          <w:szCs w:val="20"/>
          <w:color w:val="auto"/>
        </w:rPr>
      </w:pPr>
    </w:p>
    <w:p>
      <w:pPr>
        <w:ind w:right="460" w:firstLine="815"/>
        <w:spacing w:after="0" w:line="328" w:lineRule="auto"/>
        <w:rPr>
          <w:sz w:val="20"/>
          <w:szCs w:val="20"/>
          <w:color w:val="auto"/>
        </w:rPr>
      </w:pPr>
      <w:r>
        <w:rPr>
          <w:rFonts w:ascii="Arial" w:cs="Arial" w:eastAsia="Arial" w:hAnsi="Arial"/>
          <w:sz w:val="19"/>
          <w:szCs w:val="19"/>
          <w:color w:val="auto"/>
        </w:rPr>
        <w:t>5.2 To the extent that the Participant does not vest in any Restricted Share Units, all interest in such Restricted Share Units shall be forfeited. The Participant has no right or interest in any Restricted Share Units that are forfeited.</w:t>
      </w:r>
    </w:p>
    <w:p>
      <w:pPr>
        <w:spacing w:after="0" w:line="105" w:lineRule="exact"/>
        <w:rPr>
          <w:sz w:val="20"/>
          <w:szCs w:val="20"/>
          <w:color w:val="auto"/>
        </w:rPr>
      </w:pPr>
    </w:p>
    <w:p>
      <w:pPr>
        <w:ind w:left="820" w:hanging="812"/>
        <w:spacing w:after="0"/>
        <w:tabs>
          <w:tab w:leader="none" w:pos="82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Tax Liability and Withholding</w:t>
      </w:r>
      <w:r>
        <w:rPr>
          <w:rFonts w:ascii="Arial" w:cs="Arial" w:eastAsia="Arial" w:hAnsi="Arial"/>
          <w:sz w:val="22"/>
          <w:szCs w:val="22"/>
          <w:color w:val="auto"/>
        </w:rPr>
        <w:t>.</w:t>
      </w:r>
    </w:p>
    <w:p>
      <w:pPr>
        <w:spacing w:after="0" w:line="206" w:lineRule="exact"/>
        <w:rPr>
          <w:sz w:val="20"/>
          <w:szCs w:val="20"/>
          <w:color w:val="auto"/>
        </w:rPr>
      </w:pPr>
    </w:p>
    <w:p>
      <w:pPr>
        <w:ind w:firstLine="815"/>
        <w:spacing w:after="0" w:line="270" w:lineRule="auto"/>
        <w:rPr>
          <w:sz w:val="20"/>
          <w:szCs w:val="20"/>
          <w:color w:val="auto"/>
        </w:rPr>
      </w:pPr>
      <w:r>
        <w:rPr>
          <w:rFonts w:ascii="Arial" w:cs="Arial" w:eastAsia="Arial" w:hAnsi="Arial"/>
          <w:sz w:val="19"/>
          <w:szCs w:val="19"/>
          <w:color w:val="auto"/>
        </w:rPr>
        <w:t>6.1 The Participant shall be required to pay to the Company, and the Company shall have the right to deduct from any compensation paid to the Participant pursuant to the vesting of the Restricted Share Units, the amount of any applicable foreign, federal, state and local withholding obligations of the Company in respect of the Restricted Share Units and to take all such other action as the Company deems necessary to satisfy all obligations for the payment of such withholding taxes. The Company shall not deliver any shares to the Participant until it is satisfied that all required withholdings have been made. By execution of this Agreement, the Participant has authorized the Company, on behalf of the Participant, to instruct a registered broker chosen by the Company, at a time when the Participant is not in possession of material nonpublic information, to sell on the applicable vesting date such number of Ordinary Shares as the Company deems necessary to satisfy the Company’s withholding obligation, after deduction of the broker’s commission, and the broker shall be required to remit to the Company the cash necessary in order for the Company to satisfy its withholding obligation. To the extent the proceeds of such sale exceed the Company’s withholding obligation the Company agrees to pay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the Participant shall execute any such documents requested by the broker in order to effectuate the sale of Ordinary Shares and payment of the withholding obligation to the Company. The Participant acknowledges that this paragraph is intended to comply with Section 10b5-1(c)(1(i)(B) under the U.S. Securities Exchange Act of 1934, as amended.</w:t>
      </w:r>
    </w:p>
    <w:p>
      <w:pPr>
        <w:spacing w:after="0" w:line="200" w:lineRule="exact"/>
        <w:rPr>
          <w:sz w:val="20"/>
          <w:szCs w:val="20"/>
          <w:color w:val="auto"/>
        </w:rPr>
      </w:pPr>
    </w:p>
    <w:p>
      <w:pPr>
        <w:spacing w:after="0" w:line="211" w:lineRule="exact"/>
        <w:rPr>
          <w:sz w:val="20"/>
          <w:szCs w:val="20"/>
          <w:color w:val="auto"/>
        </w:rPr>
      </w:pPr>
    </w:p>
    <w:p>
      <w:pPr>
        <w:jc w:val="both"/>
        <w:ind w:right="140" w:firstLine="815"/>
        <w:spacing w:after="0"/>
        <w:rPr>
          <w:sz w:val="20"/>
          <w:szCs w:val="20"/>
          <w:color w:val="auto"/>
        </w:rPr>
      </w:pPr>
      <w:r>
        <w:rPr>
          <w:rFonts w:ascii="Arial" w:cs="Arial" w:eastAsia="Arial" w:hAnsi="Arial"/>
          <w:sz w:val="22"/>
          <w:szCs w:val="22"/>
          <w:color w:val="auto"/>
        </w:rPr>
        <w:t>6.2 The Participant may, prior to the date of sale set forth in Section 6.1, provide a cash payment to the Company that the Company deems sufficient to cover the anticipated tax withholdings from the vesting of the Restricted Share Units and in such case no sale of Ordinary Shares shall occur.</w:t>
      </w:r>
    </w:p>
    <w:p>
      <w:pPr>
        <w:spacing w:after="0" w:line="186" w:lineRule="exact"/>
        <w:rPr>
          <w:sz w:val="20"/>
          <w:szCs w:val="20"/>
          <w:color w:val="auto"/>
        </w:rPr>
      </w:pPr>
    </w:p>
    <w:p>
      <w:pPr>
        <w:ind w:right="80" w:firstLine="815"/>
        <w:spacing w:after="0" w:line="249" w:lineRule="auto"/>
        <w:rPr>
          <w:sz w:val="20"/>
          <w:szCs w:val="20"/>
          <w:color w:val="auto"/>
        </w:rPr>
      </w:pPr>
      <w:r>
        <w:rPr>
          <w:rFonts w:ascii="Arial" w:cs="Arial" w:eastAsia="Arial" w:hAnsi="Arial"/>
          <w:sz w:val="21"/>
          <w:szCs w:val="21"/>
          <w:color w:val="auto"/>
        </w:rPr>
        <w:t>6.3Notwithstanding any action the Company takes with respect to any or all income tax, social insurance, payroll tax, or other tax-related withholding (“</w:t>
      </w:r>
      <w:r>
        <w:rPr>
          <w:rFonts w:ascii="Arial" w:cs="Arial" w:eastAsia="Arial" w:hAnsi="Arial"/>
          <w:sz w:val="21"/>
          <w:szCs w:val="21"/>
          <w:u w:val="single" w:color="auto"/>
          <w:color w:val="auto"/>
        </w:rPr>
        <w:t>Tax-Related Items</w:t>
      </w:r>
      <w:r>
        <w:rPr>
          <w:rFonts w:ascii="Arial" w:cs="Arial" w:eastAsia="Arial" w:hAnsi="Arial"/>
          <w:sz w:val="21"/>
          <w:szCs w:val="21"/>
          <w:color w:val="auto"/>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Share Units; and (b) does not commit to structure the Restricted Share Units to reduce or eliminate the Participant's liability for Tax-Related Items.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145" w:name="page146"/>
    <w:bookmarkEnd w:id="145"/>
    <w:p>
      <w:pPr>
        <w:ind w:left="-8" w:right="80" w:firstLine="8"/>
        <w:spacing w:after="0" w:line="249" w:lineRule="auto"/>
        <w:tabs>
          <w:tab w:leader="none" w:pos="802"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No Right to Continued Service; No Rights as Shareholder</w:t>
      </w:r>
      <w:r>
        <w:rPr>
          <w:rFonts w:ascii="Arial" w:cs="Arial" w:eastAsia="Arial" w:hAnsi="Arial"/>
          <w:sz w:val="21"/>
          <w:szCs w:val="21"/>
          <w:color w:val="auto"/>
        </w:rPr>
        <w:t>. 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 The Participant shall not have any rights as a shareholder with respect to any Ordinary Shares subject to the Restricted Share Units prior to the date of settlement.</w:t>
      </w:r>
    </w:p>
    <w:p>
      <w:pPr>
        <w:spacing w:after="0" w:line="178" w:lineRule="exact"/>
        <w:rPr>
          <w:rFonts w:ascii="Arial" w:cs="Arial" w:eastAsia="Arial" w:hAnsi="Arial"/>
          <w:sz w:val="21"/>
          <w:szCs w:val="21"/>
          <w:color w:val="auto"/>
        </w:rPr>
      </w:pPr>
    </w:p>
    <w:p>
      <w:pPr>
        <w:ind w:left="-8" w:right="180" w:firstLine="8"/>
        <w:spacing w:after="0" w:line="246" w:lineRule="auto"/>
        <w:tabs>
          <w:tab w:leader="none" w:pos="802"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The Restricted Share Units are not transferable by the Participant other than to a designated beneficiary upon the Participant's death or by will or the laws of descent and distribution or pursuant to a qualified domestic relations order as defined by Applicable Laws. No assignment or transfer of the Restricted Share Units,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Restricted Share Units will be forfeited by the Participant and all of the Participant's rights to such Restricted Share Units shall immediately terminate without payment or consideration by the Company and become of no further effect.</w:t>
      </w:r>
    </w:p>
    <w:p>
      <w:pPr>
        <w:spacing w:after="0" w:line="180" w:lineRule="exact"/>
        <w:rPr>
          <w:rFonts w:ascii="Arial" w:cs="Arial" w:eastAsia="Arial" w:hAnsi="Arial"/>
          <w:sz w:val="21"/>
          <w:szCs w:val="21"/>
          <w:color w:val="auto"/>
        </w:rPr>
      </w:pPr>
    </w:p>
    <w:p>
      <w:pPr>
        <w:ind w:left="-8" w:right="360" w:firstLine="8"/>
        <w:spacing w:after="0" w:line="251" w:lineRule="auto"/>
        <w:tabs>
          <w:tab w:leader="none" w:pos="80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Corporate Transaction and Adjustments</w:t>
      </w:r>
      <w:r>
        <w:rPr>
          <w:rFonts w:ascii="Arial" w:cs="Arial" w:eastAsia="Arial" w:hAnsi="Arial"/>
          <w:sz w:val="22"/>
          <w:szCs w:val="22"/>
          <w:color w:val="auto"/>
        </w:rPr>
        <w:t>. The Ordinary Shares subject to the Restricted Share Units may be adjusted or terminated in any manner as contemplated by Sections 11 and 12 of the Plan.</w:t>
      </w:r>
    </w:p>
    <w:p>
      <w:pPr>
        <w:spacing w:after="0" w:line="173" w:lineRule="exact"/>
        <w:rPr>
          <w:rFonts w:ascii="Arial" w:cs="Arial" w:eastAsia="Arial" w:hAnsi="Arial"/>
          <w:sz w:val="22"/>
          <w:szCs w:val="22"/>
          <w:color w:val="auto"/>
        </w:rPr>
      </w:pPr>
    </w:p>
    <w:p>
      <w:pPr>
        <w:ind w:left="-8" w:firstLine="8"/>
        <w:spacing w:after="0" w:line="235" w:lineRule="auto"/>
        <w:tabs>
          <w:tab w:leader="none" w:pos="91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 This Award and the issuance and transfer of Ordinary Shares shall be subject to compliance by the Company and the Participant with all Applicable Laws. No Ordinary Shares shall be issued upon vesting of the Restricted Share Units unless and until any then Applicable Laws have been fully complied with to the satisfaction of the Company and its counsel. The Participant understands that the Company is under no obligation to register the Ordinary Shares with the U.S. Securities and Exchange Commission, any state securities commission or any stock exchange or under any other Applicable Laws to effect such compliance.</w:t>
      </w:r>
    </w:p>
    <w:p>
      <w:pPr>
        <w:spacing w:after="0" w:line="188" w:lineRule="exact"/>
        <w:rPr>
          <w:rFonts w:ascii="Arial" w:cs="Arial" w:eastAsia="Arial" w:hAnsi="Arial"/>
          <w:sz w:val="22"/>
          <w:szCs w:val="22"/>
          <w:color w:val="auto"/>
        </w:rPr>
      </w:pPr>
    </w:p>
    <w:p>
      <w:pPr>
        <w:ind w:left="-8" w:right="40" w:firstLine="8"/>
        <w:spacing w:after="0" w:line="234" w:lineRule="auto"/>
        <w:tabs>
          <w:tab w:leader="none" w:pos="902"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construed and interpreted in accordance with the applicable laws of the Republic of Singapore and any other Applicable Laws, without giving effect to the conflict of law principles thereof. For the purpose of litigating any dispute that arises under this Agreement, if the Participant is a tax resident of the United States the parties hereby consent to exclusive jurisdiction in the Commonwealth of Massachusetts and agree that such litigation shall be conducted in the state courts of Middlesex County, Massachusetts or the federal courts of the United States for the District of Massachusetts and if the Participant is a resident of any other country the parties consent to the exclusive jurisdiction in the country in which such Participant resides.</w:t>
      </w:r>
    </w:p>
    <w:p>
      <w:pPr>
        <w:spacing w:after="0" w:line="191" w:lineRule="exact"/>
        <w:rPr>
          <w:rFonts w:ascii="Arial" w:cs="Arial" w:eastAsia="Arial" w:hAnsi="Arial"/>
          <w:sz w:val="22"/>
          <w:szCs w:val="22"/>
          <w:color w:val="auto"/>
        </w:rPr>
      </w:pPr>
    </w:p>
    <w:p>
      <w:pPr>
        <w:ind w:left="-8" w:right="20" w:firstLine="8"/>
        <w:spacing w:after="0" w:line="244" w:lineRule="auto"/>
        <w:tabs>
          <w:tab w:leader="none" w:pos="910"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Lock-Up Agreement</w:t>
      </w:r>
      <w:r>
        <w:rPr>
          <w:rFonts w:ascii="Arial" w:cs="Arial" w:eastAsia="Arial" w:hAnsi="Arial"/>
          <w:sz w:val="21"/>
          <w:szCs w:val="21"/>
          <w:color w:val="auto"/>
        </w:rPr>
        <w:t>. 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Ordinary Shares or other securities of the Company held by the Participant during such period as is determined by the Company and the underwriters, not to exceed 180 days following the closing of the offering, plus such additional period of time as may be required to comply with NASD Rule 2711 or similar rules thereto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19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50" w:right="239" w:bottom="1440" w:gutter="0" w:footer="0" w:header="0"/>
        </w:sectPr>
      </w:pPr>
    </w:p>
    <w:bookmarkStart w:id="146" w:name="page147"/>
    <w:bookmarkEnd w:id="146"/>
    <w:p>
      <w:pPr>
        <w:ind w:left="-8" w:right="340" w:firstLine="8"/>
        <w:spacing w:after="0"/>
        <w:tabs>
          <w:tab w:leader="none" w:pos="91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186" w:lineRule="exact"/>
        <w:rPr>
          <w:rFonts w:ascii="Arial" w:cs="Arial" w:eastAsia="Arial" w:hAnsi="Arial"/>
          <w:sz w:val="22"/>
          <w:szCs w:val="22"/>
          <w:color w:val="auto"/>
        </w:rPr>
      </w:pPr>
    </w:p>
    <w:p>
      <w:pPr>
        <w:ind w:left="-8" w:right="540" w:firstLine="8"/>
        <w:spacing w:after="0" w:line="252" w:lineRule="auto"/>
        <w:tabs>
          <w:tab w:leader="none" w:pos="910"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Restricted Share Units Subject to Plan</w:t>
      </w:r>
      <w:r>
        <w:rPr>
          <w:rFonts w:ascii="Arial" w:cs="Arial" w:eastAsia="Arial" w:hAnsi="Arial"/>
          <w:sz w:val="21"/>
          <w:szCs w:val="21"/>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74" w:lineRule="exact"/>
        <w:rPr>
          <w:rFonts w:ascii="Arial" w:cs="Arial" w:eastAsia="Arial" w:hAnsi="Arial"/>
          <w:sz w:val="21"/>
          <w:szCs w:val="21"/>
          <w:color w:val="auto"/>
        </w:rPr>
      </w:pPr>
    </w:p>
    <w:p>
      <w:pPr>
        <w:ind w:left="-8" w:right="120" w:firstLine="8"/>
        <w:spacing w:after="0" w:line="287" w:lineRule="auto"/>
        <w:tabs>
          <w:tab w:leader="none" w:pos="91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Successors and Assigns. The Company may assign any of its rights under this Agreement</w:t>
      </w:r>
      <w:r>
        <w:rPr>
          <w:rFonts w:ascii="Arial" w:cs="Arial" w:eastAsia="Arial" w:hAnsi="Arial"/>
          <w:sz w:val="19"/>
          <w:szCs w:val="19"/>
          <w:color w:val="auto"/>
        </w:rPr>
        <w: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Share Units may be transferred by will or the laws of descent or distribution.</w:t>
      </w:r>
    </w:p>
    <w:p>
      <w:pPr>
        <w:spacing w:after="0" w:line="143" w:lineRule="exact"/>
        <w:rPr>
          <w:rFonts w:ascii="Arial" w:cs="Arial" w:eastAsia="Arial" w:hAnsi="Arial"/>
          <w:sz w:val="19"/>
          <w:szCs w:val="19"/>
          <w:color w:val="auto"/>
        </w:rPr>
      </w:pPr>
    </w:p>
    <w:p>
      <w:pPr>
        <w:ind w:left="-8" w:right="200" w:firstLine="8"/>
        <w:spacing w:after="0"/>
        <w:tabs>
          <w:tab w:leader="none" w:pos="91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Severability. The invalidity or unenforceability of any provision of the Plan or this</w:t>
      </w:r>
      <w:r>
        <w:rPr>
          <w:rFonts w:ascii="Arial" w:cs="Arial" w:eastAsia="Arial" w:hAnsi="Arial"/>
          <w:sz w:val="22"/>
          <w:szCs w:val="22"/>
          <w:color w:val="auto"/>
        </w:rPr>
        <w:t xml:space="preserve"> Ag</w:t>
      </w:r>
      <w:r>
        <w:rPr>
          <w:rFonts w:ascii="Arial" w:cs="Arial" w:eastAsia="Arial" w:hAnsi="Arial"/>
          <w:sz w:val="22"/>
          <w:szCs w:val="22"/>
          <w:u w:val="single" w:color="auto"/>
          <w:color w:val="auto"/>
        </w:rPr>
        <w:t>r</w:t>
      </w:r>
      <w:r>
        <w:rPr>
          <w:rFonts w:ascii="Arial" w:cs="Arial" w:eastAsia="Arial" w:hAnsi="Arial"/>
          <w:sz w:val="22"/>
          <w:szCs w:val="22"/>
          <w:color w:val="auto"/>
        </w:rPr>
        <w:t>eement shall not affect the validity or enforceability of any other provision of the Plan or this Agreement, and each provision of the Plan and this Agreement shall be severable and enforceable to the extent permitted by law.</w:t>
      </w:r>
    </w:p>
    <w:p>
      <w:pPr>
        <w:spacing w:after="0" w:line="186" w:lineRule="exact"/>
        <w:rPr>
          <w:rFonts w:ascii="Arial" w:cs="Arial" w:eastAsia="Arial" w:hAnsi="Arial"/>
          <w:sz w:val="22"/>
          <w:szCs w:val="22"/>
          <w:color w:val="auto"/>
        </w:rPr>
      </w:pPr>
    </w:p>
    <w:p>
      <w:pPr>
        <w:ind w:left="-8" w:firstLine="8"/>
        <w:spacing w:after="0" w:line="249" w:lineRule="auto"/>
        <w:tabs>
          <w:tab w:leader="none" w:pos="910"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Discretionary Nature of Plan</w:t>
      </w:r>
      <w:r>
        <w:rPr>
          <w:rFonts w:ascii="Arial" w:cs="Arial" w:eastAsia="Arial" w:hAnsi="Arial"/>
          <w:sz w:val="21"/>
          <w:szCs w:val="21"/>
          <w:color w:val="auto"/>
        </w:rPr>
        <w:t>. The Plan is discretionary and may be amended, cancelled or terminated by the Company at any time, in its discretion. The grant of the Restricted Share Units in this Agreement does not create any contractual right or other right to receive any Restricted Share Units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78" w:lineRule="exact"/>
        <w:rPr>
          <w:rFonts w:ascii="Arial" w:cs="Arial" w:eastAsia="Arial" w:hAnsi="Arial"/>
          <w:sz w:val="21"/>
          <w:szCs w:val="21"/>
          <w:color w:val="auto"/>
        </w:rPr>
      </w:pPr>
    </w:p>
    <w:p>
      <w:pPr>
        <w:ind w:left="-8" w:right="160" w:firstLine="8"/>
        <w:spacing w:after="0" w:line="297" w:lineRule="auto"/>
        <w:tabs>
          <w:tab w:leader="none" w:pos="91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The Committee has the right to amend, alter, suspend, discontinue or cancel the Restricted Share Units, prospectively or retroactively; </w:t>
      </w:r>
      <w:r>
        <w:rPr>
          <w:rFonts w:ascii="Arial" w:cs="Arial" w:eastAsia="Arial" w:hAnsi="Arial"/>
          <w:sz w:val="19"/>
          <w:szCs w:val="19"/>
          <w:i w:val="1"/>
          <w:iCs w:val="1"/>
          <w:color w:val="auto"/>
        </w:rPr>
        <w:t>provided, that</w:t>
      </w:r>
      <w:r>
        <w:rPr>
          <w:rFonts w:ascii="Arial" w:cs="Arial" w:eastAsia="Arial" w:hAnsi="Arial"/>
          <w:sz w:val="19"/>
          <w:szCs w:val="19"/>
          <w:color w:val="auto"/>
        </w:rPr>
        <w:t>, no such amendment shall adversely affect the Participant's material rights under this Agreement unless (a) the Company requests the consent of the Participant; and (b) the Participant consents in writing.</w:t>
      </w:r>
    </w:p>
    <w:p>
      <w:pPr>
        <w:spacing w:after="0" w:line="134" w:lineRule="exact"/>
        <w:rPr>
          <w:rFonts w:ascii="Arial" w:cs="Arial" w:eastAsia="Arial" w:hAnsi="Arial"/>
          <w:sz w:val="19"/>
          <w:szCs w:val="19"/>
          <w:color w:val="auto"/>
        </w:rPr>
      </w:pPr>
    </w:p>
    <w:p>
      <w:pPr>
        <w:ind w:left="-8" w:right="200" w:firstLine="8"/>
        <w:spacing w:after="0" w:line="235" w:lineRule="auto"/>
        <w:tabs>
          <w:tab w:leader="none" w:pos="91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This Agreement is intended to comply with an exemption from Section 409A of the Code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spacing w:after="0" w:line="188" w:lineRule="exact"/>
        <w:rPr>
          <w:rFonts w:ascii="Arial" w:cs="Arial" w:eastAsia="Arial" w:hAnsi="Arial"/>
          <w:sz w:val="22"/>
          <w:szCs w:val="22"/>
          <w:color w:val="auto"/>
        </w:rPr>
      </w:pPr>
    </w:p>
    <w:p>
      <w:pPr>
        <w:ind w:left="-8" w:right="420" w:firstLine="8"/>
        <w:spacing w:after="0" w:line="328" w:lineRule="auto"/>
        <w:tabs>
          <w:tab w:leader="none" w:pos="91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No Impact on Other Benefits</w:t>
      </w:r>
      <w:r>
        <w:rPr>
          <w:rFonts w:ascii="Arial" w:cs="Arial" w:eastAsia="Arial" w:hAnsi="Arial"/>
          <w:sz w:val="19"/>
          <w:szCs w:val="19"/>
          <w:color w:val="auto"/>
        </w:rPr>
        <w:t>. The value of the Participant's Restricted Share Units is not part of his or her normal or expected compensation for purposes of calculating any severance, retirement, welfare, insurance or similar employee benefit.</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50" w:right="259" w:bottom="1440" w:gutter="0" w:footer="0" w:header="0"/>
        </w:sectPr>
      </w:pPr>
    </w:p>
    <w:bookmarkStart w:id="147" w:name="page148"/>
    <w:bookmarkEnd w:id="147"/>
    <w:p>
      <w:pPr>
        <w:ind w:left="-8" w:firstLine="8"/>
        <w:spacing w:after="0" w:line="249" w:lineRule="auto"/>
        <w:tabs>
          <w:tab w:leader="none" w:pos="91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Data Privacy</w:t>
      </w:r>
      <w:r>
        <w:rPr>
          <w:rFonts w:ascii="Arial" w:cs="Arial" w:eastAsia="Arial" w:hAnsi="Arial"/>
          <w:sz w:val="21"/>
          <w:szCs w:val="21"/>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Restricted Share Units and the administration of the Plan; and (ii) authorizes the Company and each Affiliate to store and transmit such information in electronic form for the purposes set forth in this Agreement.</w:t>
      </w:r>
    </w:p>
    <w:p>
      <w:pPr>
        <w:spacing w:after="0" w:line="178" w:lineRule="exact"/>
        <w:rPr>
          <w:rFonts w:ascii="Arial" w:cs="Arial" w:eastAsia="Arial" w:hAnsi="Arial"/>
          <w:sz w:val="21"/>
          <w:szCs w:val="21"/>
          <w:color w:val="auto"/>
        </w:rPr>
      </w:pPr>
    </w:p>
    <w:p>
      <w:pPr>
        <w:ind w:left="-8" w:firstLine="8"/>
        <w:spacing w:after="0" w:line="236" w:lineRule="auto"/>
        <w:tabs>
          <w:tab w:leader="none" w:pos="91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87" w:lineRule="exact"/>
        <w:rPr>
          <w:rFonts w:ascii="Arial" w:cs="Arial" w:eastAsia="Arial" w:hAnsi="Arial"/>
          <w:sz w:val="22"/>
          <w:szCs w:val="22"/>
          <w:color w:val="auto"/>
        </w:rPr>
      </w:pPr>
    </w:p>
    <w:p>
      <w:pPr>
        <w:ind w:left="-8" w:right="80" w:firstLine="8"/>
        <w:spacing w:after="0" w:line="236" w:lineRule="auto"/>
        <w:tabs>
          <w:tab w:leader="none" w:pos="91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Agreement. The Participant has read and understands the terms and provisions thereof, and accepts the Restricted Share Units subject to all of the terms and conditions of the Plan and this Agreement. The Participant acknowledges that there may be adverse tax consequences upon the vesting or settlement of the Restricted Share Units and that the Participant should consult a tax advisor prior to such vesting or settlement.</w:t>
      </w:r>
    </w:p>
    <w:p>
      <w:pPr>
        <w:spacing w:after="0" w:line="187" w:lineRule="exact"/>
        <w:rPr>
          <w:rFonts w:ascii="Arial" w:cs="Arial" w:eastAsia="Arial" w:hAnsi="Arial"/>
          <w:sz w:val="22"/>
          <w:szCs w:val="22"/>
          <w:color w:val="auto"/>
        </w:rPr>
      </w:pPr>
    </w:p>
    <w:p>
      <w:pPr>
        <w:ind w:left="-8" w:right="120" w:firstLine="8"/>
        <w:spacing w:after="0"/>
        <w:tabs>
          <w:tab w:leader="none" w:pos="91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Contracts (Rights of Third Parties) Act.</w:t>
      </w:r>
      <w:r>
        <w:rPr>
          <w:rFonts w:ascii="Arial" w:cs="Arial" w:eastAsia="Arial" w:hAnsi="Arial"/>
          <w:sz w:val="22"/>
          <w:szCs w:val="22"/>
          <w:color w:val="auto"/>
        </w:rPr>
        <w:t xml:space="preserve"> Save as provided in the Plan, no person other than the Company (or its subsidiaries) or a Participant shall have any right to enforce any provision of the Plan or this Agreement by virtue of the Contracts (Rights of Third Parties) Act (Chapter 53B of Singapore).</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72"/>
          </w:cols>
          <w:pgMar w:left="248" w:top="550" w:right="27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10.26.2</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Grant No.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WAVE LIFE SCIENCES LTD.</w:t>
      </w:r>
    </w:p>
    <w:p>
      <w:pPr>
        <w:jc w:val="center"/>
        <w:spacing w:after="0"/>
        <w:rPr>
          <w:sz w:val="20"/>
          <w:szCs w:val="20"/>
          <w:color w:val="auto"/>
        </w:rPr>
      </w:pPr>
      <w:r>
        <w:rPr>
          <w:rFonts w:ascii="Arial" w:cs="Arial" w:eastAsia="Arial" w:hAnsi="Arial"/>
          <w:sz w:val="22"/>
          <w:szCs w:val="22"/>
          <w:b w:val="1"/>
          <w:bCs w:val="1"/>
          <w:color w:val="auto"/>
        </w:rPr>
        <w:t>2014 EQUITY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Share Option Grant Notice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Company’s Non-qualified Share Option Agreement (for UK Participants)</w:t>
      </w:r>
    </w:p>
    <w:p>
      <w:pPr>
        <w:spacing w:after="0" w:line="229" w:lineRule="exact"/>
        <w:rPr>
          <w:sz w:val="20"/>
          <w:szCs w:val="20"/>
          <w:color w:val="auto"/>
        </w:rPr>
      </w:pPr>
    </w:p>
    <w:p>
      <w:pPr>
        <w:ind w:left="960" w:hanging="952"/>
        <w:spacing w:after="0"/>
        <w:tabs>
          <w:tab w:leader="none" w:pos="9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Name of Participant:</w:t>
      </w:r>
    </w:p>
    <w:p>
      <w:pPr>
        <w:spacing w:after="0" w:line="246" w:lineRule="exact"/>
        <w:rPr>
          <w:rFonts w:ascii="Arial" w:cs="Arial" w:eastAsia="Arial" w:hAnsi="Arial"/>
          <w:sz w:val="22"/>
          <w:szCs w:val="22"/>
          <w:color w:val="auto"/>
        </w:rPr>
      </w:pPr>
    </w:p>
    <w:p>
      <w:pPr>
        <w:ind w:left="960" w:hanging="952"/>
        <w:spacing w:after="0"/>
        <w:tabs>
          <w:tab w:leader="none" w:pos="9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15875</wp:posOffset>
            </wp:positionV>
            <wp:extent cx="30187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30187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-300990</wp:posOffset>
            </wp:positionV>
            <wp:extent cx="30187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60" w:type="dxa"/>
            <w:vAlign w:val="bottom"/>
            <w:gridSpan w:val="2"/>
          </w:tcPr>
          <w:p>
            <w:pPr>
              <w:spacing w:after="0"/>
              <w:rPr>
                <w:sz w:val="20"/>
                <w:szCs w:val="20"/>
                <w:color w:val="auto"/>
              </w:rPr>
            </w:pPr>
            <w:r>
              <w:rPr>
                <w:rFonts w:ascii="Arial" w:cs="Arial" w:eastAsia="Arial" w:hAnsi="Arial"/>
                <w:sz w:val="22"/>
                <w:szCs w:val="22"/>
                <w:color w:val="auto"/>
              </w:rPr>
              <w:t>[For employees:</w:t>
            </w:r>
          </w:p>
        </w:tc>
        <w:tc>
          <w:tcPr>
            <w:tcW w:w="4760" w:type="dxa"/>
            <w:vAlign w:val="bottom"/>
          </w:tcPr>
          <w:p>
            <w:pPr>
              <w:spacing w:after="0"/>
              <w:rPr>
                <w:sz w:val="23"/>
                <w:szCs w:val="23"/>
                <w:color w:val="auto"/>
              </w:rPr>
            </w:pPr>
          </w:p>
        </w:tc>
      </w:tr>
      <w:tr>
        <w:trPr>
          <w:trHeight w:val="275"/>
        </w:trPr>
        <w:tc>
          <w:tcPr>
            <w:tcW w:w="580" w:type="dxa"/>
            <w:vAlign w:val="bottom"/>
          </w:tcPr>
          <w:p>
            <w:pPr>
              <w:spacing w:after="0"/>
              <w:rPr>
                <w:sz w:val="20"/>
                <w:szCs w:val="20"/>
                <w:color w:val="auto"/>
              </w:rPr>
            </w:pPr>
            <w:r>
              <w:rPr>
                <w:rFonts w:ascii="Arial" w:cs="Arial" w:eastAsia="Arial" w:hAnsi="Arial"/>
                <w:sz w:val="22"/>
                <w:szCs w:val="22"/>
                <w:color w:val="auto"/>
              </w:rPr>
              <w:t>C.</w:t>
            </w:r>
          </w:p>
        </w:tc>
        <w:tc>
          <w:tcPr>
            <w:tcW w:w="6080" w:type="dxa"/>
            <w:vAlign w:val="bottom"/>
          </w:tcPr>
          <w:p>
            <w:pPr>
              <w:ind w:left="380"/>
              <w:spacing w:after="0"/>
              <w:rPr>
                <w:sz w:val="20"/>
                <w:szCs w:val="20"/>
                <w:color w:val="auto"/>
              </w:rPr>
            </w:pPr>
            <w:r>
              <w:rPr>
                <w:rFonts w:ascii="Arial" w:cs="Arial" w:eastAsia="Arial" w:hAnsi="Arial"/>
                <w:sz w:val="22"/>
                <w:szCs w:val="22"/>
                <w:color w:val="auto"/>
              </w:rPr>
              <w:t>Expiration Date:</w:t>
            </w:r>
          </w:p>
        </w:tc>
        <w:tc>
          <w:tcPr>
            <w:tcW w:w="4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10-year anniversary of the Grant Date</w:t>
            </w:r>
          </w:p>
        </w:tc>
      </w:tr>
      <w:tr>
        <w:trPr>
          <w:trHeight w:val="475"/>
        </w:trPr>
        <w:tc>
          <w:tcPr>
            <w:tcW w:w="6660" w:type="dxa"/>
            <w:vAlign w:val="bottom"/>
            <w:gridSpan w:val="2"/>
          </w:tcPr>
          <w:p>
            <w:pPr>
              <w:spacing w:after="0"/>
              <w:rPr>
                <w:sz w:val="20"/>
                <w:szCs w:val="20"/>
                <w:color w:val="auto"/>
              </w:rPr>
            </w:pPr>
            <w:r>
              <w:rPr>
                <w:rFonts w:ascii="Arial" w:cs="Arial" w:eastAsia="Arial" w:hAnsi="Arial"/>
                <w:sz w:val="22"/>
                <w:szCs w:val="22"/>
                <w:color w:val="auto"/>
              </w:rPr>
              <w:t>[For non-employee directors:</w:t>
            </w:r>
          </w:p>
        </w:tc>
        <w:tc>
          <w:tcPr>
            <w:tcW w:w="4760" w:type="dxa"/>
            <w:vAlign w:val="bottom"/>
          </w:tcPr>
          <w:p>
            <w:pPr>
              <w:spacing w:after="0"/>
              <w:rPr>
                <w:sz w:val="24"/>
                <w:szCs w:val="24"/>
                <w:color w:val="auto"/>
              </w:rPr>
            </w:pPr>
          </w:p>
        </w:tc>
      </w:tr>
      <w:tr>
        <w:trPr>
          <w:trHeight w:val="276"/>
        </w:trPr>
        <w:tc>
          <w:tcPr>
            <w:tcW w:w="580" w:type="dxa"/>
            <w:vAlign w:val="bottom"/>
          </w:tcPr>
          <w:p>
            <w:pPr>
              <w:spacing w:after="0"/>
              <w:rPr>
                <w:sz w:val="20"/>
                <w:szCs w:val="20"/>
                <w:color w:val="auto"/>
              </w:rPr>
            </w:pPr>
            <w:r>
              <w:rPr>
                <w:rFonts w:ascii="Arial" w:cs="Arial" w:eastAsia="Arial" w:hAnsi="Arial"/>
                <w:sz w:val="22"/>
                <w:szCs w:val="22"/>
                <w:color w:val="auto"/>
              </w:rPr>
              <w:t>C.</w:t>
            </w:r>
          </w:p>
        </w:tc>
        <w:tc>
          <w:tcPr>
            <w:tcW w:w="6080" w:type="dxa"/>
            <w:vAlign w:val="bottom"/>
          </w:tcPr>
          <w:p>
            <w:pPr>
              <w:ind w:left="380"/>
              <w:spacing w:after="0"/>
              <w:rPr>
                <w:sz w:val="20"/>
                <w:szCs w:val="20"/>
                <w:color w:val="auto"/>
              </w:rPr>
            </w:pPr>
            <w:r>
              <w:rPr>
                <w:rFonts w:ascii="Arial" w:cs="Arial" w:eastAsia="Arial" w:hAnsi="Arial"/>
                <w:sz w:val="22"/>
                <w:szCs w:val="22"/>
                <w:color w:val="auto"/>
              </w:rPr>
              <w:t>Expiration Date:</w:t>
            </w:r>
          </w:p>
        </w:tc>
        <w:tc>
          <w:tcPr>
            <w:tcW w:w="4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5-year anniversary of the Grant Date</w:t>
            </w:r>
          </w:p>
        </w:tc>
      </w:tr>
    </w:tbl>
    <w:p>
      <w:pPr>
        <w:spacing w:after="0" w:line="208" w:lineRule="exact"/>
        <w:rPr>
          <w:sz w:val="20"/>
          <w:szCs w:val="20"/>
          <w:color w:val="auto"/>
        </w:rPr>
      </w:pPr>
    </w:p>
    <w:p>
      <w:pPr>
        <w:ind w:left="960" w:right="5180" w:hanging="952"/>
        <w:spacing w:after="0" w:line="276" w:lineRule="auto"/>
        <w:tabs>
          <w:tab w:leader="none" w:pos="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Maximum Number of Ordinary Shares for which this Option is exercisable:</w:t>
      </w:r>
    </w:p>
    <w:p>
      <w:pPr>
        <w:spacing w:after="0" w:line="187" w:lineRule="exact"/>
        <w:rPr>
          <w:rFonts w:ascii="Arial" w:cs="Arial" w:eastAsia="Arial" w:hAnsi="Arial"/>
          <w:sz w:val="22"/>
          <w:szCs w:val="22"/>
          <w:color w:val="auto"/>
        </w:rPr>
      </w:pPr>
    </w:p>
    <w:p>
      <w:pPr>
        <w:ind w:left="960" w:hanging="952"/>
        <w:spacing w:after="0"/>
        <w:tabs>
          <w:tab w:leader="none" w:pos="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Exercise (purchase) Price per Ordinary Share:</w:t>
      </w:r>
    </w:p>
    <w:p>
      <w:pPr>
        <w:spacing w:after="0" w:line="246" w:lineRule="exact"/>
        <w:rPr>
          <w:rFonts w:ascii="Arial" w:cs="Arial" w:eastAsia="Arial" w:hAnsi="Arial"/>
          <w:sz w:val="22"/>
          <w:szCs w:val="22"/>
          <w:color w:val="auto"/>
        </w:rPr>
      </w:pPr>
    </w:p>
    <w:p>
      <w:pPr>
        <w:ind w:left="960" w:hanging="952"/>
        <w:spacing w:after="0"/>
        <w:tabs>
          <w:tab w:leader="none" w:pos="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Vesting Start Date:</w:t>
      </w:r>
    </w:p>
    <w:p>
      <w:pPr>
        <w:spacing w:after="0" w:line="246" w:lineRule="exact"/>
        <w:rPr>
          <w:rFonts w:ascii="Arial" w:cs="Arial" w:eastAsia="Arial" w:hAnsi="Arial"/>
          <w:sz w:val="22"/>
          <w:szCs w:val="22"/>
          <w:color w:val="auto"/>
        </w:rPr>
      </w:pPr>
    </w:p>
    <w:p>
      <w:pPr>
        <w:ind w:left="960" w:hanging="952"/>
        <w:spacing w:after="0"/>
        <w:tabs>
          <w:tab w:leader="none" w:pos="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-300990</wp:posOffset>
            </wp:positionV>
            <wp:extent cx="30187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30187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-617855</wp:posOffset>
            </wp:positionV>
            <wp:extent cx="30187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301879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-935355</wp:posOffset>
            </wp:positionV>
            <wp:extent cx="30187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180" w:firstLine="407"/>
        <w:spacing w:after="0" w:line="276" w:lineRule="auto"/>
        <w:rPr>
          <w:sz w:val="20"/>
          <w:szCs w:val="20"/>
          <w:color w:val="auto"/>
        </w:rPr>
      </w:pPr>
      <w:r>
        <w:rPr>
          <w:rFonts w:ascii="Arial" w:cs="Arial" w:eastAsia="Arial" w:hAnsi="Arial"/>
          <w:sz w:val="22"/>
          <w:szCs w:val="22"/>
          <w:color w:val="auto"/>
        </w:rPr>
        <w:t>This Option shall become vested and exercisable with respect to the number of Ordinary Shares set forth below provided that at all times the Participant is providing Continuous Service:</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[__].</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[__].</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[__].</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[__].</w:t>
      </w:r>
    </w:p>
    <w:p>
      <w:pPr>
        <w:spacing w:after="0" w:line="233" w:lineRule="exact"/>
        <w:rPr>
          <w:sz w:val="20"/>
          <w:szCs w:val="20"/>
          <w:color w:val="auto"/>
        </w:rPr>
      </w:pPr>
    </w:p>
    <w:p>
      <w:pPr>
        <w:jc w:val="both"/>
        <w:ind w:firstLine="407"/>
        <w:spacing w:after="0" w:line="266" w:lineRule="auto"/>
        <w:rPr>
          <w:sz w:val="20"/>
          <w:szCs w:val="20"/>
          <w:color w:val="auto"/>
        </w:rPr>
      </w:pPr>
      <w:r>
        <w:rPr>
          <w:rFonts w:ascii="Arial" w:cs="Arial" w:eastAsia="Arial" w:hAnsi="Arial"/>
          <w:sz w:val="22"/>
          <w:szCs w:val="22"/>
          <w:color w:val="auto"/>
        </w:rPr>
        <w:t>The Company and the Participant acknowledge receipt of this Non-qualified Share Option Grant Notice and agree to the terms of the Non-qualified Share Option Agreement attached hereto and incorporated by reference herein, the Company’s 2014 Equity Incentive Plan and the terms of this Option Grant as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49" w:name="page150"/>
    <w:bookmarkEnd w:id="149"/>
    <w:p>
      <w:pPr>
        <w:ind w:left="4520"/>
        <w:spacing w:after="0"/>
        <w:rPr>
          <w:sz w:val="20"/>
          <w:szCs w:val="20"/>
          <w:color w:val="auto"/>
        </w:rPr>
      </w:pPr>
      <w:r>
        <w:rPr>
          <w:rFonts w:ascii="Arial" w:cs="Arial" w:eastAsia="Arial" w:hAnsi="Arial"/>
          <w:sz w:val="19"/>
          <w:szCs w:val="19"/>
          <w:b w:val="1"/>
          <w:bCs w:val="1"/>
          <w:color w:val="auto"/>
        </w:rPr>
        <w:t>Wave Life Sciences Ltd.</w:t>
      </w:r>
    </w:p>
    <w:p>
      <w:pPr>
        <w:sectPr>
          <w:pgSz w:w="11900" w:h="16838" w:orient="portrait"/>
          <w:cols w:equalWidth="0" w:num="1">
            <w:col w:w="9019"/>
          </w:cols>
          <w:pgMar w:left="1440" w:top="760" w:right="1440"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27698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5140" w:space="720"/>
            <w:col w:w="3159"/>
          </w:cols>
          <w:pgMar w:left="1440" w:top="76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4520"/>
        <w:spacing w:after="0"/>
        <w:rPr>
          <w:sz w:val="20"/>
          <w:szCs w:val="20"/>
          <w:color w:val="auto"/>
        </w:rPr>
      </w:pPr>
      <w:r>
        <w:rPr>
          <w:rFonts w:ascii="Arial" w:cs="Arial" w:eastAsia="Arial" w:hAnsi="Arial"/>
          <w:sz w:val="19"/>
          <w:szCs w:val="19"/>
          <w:b w:val="1"/>
          <w:bCs w:val="1"/>
          <w:color w:val="auto"/>
        </w:rPr>
        <w:t>Participant</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7620</wp:posOffset>
            </wp:positionV>
            <wp:extent cx="27698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168275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type w:val="continuous"/>
        </w:sectPr>
      </w:pPr>
    </w:p>
    <w:bookmarkStart w:id="150" w:name="page151"/>
    <w:bookmarkEnd w:id="150"/>
    <w:p>
      <w:pPr>
        <w:ind w:left="880"/>
        <w:spacing w:after="0"/>
        <w:rPr>
          <w:sz w:val="20"/>
          <w:szCs w:val="20"/>
          <w:color w:val="auto"/>
        </w:rPr>
      </w:pPr>
      <w:r>
        <w:rPr>
          <w:rFonts w:ascii="Arial" w:cs="Arial" w:eastAsia="Arial" w:hAnsi="Arial"/>
          <w:sz w:val="22"/>
          <w:szCs w:val="22"/>
          <w:b w:val="1"/>
          <w:bCs w:val="1"/>
          <w:u w:val="single" w:color="auto"/>
          <w:color w:val="auto"/>
        </w:rPr>
        <w:t>NON-QUALIFIED SHARE OPTION AGREEMENT - INCORPORATED TERMS AND CONDITIONS</w:t>
      </w:r>
    </w:p>
    <w:p>
      <w:pPr>
        <w:spacing w:after="0" w:line="226" w:lineRule="exact"/>
        <w:rPr>
          <w:sz w:val="20"/>
          <w:szCs w:val="20"/>
          <w:color w:val="auto"/>
        </w:rPr>
      </w:pPr>
    </w:p>
    <w:p>
      <w:pPr>
        <w:ind w:right="400" w:firstLine="815"/>
        <w:spacing w:after="0"/>
        <w:rPr>
          <w:sz w:val="20"/>
          <w:szCs w:val="20"/>
          <w:color w:val="auto"/>
        </w:rPr>
      </w:pPr>
      <w:r>
        <w:rPr>
          <w:rFonts w:ascii="Arial" w:cs="Arial" w:eastAsia="Arial" w:hAnsi="Arial"/>
          <w:sz w:val="22"/>
          <w:szCs w:val="22"/>
          <w:color w:val="auto"/>
        </w:rPr>
        <w:t>This Non-qualified Share Option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and entered into as of the Grant Date by and between Wave Life Sciences Ltd., a company incorporated in Singapore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w:t>
      </w:r>
      <w:r>
        <w:rPr>
          <w:rFonts w:ascii="Arial" w:cs="Arial" w:eastAsia="Arial" w:hAnsi="Arial"/>
          <w:sz w:val="22"/>
          <w:szCs w:val="22"/>
          <w:u w:val="single" w:color="auto"/>
          <w:color w:val="auto"/>
        </w:rPr>
        <w:t>Participant</w:t>
      </w:r>
      <w:r>
        <w:rPr>
          <w:rFonts w:ascii="Arial" w:cs="Arial" w:eastAsia="Arial" w:hAnsi="Arial"/>
          <w:sz w:val="22"/>
          <w:szCs w:val="22"/>
          <w:color w:val="auto"/>
        </w:rPr>
        <w:t>” whose name appears on the Non-qualified Share Option Grant Notice.</w:t>
      </w:r>
    </w:p>
    <w:p>
      <w:pPr>
        <w:spacing w:after="0" w:line="254" w:lineRule="exact"/>
        <w:rPr>
          <w:sz w:val="20"/>
          <w:szCs w:val="20"/>
          <w:color w:val="auto"/>
        </w:rPr>
      </w:pPr>
    </w:p>
    <w:p>
      <w:pPr>
        <w:ind w:left="820" w:hanging="812"/>
        <w:spacing w:after="0"/>
        <w:tabs>
          <w:tab w:leader="none" w:pos="82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w:t>
      </w:r>
    </w:p>
    <w:p>
      <w:pPr>
        <w:spacing w:after="0" w:line="247" w:lineRule="exact"/>
        <w:rPr>
          <w:sz w:val="20"/>
          <w:szCs w:val="20"/>
          <w:color w:val="auto"/>
        </w:rPr>
      </w:pPr>
    </w:p>
    <w:p>
      <w:pPr>
        <w:ind w:right="120" w:firstLine="407"/>
        <w:spacing w:after="0" w:line="282"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Grant; Type of Option</w:t>
      </w:r>
      <w:r>
        <w:rPr>
          <w:rFonts w:ascii="Arial" w:cs="Arial" w:eastAsia="Arial" w:hAnsi="Arial"/>
          <w:sz w:val="19"/>
          <w:szCs w:val="19"/>
          <w:color w:val="auto"/>
        </w:rPr>
        <w:t>. The Company hereby grants to the Participant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(subscribe for) the total number of Ordinary Shares of the Company equal to the number of Ordinary Shares set forth on the Non-qualified Share Option Grant Notice, at the Exercise Price per Ordinary Share set forth on the Non-qualified Share Option Grant Notice. The Option is being granted pursuant to the terms of the Wave Life Sciences Ltd. 2014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The Option is intended to be a Non-qualified Share Option and not an Incentive Share Option.</w:t>
      </w:r>
    </w:p>
    <w:p>
      <w:pPr>
        <w:spacing w:after="0" w:line="188" w:lineRule="exact"/>
        <w:rPr>
          <w:sz w:val="20"/>
          <w:szCs w:val="20"/>
          <w:color w:val="auto"/>
        </w:rPr>
      </w:pPr>
    </w:p>
    <w:p>
      <w:pPr>
        <w:ind w:right="60" w:firstLine="407"/>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Consideration; Subject to Plan</w:t>
      </w:r>
      <w:r>
        <w:rPr>
          <w:rFonts w:ascii="Arial" w:cs="Arial" w:eastAsia="Arial" w:hAnsi="Arial"/>
          <w:sz w:val="22"/>
          <w:szCs w:val="22"/>
          <w:color w:val="auto"/>
        </w:rPr>
        <w:t>. The grant of the Option is made in consideration of the services to be rendered by the Participant to the Company and is subject to the terms and conditions of the Plan. Capitalized terms used but not defined herein will have the meaning ascribed to them in the Plan.</w:t>
      </w:r>
    </w:p>
    <w:p>
      <w:pPr>
        <w:spacing w:after="0" w:line="254" w:lineRule="exact"/>
        <w:rPr>
          <w:sz w:val="20"/>
          <w:szCs w:val="20"/>
          <w:color w:val="auto"/>
        </w:rPr>
      </w:pPr>
    </w:p>
    <w:p>
      <w:pPr>
        <w:ind w:left="820" w:hanging="812"/>
        <w:spacing w:after="0"/>
        <w:tabs>
          <w:tab w:leader="none" w:pos="82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Exercise Period; Vesting</w:t>
      </w:r>
      <w:r>
        <w:rPr>
          <w:rFonts w:ascii="Arial" w:cs="Arial" w:eastAsia="Arial" w:hAnsi="Arial"/>
          <w:sz w:val="22"/>
          <w:szCs w:val="22"/>
          <w:color w:val="auto"/>
        </w:rPr>
        <w:t>.</w:t>
      </w:r>
    </w:p>
    <w:p>
      <w:pPr>
        <w:spacing w:after="0" w:line="247" w:lineRule="exact"/>
        <w:rPr>
          <w:sz w:val="20"/>
          <w:szCs w:val="20"/>
          <w:color w:val="auto"/>
        </w:rPr>
      </w:pPr>
    </w:p>
    <w:p>
      <w:pPr>
        <w:ind w:right="300" w:firstLine="407"/>
        <w:spacing w:after="0" w:line="251"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Vesting Schedule</w:t>
      </w:r>
      <w:r>
        <w:rPr>
          <w:rFonts w:ascii="Arial" w:cs="Arial" w:eastAsia="Arial" w:hAnsi="Arial"/>
          <w:sz w:val="22"/>
          <w:szCs w:val="22"/>
          <w:color w:val="auto"/>
        </w:rPr>
        <w:t>. The Option will become vested and exercisable as set forth on the Non-qualified Share Option Grant Notice.</w:t>
      </w:r>
    </w:p>
    <w:p>
      <w:pPr>
        <w:spacing w:after="0" w:line="200" w:lineRule="exact"/>
        <w:rPr>
          <w:sz w:val="20"/>
          <w:szCs w:val="20"/>
          <w:color w:val="auto"/>
        </w:rPr>
      </w:pPr>
    </w:p>
    <w:p>
      <w:pPr>
        <w:ind w:firstLine="407"/>
        <w:spacing w:after="0" w:line="251"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Unvested Option</w:t>
      </w:r>
      <w:r>
        <w:rPr>
          <w:rFonts w:ascii="Arial" w:cs="Arial" w:eastAsia="Arial" w:hAnsi="Arial"/>
          <w:sz w:val="22"/>
          <w:szCs w:val="22"/>
          <w:color w:val="auto"/>
        </w:rPr>
        <w:t>. The unvested portion of the Option will not be exercisable on or after the Participant's termination of Continuous Service.</w:t>
      </w:r>
    </w:p>
    <w:p>
      <w:pPr>
        <w:spacing w:after="0" w:line="214" w:lineRule="exact"/>
        <w:rPr>
          <w:sz w:val="20"/>
          <w:szCs w:val="20"/>
          <w:color w:val="auto"/>
        </w:rPr>
      </w:pPr>
    </w:p>
    <w:p>
      <w:pPr>
        <w:ind w:firstLine="407"/>
        <w:spacing w:after="0" w:line="251"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Expiration</w:t>
      </w:r>
      <w:r>
        <w:rPr>
          <w:rFonts w:ascii="Arial" w:cs="Arial" w:eastAsia="Arial" w:hAnsi="Arial"/>
          <w:sz w:val="22"/>
          <w:szCs w:val="22"/>
          <w:color w:val="auto"/>
        </w:rPr>
        <w:t>. The Option will expire on the Expiration Date set forth on the Non-qualified Share Option Grant Notice, or earlier as provided in this Agreement or the Plan.</w:t>
      </w:r>
    </w:p>
    <w:p>
      <w:pPr>
        <w:spacing w:after="0" w:line="241" w:lineRule="exact"/>
        <w:rPr>
          <w:sz w:val="20"/>
          <w:szCs w:val="20"/>
          <w:color w:val="auto"/>
        </w:rPr>
      </w:pPr>
    </w:p>
    <w:p>
      <w:pPr>
        <w:ind w:left="820" w:hanging="812"/>
        <w:spacing w:after="0"/>
        <w:tabs>
          <w:tab w:leader="none" w:pos="82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Termination of Continuous Service</w:t>
      </w:r>
      <w:r>
        <w:rPr>
          <w:rFonts w:ascii="Arial" w:cs="Arial" w:eastAsia="Arial" w:hAnsi="Arial"/>
          <w:sz w:val="22"/>
          <w:szCs w:val="22"/>
          <w:color w:val="auto"/>
        </w:rPr>
        <w:t>.</w:t>
      </w:r>
    </w:p>
    <w:p>
      <w:pPr>
        <w:spacing w:after="0" w:line="247" w:lineRule="exact"/>
        <w:rPr>
          <w:sz w:val="20"/>
          <w:szCs w:val="20"/>
          <w:color w:val="auto"/>
        </w:rPr>
      </w:pPr>
    </w:p>
    <w:p>
      <w:pPr>
        <w:ind w:right="80" w:firstLine="407"/>
        <w:spacing w:after="0" w:line="238"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Termination for Reasons Other Than Cause, Death, Disability</w:t>
      </w:r>
      <w:r>
        <w:rPr>
          <w:rFonts w:ascii="Arial" w:cs="Arial" w:eastAsia="Arial" w:hAnsi="Arial"/>
          <w:sz w:val="22"/>
          <w:szCs w:val="22"/>
          <w:color w:val="auto"/>
        </w:rPr>
        <w:t>. If the Participant’s Continuous Service is terminated for any reason other than Cause, death or Disability, the Participant may exercise the vested portion of the Option, but only within such period of time ending on the earlier of: (a) the date three months following the termination of the Participant's Continuous Service; or (b) the Expiration Date.</w:t>
      </w:r>
    </w:p>
    <w:p>
      <w:pPr>
        <w:spacing w:after="0" w:line="226" w:lineRule="exact"/>
        <w:rPr>
          <w:sz w:val="20"/>
          <w:szCs w:val="20"/>
          <w:color w:val="auto"/>
        </w:rPr>
      </w:pPr>
    </w:p>
    <w:p>
      <w:pPr>
        <w:ind w:right="140" w:firstLine="407"/>
        <w:spacing w:after="0" w:line="251"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Termination for Cause</w:t>
      </w:r>
      <w:r>
        <w:rPr>
          <w:rFonts w:ascii="Arial" w:cs="Arial" w:eastAsia="Arial" w:hAnsi="Arial"/>
          <w:sz w:val="22"/>
          <w:szCs w:val="22"/>
          <w:color w:val="auto"/>
        </w:rPr>
        <w:t>. If the Participant’s Continuous Service is terminated for Cause, the Option (whether vested or unvested) shall immediately terminate and cease to be exercisable.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51" w:name="page152"/>
    <w:bookmarkEnd w:id="151"/>
    <w:p>
      <w:pPr>
        <w:ind w:right="220" w:firstLine="407"/>
        <w:spacing w:after="0" w:line="258"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Termination Due to Disability</w:t>
      </w:r>
      <w:r>
        <w:rPr>
          <w:rFonts w:ascii="Arial" w:cs="Arial" w:eastAsia="Arial" w:hAnsi="Arial"/>
          <w:sz w:val="21"/>
          <w:szCs w:val="21"/>
          <w:color w:val="auto"/>
        </w:rPr>
        <w:t>. If the Participant’s Continuous Service terminates as a result of the Participant’s Disability, the Participant may exercise the vested portion of the Option, but only within such period of time ending on the earlier of: (a) the date 12 months following the Participant's termination of Continuous Service; or (b) the Expiration Date.</w:t>
      </w:r>
    </w:p>
    <w:p>
      <w:pPr>
        <w:spacing w:after="0" w:line="194" w:lineRule="exact"/>
        <w:rPr>
          <w:sz w:val="20"/>
          <w:szCs w:val="20"/>
          <w:color w:val="auto"/>
        </w:rPr>
      </w:pPr>
    </w:p>
    <w:p>
      <w:pPr>
        <w:ind w:firstLine="407"/>
        <w:spacing w:after="0" w:line="248"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Participant’s Continuous Service terminates as a result of the Participant’s death, or the Participant dies within a period following termination of the Participant’s Continuous Service during which the vested portion of the Option remains exercisable,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12 months following the Participant's termination of Continuous Service; or (b) the Expiration Date.</w:t>
      </w:r>
    </w:p>
    <w:p>
      <w:pPr>
        <w:spacing w:after="0" w:line="258" w:lineRule="exact"/>
        <w:rPr>
          <w:sz w:val="20"/>
          <w:szCs w:val="20"/>
          <w:color w:val="auto"/>
        </w:rPr>
      </w:pPr>
    </w:p>
    <w:p>
      <w:pPr>
        <w:ind w:left="820" w:hanging="812"/>
        <w:spacing w:after="0"/>
        <w:tabs>
          <w:tab w:leader="none" w:pos="82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33" w:lineRule="exact"/>
        <w:rPr>
          <w:sz w:val="20"/>
          <w:szCs w:val="20"/>
          <w:color w:val="auto"/>
        </w:rPr>
      </w:pPr>
    </w:p>
    <w:p>
      <w:pPr>
        <w:ind w:right="100" w:firstLine="407"/>
        <w:spacing w:after="0" w:line="23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Election to Exercise</w:t>
      </w:r>
      <w:r>
        <w:rPr>
          <w:rFonts w:ascii="Arial" w:cs="Arial" w:eastAsia="Arial" w:hAnsi="Arial"/>
          <w:sz w:val="22"/>
          <w:szCs w:val="22"/>
          <w:color w:val="auto"/>
        </w:rPr>
        <w:t>. To exercise the Option, the Participant (or in the case of exercise after the Participant’s death or incapacity, the Participant’s executor, administrator, heir or legatee, as the case may be) must deliver to the Company a notice of intent to exercise in the manner designated by the Board or the Committee. If someone other than the Participant exercises the Option, then such person must submit documentation reasonably acceptable to the Company verifying that such person has the legal right to exercise the Option.</w:t>
      </w:r>
    </w:p>
    <w:p>
      <w:pPr>
        <w:spacing w:after="0" w:line="228" w:lineRule="exact"/>
        <w:rPr>
          <w:sz w:val="20"/>
          <w:szCs w:val="20"/>
          <w:color w:val="auto"/>
        </w:rPr>
      </w:pPr>
    </w:p>
    <w:p>
      <w:pPr>
        <w:ind w:right="100" w:firstLine="407"/>
        <w:spacing w:after="0" w:line="251"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Payment of Exercise Price</w:t>
      </w:r>
      <w:r>
        <w:rPr>
          <w:rFonts w:ascii="Arial" w:cs="Arial" w:eastAsia="Arial" w:hAnsi="Arial"/>
          <w:sz w:val="22"/>
          <w:szCs w:val="22"/>
          <w:color w:val="auto"/>
        </w:rPr>
        <w:t>. The entire Exercise Price of the Option shall be payable in full at the time of exercise in any form of legal consideration allowed pursuant to Section 6.4 of the Plan.</w:t>
      </w:r>
    </w:p>
    <w:p>
      <w:pPr>
        <w:spacing w:after="0" w:line="241" w:lineRule="exact"/>
        <w:rPr>
          <w:sz w:val="20"/>
          <w:szCs w:val="20"/>
          <w:color w:val="auto"/>
        </w:rPr>
      </w:pPr>
    </w:p>
    <w:p>
      <w:pPr>
        <w:ind w:left="420"/>
        <w:spacing w:after="0"/>
        <w:tabs>
          <w:tab w:leader="none" w:pos="13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Withholding</w:t>
      </w:r>
      <w:r>
        <w:rPr>
          <w:rFonts w:ascii="Arial" w:cs="Arial" w:eastAsia="Arial" w:hAnsi="Arial"/>
          <w:sz w:val="19"/>
          <w:szCs w:val="19"/>
          <w:color w:val="auto"/>
        </w:rPr>
        <w:t>. Prior to the issuance of shares upon the exercise of the Option, the Participant must make</w:t>
      </w:r>
    </w:p>
    <w:p>
      <w:pPr>
        <w:spacing w:after="0" w:line="8" w:lineRule="exact"/>
        <w:rPr>
          <w:sz w:val="20"/>
          <w:szCs w:val="20"/>
          <w:color w:val="auto"/>
        </w:rPr>
      </w:pPr>
    </w:p>
    <w:p>
      <w:pPr>
        <w:ind w:right="400"/>
        <w:spacing w:after="0" w:line="249" w:lineRule="auto"/>
        <w:rPr>
          <w:sz w:val="20"/>
          <w:szCs w:val="20"/>
          <w:color w:val="auto"/>
        </w:rPr>
      </w:pPr>
      <w:r>
        <w:rPr>
          <w:rFonts w:ascii="Arial" w:cs="Arial" w:eastAsia="Arial" w:hAnsi="Arial"/>
          <w:sz w:val="21"/>
          <w:szCs w:val="21"/>
          <w:color w:val="auto"/>
        </w:rPr>
        <w:t>arrangements satisfactory to the Company to pay or provide for any applicable foreign, federal, state and local withholding obligations of the Company. The Participant may satisfy any foreign, federal, state or local tax and social security contributions withholding obligation relating to the exercise of the Option by any of the following means:</w:t>
      </w:r>
    </w:p>
    <w:p>
      <w:pPr>
        <w:spacing w:after="0" w:line="216" w:lineRule="exact"/>
        <w:rPr>
          <w:sz w:val="20"/>
          <w:szCs w:val="20"/>
          <w:color w:val="auto"/>
        </w:rPr>
      </w:pPr>
    </w:p>
    <w:p>
      <w:pPr>
        <w:ind w:left="1720" w:hanging="897"/>
        <w:spacing w:after="0"/>
        <w:tabs>
          <w:tab w:leader="none" w:pos="1720" w:val="left"/>
        </w:tabs>
        <w:numPr>
          <w:ilvl w:val="0"/>
          <w:numId w:val="88"/>
        </w:numPr>
        <w:rPr>
          <w:rFonts w:ascii="Arial" w:cs="Arial" w:eastAsia="Arial" w:hAnsi="Arial"/>
          <w:sz w:val="21"/>
          <w:szCs w:val="21"/>
          <w:color w:val="auto"/>
        </w:rPr>
      </w:pPr>
      <w:r>
        <w:rPr>
          <w:rFonts w:ascii="Arial" w:cs="Arial" w:eastAsia="Arial" w:hAnsi="Arial"/>
          <w:sz w:val="21"/>
          <w:szCs w:val="21"/>
          <w:color w:val="auto"/>
        </w:rPr>
        <w:t>tendering a cash payment (whether by check or from the proceeds of the sale of Ordinary Shares); or</w:t>
      </w:r>
    </w:p>
    <w:p>
      <w:pPr>
        <w:spacing w:after="0" w:line="258" w:lineRule="exact"/>
        <w:rPr>
          <w:rFonts w:ascii="Arial" w:cs="Arial" w:eastAsia="Arial" w:hAnsi="Arial"/>
          <w:sz w:val="21"/>
          <w:szCs w:val="21"/>
          <w:color w:val="auto"/>
        </w:rPr>
      </w:pPr>
    </w:p>
    <w:p>
      <w:pPr>
        <w:ind w:right="560" w:firstLine="823"/>
        <w:spacing w:after="0"/>
        <w:tabs>
          <w:tab w:leader="none" w:pos="1715"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authorizing the Company to withhold Ordinary Shares from the Ordinary Shares otherwise issuable to the Participant as a result of the exercise of the Option;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no Ordinary Shares are withheld with a value exceeding the minimum amount of tax required to be withheld by Applicable Laws.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Company has the right to withhold from any compensation paid to a Participant.</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52" w:name="page153"/>
    <w:bookmarkEnd w:id="152"/>
    <w:p>
      <w:pPr>
        <w:ind w:right="180" w:firstLine="407"/>
        <w:spacing w:after="0" w:line="249"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Issuance of Shares</w:t>
      </w:r>
      <w:r>
        <w:rPr>
          <w:rFonts w:ascii="Arial" w:cs="Arial" w:eastAsia="Arial" w:hAnsi="Arial"/>
          <w:sz w:val="21"/>
          <w:szCs w:val="21"/>
          <w:color w:val="auto"/>
        </w:rPr>
        <w:t>. Provided that the exercise notice and payment are in compliance with the Plan and in form and substance satisfactory to the Company, the Company shall issue the Ordinary Shares registered in the name of the Participant, the Participant’s authorized assignee, or the Participant's legal representative, which shall be evidenced by share certificates representing the shares with the appropriate legends affixed thereto, appropriate entry on the books of the Company or of a duly authorized transfer agent, or other appropriate means as determined by the Company.</w:t>
      </w:r>
    </w:p>
    <w:p>
      <w:pPr>
        <w:spacing w:after="0" w:line="246" w:lineRule="exact"/>
        <w:rPr>
          <w:sz w:val="20"/>
          <w:szCs w:val="20"/>
          <w:color w:val="auto"/>
        </w:rPr>
      </w:pPr>
    </w:p>
    <w:p>
      <w:pPr>
        <w:ind w:firstLine="8"/>
        <w:spacing w:after="0" w:line="272" w:lineRule="auto"/>
        <w:tabs>
          <w:tab w:leader="none" w:pos="81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 Right to Continued Employment; No Rights as Shareholder</w:t>
      </w:r>
      <w:r>
        <w:rPr>
          <w:rFonts w:ascii="Arial" w:cs="Arial" w:eastAsia="Arial" w:hAnsi="Arial"/>
          <w:sz w:val="19"/>
          <w:szCs w:val="19"/>
          <w:color w:val="auto"/>
        </w:rPr>
        <w:t>. Neither the Plan nor this Agreement shall confer upon the Participant any right to be retained in any position, as an Employee, Consultant or Director of the Company or its Affiliates. Further, nothing in the Plan or this Agreement shall be construed to limit the discretion of the Company or its Affiliates to terminate the Participant's Continuous Service at any time, with or without Cause. The Participant shall not have any rights as a shareholder with respect to any Ordinary Shares subject to the Option prior to the date of exercise of the Option. In addition, neither the Plan nor this Agreement shall form part of any contract of employment between the Company or its Affiliates and the Participant. Neither the Plan nor this Agreement entitles the Participant to the exercise of any discretion in his favour. The benefit to the Participant of participation in the Plan (including, in particular but not by way of limitation, any Award held by him or her) shall not form any part of his or her remuneration or count as his or her remuneration for any purpose and shall not be pensionable. If the Participant ceases to be an Employee for any reason, he or she shall not be entitled to compensation for the loss or diminution in value of any right or benefit or prospective right or benefit under the Plan (including, in particular but not by way of limitation, any Award held by him which lapse by reason of his ceasing to be in employment with the Company or its Affiliates) whether by way of damages for unfair dismissal, wrongful dismissal, breach of contract or otherwise.</w:t>
      </w:r>
    </w:p>
    <w:p>
      <w:pPr>
        <w:spacing w:after="0" w:line="224" w:lineRule="exact"/>
        <w:rPr>
          <w:rFonts w:ascii="Arial" w:cs="Arial" w:eastAsia="Arial" w:hAnsi="Arial"/>
          <w:sz w:val="19"/>
          <w:szCs w:val="19"/>
          <w:color w:val="auto"/>
        </w:rPr>
      </w:pPr>
    </w:p>
    <w:p>
      <w:pPr>
        <w:ind w:firstLine="8"/>
        <w:spacing w:after="0" w:line="247" w:lineRule="auto"/>
        <w:tabs>
          <w:tab w:leader="none" w:pos="81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The Option is not transferable by the Participant other than to a designated beneficiary upon the Participant's death or by will or the laws of descent and distribution or pursuant to a qualified domestic relations order as defined by Applicable Laws, and otherwise shall be exercisable during the Participant's lifetime only by him or her unless the Board allows transfer to a Permitted Transferee. No assignment or transfer of the Option,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Option will terminate and become of no further effect.</w:t>
      </w:r>
    </w:p>
    <w:p>
      <w:pPr>
        <w:spacing w:after="0" w:line="178" w:lineRule="exact"/>
        <w:rPr>
          <w:sz w:val="20"/>
          <w:szCs w:val="20"/>
          <w:color w:val="auto"/>
        </w:rPr>
      </w:pPr>
    </w:p>
    <w:p>
      <w:pPr>
        <w:ind w:right="140" w:firstLine="407"/>
        <w:spacing w:after="0" w:line="251" w:lineRule="auto"/>
        <w:rPr>
          <w:sz w:val="20"/>
          <w:szCs w:val="20"/>
          <w:color w:val="auto"/>
        </w:rPr>
      </w:pPr>
      <w:r>
        <w:rPr>
          <w:rFonts w:ascii="Arial" w:cs="Arial" w:eastAsia="Arial" w:hAnsi="Arial"/>
          <w:sz w:val="22"/>
          <w:szCs w:val="22"/>
          <w:color w:val="auto"/>
        </w:rPr>
        <w:t>In addition, the Ordinary Shares acquired by the Participant pursuant to the exercise of the Option granted hereby shall not be transferred by the Participant except as permitted by the Shareholders Agreement.</w:t>
      </w:r>
    </w:p>
    <w:p>
      <w:pPr>
        <w:spacing w:after="0" w:line="254" w:lineRule="exact"/>
        <w:rPr>
          <w:sz w:val="20"/>
          <w:szCs w:val="20"/>
          <w:color w:val="auto"/>
        </w:rPr>
      </w:pPr>
    </w:p>
    <w:p>
      <w:pPr>
        <w:ind w:right="40" w:firstLine="8"/>
        <w:spacing w:after="0" w:line="251" w:lineRule="auto"/>
        <w:tabs>
          <w:tab w:leader="none" w:pos="81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Corporate Transactions and Adjustments</w:t>
      </w:r>
      <w:r>
        <w:rPr>
          <w:rFonts w:ascii="Arial" w:cs="Arial" w:eastAsia="Arial" w:hAnsi="Arial"/>
          <w:sz w:val="22"/>
          <w:szCs w:val="22"/>
          <w:color w:val="auto"/>
        </w:rPr>
        <w:t>. The Ordinary Shares subject to the Option may be adjusted or terminated in any manner as contemplated by Sections 11 and 12 of the Plan.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53" w:name="page154"/>
    <w:bookmarkEnd w:id="153"/>
    <w:p>
      <w:pPr>
        <w:ind w:right="40" w:firstLine="8"/>
        <w:spacing w:after="0" w:line="279" w:lineRule="auto"/>
        <w:tabs>
          <w:tab w:leader="none" w:pos="81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Tax Liability and Withholding</w:t>
      </w:r>
      <w:r>
        <w:rPr>
          <w:rFonts w:ascii="Arial" w:cs="Arial" w:eastAsia="Arial" w:hAnsi="Arial"/>
          <w:sz w:val="19"/>
          <w:szCs w:val="19"/>
          <w:color w:val="auto"/>
        </w:rPr>
        <w:t>. Notwithstanding any action the Company takes with respect to any or all income tax, social insurance, social security contributions (including National Insurance Contributions), payroll tax, or other tax-related withholding (“</w:t>
      </w:r>
      <w:r>
        <w:rPr>
          <w:rFonts w:ascii="Arial" w:cs="Arial" w:eastAsia="Arial" w:hAnsi="Arial"/>
          <w:sz w:val="19"/>
          <w:szCs w:val="19"/>
          <w:u w:val="single" w:color="auto"/>
          <w:color w:val="auto"/>
        </w:rPr>
        <w:t>Tax-Related Items</w:t>
      </w:r>
      <w:r>
        <w:rPr>
          <w:rFonts w:ascii="Arial" w:cs="Arial" w:eastAsia="Arial" w:hAnsi="Arial"/>
          <w:sz w:val="19"/>
          <w:szCs w:val="19"/>
          <w:color w:val="auto"/>
        </w:rPr>
        <w:t>”), the ultimate liability for all Tax-Related Items is and remains the Participant's responsibility and the Company (a) makes no representation or undertakings regarding the treatment of any Tax-Related Items in connection with the grant, vesting, or exercise of the Option or the subsequent sale of any shares acquired on exercise; and (b) does not commit to structure the Option to reduce or eliminate the Participant's liability for Tax-Related Items.</w:t>
      </w:r>
    </w:p>
    <w:p>
      <w:pPr>
        <w:spacing w:after="0" w:line="151" w:lineRule="exact"/>
        <w:rPr>
          <w:sz w:val="20"/>
          <w:szCs w:val="20"/>
          <w:color w:val="auto"/>
        </w:rPr>
      </w:pPr>
    </w:p>
    <w:p>
      <w:pPr>
        <w:ind w:firstLine="407"/>
        <w:spacing w:after="0" w:line="236" w:lineRule="auto"/>
        <w:rPr>
          <w:sz w:val="20"/>
          <w:szCs w:val="20"/>
          <w:color w:val="auto"/>
        </w:rPr>
      </w:pPr>
      <w:r>
        <w:rPr>
          <w:rFonts w:ascii="Arial" w:cs="Arial" w:eastAsia="Arial" w:hAnsi="Arial"/>
          <w:sz w:val="22"/>
          <w:szCs w:val="22"/>
          <w:color w:val="auto"/>
        </w:rPr>
        <w:t>The Company may, at its discretion and to the extent permitted by law, require the Participant to pay all or such part as the Company specifies of any secondary (employer) National Insurance Contributions arising in relation to the Option. The Participant Company may require the Participant to execute a document to bind himself or herself to make such payment and if so it shall be a condition of Vesting and exercise of the Option that the executed document is returned to the Company by such date as the Company specifies.</w:t>
      </w:r>
    </w:p>
    <w:p>
      <w:pPr>
        <w:spacing w:after="0" w:line="269" w:lineRule="exact"/>
        <w:rPr>
          <w:sz w:val="20"/>
          <w:szCs w:val="20"/>
          <w:color w:val="auto"/>
        </w:rPr>
      </w:pPr>
    </w:p>
    <w:p>
      <w:pPr>
        <w:ind w:right="140" w:firstLine="8"/>
        <w:spacing w:after="0" w:line="235" w:lineRule="auto"/>
        <w:tabs>
          <w:tab w:leader="none" w:pos="81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Compliance with Law</w:t>
      </w:r>
      <w:r>
        <w:rPr>
          <w:rFonts w:ascii="Arial" w:cs="Arial" w:eastAsia="Arial" w:hAnsi="Arial"/>
          <w:sz w:val="22"/>
          <w:szCs w:val="22"/>
          <w:color w:val="auto"/>
        </w:rPr>
        <w:t>. The exercise of the Option and the issuance and transfer of Ordinary Shares shall be subject to compliance by the Company and the Participant with all Applicable Laws. No Ordinary Shares shall be issued pursuant to this Option unless and until any then Applicable Laws have been fully complied with to the satisfaction of the Company and its counsel. The Participant understands that the Company is under no obligation to register the Ordinary Shares with the U.S. Securities and Exchange Commission, any state securities commission or any stock exchange or under any other Applicable Laws to effect such compliance.</w:t>
      </w:r>
    </w:p>
    <w:p>
      <w:pPr>
        <w:spacing w:after="0" w:line="256" w:lineRule="exact"/>
        <w:rPr>
          <w:rFonts w:ascii="Arial" w:cs="Arial" w:eastAsia="Arial" w:hAnsi="Arial"/>
          <w:sz w:val="22"/>
          <w:szCs w:val="22"/>
          <w:color w:val="auto"/>
        </w:rPr>
      </w:pPr>
    </w:p>
    <w:p>
      <w:pPr>
        <w:ind w:right="20" w:firstLine="8"/>
        <w:spacing w:after="0" w:line="234" w:lineRule="auto"/>
        <w:tabs>
          <w:tab w:leader="none" w:pos="918"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construed and interpreted in accordance with the applicable laws of the Republic of Singapore and any other Applicable Laws, without giving effect to the conflict of law principles thereof. For the purpose of litigating any dispute that arises under this Agreement, if the Participant is a tax resident of the United States the parties hereby consent to exclusive jurisdiction in the Commonwealth of Massachusetts and agree that such litigation shall be conducted in the state courts of Middlesex County, Massachusetts or the federal courts of the United States for the District of Massachusetts and if the Participant is a resident of any other country the parties consent to the exclusive jurisdiction in the country in which such Participant resides.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18" w:right="259" w:bottom="1440" w:gutter="0" w:footer="0" w:header="0"/>
        </w:sectPr>
      </w:pPr>
    </w:p>
    <w:bookmarkStart w:id="154" w:name="page155"/>
    <w:bookmarkEnd w:id="154"/>
    <w:p>
      <w:pPr>
        <w:ind w:left="-8" w:firstLine="8"/>
        <w:spacing w:after="0" w:line="244" w:lineRule="auto"/>
        <w:tabs>
          <w:tab w:leader="none" w:pos="902"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Lock-Up Agreement</w:t>
      </w:r>
      <w:r>
        <w:rPr>
          <w:rFonts w:ascii="Arial" w:cs="Arial" w:eastAsia="Arial" w:hAnsi="Arial"/>
          <w:sz w:val="21"/>
          <w:szCs w:val="21"/>
          <w:color w:val="auto"/>
        </w:rPr>
        <w:t>. The Participant agrees that in the event the Company proposes to offer for sale to the public any of its equity securities and such Participant is requested by the Company and any underwriter engaged by the Company in connection with such offering to sign an agreement restricting the sale or other transfer of shares, then it will promptly sign such agreement and will not transfer, whether in privately negotiated transactions or to the public in open market transactions or otherwise, any Ordinary Shares or other securities of the Company held by the Participant during such period as is determined by the Company and the underwriters, not to exceed 180 days following the closing of the offering, plus such additional period of time as may be required to comply with NASD Rule 2711 or similar rules thereto (such period, the “Lock-Up Period”). Such agreement shall be in writing and in form and substance reasonably satisfactory to the Company and such underwriter and pursuant to customary and prevailing terms and conditions. Notwithstanding whether the Participant has signed such an agreement, the Company may impose stop-transfer instructions with respect to the Shares or other securities of the Company subject to the foregoing restrictions until the end of the Lock-Up Period.</w:t>
      </w:r>
    </w:p>
    <w:p>
      <w:pPr>
        <w:spacing w:after="0" w:line="270" w:lineRule="exact"/>
        <w:rPr>
          <w:rFonts w:ascii="Arial" w:cs="Arial" w:eastAsia="Arial" w:hAnsi="Arial"/>
          <w:sz w:val="21"/>
          <w:szCs w:val="21"/>
          <w:color w:val="auto"/>
        </w:rPr>
      </w:pPr>
    </w:p>
    <w:p>
      <w:pPr>
        <w:ind w:left="-8" w:right="340" w:firstLine="8"/>
        <w:spacing w:after="0"/>
        <w:tabs>
          <w:tab w:leader="none" w:pos="91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Agreement shall be submitted by the Participant or the Company to the Committee for review. The resolution of such dispute by the Committee shall be final and binding on the Participant and the Company.</w:t>
      </w:r>
    </w:p>
    <w:p>
      <w:pPr>
        <w:spacing w:after="0" w:line="253" w:lineRule="exact"/>
        <w:rPr>
          <w:rFonts w:ascii="Arial" w:cs="Arial" w:eastAsia="Arial" w:hAnsi="Arial"/>
          <w:sz w:val="22"/>
          <w:szCs w:val="22"/>
          <w:color w:val="auto"/>
        </w:rPr>
      </w:pPr>
    </w:p>
    <w:p>
      <w:pPr>
        <w:jc w:val="both"/>
        <w:ind w:left="-8" w:right="80" w:firstLine="8"/>
        <w:spacing w:after="0" w:line="238" w:lineRule="auto"/>
        <w:tabs>
          <w:tab w:leader="none" w:pos="91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Options Subject to Plan</w:t>
      </w:r>
      <w:r>
        <w:rPr>
          <w:rFonts w:ascii="Arial" w:cs="Arial" w:eastAsia="Arial" w:hAnsi="Arial"/>
          <w:sz w:val="22"/>
          <w:szCs w:val="22"/>
          <w:color w:val="auto"/>
        </w:rPr>
        <w:t>.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252" w:lineRule="exact"/>
        <w:rPr>
          <w:rFonts w:ascii="Arial" w:cs="Arial" w:eastAsia="Arial" w:hAnsi="Arial"/>
          <w:sz w:val="22"/>
          <w:szCs w:val="22"/>
          <w:color w:val="auto"/>
        </w:rPr>
      </w:pPr>
    </w:p>
    <w:p>
      <w:pPr>
        <w:ind w:left="-8" w:right="120" w:firstLine="8"/>
        <w:spacing w:after="0" w:line="287" w:lineRule="auto"/>
        <w:tabs>
          <w:tab w:leader="none" w:pos="91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this Agreement may be transferred by will or the laws of descent or distribution.</w:t>
      </w:r>
    </w:p>
    <w:p>
      <w:pPr>
        <w:spacing w:after="0" w:line="224" w:lineRule="exact"/>
        <w:rPr>
          <w:rFonts w:ascii="Arial" w:cs="Arial" w:eastAsia="Arial" w:hAnsi="Arial"/>
          <w:sz w:val="19"/>
          <w:szCs w:val="19"/>
          <w:color w:val="auto"/>
        </w:rPr>
      </w:pPr>
    </w:p>
    <w:p>
      <w:pPr>
        <w:ind w:left="-8" w:right="200" w:firstLine="8"/>
        <w:spacing w:after="0"/>
        <w:tabs>
          <w:tab w:leader="none" w:pos="91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253" w:lineRule="exact"/>
        <w:rPr>
          <w:rFonts w:ascii="Arial" w:cs="Arial" w:eastAsia="Arial" w:hAnsi="Arial"/>
          <w:sz w:val="22"/>
          <w:szCs w:val="22"/>
          <w:color w:val="auto"/>
        </w:rPr>
      </w:pPr>
    </w:p>
    <w:p>
      <w:pPr>
        <w:ind w:left="-8" w:firstLine="8"/>
        <w:spacing w:after="0" w:line="236" w:lineRule="auto"/>
        <w:tabs>
          <w:tab w:leader="none" w:pos="91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Discretionary Nature of Plan</w:t>
      </w:r>
      <w:r>
        <w:rPr>
          <w:rFonts w:ascii="Arial" w:cs="Arial" w:eastAsia="Arial" w:hAnsi="Arial"/>
          <w:sz w:val="22"/>
          <w:szCs w:val="22"/>
          <w:color w:val="auto"/>
        </w:rPr>
        <w:t>. The Plan is discretionary and may be amended, cancelled or terminated by the Company at any time, in its discretion. The grant of the Option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132080</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618" w:right="259" w:bottom="1440" w:gutter="0" w:footer="0" w:header="0"/>
        </w:sectPr>
      </w:pPr>
    </w:p>
    <w:bookmarkStart w:id="155" w:name="page156"/>
    <w:bookmarkEnd w:id="155"/>
    <w:p>
      <w:pPr>
        <w:ind w:firstLine="8"/>
        <w:spacing w:after="0" w:line="276" w:lineRule="auto"/>
        <w:tabs>
          <w:tab w:leader="none" w:pos="91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The Committee has the right to amend, alter, suspend, discontinue or cancel the Option, prospectively or retroactively; </w:t>
      </w:r>
      <w:r>
        <w:rPr>
          <w:rFonts w:ascii="Arial" w:cs="Arial" w:eastAsia="Arial" w:hAnsi="Arial"/>
          <w:sz w:val="19"/>
          <w:szCs w:val="19"/>
          <w:i w:val="1"/>
          <w:iCs w:val="1"/>
          <w:color w:val="auto"/>
        </w:rPr>
        <w:t>provided, that</w:t>
      </w:r>
      <w:r>
        <w:rPr>
          <w:rFonts w:ascii="Arial" w:cs="Arial" w:eastAsia="Arial" w:hAnsi="Arial"/>
          <w:sz w:val="19"/>
          <w:szCs w:val="19"/>
          <w:color w:val="auto"/>
        </w:rPr>
        <w:t>, no such amendment shall adversely affect the Participant's material rights under this Agreement unless</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 the Company requests the consent of the Participant; and (b) the Participant consents in writing.</w:t>
      </w:r>
    </w:p>
    <w:p>
      <w:pPr>
        <w:spacing w:after="0" w:line="269" w:lineRule="exact"/>
        <w:rPr>
          <w:rFonts w:ascii="Arial" w:cs="Arial" w:eastAsia="Arial" w:hAnsi="Arial"/>
          <w:sz w:val="19"/>
          <w:szCs w:val="19"/>
          <w:color w:val="auto"/>
        </w:rPr>
      </w:pPr>
    </w:p>
    <w:p>
      <w:pPr>
        <w:ind w:right="940" w:firstLine="8"/>
        <w:spacing w:after="0" w:line="328" w:lineRule="auto"/>
        <w:tabs>
          <w:tab w:leader="none" w:pos="91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No Impact on Other Benefits</w:t>
      </w:r>
      <w:r>
        <w:rPr>
          <w:rFonts w:ascii="Arial" w:cs="Arial" w:eastAsia="Arial" w:hAnsi="Arial"/>
          <w:sz w:val="19"/>
          <w:szCs w:val="19"/>
          <w:color w:val="auto"/>
        </w:rPr>
        <w:t>. The value of the Participant's Option is not part of his or her normal or expected compensation for purposes of calculating any severance, retirement, welfare, insurance or similar employee benefit.</w:t>
      </w:r>
    </w:p>
    <w:p>
      <w:pPr>
        <w:spacing w:after="0" w:line="172" w:lineRule="exact"/>
        <w:rPr>
          <w:rFonts w:ascii="Arial" w:cs="Arial" w:eastAsia="Arial" w:hAnsi="Arial"/>
          <w:sz w:val="19"/>
          <w:szCs w:val="19"/>
          <w:color w:val="auto"/>
        </w:rPr>
      </w:pPr>
    </w:p>
    <w:p>
      <w:pPr>
        <w:ind w:right="20" w:firstLine="8"/>
        <w:spacing w:after="0" w:line="247" w:lineRule="auto"/>
        <w:tabs>
          <w:tab w:leader="none" w:pos="918"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Data Privacy</w:t>
      </w:r>
      <w:r>
        <w:rPr>
          <w:rFonts w:ascii="Arial" w:cs="Arial" w:eastAsia="Arial" w:hAnsi="Arial"/>
          <w:sz w:val="21"/>
          <w:szCs w:val="21"/>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and any agent of the Company or any Affiliate administering the Plan or providing Plan recordkeeping services to store, process and transmit such information or data in electronic form for the purposes set forth in this Agreement and (iii) authorizes the transfer or processing of such information and data outside the European Economic Area.</w:t>
      </w:r>
    </w:p>
    <w:p>
      <w:pPr>
        <w:spacing w:after="0" w:line="245" w:lineRule="exact"/>
        <w:rPr>
          <w:rFonts w:ascii="Arial" w:cs="Arial" w:eastAsia="Arial" w:hAnsi="Arial"/>
          <w:sz w:val="21"/>
          <w:szCs w:val="21"/>
          <w:color w:val="auto"/>
        </w:rPr>
      </w:pPr>
    </w:p>
    <w:p>
      <w:pPr>
        <w:ind w:right="20" w:firstLine="8"/>
        <w:spacing w:after="0" w:line="236" w:lineRule="auto"/>
        <w:tabs>
          <w:tab w:leader="none" w:pos="91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68" w:lineRule="exact"/>
        <w:rPr>
          <w:rFonts w:ascii="Arial" w:cs="Arial" w:eastAsia="Arial" w:hAnsi="Arial"/>
          <w:sz w:val="22"/>
          <w:szCs w:val="22"/>
          <w:color w:val="auto"/>
        </w:rPr>
      </w:pPr>
    </w:p>
    <w:p>
      <w:pPr>
        <w:ind w:right="100" w:firstLine="8"/>
        <w:spacing w:after="0" w:line="249" w:lineRule="auto"/>
        <w:tabs>
          <w:tab w:leader="none" w:pos="918"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Acceptance</w:t>
      </w:r>
      <w:r>
        <w:rPr>
          <w:rFonts w:ascii="Arial" w:cs="Arial" w:eastAsia="Arial" w:hAnsi="Arial"/>
          <w:sz w:val="21"/>
          <w:szCs w:val="21"/>
          <w:color w:val="auto"/>
        </w:rPr>
        <w:t>. The Participant hereby acknowledges receipt of a copy of the Plan and this Agreement. The Participant has read and understands the terms and provisions thereof, and accepts the Option subject to all of the terms and conditions of the Plan and this Agreement, including the restrictions contained in the Shareholders’ Agreement. The Participant acknowledges that there may be adverse tax consequences upon exercise of the Option or disposition of the underlying shares and that the Participant should consult a tax advisor prior to such exercise or disposition.</w:t>
      </w:r>
    </w:p>
    <w:p>
      <w:pPr>
        <w:spacing w:after="0" w:line="246" w:lineRule="exact"/>
        <w:rPr>
          <w:rFonts w:ascii="Arial" w:cs="Arial" w:eastAsia="Arial" w:hAnsi="Arial"/>
          <w:sz w:val="21"/>
          <w:szCs w:val="21"/>
          <w:color w:val="auto"/>
        </w:rPr>
      </w:pPr>
    </w:p>
    <w:p>
      <w:pPr>
        <w:ind w:right="140" w:firstLine="8"/>
        <w:spacing w:after="0"/>
        <w:tabs>
          <w:tab w:leader="none" w:pos="91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Contracts (Rights of Third Parties) Act.</w:t>
      </w:r>
      <w:r>
        <w:rPr>
          <w:rFonts w:ascii="Arial" w:cs="Arial" w:eastAsia="Arial" w:hAnsi="Arial"/>
          <w:sz w:val="22"/>
          <w:szCs w:val="22"/>
          <w:color w:val="auto"/>
        </w:rPr>
        <w:t xml:space="preserve"> Except as provided in the Plan, no person other than the Company (or its subsidiaries) or a Participant shall have any right to enforce any provision of the Plan or this Agreement by virtue of the Contracts (Rights of Third Parties) Act (Chapter 53B of Singapore).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618" w:right="25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Wave Life Sciences Ltd.:</w:t>
      </w:r>
    </w:p>
    <w:p>
      <w:pPr>
        <w:spacing w:after="0" w:line="2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333-208598, 333-221480, and 333-228308) on Form S-8 and (No. 333-215428) on Form S-3, as amended, of Wave Life Sciences Ltd., of our reports dated March 1, 2019, with respect to the consolidated balance sheets of Wave Life Sciences Ltd. as of December 31, 2018 and 2017, the related consolidated statements of operations and comprehensive loss, Series A preferred shares and shareholders’ equity, and cash flows for each of the years in the three-year period ended December 31, 2018, and the related notes, and the effectiveness of internal control over financial reporting as of December 31, 2018, which reports appear in the December 31, 2018 annual report on Form 10-K of Wave Life Sciences Ltd.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ectPr>
          <w:pgSz w:w="11900" w:h="16838" w:orient="portrait"/>
          <w:cols w:equalWidth="0" w:num="1">
            <w:col w:w="11420"/>
          </w:cols>
          <w:pgMar w:left="240" w:top="337"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B. Bolno, M.D., certify that:</w:t>
      </w:r>
    </w:p>
    <w:p>
      <w:pPr>
        <w:spacing w:after="0" w:line="117" w:lineRule="exact"/>
        <w:rPr>
          <w:sz w:val="20"/>
          <w:szCs w:val="20"/>
          <w:color w:val="auto"/>
        </w:rPr>
      </w:pPr>
    </w:p>
    <w:p>
      <w:pPr>
        <w:ind w:left="520" w:hanging="512"/>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Wave Life Sciences Ltd.;</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Paul B. Bolno,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420"/>
          </w:cols>
          <w:pgMar w:left="240" w:top="337"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 Regnante, certify that:</w:t>
      </w:r>
    </w:p>
    <w:p>
      <w:pPr>
        <w:spacing w:after="0" w:line="117"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Wave Life Sciences Ltd.;</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40" w:right="220" w:hanging="519"/>
        <w:spacing w:after="0" w:line="264" w:lineRule="auto"/>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120" w:hanging="519"/>
        <w:spacing w:after="0" w:line="308" w:lineRule="auto"/>
        <w:tabs>
          <w:tab w:leader="none" w:pos="10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Keith C. Regnante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Keith C. Regnante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ectPr>
          <w:pgSz w:w="11900" w:h="16838" w:orient="portrait"/>
          <w:cols w:equalWidth="0" w:num="1">
            <w:col w:w="11420"/>
          </w:cols>
          <w:pgMar w:left="240" w:top="338"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In connection with the Annual Report of Wave Life Sciences Ltd. (the “Company”) on Form 10-K for the fiscal year ended December 31, 2018, as filed with the Securities and Exchange Commission on the date hereof (the “Report”), each of the undersigned officers of the Company hereby certify, pursuant to 18 U.S.C. Section 1350, as adopted pursuant to Section 906 of the Sarbanes-Oxley Act of 2002, that to the best of such officer’s knowledge:</w:t>
      </w:r>
    </w:p>
    <w:p>
      <w:pPr>
        <w:spacing w:after="0" w:line="39" w:lineRule="exact"/>
        <w:rPr>
          <w:sz w:val="20"/>
          <w:szCs w:val="20"/>
          <w:color w:val="auto"/>
        </w:rPr>
      </w:pPr>
    </w:p>
    <w:p>
      <w:pPr>
        <w:ind w:left="520" w:hanging="512"/>
        <w:spacing w:after="0"/>
        <w:tabs>
          <w:tab w:leader="none" w:pos="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Paul B. Bolno, M.D.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Keith C. Regnante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Keith C. Regnante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 officer</w:t>
      </w:r>
      <w:r>
        <w:rPr>
          <w:rFonts w:ascii="Arial" w:cs="Arial" w:eastAsia="Arial" w:hAnsi="Arial"/>
          <w:sz w:val="18"/>
          <w:szCs w:val="18"/>
          <w:color w:val="auto"/>
        </w:rPr>
        <w:t>)</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Wave Life Sciences Ltd.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1)"/>
      <w:numFmt w:val="decimal"/>
      <w:start w:val="3"/>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1)"/>
      <w:numFmt w:val="lowerRoman"/>
      <w:start w:val="4"/>
    </w:lvl>
  </w:abstractNum>
  <w:abstractNum w:abstractNumId="35">
    <w:nsid w:val="4AD084E9"/>
    <w:multiLevelType w:val="hybridMultilevel"/>
    <w:lvl w:ilvl="0">
      <w:lvlJc w:val="left"/>
      <w:lvlText w:val="(%1)"/>
      <w:numFmt w:val="decimal"/>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1)"/>
      <w:numFmt w:val="lowerLetter"/>
      <w:start w:val="1"/>
    </w:lvl>
    <w:lvl w:ilvl="1">
      <w:lvlJc w:val="left"/>
      <w:lvlText w:val="%2."/>
      <w:numFmt w:val="decimal"/>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8"/>
    </w:lvl>
  </w:abstractNum>
  <w:abstractNum w:abstractNumId="59">
    <w:nsid w:val="8F2B15E"/>
    <w:multiLevelType w:val="hybridMultilevel"/>
    <w:lvl w:ilvl="0">
      <w:lvlJc w:val="left"/>
      <w:lvlText w:val="•"/>
      <w:numFmt w:val="bullet"/>
      <w:start w:val="1"/>
    </w:lvl>
  </w:abstractNum>
  <w:abstractNum w:abstractNumId="60">
    <w:nsid w:val="1A32234B"/>
    <w:multiLevelType w:val="hybridMultilevel"/>
    <w:lvl w:ilvl="0">
      <w:lvlJc w:val="left"/>
      <w:lvlText w:val="%1."/>
      <w:numFmt w:val="upperLetter"/>
      <w:start w:val="1"/>
    </w:lvl>
  </w:abstractNum>
  <w:abstractNum w:abstractNumId="61">
    <w:nsid w:val="3B0FD379"/>
    <w:multiLevelType w:val="hybridMultilevel"/>
    <w:lvl w:ilvl="0">
      <w:lvlJc w:val="left"/>
      <w:lvlText w:val="%1."/>
      <w:numFmt w:val="upperLetter"/>
      <w:start w:val="4"/>
    </w:lvl>
  </w:abstractNum>
  <w:abstractNum w:abstractNumId="62">
    <w:nsid w:val="68EB2F63"/>
    <w:multiLevelType w:val="hybridMultilevel"/>
    <w:lvl w:ilvl="0">
      <w:lvlJc w:val="left"/>
      <w:lvlText w:val="%1."/>
      <w:numFmt w:val="decimal"/>
      <w:start w:val="1"/>
    </w:lvl>
  </w:abstractNum>
  <w:abstractNum w:abstractNumId="63">
    <w:nsid w:val="4962813B"/>
    <w:multiLevelType w:val="hybridMultilevel"/>
    <w:lvl w:ilvl="0">
      <w:lvlJc w:val="left"/>
      <w:lvlText w:val="%1."/>
      <w:numFmt w:val="decimal"/>
      <w:start w:val="2"/>
    </w:lvl>
  </w:abstractNum>
  <w:abstractNum w:abstractNumId="64">
    <w:nsid w:val="60B6DF70"/>
    <w:multiLevelType w:val="hybridMultilevel"/>
    <w:lvl w:ilvl="0">
      <w:lvlJc w:val="left"/>
      <w:lvlText w:val="%1."/>
      <w:numFmt w:val="decimal"/>
      <w:start w:val="3"/>
    </w:lvl>
  </w:abstractNum>
  <w:abstractNum w:abstractNumId="65">
    <w:nsid w:val="6A5EE64"/>
    <w:multiLevelType w:val="hybridMultilevel"/>
    <w:lvl w:ilvl="0">
      <w:lvlJc w:val="left"/>
      <w:lvlText w:val="%1."/>
      <w:numFmt w:val="decimal"/>
      <w:start w:val="4"/>
    </w:lvl>
  </w:abstractNum>
  <w:abstractNum w:abstractNumId="66">
    <w:nsid w:val="14330624"/>
    <w:multiLevelType w:val="hybridMultilevel"/>
    <w:lvl w:ilvl="0">
      <w:lvlJc w:val="left"/>
      <w:lvlText w:val="%1."/>
      <w:numFmt w:val="decimal"/>
      <w:start w:val="5"/>
    </w:lvl>
    <w:lvl w:ilvl="1">
      <w:lvlJc w:val="left"/>
      <w:lvlText w:val="(%2)"/>
      <w:numFmt w:val="lowerLetter"/>
      <w:start w:val="1"/>
    </w:lvl>
  </w:abstractNum>
  <w:abstractNum w:abstractNumId="67">
    <w:nsid w:val="7FFFCA11"/>
    <w:multiLevelType w:val="hybridMultilevel"/>
    <w:lvl w:ilvl="0">
      <w:lvlJc w:val="left"/>
      <w:lvlText w:val="%1."/>
      <w:numFmt w:val="decimal"/>
      <w:start w:val="7"/>
    </w:lvl>
  </w:abstractNum>
  <w:abstractNum w:abstractNumId="68">
    <w:nsid w:val="1A27709E"/>
    <w:multiLevelType w:val="hybridMultilevel"/>
    <w:lvl w:ilvl="0">
      <w:lvlJc w:val="left"/>
      <w:lvlText w:val="%1."/>
      <w:numFmt w:val="decimal"/>
      <w:start w:val="8"/>
    </w:lvl>
  </w:abstractNum>
  <w:abstractNum w:abstractNumId="69">
    <w:nsid w:val="71EA1109"/>
    <w:multiLevelType w:val="hybridMultilevel"/>
    <w:lvl w:ilvl="0">
      <w:lvlJc w:val="left"/>
      <w:lvlText w:val="%1."/>
      <w:numFmt w:val="decimal"/>
      <w:start w:val="10"/>
    </w:lvl>
  </w:abstractNum>
  <w:abstractNum w:abstractNumId="70">
    <w:nsid w:val="100F59DC"/>
    <w:multiLevelType w:val="hybridMultilevel"/>
    <w:lvl w:ilvl="0">
      <w:lvlJc w:val="left"/>
      <w:lvlText w:val="%1."/>
      <w:numFmt w:val="decimal"/>
      <w:start w:val="13"/>
    </w:lvl>
  </w:abstractNum>
  <w:abstractNum w:abstractNumId="71">
    <w:nsid w:val="7FB7E0AA"/>
    <w:multiLevelType w:val="hybridMultilevel"/>
    <w:lvl w:ilvl="0">
      <w:lvlJc w:val="left"/>
      <w:lvlText w:val="%1."/>
      <w:numFmt w:val="decimal"/>
      <w:start w:val="19"/>
    </w:lvl>
  </w:abstractNum>
  <w:abstractNum w:abstractNumId="72">
    <w:nsid w:val="6EB5BD4"/>
    <w:multiLevelType w:val="hybridMultilevel"/>
    <w:lvl w:ilvl="0">
      <w:lvlJc w:val="left"/>
      <w:lvlText w:val="%1."/>
      <w:numFmt w:val="decimal"/>
      <w:start w:val="22"/>
    </w:lvl>
  </w:abstractNum>
  <w:abstractNum w:abstractNumId="73">
    <w:nsid w:val="6F6DD9AC"/>
    <w:multiLevelType w:val="hybridMultilevel"/>
    <w:lvl w:ilvl="0">
      <w:lvlJc w:val="left"/>
      <w:lvlText w:val="%1."/>
      <w:numFmt w:val="upperLetter"/>
      <w:start w:val="1"/>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4"/>
    </w:lvl>
  </w:abstractNum>
  <w:abstractNum w:abstractNumId="76">
    <w:nsid w:val="76272110"/>
    <w:multiLevelType w:val="hybridMultilevel"/>
    <w:lvl w:ilvl="0">
      <w:lvlJc w:val="left"/>
      <w:lvlText w:val="%1."/>
      <w:numFmt w:val="decimal"/>
      <w:start w:val="5"/>
    </w:lvl>
  </w:abstractNum>
  <w:abstractNum w:abstractNumId="77">
    <w:nsid w:val="4C04A8AF"/>
    <w:multiLevelType w:val="hybridMultilevel"/>
    <w:lvl w:ilvl="0">
      <w:lvlJc w:val="left"/>
      <w:lvlText w:val="%1."/>
      <w:numFmt w:val="decimal"/>
      <w:start w:val="6"/>
    </w:lvl>
  </w:abstractNum>
  <w:abstractNum w:abstractNumId="78">
    <w:nsid w:val="1716703B"/>
    <w:multiLevelType w:val="hybridMultilevel"/>
    <w:lvl w:ilvl="0">
      <w:lvlJc w:val="left"/>
      <w:lvlText w:val="%1."/>
      <w:numFmt w:val="decimal"/>
      <w:start w:val="7"/>
    </w:lvl>
  </w:abstractNum>
  <w:abstractNum w:abstractNumId="79">
    <w:nsid w:val="14E17E33"/>
    <w:multiLevelType w:val="hybridMultilevel"/>
    <w:lvl w:ilvl="0">
      <w:lvlJc w:val="left"/>
      <w:lvlText w:val="%1."/>
      <w:numFmt w:val="decimal"/>
      <w:start w:val="13"/>
    </w:lvl>
  </w:abstractNum>
  <w:abstractNum w:abstractNumId="80">
    <w:nsid w:val="3222E7CD"/>
    <w:multiLevelType w:val="hybridMultilevel"/>
    <w:lvl w:ilvl="0">
      <w:lvlJc w:val="left"/>
      <w:lvlText w:val="%1."/>
      <w:numFmt w:val="decimal"/>
      <w:start w:val="21"/>
    </w:lvl>
  </w:abstractNum>
  <w:abstractNum w:abstractNumId="81">
    <w:nsid w:val="74DE0EE3"/>
    <w:multiLevelType w:val="hybridMultilevel"/>
    <w:lvl w:ilvl="0">
      <w:lvlJc w:val="left"/>
      <w:lvlText w:val="%1."/>
      <w:numFmt w:val="upperLetter"/>
      <w:start w:val="1"/>
    </w:lvl>
  </w:abstractNum>
  <w:abstractNum w:abstractNumId="82">
    <w:nsid w:val="68EBC550"/>
    <w:multiLevelType w:val="hybridMultilevel"/>
    <w:lvl w:ilvl="0">
      <w:lvlJc w:val="left"/>
      <w:lvlText w:val="%1."/>
      <w:numFmt w:val="upperLetter"/>
      <w:start w:val="4"/>
    </w:lvl>
  </w:abstractNum>
  <w:abstractNum w:abstractNumId="83">
    <w:nsid w:val="2DF6D648"/>
    <w:multiLevelType w:val="hybridMultilevel"/>
    <w:lvl w:ilvl="0">
      <w:lvlJc w:val="left"/>
      <w:lvlText w:val="%1."/>
      <w:numFmt w:val="decimal"/>
      <w:start w:val="1"/>
    </w:lvl>
  </w:abstractNum>
  <w:abstractNum w:abstractNumId="84">
    <w:nsid w:val="46B7D447"/>
    <w:multiLevelType w:val="hybridMultilevel"/>
    <w:lvl w:ilvl="0">
      <w:lvlJc w:val="left"/>
      <w:lvlText w:val="%1."/>
      <w:numFmt w:val="decimal"/>
      <w:start w:val="2"/>
    </w:lvl>
  </w:abstractNum>
  <w:abstractNum w:abstractNumId="85">
    <w:nsid w:val="4A2AC315"/>
    <w:multiLevelType w:val="hybridMultilevel"/>
    <w:lvl w:ilvl="0">
      <w:lvlJc w:val="left"/>
      <w:lvlText w:val="%1."/>
      <w:numFmt w:val="decimal"/>
      <w:start w:val="3"/>
    </w:lvl>
  </w:abstractNum>
  <w:abstractNum w:abstractNumId="86">
    <w:nsid w:val="39EE015C"/>
    <w:multiLevelType w:val="hybridMultilevel"/>
    <w:lvl w:ilvl="0">
      <w:lvlJc w:val="left"/>
      <w:lvlText w:val="%1."/>
      <w:numFmt w:val="decimal"/>
      <w:start w:val="4"/>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decimal"/>
      <w:start w:val="5"/>
    </w:lvl>
  </w:abstractNum>
  <w:abstractNum w:abstractNumId="89">
    <w:nsid w:val="43F18422"/>
    <w:multiLevelType w:val="hybridMultilevel"/>
    <w:lvl w:ilvl="0">
      <w:lvlJc w:val="left"/>
      <w:lvlText w:val="%1."/>
      <w:numFmt w:val="decimal"/>
      <w:start w:val="7"/>
    </w:lvl>
  </w:abstractNum>
  <w:abstractNum w:abstractNumId="90">
    <w:nsid w:val="60EF0119"/>
    <w:multiLevelType w:val="hybridMultilevel"/>
    <w:lvl w:ilvl="0">
      <w:lvlJc w:val="left"/>
      <w:lvlText w:val="%1."/>
      <w:numFmt w:val="decimal"/>
      <w:start w:val="8"/>
    </w:lvl>
  </w:abstractNum>
  <w:abstractNum w:abstractNumId="91">
    <w:nsid w:val="26F324BA"/>
    <w:multiLevelType w:val="hybridMultilevel"/>
    <w:lvl w:ilvl="0">
      <w:lvlJc w:val="left"/>
      <w:lvlText w:val="%1."/>
      <w:numFmt w:val="decimal"/>
      <w:start w:val="9"/>
    </w:lvl>
  </w:abstractNum>
  <w:abstractNum w:abstractNumId="92">
    <w:nsid w:val="7F01579B"/>
    <w:multiLevelType w:val="hybridMultilevel"/>
    <w:lvl w:ilvl="0">
      <w:lvlJc w:val="left"/>
      <w:lvlText w:val="%1."/>
      <w:numFmt w:val="decimal"/>
      <w:start w:val="11"/>
    </w:lvl>
  </w:abstractNum>
  <w:abstractNum w:abstractNumId="93">
    <w:nsid w:val="49DA307D"/>
    <w:multiLevelType w:val="hybridMultilevel"/>
    <w:lvl w:ilvl="0">
      <w:lvlJc w:val="left"/>
      <w:lvlText w:val="%1."/>
      <w:numFmt w:val="decimal"/>
      <w:start w:val="17"/>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8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156" Type="http://schemas.openxmlformats.org/officeDocument/2006/relationships/hyperlink" Target="http://www.sec.gov/Archives/edgar/data/1631574/000119312515372814/d42123dex32.htm" TargetMode="External"/><Relationship Id="rId157" Type="http://schemas.openxmlformats.org/officeDocument/2006/relationships/hyperlink" Target="http://www.sec.gov/Archives/edgar/data/1631574/000119312515370294/d42123dex41.htm" TargetMode="External"/><Relationship Id="rId158" Type="http://schemas.openxmlformats.org/officeDocument/2006/relationships/hyperlink" Target="http://www.sec.gov/Archives/edgar/data/1631574/000119312515341447/d42123dex42.htm" TargetMode="External"/><Relationship Id="rId159" Type="http://schemas.openxmlformats.org/officeDocument/2006/relationships/hyperlink" Target="http://www.sec.gov/Archives/edgar/data/1631574/000156459018028757/wve-ex102_667.htm" TargetMode="External"/><Relationship Id="rId160" Type="http://schemas.openxmlformats.org/officeDocument/2006/relationships/hyperlink" Target="http://www.sec.gov/Archives/edgar/data/1631574/000119312516682053/d207833dex102.htm" TargetMode="External"/><Relationship Id="rId161" Type="http://schemas.openxmlformats.org/officeDocument/2006/relationships/hyperlink" Target="http://www.sec.gov/Archives/edgar/data/1631574/000119312515341447/d42123dex102.htm" TargetMode="External"/><Relationship Id="rId162" Type="http://schemas.openxmlformats.org/officeDocument/2006/relationships/hyperlink" Target="http://www.sec.gov/Archives/edgar/data/1631574/000119312515341447/d42123dex104.htm" TargetMode="External"/><Relationship Id="rId163" Type="http://schemas.openxmlformats.org/officeDocument/2006/relationships/hyperlink" Target="http://www.sec.gov/Archives/edgar/data/1631574/000119312515341447/d42123dex103.htm" TargetMode="External"/><Relationship Id="rId164" Type="http://schemas.openxmlformats.org/officeDocument/2006/relationships/hyperlink" Target="http://www.sec.gov/Archives/edgar/data/1631574/000119312515341447/d42123dex105.htm" TargetMode="External"/><Relationship Id="rId167" Type="http://schemas.openxmlformats.org/officeDocument/2006/relationships/hyperlink" Target="http://www.sec.gov/Archives/edgar/data/1631574/000119312515341447/d42123dex107.htm" TargetMode="External"/><Relationship Id="rId168" Type="http://schemas.openxmlformats.org/officeDocument/2006/relationships/hyperlink" Target="http://www.sec.gov/Archives/edgar/data/1631574/000119312516720779/d261915dex101.htm" TargetMode="External"/><Relationship Id="rId169" Type="http://schemas.openxmlformats.org/officeDocument/2006/relationships/hyperlink" Target="http://www.sec.gov/Archives/edgar/data/1631574/000119312517004500/d287789dex101.htm" TargetMode="External"/><Relationship Id="rId170" Type="http://schemas.openxmlformats.org/officeDocument/2006/relationships/hyperlink" Target="http://www.sec.gov/Archives/edgar/data/1631574/000119312515341447/d42123dex1010.htm" TargetMode="External"/><Relationship Id="rId171" Type="http://schemas.openxmlformats.org/officeDocument/2006/relationships/hyperlink" Target="http://www.sec.gov/Archives/edgar/data/1631574/000119312516682053/d207833dex101.htm" TargetMode="External"/><Relationship Id="rId172" Type="http://schemas.openxmlformats.org/officeDocument/2006/relationships/hyperlink" Target="http://www.sec.gov/Archives/edgar/data/1631574/000156459018005308/wve-ex1092_563.htm" TargetMode="External"/><Relationship Id="rId173" Type="http://schemas.openxmlformats.org/officeDocument/2006/relationships/hyperlink" Target="http://www.sec.gov/Archives/edgar/data/1631574/000156459018012539/wve-ex101_1072.htm" TargetMode="External"/><Relationship Id="rId174" Type="http://schemas.openxmlformats.org/officeDocument/2006/relationships/hyperlink" Target="http://www.sec.gov/Archives/edgar/data/1631574/000156459018012539/wve-ex102_175.htm" TargetMode="External"/><Relationship Id="rId175" Type="http://schemas.openxmlformats.org/officeDocument/2006/relationships/hyperlink" Target="http://www.sec.gov/Archives/edgar/data/1631574/000156459018012539/wve-ex103_176.htm" TargetMode="External"/><Relationship Id="rId176" Type="http://schemas.openxmlformats.org/officeDocument/2006/relationships/hyperlink" Target="http://www.sec.gov/Archives/edgar/data/1631574/000119312515341447/d42123dex1011.htm" TargetMode="External"/><Relationship Id="rId177" Type="http://schemas.openxmlformats.org/officeDocument/2006/relationships/hyperlink" Target="http://www.sec.gov/Archives/edgar/data/1631574/000119312515341447/d42123dex1012.htm" TargetMode="External"/><Relationship Id="rId178" Type="http://schemas.openxmlformats.org/officeDocument/2006/relationships/hyperlink" Target="http://www.sec.gov/Archives/edgar/data/1631574/000119312515341447/d42123dex1014.htm" TargetMode="External"/><Relationship Id="rId179" Type="http://schemas.openxmlformats.org/officeDocument/2006/relationships/hyperlink" Target="http://www.sec.gov/Archives/edgar/data/1631574/000119312515341447/d42123dex1015.htm" TargetMode="External"/><Relationship Id="rId180" Type="http://schemas.openxmlformats.org/officeDocument/2006/relationships/hyperlink" Target="http://www.sec.gov/Archives/edgar/data/1631574/000156459016028710/wve-ex104_180.htm" TargetMode="External"/><Relationship Id="rId181" Type="http://schemas.openxmlformats.org/officeDocument/2006/relationships/hyperlink" Target="http://www.sec.gov/Archives/edgar/data/1631574/000156459016028710/wve-ex105_181.htm" TargetMode="External"/><Relationship Id="rId183" Type="http://schemas.openxmlformats.org/officeDocument/2006/relationships/hyperlink" Target="http://www.sec.gov/Archives/edgar/data/1631574/000119312516765213/d292427dex101.htm" TargetMode="External"/><Relationship Id="rId184" Type="http://schemas.openxmlformats.org/officeDocument/2006/relationships/hyperlink" Target="http://www.sec.gov/Archives/edgar/data/1631574/000119312515341447/d42123dex1016.htm" TargetMode="External"/><Relationship Id="rId185" Type="http://schemas.openxmlformats.org/officeDocument/2006/relationships/hyperlink" Target="http://www.sec.gov/Archives/edgar/data/1631574/000119312515341447/d42123dex1017.htm" TargetMode="External"/><Relationship Id="rId186" Type="http://schemas.openxmlformats.org/officeDocument/2006/relationships/hyperlink" Target="http://www.sec.gov/Archives/edgar/data/1631574/000156459017023225/wve-ex101_97.htm" TargetMode="External"/><Relationship Id="rId187" Type="http://schemas.openxmlformats.org/officeDocument/2006/relationships/hyperlink" Target="http://www.sec.gov/Archives/edgar/data/1631574/000119312515406386/d38525dex101.htm" TargetMode="External"/><Relationship Id="rId188" Type="http://schemas.openxmlformats.org/officeDocument/2006/relationships/hyperlink" Target="http://www.sec.gov/Archives/edgar/data/1631574/000156459017023225/wve-ex102_96.htm" TargetMode="External"/><Relationship Id="rId189" Type="http://schemas.openxmlformats.org/officeDocument/2006/relationships/hyperlink" Target="http://www.sec.gov/Archives/edgar/data/1631574/000156459017023225/wve-ex103_95.htm" TargetMode="External"/><Relationship Id="rId190" Type="http://schemas.openxmlformats.org/officeDocument/2006/relationships/hyperlink" Target="http://www.sec.gov/Archives/edgar/data/1631574/000156459017023225/wve-ex104_94.htm" TargetMode="External"/><Relationship Id="rId191" Type="http://schemas.openxmlformats.org/officeDocument/2006/relationships/hyperlink" Target="http://www.sec.gov/Archives/edgar/data/1631574/000156459017023225/wve-ex105_318.htm" TargetMode="External"/><Relationship Id="rId192" Type="http://schemas.openxmlformats.org/officeDocument/2006/relationships/hyperlink" Target="http://www.sec.gov/Archives/edgar/data/1631574/000156459018005308/wve-ex211_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2019-12-28T14:56:41Z</dcterms:created>
  <dcterms:modified xsi:type="dcterms:W3CDTF">2019-12-28T14:56:41Z</dcterms:modified>
</cp:coreProperties>
</file>