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76835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42545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5" w:lineRule="exact"/>
        <w:rPr>
          <w:sz w:val="24"/>
          <w:szCs w:val="24"/>
          <w:color w:val="auto"/>
        </w:rPr>
      </w:pPr>
    </w:p>
    <w:p>
      <w:pPr>
        <w:ind w:left="4100" w:right="2780" w:hanging="4092"/>
        <w:spacing w:after="0" w:line="325" w:lineRule="auto"/>
        <w:tabs>
          <w:tab w:leader="none" w:pos="57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26"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ind w:left="40"/>
              <w:spacing w:after="0"/>
              <w:rPr>
                <w:sz w:val="20"/>
                <w:szCs w:val="20"/>
                <w:color w:val="auto"/>
              </w:rPr>
            </w:pPr>
            <w:r>
              <w:rPr>
                <w:rFonts w:ascii="Arial" w:cs="Arial" w:eastAsia="Arial" w:hAnsi="Arial"/>
                <w:sz w:val="16"/>
                <w:szCs w:val="16"/>
                <w:b w:val="1"/>
                <w:bCs w:val="1"/>
                <w:color w:val="auto"/>
                <w:w w:val="94"/>
              </w:rPr>
              <w:t>For the transition period from</w:t>
            </w:r>
          </w:p>
        </w:tc>
        <w:tc>
          <w:tcPr>
            <w:tcW w:w="4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80" w:type="dxa"/>
            <w:vAlign w:val="bottom"/>
            <w:gridSpan w:val="4"/>
          </w:tcPr>
          <w:p>
            <w:pPr>
              <w:jc w:val="center"/>
              <w:ind w:left="344"/>
              <w:spacing w:after="0"/>
              <w:rPr>
                <w:sz w:val="20"/>
                <w:szCs w:val="20"/>
                <w:color w:val="auto"/>
              </w:rPr>
            </w:pPr>
            <w:r>
              <w:rPr>
                <w:rFonts w:ascii="Arial" w:cs="Arial" w:eastAsia="Arial" w:hAnsi="Arial"/>
                <w:sz w:val="16"/>
                <w:szCs w:val="16"/>
                <w:b w:val="1"/>
                <w:bCs w:val="1"/>
                <w:color w:val="auto"/>
                <w:w w:val="90"/>
              </w:rPr>
              <w:t>Commission File No. 001-37627</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3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8000" w:type="dxa"/>
            <w:vAlign w:val="bottom"/>
            <w:gridSpan w:val="11"/>
          </w:tcPr>
          <w:p>
            <w:pPr>
              <w:jc w:val="center"/>
              <w:ind w:right="3146"/>
              <w:spacing w:after="0"/>
              <w:rPr>
                <w:sz w:val="20"/>
                <w:szCs w:val="20"/>
                <w:color w:val="auto"/>
              </w:rPr>
            </w:pPr>
            <w:r>
              <w:rPr>
                <w:rFonts w:ascii="Arial" w:cs="Arial" w:eastAsia="Arial" w:hAnsi="Arial"/>
                <w:sz w:val="32"/>
                <w:szCs w:val="32"/>
                <w:b w:val="1"/>
                <w:bCs w:val="1"/>
                <w:color w:val="auto"/>
                <w:w w:val="99"/>
              </w:rPr>
              <w:t>WAVE LIFE SCIENCES LTD.</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80" w:type="dxa"/>
            <w:vAlign w:val="bottom"/>
            <w:gridSpan w:val="7"/>
          </w:tcPr>
          <w:p>
            <w:pPr>
              <w:jc w:val="center"/>
              <w:ind w:left="4"/>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
        </w:trPr>
        <w:tc>
          <w:tcPr>
            <w:tcW w:w="3240" w:type="dxa"/>
            <w:vAlign w:val="bottom"/>
            <w:vMerge w:val="restart"/>
          </w:tcPr>
          <w:p>
            <w:pPr>
              <w:jc w:val="center"/>
              <w:ind w:left="2325"/>
              <w:spacing w:after="0"/>
              <w:rPr>
                <w:sz w:val="20"/>
                <w:szCs w:val="20"/>
                <w:color w:val="auto"/>
              </w:rPr>
            </w:pPr>
            <w:r>
              <w:rPr>
                <w:rFonts w:ascii="Arial" w:cs="Arial" w:eastAsia="Arial" w:hAnsi="Arial"/>
                <w:sz w:val="16"/>
                <w:szCs w:val="16"/>
                <w:b w:val="1"/>
                <w:bCs w:val="1"/>
                <w:color w:val="auto"/>
                <w:w w:val="86"/>
              </w:rPr>
              <w:t>Singapore</w:t>
            </w:r>
          </w:p>
        </w:tc>
        <w:tc>
          <w:tcPr>
            <w:tcW w:w="5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vMerge w:val="restart"/>
          </w:tcPr>
          <w:p>
            <w:pPr>
              <w:jc w:val="center"/>
              <w:ind w:right="1866"/>
              <w:spacing w:after="0"/>
              <w:rPr>
                <w:sz w:val="20"/>
                <w:szCs w:val="20"/>
                <w:color w:val="auto"/>
              </w:rPr>
            </w:pPr>
            <w:r>
              <w:rPr>
                <w:rFonts w:ascii="Arial" w:cs="Arial" w:eastAsia="Arial" w:hAnsi="Arial"/>
                <w:sz w:val="16"/>
                <w:szCs w:val="16"/>
                <w:b w:val="1"/>
                <w:bCs w:val="1"/>
                <w:color w:val="auto"/>
                <w:w w:val="91"/>
              </w:rPr>
              <w:t>Not applicable</w:t>
            </w:r>
          </w:p>
        </w:tc>
        <w:tc>
          <w:tcPr>
            <w:tcW w:w="0" w:type="dxa"/>
            <w:vAlign w:val="bottom"/>
          </w:tcPr>
          <w:p>
            <w:pPr>
              <w:spacing w:after="0"/>
              <w:rPr>
                <w:sz w:val="1"/>
                <w:szCs w:val="1"/>
                <w:color w:val="auto"/>
              </w:rPr>
            </w:pPr>
          </w:p>
        </w:tc>
      </w:tr>
      <w:tr>
        <w:trPr>
          <w:trHeight w:val="280"/>
        </w:trPr>
        <w:tc>
          <w:tcPr>
            <w:tcW w:w="3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960" w:type="dxa"/>
            <w:vAlign w:val="bottom"/>
            <w:gridSpan w:val="4"/>
          </w:tcPr>
          <w:p>
            <w:pPr>
              <w:jc w:val="center"/>
              <w:ind w:right="1566"/>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61"/>
        </w:trPr>
        <w:tc>
          <w:tcPr>
            <w:tcW w:w="6580" w:type="dxa"/>
            <w:vAlign w:val="bottom"/>
            <w:gridSpan w:val="5"/>
          </w:tcPr>
          <w:p>
            <w:pPr>
              <w:jc w:val="center"/>
              <w:ind w:right="940"/>
              <w:spacing w:after="0"/>
              <w:rPr>
                <w:sz w:val="20"/>
                <w:szCs w:val="20"/>
                <w:color w:val="auto"/>
              </w:rPr>
            </w:pPr>
            <w:r>
              <w:rPr>
                <w:rFonts w:ascii="Arial" w:cs="Arial" w:eastAsia="Arial" w:hAnsi="Arial"/>
                <w:sz w:val="16"/>
                <w:szCs w:val="16"/>
                <w:b w:val="1"/>
                <w:bCs w:val="1"/>
                <w:color w:val="auto"/>
                <w:w w:val="92"/>
              </w:rPr>
              <w:t>7 Straits View #12-00, Marina One East Tower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40" w:type="dxa"/>
            <w:vAlign w:val="bottom"/>
          </w:tcPr>
          <w:p>
            <w:pPr>
              <w:jc w:val="center"/>
              <w:ind w:left="2325"/>
              <w:spacing w:after="0"/>
              <w:rPr>
                <w:sz w:val="20"/>
                <w:szCs w:val="20"/>
                <w:color w:val="auto"/>
              </w:rPr>
            </w:pPr>
            <w:r>
              <w:rPr>
                <w:rFonts w:ascii="Arial" w:cs="Arial" w:eastAsia="Arial" w:hAnsi="Arial"/>
                <w:sz w:val="16"/>
                <w:szCs w:val="16"/>
                <w:b w:val="1"/>
                <w:bCs w:val="1"/>
                <w:color w:val="auto"/>
                <w:w w:val="86"/>
              </w:rPr>
              <w:t>Singapore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gridSpan w:val="3"/>
          </w:tcPr>
          <w:p>
            <w:pPr>
              <w:jc w:val="center"/>
              <w:ind w:right="1706"/>
              <w:spacing w:after="0"/>
              <w:rPr>
                <w:sz w:val="20"/>
                <w:szCs w:val="20"/>
                <w:color w:val="auto"/>
              </w:rPr>
            </w:pPr>
            <w:r>
              <w:rPr>
                <w:rFonts w:ascii="Arial" w:cs="Arial" w:eastAsia="Arial" w:hAnsi="Arial"/>
                <w:sz w:val="16"/>
                <w:szCs w:val="16"/>
                <w:b w:val="1"/>
                <w:bCs w:val="1"/>
                <w:color w:val="auto"/>
                <w:w w:val="89"/>
              </w:rPr>
              <w:t>018936</w:t>
            </w:r>
          </w:p>
        </w:tc>
        <w:tc>
          <w:tcPr>
            <w:tcW w:w="0" w:type="dxa"/>
            <w:vAlign w:val="bottom"/>
          </w:tcPr>
          <w:p>
            <w:pPr>
              <w:spacing w:after="0"/>
              <w:rPr>
                <w:sz w:val="1"/>
                <w:szCs w:val="1"/>
                <w:color w:val="auto"/>
              </w:rPr>
            </w:pPr>
          </w:p>
        </w:tc>
      </w:tr>
      <w:tr>
        <w:trPr>
          <w:trHeight w:val="186"/>
        </w:trPr>
        <w:tc>
          <w:tcPr>
            <w:tcW w:w="6580" w:type="dxa"/>
            <w:vAlign w:val="bottom"/>
            <w:gridSpan w:val="5"/>
          </w:tcPr>
          <w:p>
            <w:pPr>
              <w:jc w:val="center"/>
              <w:ind w:right="94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tcPr>
          <w:p>
            <w:pPr>
              <w:jc w:val="center"/>
              <w:ind w:right="1886"/>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48"/>
        </w:trPr>
        <w:tc>
          <w:tcPr>
            <w:tcW w:w="3240" w:type="dxa"/>
            <w:vAlign w:val="bottom"/>
          </w:tcPr>
          <w:p>
            <w:pPr>
              <w:spacing w:after="0"/>
              <w:rPr>
                <w:sz w:val="21"/>
                <w:szCs w:val="21"/>
                <w:color w:val="auto"/>
              </w:rPr>
            </w:pPr>
          </w:p>
        </w:tc>
        <w:tc>
          <w:tcPr>
            <w:tcW w:w="8000" w:type="dxa"/>
            <w:vAlign w:val="bottom"/>
            <w:gridSpan w:val="11"/>
          </w:tcPr>
          <w:p>
            <w:pPr>
              <w:jc w:val="center"/>
              <w:ind w:right="3166"/>
              <w:spacing w:after="0"/>
              <w:rPr>
                <w:sz w:val="20"/>
                <w:szCs w:val="20"/>
                <w:color w:val="auto"/>
              </w:rPr>
            </w:pPr>
            <w:r>
              <w:rPr>
                <w:rFonts w:ascii="Arial" w:cs="Arial" w:eastAsia="Arial" w:hAnsi="Arial"/>
                <w:sz w:val="16"/>
                <w:szCs w:val="16"/>
                <w:b w:val="1"/>
                <w:bCs w:val="1"/>
                <w:color w:val="auto"/>
                <w:w w:val="89"/>
              </w:rPr>
              <w:t>Registrant’s telephone number, including area code: +65 6236 3388</w:t>
            </w:r>
          </w:p>
        </w:tc>
        <w:tc>
          <w:tcPr>
            <w:tcW w:w="0" w:type="dxa"/>
            <w:vAlign w:val="bottom"/>
          </w:tcPr>
          <w:p>
            <w:pPr>
              <w:spacing w:after="0"/>
              <w:rPr>
                <w:sz w:val="1"/>
                <w:szCs w:val="1"/>
                <w:color w:val="auto"/>
              </w:rPr>
            </w:pPr>
          </w:p>
        </w:tc>
      </w:tr>
      <w:tr>
        <w:trPr>
          <w:trHeight w:val="277"/>
        </w:trPr>
        <w:tc>
          <w:tcPr>
            <w:tcW w:w="3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80" w:type="dxa"/>
            <w:vAlign w:val="bottom"/>
            <w:gridSpan w:val="7"/>
          </w:tcPr>
          <w:p>
            <w:pPr>
              <w:jc w:val="center"/>
              <w:ind w:left="2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240" w:type="dxa"/>
            <w:vAlign w:val="bottom"/>
            <w:tcBorders>
              <w:left w:val="single" w:sz="8" w:color="auto"/>
              <w:bottom w:val="single" w:sz="8" w:color="auto"/>
            </w:tcBorders>
          </w:tcPr>
          <w:p>
            <w:pPr>
              <w:jc w:val="center"/>
              <w:ind w:left="605"/>
              <w:spacing w:after="0" w:line="141" w:lineRule="exact"/>
              <w:rPr>
                <w:sz w:val="20"/>
                <w:szCs w:val="20"/>
                <w:color w:val="auto"/>
              </w:rPr>
            </w:pPr>
            <w:r>
              <w:rPr>
                <w:rFonts w:ascii="Arial" w:cs="Arial" w:eastAsia="Arial" w:hAnsi="Arial"/>
                <w:sz w:val="14"/>
                <w:szCs w:val="14"/>
                <w:b w:val="1"/>
                <w:bCs w:val="1"/>
                <w:color w:val="auto"/>
                <w:w w:val="89"/>
              </w:rPr>
              <w:t>Title of each class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tcBorders>
            <w:gridSpan w:val="2"/>
          </w:tcPr>
          <w:p>
            <w:pPr>
              <w:jc w:val="center"/>
              <w:ind w:left="884"/>
              <w:spacing w:after="0" w:line="141" w:lineRule="exact"/>
              <w:rPr>
                <w:sz w:val="20"/>
                <w:szCs w:val="20"/>
                <w:color w:val="auto"/>
              </w:rPr>
            </w:pPr>
            <w:r>
              <w:rPr>
                <w:rFonts w:ascii="Arial" w:cs="Arial" w:eastAsia="Arial" w:hAnsi="Arial"/>
                <w:sz w:val="14"/>
                <w:szCs w:val="14"/>
                <w:b w:val="1"/>
                <w:bCs w:val="1"/>
                <w:color w:val="auto"/>
                <w:w w:val="93"/>
              </w:rPr>
              <w:t>Trading symbol</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ind w:left="560"/>
              <w:spacing w:after="0" w:line="141" w:lineRule="exact"/>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1"/>
        </w:trPr>
        <w:tc>
          <w:tcPr>
            <w:tcW w:w="3240" w:type="dxa"/>
            <w:vAlign w:val="bottom"/>
            <w:tcBorders>
              <w:left w:val="single" w:sz="8" w:color="auto"/>
              <w:bottom w:val="single" w:sz="8" w:color="auto"/>
            </w:tcBorders>
          </w:tcPr>
          <w:p>
            <w:pPr>
              <w:jc w:val="center"/>
              <w:ind w:left="605"/>
              <w:spacing w:after="0" w:line="141" w:lineRule="exact"/>
              <w:rPr>
                <w:sz w:val="20"/>
                <w:szCs w:val="20"/>
                <w:color w:val="auto"/>
              </w:rPr>
            </w:pPr>
            <w:r>
              <w:rPr>
                <w:rFonts w:ascii="Arial" w:cs="Arial" w:eastAsia="Arial" w:hAnsi="Arial"/>
                <w:sz w:val="14"/>
                <w:szCs w:val="14"/>
                <w:b w:val="1"/>
                <w:bCs w:val="1"/>
                <w:color w:val="auto"/>
                <w:w w:val="93"/>
              </w:rPr>
              <w:t>$0 Par Value Ordinary Shares</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tcBorders>
            <w:gridSpan w:val="2"/>
          </w:tcPr>
          <w:p>
            <w:pPr>
              <w:jc w:val="center"/>
              <w:ind w:left="884"/>
              <w:spacing w:after="0" w:line="141" w:lineRule="exact"/>
              <w:rPr>
                <w:sz w:val="20"/>
                <w:szCs w:val="20"/>
                <w:color w:val="auto"/>
              </w:rPr>
            </w:pPr>
            <w:r>
              <w:rPr>
                <w:rFonts w:ascii="Arial" w:cs="Arial" w:eastAsia="Arial" w:hAnsi="Arial"/>
                <w:sz w:val="14"/>
                <w:szCs w:val="14"/>
                <w:b w:val="1"/>
                <w:bCs w:val="1"/>
                <w:color w:val="auto"/>
              </w:rPr>
              <w:t>WVE</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ind w:left="980"/>
              <w:spacing w:after="0" w:line="141" w:lineRule="exact"/>
              <w:rPr>
                <w:sz w:val="20"/>
                <w:szCs w:val="20"/>
                <w:color w:val="auto"/>
              </w:rPr>
            </w:pPr>
            <w:r>
              <w:rPr>
                <w:rFonts w:ascii="Arial" w:cs="Arial" w:eastAsia="Arial" w:hAnsi="Arial"/>
                <w:sz w:val="14"/>
                <w:szCs w:val="14"/>
                <w:b w:val="1"/>
                <w:bCs w:val="1"/>
                <w:color w:val="auto"/>
              </w:rPr>
              <w:t>The Nasdaq Global Market</w:t>
            </w:r>
          </w:p>
        </w:tc>
        <w:tc>
          <w:tcPr>
            <w:tcW w:w="0" w:type="dxa"/>
            <w:vAlign w:val="bottom"/>
          </w:tcPr>
          <w:p>
            <w:pPr>
              <w:spacing w:after="0"/>
              <w:rPr>
                <w:sz w:val="1"/>
                <w:szCs w:val="1"/>
                <w:color w:val="auto"/>
              </w:rPr>
            </w:pPr>
          </w:p>
        </w:tc>
      </w:tr>
      <w:tr>
        <w:trPr>
          <w:trHeight w:val="251"/>
        </w:trPr>
        <w:tc>
          <w:tcPr>
            <w:tcW w:w="3240" w:type="dxa"/>
            <w:vAlign w:val="bottom"/>
          </w:tcPr>
          <w:p>
            <w:pPr>
              <w:spacing w:after="0"/>
              <w:rPr>
                <w:sz w:val="21"/>
                <w:szCs w:val="21"/>
                <w:color w:val="auto"/>
              </w:rPr>
            </w:pPr>
          </w:p>
        </w:tc>
        <w:tc>
          <w:tcPr>
            <w:tcW w:w="8000" w:type="dxa"/>
            <w:vAlign w:val="bottom"/>
            <w:gridSpan w:val="11"/>
          </w:tcPr>
          <w:p>
            <w:pPr>
              <w:jc w:val="center"/>
              <w:ind w:right="3146"/>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106"/>
        </w:trPr>
        <w:tc>
          <w:tcPr>
            <w:tcW w:w="3740" w:type="dxa"/>
            <w:vAlign w:val="bottom"/>
            <w:gridSpan w:val="2"/>
          </w:tcPr>
          <w:p>
            <w:pPr>
              <w:spacing w:after="0"/>
              <w:rPr>
                <w:sz w:val="9"/>
                <w:szCs w:val="9"/>
                <w:color w:val="auto"/>
              </w:rPr>
            </w:pPr>
          </w:p>
        </w:tc>
        <w:tc>
          <w:tcPr>
            <w:tcW w:w="236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7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6580" w:type="dxa"/>
            <w:vAlign w:val="bottom"/>
            <w:gridSpan w:val="5"/>
          </w:tcPr>
          <w:p>
            <w:pPr>
              <w:spacing w:after="0"/>
              <w:rPr>
                <w:sz w:val="20"/>
                <w:szCs w:val="20"/>
                <w:color w:val="auto"/>
              </w:rPr>
            </w:pPr>
            <w:r>
              <w:rPr>
                <w:rFonts w:ascii="Arial" w:cs="Arial" w:eastAsia="Arial" w:hAnsi="Arial"/>
                <w:sz w:val="14"/>
                <w:szCs w:val="14"/>
                <w:color w:val="auto"/>
                <w:w w:val="90"/>
              </w:rPr>
              <w:t>Indicate by check mark if the registrant is a well-known seasoned issuer, as defined in Rule 405 of the Securities Act.</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w w:val="90"/>
              </w:rPr>
              <w:t>Yes</w:t>
            </w:r>
          </w:p>
        </w:tc>
        <w:tc>
          <w:tcPr>
            <w:tcW w:w="52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3820" w:type="dxa"/>
            <w:vAlign w:val="bottom"/>
            <w:gridSpan w:val="3"/>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9"/>
        </w:trPr>
        <w:tc>
          <w:tcPr>
            <w:tcW w:w="6580" w:type="dxa"/>
            <w:vAlign w:val="bottom"/>
            <w:gridSpan w:val="5"/>
          </w:tcPr>
          <w:p>
            <w:pPr>
              <w:spacing w:after="0"/>
              <w:rPr>
                <w:sz w:val="20"/>
                <w:szCs w:val="20"/>
                <w:color w:val="auto"/>
              </w:rPr>
            </w:pPr>
            <w:r>
              <w:rPr>
                <w:rFonts w:ascii="Arial" w:cs="Arial" w:eastAsia="Arial" w:hAnsi="Arial"/>
                <w:sz w:val="14"/>
                <w:szCs w:val="14"/>
                <w:color w:val="auto"/>
                <w:w w:val="96"/>
              </w:rPr>
              <w:t>Indicate by check mark if the registrant is not required to file reports pursuant to Section 13 or 15(d) of the Act.</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w w:val="90"/>
              </w:rPr>
              <w:t>Yes</w:t>
            </w:r>
          </w:p>
        </w:tc>
        <w:tc>
          <w:tcPr>
            <w:tcW w:w="520" w:type="dxa"/>
            <w:vAlign w:val="bottom"/>
            <w:gridSpan w:val="2"/>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382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80"/>
        <w:spacing w:after="0" w:line="28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7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6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70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4"/>
          <w:szCs w:val="24"/>
          <w:color w:val="auto"/>
        </w:rPr>
      </w:pPr>
    </w:p>
    <w:p>
      <w:pPr>
        <w:ind w:right="20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5" w:lineRule="exact"/>
        <w:rPr>
          <w:sz w:val="24"/>
          <w:szCs w:val="24"/>
          <w:color w:val="auto"/>
        </w:rPr>
      </w:pPr>
    </w:p>
    <w:p>
      <w:pPr>
        <w:ind w:right="4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220" w:val="left"/>
          <w:tab w:leader="none" w:pos="67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8" w:lineRule="exact"/>
        <w:rPr>
          <w:sz w:val="24"/>
          <w:szCs w:val="24"/>
          <w:color w:val="auto"/>
        </w:rPr>
      </w:pPr>
    </w:p>
    <w:p>
      <w:pPr>
        <w:ind w:right="20"/>
        <w:spacing w:after="0" w:line="255" w:lineRule="auto"/>
        <w:rPr>
          <w:sz w:val="20"/>
          <w:szCs w:val="20"/>
          <w:color w:val="auto"/>
        </w:rPr>
      </w:pPr>
      <w:r>
        <w:rPr>
          <w:rFonts w:ascii="Arial" w:cs="Arial" w:eastAsia="Arial" w:hAnsi="Arial"/>
          <w:sz w:val="13"/>
          <w:szCs w:val="13"/>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2021) was $269,680,028.</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The number of outstanding ordinary shares of the registrant as of February 25, 2022 was 60,844,495.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74295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3" w:lineRule="exact"/>
        <w:rPr>
          <w:sz w:val="24"/>
          <w:szCs w:val="24"/>
          <w:color w:val="auto"/>
        </w:rPr>
      </w:pPr>
    </w:p>
    <w:p>
      <w:pPr>
        <w:ind w:right="80"/>
        <w:spacing w:after="0" w:line="249" w:lineRule="auto"/>
        <w:rPr>
          <w:sz w:val="20"/>
          <w:szCs w:val="20"/>
          <w:color w:val="auto"/>
        </w:rPr>
      </w:pPr>
      <w:r>
        <w:rPr>
          <w:rFonts w:ascii="Arial" w:cs="Arial" w:eastAsia="Arial" w:hAnsi="Arial"/>
          <w:sz w:val="13"/>
          <w:szCs w:val="13"/>
          <w:color w:val="auto"/>
        </w:rPr>
        <w:t>If the Registrant’s Definitive Proxy Statement relating to the 2022 Annual General Meeting of Shareholders (the “Proxy Statement”) is filed with the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7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900" w:type="dxa"/>
            <w:vAlign w:val="bottom"/>
            <w:gridSpan w:val="11"/>
          </w:tcPr>
          <w:p>
            <w:pPr>
              <w:jc w:val="center"/>
              <w:ind w:right="3420"/>
              <w:spacing w:after="0"/>
              <w:rPr>
                <w:sz w:val="20"/>
                <w:szCs w:val="20"/>
                <w:color w:val="auto"/>
              </w:rPr>
            </w:pPr>
            <w:r>
              <w:rPr>
                <w:rFonts w:ascii="Arial" w:cs="Arial" w:eastAsia="Arial" w:hAnsi="Arial"/>
                <w:sz w:val="18"/>
                <w:szCs w:val="18"/>
                <w:b w:val="1"/>
                <w:bCs w:val="1"/>
                <w:color w:val="auto"/>
                <w:w w:val="98"/>
              </w:rPr>
              <w:t>WAVE LIFE SCIENCES LTD.</w:t>
            </w:r>
          </w:p>
        </w:tc>
        <w:tc>
          <w:tcPr>
            <w:tcW w:w="960" w:type="dxa"/>
            <w:vAlign w:val="bottom"/>
          </w:tcPr>
          <w:p>
            <w:pPr>
              <w:spacing w:after="0"/>
              <w:rPr>
                <w:sz w:val="20"/>
                <w:szCs w:val="20"/>
                <w:color w:val="auto"/>
              </w:rPr>
            </w:pPr>
          </w:p>
        </w:tc>
      </w:tr>
      <w:tr>
        <w:trPr>
          <w:trHeight w:val="430"/>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gridSpan w:val="12"/>
          </w:tcPr>
          <w:p>
            <w:pPr>
              <w:jc w:val="center"/>
              <w:ind w:right="2620"/>
              <w:spacing w:after="0"/>
              <w:rPr>
                <w:sz w:val="20"/>
                <w:szCs w:val="20"/>
                <w:color w:val="auto"/>
              </w:rPr>
            </w:pPr>
            <w:r>
              <w:rPr>
                <w:rFonts w:ascii="Arial" w:cs="Arial" w:eastAsia="Arial" w:hAnsi="Arial"/>
                <w:sz w:val="18"/>
                <w:szCs w:val="18"/>
                <w:b w:val="1"/>
                <w:bCs w:val="1"/>
                <w:color w:val="auto"/>
                <w:w w:val="99"/>
              </w:rPr>
              <w:t>ANNUAL REPORT ON FORM 10-K</w:t>
            </w:r>
          </w:p>
        </w:tc>
        <w:tc>
          <w:tcPr>
            <w:tcW w:w="960" w:type="dxa"/>
            <w:vAlign w:val="bottom"/>
          </w:tcPr>
          <w:p>
            <w:pPr>
              <w:spacing w:after="0"/>
              <w:rPr>
                <w:sz w:val="24"/>
                <w:szCs w:val="24"/>
                <w:color w:val="auto"/>
              </w:rPr>
            </w:pPr>
          </w:p>
        </w:tc>
      </w:tr>
      <w:tr>
        <w:trPr>
          <w:trHeight w:val="430"/>
        </w:trPr>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900" w:type="dxa"/>
            <w:vAlign w:val="bottom"/>
            <w:gridSpan w:val="11"/>
          </w:tcPr>
          <w:p>
            <w:pPr>
              <w:jc w:val="center"/>
              <w:ind w:right="342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4"/>
                <w:szCs w:val="24"/>
                <w:color w:val="auto"/>
              </w:rPr>
            </w:pPr>
          </w:p>
        </w:tc>
      </w:tr>
      <w:tr>
        <w:trPr>
          <w:trHeight w:val="390"/>
        </w:trPr>
        <w:tc>
          <w:tcPr>
            <w:tcW w:w="1540" w:type="dxa"/>
            <w:vAlign w:val="bottom"/>
            <w:gridSpan w:val="7"/>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5"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100" w:type="dxa"/>
            <w:vAlign w:val="bottom"/>
            <w:gridSpan w:val="21"/>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1A.</w:t>
            </w:r>
          </w:p>
        </w:tc>
        <w:tc>
          <w:tcPr>
            <w:tcW w:w="8740" w:type="dxa"/>
            <w:vAlign w:val="bottom"/>
            <w:gridSpan w:val="22"/>
          </w:tcPr>
          <w:p>
            <w:pPr>
              <w:spacing w:after="0" w:line="195" w:lineRule="exact"/>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0"/>
          </w:tcPr>
          <w:p>
            <w:pPr>
              <w:spacing w:after="0" w:line="195"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Unresolved Staff Comments</w:t>
              </w:r>
            </w:hyperlink>
          </w:p>
        </w:tc>
        <w:tc>
          <w:tcPr>
            <w:tcW w:w="6700" w:type="dxa"/>
            <w:vAlign w:val="bottom"/>
            <w:gridSpan w:val="12"/>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2.</w:t>
            </w:r>
          </w:p>
        </w:tc>
        <w:tc>
          <w:tcPr>
            <w:tcW w:w="8740" w:type="dxa"/>
            <w:vAlign w:val="bottom"/>
            <w:gridSpan w:val="22"/>
          </w:tcPr>
          <w:p>
            <w:pPr>
              <w:spacing w:after="0" w:line="195" w:lineRule="exact"/>
              <w:rPr>
                <w:rFonts w:ascii="Arial" w:cs="Arial" w:eastAsia="Arial" w:hAnsi="Arial"/>
                <w:sz w:val="18"/>
                <w:szCs w:val="18"/>
                <w:color w:val="0000EE"/>
              </w:rPr>
            </w:pPr>
            <w:hyperlink w:anchor="page90">
              <w:r>
                <w:rPr>
                  <w:rFonts w:ascii="Arial" w:cs="Arial" w:eastAsia="Arial" w:hAnsi="Arial"/>
                  <w:sz w:val="18"/>
                  <w:szCs w:val="18"/>
                  <w:color w:val="0000EE"/>
                </w:rPr>
                <w:t>Properties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line="195"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Legal Proceedings</w:t>
              </w:r>
            </w:hyperlink>
          </w:p>
        </w:tc>
        <w:tc>
          <w:tcPr>
            <w:tcW w:w="7400" w:type="dxa"/>
            <w:vAlign w:val="bottom"/>
            <w:gridSpan w:val="16"/>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4.</w:t>
            </w:r>
          </w:p>
        </w:tc>
        <w:tc>
          <w:tcPr>
            <w:tcW w:w="8740" w:type="dxa"/>
            <w:vAlign w:val="bottom"/>
            <w:gridSpan w:val="22"/>
          </w:tcPr>
          <w:p>
            <w:pPr>
              <w:spacing w:after="0" w:line="195" w:lineRule="exact"/>
              <w:rPr>
                <w:rFonts w:ascii="Arial" w:cs="Arial" w:eastAsia="Arial" w:hAnsi="Arial"/>
                <w:sz w:val="18"/>
                <w:szCs w:val="18"/>
                <w:color w:val="0000EE"/>
              </w:rPr>
            </w:pPr>
            <w:hyperlink w:anchor="page90">
              <w:r>
                <w:rPr>
                  <w:rFonts w:ascii="Arial" w:cs="Arial" w:eastAsia="Arial" w:hAnsi="Arial"/>
                  <w:sz w:val="18"/>
                  <w:szCs w:val="18"/>
                  <w:color w:val="0000EE"/>
                </w:rPr>
                <w:t>Mine Safety Disclosures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r>
      <w:tr>
        <w:trPr>
          <w:trHeight w:val="410"/>
        </w:trPr>
        <w:tc>
          <w:tcPr>
            <w:tcW w:w="1540" w:type="dxa"/>
            <w:vAlign w:val="bottom"/>
            <w:gridSpan w:val="7"/>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5.</w:t>
            </w:r>
          </w:p>
        </w:tc>
        <w:tc>
          <w:tcPr>
            <w:tcW w:w="8740" w:type="dxa"/>
            <w:vAlign w:val="bottom"/>
            <w:gridSpan w:val="22"/>
          </w:tcPr>
          <w:p>
            <w:pPr>
              <w:spacing w:after="0" w:line="195"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Market for Registrant’s Common Equity, Related Stockholder Matters and Issuer Purchases of Equity Securities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6.</w:t>
            </w:r>
          </w:p>
        </w:tc>
        <w:tc>
          <w:tcPr>
            <w:tcW w:w="804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w:anchor="page91">
              <w:r>
                <w:rPr>
                  <w:rFonts w:ascii="Arial" w:cs="Arial" w:eastAsia="Arial" w:hAnsi="Arial"/>
                  <w:sz w:val="18"/>
                  <w:szCs w:val="18"/>
                  <w:color w:val="0000EE"/>
                </w:rPr>
                <w:t>[Reserved]</w:t>
              </w:r>
            </w:hyperlink>
          </w:p>
        </w:tc>
        <w:tc>
          <w:tcPr>
            <w:tcW w:w="70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r>
      <w:tr>
        <w:trPr>
          <w:trHeight w:val="20"/>
        </w:trPr>
        <w:tc>
          <w:tcPr>
            <w:tcW w:w="4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18"/>
          </w:tcPr>
          <w:p>
            <w:pPr>
              <w:spacing w:after="0" w:line="195"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Management’s Discussion and Analysis of Financial Condition and Results of Operations</w:t>
              </w:r>
            </w:hyperlink>
          </w:p>
        </w:tc>
        <w:tc>
          <w:tcPr>
            <w:tcW w:w="2300" w:type="dxa"/>
            <w:vAlign w:val="bottom"/>
            <w:gridSpan w:val="4"/>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91</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15"/>
          </w:tcPr>
          <w:p>
            <w:pPr>
              <w:spacing w:after="0" w:line="195"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Quantitative and Qualitative Disclosures about Market Risk</w:t>
              </w:r>
            </w:hyperlink>
          </w:p>
        </w:tc>
        <w:tc>
          <w:tcPr>
            <w:tcW w:w="4440" w:type="dxa"/>
            <w:vAlign w:val="bottom"/>
            <w:gridSpan w:val="7"/>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8.</w:t>
            </w:r>
          </w:p>
        </w:tc>
        <w:tc>
          <w:tcPr>
            <w:tcW w:w="3320" w:type="dxa"/>
            <w:vAlign w:val="bottom"/>
            <w:tcBorders>
              <w:bottom w:val="single" w:sz="8" w:color="0000EE"/>
            </w:tcBorders>
            <w:gridSpan w:val="13"/>
          </w:tcPr>
          <w:p>
            <w:pPr>
              <w:spacing w:after="0" w:line="195"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Financial Statements and Supplementary Data</w:t>
              </w:r>
            </w:hyperlink>
          </w:p>
        </w:tc>
        <w:tc>
          <w:tcPr>
            <w:tcW w:w="5420" w:type="dxa"/>
            <w:vAlign w:val="bottom"/>
            <w:gridSpan w:val="9"/>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9.</w:t>
            </w:r>
          </w:p>
        </w:tc>
        <w:tc>
          <w:tcPr>
            <w:tcW w:w="6460" w:type="dxa"/>
            <w:vAlign w:val="bottom"/>
            <w:tcBorders>
              <w:bottom w:val="single" w:sz="8" w:color="0000EE"/>
            </w:tcBorders>
            <w:gridSpan w:val="19"/>
          </w:tcPr>
          <w:p>
            <w:pPr>
              <w:spacing w:after="0" w:line="195"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9A.</w:t>
            </w:r>
          </w:p>
        </w:tc>
        <w:tc>
          <w:tcPr>
            <w:tcW w:w="8740" w:type="dxa"/>
            <w:vAlign w:val="bottom"/>
            <w:gridSpan w:val="22"/>
          </w:tcPr>
          <w:p>
            <w:pPr>
              <w:spacing w:after="0" w:line="195"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101</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6"/>
                <w:szCs w:val="16"/>
                <w:color w:val="auto"/>
              </w:rPr>
            </w:pPr>
          </w:p>
        </w:tc>
        <w:tc>
          <w:tcPr>
            <w:tcW w:w="6980" w:type="dxa"/>
            <w:vAlign w:val="bottom"/>
            <w:gridSpan w:val="14"/>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9C.</w:t>
            </w:r>
          </w:p>
        </w:tc>
        <w:tc>
          <w:tcPr>
            <w:tcW w:w="8740" w:type="dxa"/>
            <w:vAlign w:val="bottom"/>
            <w:gridSpan w:val="22"/>
          </w:tcPr>
          <w:p>
            <w:pPr>
              <w:spacing w:after="0" w:line="195" w:lineRule="exact"/>
              <w:rPr>
                <w:rFonts w:ascii="Arial" w:cs="Arial" w:eastAsia="Arial" w:hAnsi="Arial"/>
                <w:sz w:val="18"/>
                <w:szCs w:val="18"/>
                <w:color w:val="0000EE"/>
              </w:rPr>
            </w:pPr>
            <w:hyperlink w:anchor="page103">
              <w:r>
                <w:rPr>
                  <w:rFonts w:ascii="Arial" w:cs="Arial" w:eastAsia="Arial" w:hAnsi="Arial"/>
                  <w:sz w:val="18"/>
                  <w:szCs w:val="18"/>
                  <w:color w:val="0000EE"/>
                </w:rPr>
                <w:t>Disclosure Regarding Foreign Jurisdictions that Prevent Inspections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102</w:t>
            </w:r>
          </w:p>
        </w:tc>
      </w:tr>
      <w:tr>
        <w:trPr>
          <w:trHeight w:val="41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80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10.</w:t>
            </w:r>
          </w:p>
        </w:tc>
        <w:tc>
          <w:tcPr>
            <w:tcW w:w="8740" w:type="dxa"/>
            <w:vAlign w:val="bottom"/>
            <w:gridSpan w:val="22"/>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Directors, Executive Officers and Corporate Governance</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6"/>
                <w:szCs w:val="16"/>
                <w:color w:val="auto"/>
              </w:rPr>
            </w:pPr>
          </w:p>
        </w:tc>
        <w:tc>
          <w:tcPr>
            <w:tcW w:w="4660" w:type="dxa"/>
            <w:vAlign w:val="bottom"/>
            <w:gridSpan w:val="8"/>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12.</w:t>
            </w:r>
          </w:p>
        </w:tc>
        <w:tc>
          <w:tcPr>
            <w:tcW w:w="8740" w:type="dxa"/>
            <w:vAlign w:val="bottom"/>
            <w:gridSpan w:val="22"/>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Security Ownership of Certain Beneficial Owners and Management and Related Stockholder Matters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13.</w:t>
            </w:r>
          </w:p>
        </w:tc>
        <w:tc>
          <w:tcPr>
            <w:tcW w:w="5440" w:type="dxa"/>
            <w:vAlign w:val="bottom"/>
            <w:tcBorders>
              <w:top w:val="single" w:sz="8" w:color="0000EE"/>
              <w:bottom w:val="single" w:sz="8" w:color="0000EE"/>
            </w:tcBorders>
            <w:gridSpan w:val="17"/>
          </w:tcPr>
          <w:p>
            <w:pPr>
              <w:spacing w:after="0" w:line="195"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Certain Relationships and Related Transactions, and Director Independence</w:t>
              </w:r>
            </w:hyperlink>
          </w:p>
        </w:tc>
        <w:tc>
          <w:tcPr>
            <w:tcW w:w="1820" w:type="dxa"/>
            <w:vAlign w:val="bottom"/>
            <w:tcBorders>
              <w:top w:val="single" w:sz="8" w:color="0000EE"/>
            </w:tcBorders>
            <w:gridSpan w:val="3"/>
          </w:tcPr>
          <w:p>
            <w:pPr>
              <w:spacing w:after="0"/>
              <w:rPr>
                <w:sz w:val="16"/>
                <w:szCs w:val="16"/>
                <w:color w:val="auto"/>
              </w:rPr>
            </w:pPr>
          </w:p>
        </w:tc>
        <w:tc>
          <w:tcPr>
            <w:tcW w:w="1480" w:type="dxa"/>
            <w:vAlign w:val="bottom"/>
            <w:gridSpan w:val="2"/>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14.</w:t>
            </w:r>
          </w:p>
        </w:tc>
        <w:tc>
          <w:tcPr>
            <w:tcW w:w="8740" w:type="dxa"/>
            <w:vAlign w:val="bottom"/>
            <w:gridSpan w:val="22"/>
          </w:tcPr>
          <w:p>
            <w:pPr>
              <w:spacing w:after="0" w:line="195"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r>
      <w:tr>
        <w:trPr>
          <w:trHeight w:val="410"/>
        </w:trPr>
        <w:tc>
          <w:tcPr>
            <w:tcW w:w="1540" w:type="dxa"/>
            <w:vAlign w:val="bottom"/>
            <w:gridSpan w:val="7"/>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15.</w:t>
            </w:r>
          </w:p>
        </w:tc>
        <w:tc>
          <w:tcPr>
            <w:tcW w:w="8740" w:type="dxa"/>
            <w:vAlign w:val="bottom"/>
            <w:gridSpan w:val="22"/>
          </w:tcPr>
          <w:p>
            <w:pPr>
              <w:spacing w:after="0" w:line="195" w:lineRule="exact"/>
              <w:rPr>
                <w:rFonts w:ascii="Arial" w:cs="Arial" w:eastAsia="Arial" w:hAnsi="Arial"/>
                <w:sz w:val="18"/>
                <w:szCs w:val="18"/>
                <w:color w:val="0000EE"/>
              </w:rPr>
            </w:pPr>
            <w:hyperlink w:anchor="page105">
              <w:r>
                <w:rPr>
                  <w:rFonts w:ascii="Arial" w:cs="Arial" w:eastAsia="Arial" w:hAnsi="Arial"/>
                  <w:sz w:val="18"/>
                  <w:szCs w:val="18"/>
                  <w:color w:val="0000EE"/>
                </w:rPr>
                <w:t>Exhibits and Financial Statement Schedules</w:t>
              </w:r>
            </w:hyperlink>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104</w:t>
            </w:r>
          </w:p>
        </w:tc>
      </w:tr>
      <w:tr>
        <w:trPr>
          <w:trHeight w:val="195"/>
        </w:trPr>
        <w:tc>
          <w:tcPr>
            <w:tcW w:w="440" w:type="dxa"/>
            <w:vAlign w:val="bottom"/>
          </w:tcPr>
          <w:p>
            <w:pPr>
              <w:spacing w:after="0"/>
              <w:rPr>
                <w:sz w:val="16"/>
                <w:szCs w:val="16"/>
                <w:color w:val="auto"/>
              </w:rPr>
            </w:pPr>
          </w:p>
        </w:tc>
        <w:tc>
          <w:tcPr>
            <w:tcW w:w="1100" w:type="dxa"/>
            <w:vAlign w:val="bottom"/>
            <w:gridSpan w:val="6"/>
          </w:tcPr>
          <w:p>
            <w:pPr>
              <w:spacing w:after="0" w:line="195" w:lineRule="exact"/>
              <w:rPr>
                <w:sz w:val="20"/>
                <w:szCs w:val="20"/>
                <w:color w:val="auto"/>
              </w:rPr>
            </w:pPr>
            <w:r>
              <w:rPr>
                <w:rFonts w:ascii="Arial" w:cs="Arial" w:eastAsia="Arial" w:hAnsi="Arial"/>
                <w:sz w:val="18"/>
                <w:szCs w:val="18"/>
                <w:color w:val="auto"/>
              </w:rPr>
              <w:t>Item 16.</w:t>
            </w:r>
          </w:p>
        </w:tc>
        <w:tc>
          <w:tcPr>
            <w:tcW w:w="314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w:anchor="page109">
              <w:r>
                <w:rPr>
                  <w:rFonts w:ascii="Arial" w:cs="Arial" w:eastAsia="Arial" w:hAnsi="Arial"/>
                  <w:sz w:val="18"/>
                  <w:szCs w:val="18"/>
                  <w:color w:val="0000EE"/>
                </w:rPr>
                <w:t>Form 10-K Summary</w:t>
              </w:r>
            </w:hyperlink>
          </w:p>
        </w:tc>
        <w:tc>
          <w:tcPr>
            <w:tcW w:w="5600" w:type="dxa"/>
            <w:vAlign w:val="bottom"/>
            <w:gridSpan w:val="10"/>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r>
      <w:tr>
        <w:trPr>
          <w:trHeight w:val="195"/>
        </w:trPr>
        <w:tc>
          <w:tcPr>
            <w:tcW w:w="440" w:type="dxa"/>
            <w:vAlign w:val="bottom"/>
          </w:tcPr>
          <w:p>
            <w:pPr>
              <w:spacing w:after="0"/>
              <w:rPr>
                <w:sz w:val="16"/>
                <w:szCs w:val="16"/>
                <w:color w:val="auto"/>
              </w:rPr>
            </w:pPr>
          </w:p>
        </w:tc>
        <w:tc>
          <w:tcPr>
            <w:tcW w:w="760" w:type="dxa"/>
            <w:vAlign w:val="bottom"/>
            <w:tcBorders>
              <w:bottom w:val="single" w:sz="8" w:color="0000EE"/>
            </w:tcBorders>
            <w:gridSpan w:val="5"/>
          </w:tcPr>
          <w:p>
            <w:pPr>
              <w:spacing w:after="0" w:line="195"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Signatures</w:t>
              </w:r>
            </w:hyperlink>
          </w:p>
        </w:tc>
        <w:tc>
          <w:tcPr>
            <w:tcW w:w="340" w:type="dxa"/>
            <w:vAlign w:val="bottom"/>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that relate to future events or to our future operations or financial performance.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Forward-looking statements include statements, other than statements of historical fact, about, among other things: our ability to fund our future operations; our financial position, revenues, costs, expenses, uses of cash and capital requirements; our need for additional financing or the period for which our existing cash resources will be sufficient to meet our operating requirements; the success, progress, number, scope, cost, duration, timing or results of our research and development activities, preclinical studies and clinical trials, including the timing for initiation or completion of or availability of results from any preclinical studies and clinical trials or for submission, review or approval of any regulatory filing; the timing of, and our ability to, obtain and maintain regulatory approvals for any of our product candidates; the potential benefits that may be derived from any of our product candidates; our strategies, prospects, plans, goals, expectations, forecasts or objectives; the success of our collaborations with third parties; any payment that our collaboration partners may make to us;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developments and projections relating to our competitors in the industry; our liquidity and working capital requirements; the expected impact of new accounting standards; and our expectations regarding the impact of COVID-19, and variants thereof, on our business, including our research and development activities, preclinical studies and clinical trials, supply of drug product, and our workforce.</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we believe that we have a reasonable basis for each forward-looking statement contained in this report, we caution you that these statements are based on our estimates or projections of the future that are subject to known and unknown risks and uncertainties and other important factors that may cause our actual results, level of activity, performance or achievements expressed or implied by any forward-looking statement to differ. These risks, uncertainties and other factors include, among other things, our critical accounting policies and: the ability of our preclinical studies to produce data sufficient to support the filing of global clinical trial applications and the timing thereof; our ability to continue to build and maintain the company infrastructure and personnel needed to achieve our goals; the clinical results and timing of our programs, which may not support further development of our product candidates; actions of regulatory agencies, which may affect the initiation, timing and progress of clinical trials; our effectiveness in managing current and future clinical trials and regulatory processes; the success of our platform in identifying viable candidates; the continued development and acceptance of nucleic acid therapeutics as a class of drugs; our ability to demonstrate the therapeutic benefits of our stereopure candidates in clinical trials, including our ability to develop candidates across multiple therapeutic modalities; our ability to obtain, maintain and protect intellectual property; our ability to enforce our patents against infringers and defend our patent portfolio against challenges from third parties; our ability to fund our operations and to raise additional capital as needed; competition from others developing therapies for similar uses; the severity and duration of the COVID-19 pandemic; the COVID-19 pandemic, and variants thereof, may negatively impact the conduct of, and the timing of enrollment, completion and reporting with respect to, our clinical trials; and any other impacts on our business as a result of or related to the COVID-19 pandemic, as well as other risks and uncertainties under the “Risk Factors” section of this Annual Report on Form 10-K and in other filings we make with the Securities and Exchange Commission.</w:t>
      </w:r>
    </w:p>
    <w:p>
      <w:pPr>
        <w:spacing w:after="0" w:line="16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Each forward-looking statement contained in this report is based on a combination of facts and factors currently known by us and our expectations of the future, about which we cannot be certain.</w:t>
      </w:r>
    </w:p>
    <w:p>
      <w:pPr>
        <w:spacing w:after="0" w:line="171" w:lineRule="exact"/>
        <w:rPr>
          <w:sz w:val="20"/>
          <w:szCs w:val="20"/>
          <w:color w:val="auto"/>
        </w:rPr>
      </w:pPr>
    </w:p>
    <w:p>
      <w:pPr>
        <w:ind w:right="380"/>
        <w:spacing w:after="0" w:line="300" w:lineRule="auto"/>
        <w:rPr>
          <w:sz w:val="20"/>
          <w:szCs w:val="20"/>
          <w:color w:val="auto"/>
        </w:rPr>
      </w:pPr>
      <w:r>
        <w:rPr>
          <w:rFonts w:ascii="Arial" w:cs="Arial" w:eastAsia="Arial" w:hAnsi="Arial"/>
          <w:sz w:val="16"/>
          <w:szCs w:val="16"/>
          <w:color w:val="auto"/>
        </w:rPr>
        <w:t>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caution you not to place undue reliance on any forward-looking statement.</w:t>
      </w:r>
    </w:p>
    <w:p>
      <w:pPr>
        <w:spacing w:after="0" w:line="15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any forward-looking statement in this report represents our views only as of the date of this report and should not be relied upon as representing our views as of any subsequent date. We anticipate that subsequent events and developments may cause our views to change. Although we may elect to update these forward-looking statements publicly at some point in the future, we undertake no obligation to publicly update any forward-looking statements, whether as a result of new information, future events or otherwise, except as required by applicable law.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 w:name="page4"/>
    <w:bookmarkEnd w:id="3"/>
    <w:p>
      <w:pPr>
        <w:ind w:right="460"/>
        <w:spacing w:after="0" w:line="275" w:lineRule="auto"/>
        <w:rPr>
          <w:sz w:val="20"/>
          <w:szCs w:val="20"/>
          <w:color w:val="auto"/>
        </w:rPr>
      </w:pPr>
      <w:r>
        <w:rPr>
          <w:rFonts w:ascii="Arial" w:cs="Arial" w:eastAsia="Arial" w:hAnsi="Arial"/>
          <w:sz w:val="18"/>
          <w:szCs w:val="18"/>
          <w:color w:val="auto"/>
        </w:rPr>
        <w:t>As used in this Annual Report on Form 10-K, unless otherwise stated or the context otherwise indicates, references to “Wave,” the “Company,” “we,” “our,” “us” or similar terms refer to Wave Life Sciences Ltd. and our wholly-owned subsidiaries.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Wave Life Sciences Ltd. and Wave Life Sciences Pte. Ltd. names, the Wave Life Sciences mark, PRISM and the other registered and pending trademarks, trade names and service marks of Wave Life Sciences Ltd. appearing in this Annual Report on Form 10-K are the property of Wave Life Sciences Ltd. This Annual Report on Form 10-K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Annual Report on Form 10-K are referred to without the ® and ™ symbols, but such reference should not be construed as any indicator that their respective owners will not assert, to the fullest extent under applicable law, their rights thereto.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2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79" w:lineRule="exact"/>
        <w:rPr>
          <w:sz w:val="20"/>
          <w:szCs w:val="20"/>
          <w:color w:val="auto"/>
        </w:rPr>
      </w:pPr>
    </w:p>
    <w:p>
      <w:pPr>
        <w:ind w:left="38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clinical-stage genetic medicines company with a history of losses, and we expect to continue to incur losses for the foreseeable future, and we may never achieve or maintain profitability.</w:t>
      </w:r>
    </w:p>
    <w:p>
      <w:pPr>
        <w:spacing w:after="0" w:line="7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29" w:lineRule="exact"/>
        <w:rPr>
          <w:rFonts w:ascii="Arial" w:cs="Arial" w:eastAsia="Arial" w:hAnsi="Arial"/>
          <w:sz w:val="18"/>
          <w:szCs w:val="18"/>
          <w:color w:val="auto"/>
        </w:rPr>
      </w:pPr>
    </w:p>
    <w:p>
      <w:pPr>
        <w:ind w:left="380" w:right="20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has broad discretion over the use of proceeds received from sales of our securities and our collaborations with third parties and the proceeds may not be used effectively.</w:t>
      </w:r>
    </w:p>
    <w:p>
      <w:pPr>
        <w:spacing w:after="0" w:line="7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short operating history may make it difficult for shareholders to evaluate the success of our business to date and to assess our future viability.</w:t>
      </w:r>
    </w:p>
    <w:p>
      <w:pPr>
        <w:spacing w:after="0" w:line="152" w:lineRule="exact"/>
        <w:rPr>
          <w:rFonts w:ascii="Arial" w:cs="Arial" w:eastAsia="Arial" w:hAnsi="Arial"/>
          <w:sz w:val="16"/>
          <w:szCs w:val="16"/>
          <w:color w:val="auto"/>
        </w:rPr>
      </w:pPr>
    </w:p>
    <w:p>
      <w:pPr>
        <w:ind w:left="380" w:right="28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or third parties upon whom we depend, may face risks related to health epidemics, including the novel coronavirus (COVID-19) pandemic and variants thereof, which may cause adverse effects on our business and operations.</w:t>
      </w:r>
    </w:p>
    <w:p>
      <w:pPr>
        <w:spacing w:after="0" w:line="77" w:lineRule="exact"/>
        <w:rPr>
          <w:rFonts w:ascii="Arial" w:cs="Arial" w:eastAsia="Arial" w:hAnsi="Arial"/>
          <w:sz w:val="18"/>
          <w:szCs w:val="18"/>
          <w:color w:val="auto"/>
        </w:rPr>
      </w:pPr>
    </w:p>
    <w:p>
      <w:pPr>
        <w:ind w:left="380" w:right="22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oligonucleotides is novel and may never lead to marketable products and there is increased risk that the outcome of our clinical trials will not be sufficient to obtain regulatory approval.</w:t>
      </w:r>
    </w:p>
    <w:p>
      <w:pPr>
        <w:spacing w:after="0" w:line="7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conduct preclinical studies and/or clinical trials successfully, which could materially harm our business.</w:t>
      </w:r>
    </w:p>
    <w:p>
      <w:pPr>
        <w:spacing w:after="0" w:line="129" w:lineRule="exact"/>
        <w:rPr>
          <w:rFonts w:ascii="Arial" w:cs="Arial" w:eastAsia="Arial" w:hAnsi="Arial"/>
          <w:sz w:val="18"/>
          <w:szCs w:val="18"/>
          <w:color w:val="auto"/>
        </w:rPr>
      </w:pPr>
    </w:p>
    <w:p>
      <w:pPr>
        <w:ind w:left="380" w:right="260" w:hanging="372"/>
        <w:spacing w:after="0" w:line="306"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53"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preclinical studies and early clinical trials may not be predictive of results of future clinical trials.</w:t>
      </w:r>
    </w:p>
    <w:p>
      <w:pPr>
        <w:spacing w:after="0" w:line="129" w:lineRule="exact"/>
        <w:rPr>
          <w:rFonts w:ascii="Arial" w:cs="Arial" w:eastAsia="Arial" w:hAnsi="Arial"/>
          <w:sz w:val="18"/>
          <w:szCs w:val="18"/>
          <w:color w:val="auto"/>
        </w:rPr>
      </w:pPr>
    </w:p>
    <w:p>
      <w:pPr>
        <w:ind w:left="380" w:right="14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77" w:lineRule="exact"/>
        <w:rPr>
          <w:rFonts w:ascii="Arial" w:cs="Arial" w:eastAsia="Arial" w:hAnsi="Arial"/>
          <w:sz w:val="18"/>
          <w:szCs w:val="18"/>
          <w:color w:val="auto"/>
        </w:rPr>
      </w:pPr>
    </w:p>
    <w:p>
      <w:pPr>
        <w:ind w:left="380" w:right="20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77" w:lineRule="exact"/>
        <w:rPr>
          <w:rFonts w:ascii="Arial" w:cs="Arial" w:eastAsia="Arial" w:hAnsi="Arial"/>
          <w:sz w:val="18"/>
          <w:szCs w:val="18"/>
          <w:color w:val="auto"/>
        </w:rPr>
      </w:pPr>
    </w:p>
    <w:p>
      <w:pPr>
        <w:ind w:left="380" w:hanging="372"/>
        <w:spacing w:after="0" w:line="26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obtain regulatory approvals, our marketed drugs will be subject to ongoing regulatory oversight. If we fail to comply with continuing U.S. and foreign requirements, our regulatory approvals, if obtained, could be limited or withdrawn, we could be subject to other penalties, and our business would be seriously harmed.</w:t>
      </w:r>
    </w:p>
    <w:p>
      <w:pPr>
        <w:spacing w:after="0" w:line="88" w:lineRule="exact"/>
        <w:rPr>
          <w:rFonts w:ascii="Arial" w:cs="Arial" w:eastAsia="Arial" w:hAnsi="Arial"/>
          <w:sz w:val="18"/>
          <w:szCs w:val="18"/>
          <w:color w:val="auto"/>
        </w:rPr>
      </w:pPr>
    </w:p>
    <w:p>
      <w:pPr>
        <w:ind w:left="380" w:right="78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compete effectively with existing drugs, new treatment methods and new technologies, we may be unable to successfully commercialize any drugs that we develop.</w:t>
      </w:r>
    </w:p>
    <w:p>
      <w:pPr>
        <w:spacing w:after="0" w:line="77" w:lineRule="exact"/>
        <w:rPr>
          <w:rFonts w:ascii="Arial" w:cs="Arial" w:eastAsia="Arial" w:hAnsi="Arial"/>
          <w:sz w:val="18"/>
          <w:szCs w:val="18"/>
          <w:color w:val="auto"/>
        </w:rPr>
      </w:pPr>
    </w:p>
    <w:p>
      <w:pPr>
        <w:ind w:left="380" w:right="18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and developments in international trade by the U.S. and foreign governments could adversely affect our business.</w:t>
      </w:r>
    </w:p>
    <w:p>
      <w:pPr>
        <w:spacing w:after="0" w:line="77" w:lineRule="exact"/>
        <w:rPr>
          <w:rFonts w:ascii="Arial" w:cs="Arial" w:eastAsia="Arial" w:hAnsi="Arial"/>
          <w:sz w:val="18"/>
          <w:szCs w:val="18"/>
          <w:color w:val="auto"/>
        </w:rPr>
      </w:pPr>
    </w:p>
    <w:p>
      <w:pPr>
        <w:ind w:left="380" w:right="40" w:hanging="372"/>
        <w:spacing w:after="0" w:line="262"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88" w:lineRule="exact"/>
        <w:rPr>
          <w:rFonts w:ascii="Arial" w:cs="Arial" w:eastAsia="Arial" w:hAnsi="Arial"/>
          <w:sz w:val="18"/>
          <w:szCs w:val="18"/>
          <w:color w:val="auto"/>
        </w:rPr>
      </w:pPr>
    </w:p>
    <w:p>
      <w:pPr>
        <w:ind w:left="380" w:right="20" w:hanging="372"/>
        <w:spacing w:after="0" w:line="275"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compound formulation, research, preclinical studies and clinical trials, and those third parties may not perform satisfactorily, which may harm our business.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 w:name="page5"/>
    <w:bookmarkEnd w:id="4"/>
    <w:p>
      <w:pPr>
        <w:ind w:left="372" w:right="20" w:hanging="372"/>
        <w:spacing w:after="0" w:line="262"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8" w:lineRule="exact"/>
        <w:rPr>
          <w:rFonts w:ascii="Arial" w:cs="Arial" w:eastAsia="Arial" w:hAnsi="Arial"/>
          <w:sz w:val="18"/>
          <w:szCs w:val="18"/>
          <w:color w:val="auto"/>
        </w:rPr>
      </w:pPr>
    </w:p>
    <w:p>
      <w:pPr>
        <w:ind w:left="372" w:right="28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attract and retain qualified key management and scientists, staff, consultants and advisors, our ability to implement our business plan may be adversely affected.</w:t>
      </w:r>
    </w:p>
    <w:p>
      <w:pPr>
        <w:spacing w:after="0" w:line="77" w:lineRule="exact"/>
        <w:rPr>
          <w:rFonts w:ascii="Arial" w:cs="Arial" w:eastAsia="Arial" w:hAnsi="Arial"/>
          <w:sz w:val="18"/>
          <w:szCs w:val="18"/>
          <w:color w:val="auto"/>
        </w:rPr>
      </w:pPr>
    </w:p>
    <w:p>
      <w:pPr>
        <w:ind w:left="372" w:right="38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obtain and enforce market exclusivity for our technologies or product candidates, development and commercialization of our product candidates may be adversely affected.</w:t>
      </w:r>
    </w:p>
    <w:p>
      <w:pPr>
        <w:spacing w:after="0" w:line="77" w:lineRule="exact"/>
        <w:rPr>
          <w:rFonts w:ascii="Arial" w:cs="Arial" w:eastAsia="Arial" w:hAnsi="Arial"/>
          <w:sz w:val="18"/>
          <w:szCs w:val="18"/>
          <w:color w:val="auto"/>
        </w:rPr>
      </w:pPr>
    </w:p>
    <w:p>
      <w:pPr>
        <w:ind w:left="372" w:hanging="372"/>
        <w:spacing w:after="0" w:line="262"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88" w:lineRule="exact"/>
        <w:rPr>
          <w:rFonts w:ascii="Arial" w:cs="Arial" w:eastAsia="Arial" w:hAnsi="Arial"/>
          <w:sz w:val="18"/>
          <w:szCs w:val="18"/>
          <w:color w:val="auto"/>
        </w:rPr>
      </w:pPr>
    </w:p>
    <w:p>
      <w:pPr>
        <w:ind w:left="372" w:right="30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companies or organizations may challenge our or our licensors’ patent rights or may assert patent rights that prevent us from developing and commercializing our products.</w:t>
      </w:r>
    </w:p>
    <w:p>
      <w:pPr>
        <w:spacing w:after="0" w:line="77" w:lineRule="exact"/>
        <w:rPr>
          <w:rFonts w:ascii="Arial" w:cs="Arial" w:eastAsia="Arial" w:hAnsi="Arial"/>
          <w:sz w:val="18"/>
          <w:szCs w:val="18"/>
          <w:color w:val="auto"/>
        </w:rPr>
      </w:pPr>
    </w:p>
    <w:p>
      <w:pPr>
        <w:jc w:val="both"/>
        <w:ind w:left="372" w:right="340" w:hanging="372"/>
        <w:spacing w:after="0" w:line="262"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8" w:lineRule="exact"/>
        <w:rPr>
          <w:rFonts w:ascii="Arial" w:cs="Arial" w:eastAsia="Arial" w:hAnsi="Arial"/>
          <w:sz w:val="18"/>
          <w:szCs w:val="18"/>
          <w:color w:val="auto"/>
        </w:rPr>
      </w:pPr>
    </w:p>
    <w:p>
      <w:pPr>
        <w:ind w:left="372" w:right="40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incorporated in Singapore and our shareholders may have more difficulty in protecting their interests than they would as shareholders of a corporation incorporated in the United States.</w:t>
      </w:r>
    </w:p>
    <w:p>
      <w:pPr>
        <w:spacing w:after="0" w:line="171" w:lineRule="exact"/>
        <w:rPr>
          <w:rFonts w:ascii="Arial" w:cs="Arial" w:eastAsia="Arial" w:hAnsi="Arial"/>
          <w:sz w:val="18"/>
          <w:szCs w:val="18"/>
          <w:color w:val="auto"/>
        </w:rPr>
      </w:pPr>
    </w:p>
    <w:p>
      <w:pPr>
        <w:ind w:left="372" w:right="32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the laws of Singapore, which differ in certain material respects from the laws of the United States. The public market may not be liquid enough for our shareholders to sell their ordinary shares quickly or at market price, or at all.</w:t>
      </w:r>
    </w:p>
    <w:p>
      <w:pPr>
        <w:spacing w:after="0" w:line="171" w:lineRule="exact"/>
        <w:rPr>
          <w:rFonts w:ascii="Arial" w:cs="Arial" w:eastAsia="Arial" w:hAnsi="Arial"/>
          <w:sz w:val="18"/>
          <w:szCs w:val="18"/>
          <w:color w:val="auto"/>
        </w:rPr>
      </w:pPr>
    </w:p>
    <w:p>
      <w:pPr>
        <w:ind w:left="372" w:right="320" w:hanging="372"/>
        <w:spacing w:after="0" w:line="27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price of our ordinary shares is likely to be highly volatile due to various/numerous factors, which could cause the price of our ordinary shares to decline and we may incur significant costs from class action litigation due to share volatility.</w:t>
      </w:r>
    </w:p>
    <w:p>
      <w:pPr>
        <w:spacing w:after="0" w:line="200" w:lineRule="exact"/>
        <w:rPr>
          <w:sz w:val="20"/>
          <w:szCs w:val="20"/>
          <w:color w:val="auto"/>
        </w:rPr>
      </w:pPr>
    </w:p>
    <w:p>
      <w:pPr>
        <w:spacing w:after="0" w:line="38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92"/>
          </w:cols>
          <w:pgMar w:left="328" w:top="340"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a clinical-stage genetic medicines company committed to delivering life-changing treatments for people battling devastating diseases. Using PRISM™, our proprietary discovery and drug development platform that enables the precise design, optimization and production of novel stereopure oligonucleotides, we aspire to develop best-in-class medicines that target the transcriptome to treat genetically defined diseases with a high degree of unmet need.</w:t>
      </w:r>
    </w:p>
    <w:p>
      <w:pPr>
        <w:spacing w:after="0" w:line="7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We are developing oligonucleotides that target ribonucleic acid (“RNA”) and harness existing cellular machinery to reduce the expression of disease-promoting RNA or proteins, restore the production of functional proteins, or modulate protein expression. By intervening at the RNA level, we have the potential to address diseases that have historically been difficult to treat with small molecules or biologics, while retaining the ability to titrate dose, modulate duration of effect, and avoid risk of permanent off-target genetic changes and other challenges associated with DNA editing or gene therapy approaches. Oligonucleotides have additional advantages as a therapeutic class, including the ability to access multiple tissue types and the ability to modulate the frequency of dosing to ensure broad distribution within tissues over time. Oligonucleotides also have well-established manufacturing processes and validated test methods based on decades of improvements, as well as established regulatory, access and reimbursement pathways.</w:t>
      </w:r>
    </w:p>
    <w:p>
      <w:pPr>
        <w:spacing w:after="0" w:line="5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approach is based on the scientific insight that the biological machinery necessary to address genetic diseases already exists in human cells and can be controlled with the right tools. We have built a genetic toolkit comprised of multiple therapeutic modalities, including RNase-H mediated silencing, RNAi, splicing, and RNA base editing, all of which leverage learnings and optimizations from our PRISM platform and allow us to design built-for-purpose molecules to optimally address disease biology.</w:t>
      </w:r>
    </w:p>
    <w:p>
      <w:pPr>
        <w:spacing w:after="0" w:line="7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A-to-I RNA base editing oligonucleotides (“AIMers”) represent our newest therapeutic modality. AIMers are designed to correct single base mutations on RNA transcript, thereby avoiding permanent changes to the genome that occur with DNA-targeting approaches. Rather than using an exogenous editing enzyme, AIMers recruit proteins that exist in the body, called ADAR (adenosine deaminases acting on RNA) enzymes, which naturally possess the ability to change an adenine (A) to an inosine (I), which cells read as guanine (G). This approach enables simplified delivery and avoids the risk of irreversible off-target effects with DNA-targeting approaches. AIMers are short in length, fully chemically modified, and use novel chemistry, including proprietary PN backbone modifications and chiral control, which make them distinct from other ADAR-mediated editing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44450</wp:posOffset>
            </wp:positionV>
            <wp:extent cx="4946015" cy="2178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601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PRISM platform is built on the recognition that a significant opportunity exists to tune the pharmacological properties of oligonucleotide therapeutics by leveraging three key features of these molecules: sequence, chemistry, and stereochemistry. Our unique ability to control stereochemistry, which is a reality of chemically modified oligonucleotides, provides the resolution necessary to optimize pharmacological profiles. PRISM therefore enables us to design stereopure oligonucleotides, which are comprised of molecules with atoms precisely and purposefully arranged in three-dimensional orientations at each linkage. These differ from the mixture-based oligonucleotides currently on the market or in development by others. Additionally, to mitigate pharmacological risks and potential manufacturing challenges, our approach focuses on designing short, chemically modified oligonucleotides without the need for complex delivery vehicles.</w:t>
      </w:r>
    </w:p>
    <w:p>
      <w:pPr>
        <w:spacing w:after="0" w:line="8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work in developing stereopure oligonucleotides has enabled the continued evolution of PRISM and our drug discovery process of selecting genetically defined targets, identifying a sequence and applying the therapeutic modality we determine is best suited for the disease biology. We use our PRISM platform engine to screen candidates and optimize the pharmacologic profile based on predefined design principles, which reflect a deep understanding of how the interplay among oligonucleotide sequence, chemistry and backbone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6" w:name="page7"/>
    <w:bookmarkEnd w:id="6"/>
    <w:p>
      <w:pPr>
        <w:ind w:right="380"/>
        <w:spacing w:after="0" w:line="262" w:lineRule="auto"/>
        <w:rPr>
          <w:sz w:val="20"/>
          <w:szCs w:val="20"/>
          <w:color w:val="auto"/>
        </w:rPr>
      </w:pPr>
      <w:r>
        <w:rPr>
          <w:rFonts w:ascii="Arial" w:cs="Arial" w:eastAsia="Arial" w:hAnsi="Arial"/>
          <w:sz w:val="18"/>
          <w:szCs w:val="18"/>
          <w:color w:val="auto"/>
        </w:rPr>
        <w:t xml:space="preserve">stereochemistry impacts key pharmacological properties. Through continued exploration of these interactions using iterative analysis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outcomes and machine learning-driven predictive modeling, we also continue to refine our design principles that we deploy across subsequent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August 2020, we publicly introduced our novel PN backbone chemistry modifications, which have been shown preclinically to increase potency, distribution and durability of effect across various modalities. PN chemistry has been incorporated into all of our current clinical, preclinical and discovery-stage programs.</w:t>
      </w:r>
    </w:p>
    <w:p>
      <w:pPr>
        <w:spacing w:after="0" w:line="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have a robust and diverse pipeline of PN-modified, stereopure oligonucleotides, including our clinical silencing and splicing programs, as well as our AIMers. Our lead clinical development programs are designed to treat genetic diseases within the central nervous system (“CNS”), including amyotrophic lateral sclerosis (“ALS”), frontotemporal dementia (“FTD”), Huntington’s disease (“HD”), and muscular dystrophies, including Duchenne muscular dystrophy (“DMD”). These programs include:</w:t>
      </w:r>
    </w:p>
    <w:p>
      <w:pPr>
        <w:spacing w:after="0" w:line="79" w:lineRule="exact"/>
        <w:rPr>
          <w:sz w:val="20"/>
          <w:szCs w:val="20"/>
          <w:color w:val="auto"/>
        </w:rPr>
      </w:pPr>
    </w:p>
    <w:p>
      <w:pPr>
        <w:ind w:left="740" w:hanging="36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WVE-004 (silencing), our C9orf72 molecule for the treatment of C9orf72-associated ALS and FTD,</w:t>
      </w:r>
    </w:p>
    <w:p>
      <w:pPr>
        <w:spacing w:after="0" w:line="22" w:lineRule="exact"/>
        <w:rPr>
          <w:rFonts w:ascii="Arial" w:cs="Arial" w:eastAsia="Arial" w:hAnsi="Arial"/>
          <w:sz w:val="18"/>
          <w:szCs w:val="18"/>
          <w:color w:val="auto"/>
        </w:rPr>
      </w:pPr>
    </w:p>
    <w:p>
      <w:pPr>
        <w:ind w:left="740" w:hanging="36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WVE-003 (silencing), our mHTT SNP3 molecule for the treatment of HD, and</w:t>
      </w:r>
    </w:p>
    <w:p>
      <w:pPr>
        <w:spacing w:after="0" w:line="8" w:lineRule="exact"/>
        <w:rPr>
          <w:rFonts w:ascii="Arial" w:cs="Arial" w:eastAsia="Arial" w:hAnsi="Arial"/>
          <w:sz w:val="18"/>
          <w:szCs w:val="18"/>
          <w:color w:val="auto"/>
        </w:rPr>
      </w:pPr>
    </w:p>
    <w:p>
      <w:pPr>
        <w:ind w:left="740" w:hanging="36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WVE-N531 (splicing), our exon 53 molecule for the treatment of DMD.</w:t>
      </w:r>
    </w:p>
    <w:p>
      <w:pPr>
        <w:spacing w:after="0" w:line="101"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With RNA base editing, our initial focus is on using GalNAc-conjugated AIMers to treat hepatic diseases and our lead program is designed to treat alpha-1antitrypsin deficiency (“AATD”). We expect to select an AATD AIMer development candidate and initiate IND-enabling toxicology studies in the third quarter of 2022.</w:t>
      </w:r>
    </w:p>
    <w:p>
      <w:pPr>
        <w:spacing w:after="0" w:line="75"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We continue to invest in PRISM to further evolve and apply the expanding capabilities and promise of our unique platform. We have also established and continue to enhance our internal current good manufacturing practices (“cGMP”) manufacturing capabilities to increase control and visibility of our drug substance supply chain, while continuing to innovate oligonucleotide manufacturing.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14605</wp:posOffset>
            </wp:positionV>
            <wp:extent cx="6150610" cy="279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0610" cy="279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our lead therapeutic programs are set forth below.</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w:t>
      </w:r>
    </w:p>
    <w:p>
      <w:pPr>
        <w:spacing w:after="0" w:line="116"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i w:val="1"/>
          <w:iCs w:val="1"/>
          <w:u w:val="single" w:color="auto"/>
          <w:color w:val="auto"/>
        </w:rPr>
        <w:t>WVE-004</w:t>
      </w:r>
      <w:r>
        <w:rPr>
          <w:rFonts w:ascii="Arial" w:cs="Arial" w:eastAsia="Arial" w:hAnsi="Arial"/>
          <w:sz w:val="16"/>
          <w:szCs w:val="16"/>
          <w:color w:val="auto"/>
        </w:rPr>
        <w:t>: In ALS and FTD, we are advancing WVE-004, which uses our novel PN chemistry and preferentially targets the transcripts containing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hexanucleotide G4C2 expansion in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 In C9 BAC transgenic mice, WVE-004 led to substantial reductions in repeat-containing C9orf72 transcripts and dipeptide repeat (“DPR”) proteins that are sustained for at least six months, without disrupting total C9orf72 protein expression.</w:t>
      </w:r>
    </w:p>
    <w:p>
      <w:pPr>
        <w:spacing w:after="0" w:line="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FOCUS-C9 trial is a global, multicenter, randomized, double-blind, placebo-controlled Phase 1b/2a clinical trial to assess the safety and tolerability of intrathecal doses of WVE-004 for patients with C9-ALS and/or C9-FTD. Additional objectives include measurement of polyGP proteins in the cerebrospinal fluid (“CSF”), plasma and CSF pharmacokinetics and exploratory biomarker and clinical endpoints. The FOCUS-C9 trial is designed to be adaptive with dose level and dosing frequency being guided by an independent committee. Preclinical models that have established pharmacologic activity have informed the starting dose for this trial.</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7" w:name="page8"/>
    <w:bookmarkEnd w:id="7"/>
    <w:p>
      <w:pPr>
        <w:ind w:right="460"/>
        <w:spacing w:after="0" w:line="275" w:lineRule="auto"/>
        <w:rPr>
          <w:sz w:val="20"/>
          <w:szCs w:val="20"/>
          <w:color w:val="auto"/>
        </w:rPr>
      </w:pPr>
      <w:r>
        <w:rPr>
          <w:rFonts w:ascii="Arial" w:cs="Arial" w:eastAsia="Arial" w:hAnsi="Arial"/>
          <w:sz w:val="18"/>
          <w:szCs w:val="18"/>
          <w:color w:val="auto"/>
        </w:rPr>
        <w:t>In July 2021, we announced the initiation of dosing in the FOCUS-C9 clinical trial. We expect to share clinical data in 2022 to provide insight into the clinical effects of PN chemistry and enable decision making for WVE-004.</w:t>
      </w:r>
    </w:p>
    <w:p>
      <w:pPr>
        <w:spacing w:after="0" w:line="64" w:lineRule="exact"/>
        <w:rPr>
          <w:sz w:val="20"/>
          <w:szCs w:val="20"/>
          <w:color w:val="auto"/>
        </w:rPr>
      </w:pPr>
    </w:p>
    <w:p>
      <w:pPr>
        <w:ind w:right="640"/>
        <w:spacing w:after="0" w:line="290" w:lineRule="auto"/>
        <w:rPr>
          <w:sz w:val="20"/>
          <w:szCs w:val="20"/>
          <w:color w:val="auto"/>
        </w:rPr>
      </w:pPr>
      <w:r>
        <w:rPr>
          <w:rFonts w:ascii="Arial" w:cs="Arial" w:eastAsia="Arial" w:hAnsi="Arial"/>
          <w:sz w:val="16"/>
          <w:szCs w:val="16"/>
          <w:i w:val="1"/>
          <w:iCs w:val="1"/>
          <w:u w:val="single" w:color="auto"/>
          <w:color w:val="auto"/>
        </w:rPr>
        <w:t>WVE-003:</w:t>
      </w:r>
      <w:r>
        <w:rPr>
          <w:rFonts w:ascii="Arial" w:cs="Arial" w:eastAsia="Arial" w:hAnsi="Arial"/>
          <w:sz w:val="16"/>
          <w:szCs w:val="16"/>
          <w:i w:val="1"/>
          <w:iCs w:val="1"/>
          <w:color w:val="auto"/>
        </w:rPr>
        <w:t xml:space="preserve"> </w:t>
      </w:r>
      <w:r>
        <w:rPr>
          <w:rFonts w:ascii="Arial" w:cs="Arial" w:eastAsia="Arial" w:hAnsi="Arial"/>
          <w:sz w:val="16"/>
          <w:szCs w:val="16"/>
          <w:color w:val="auto"/>
        </w:rPr>
        <w:t>In HD, we are currently advancing WVE-003, a stereopure antisense oligonucleotide designed to selectively target an undisclosed single</w:t>
      </w:r>
      <w:r>
        <w:rPr>
          <w:rFonts w:ascii="Arial" w:cs="Arial" w:eastAsia="Arial" w:hAnsi="Arial"/>
          <w:sz w:val="16"/>
          <w:szCs w:val="16"/>
          <w:i w:val="1"/>
          <w:iCs w:val="1"/>
          <w:color w:val="auto"/>
        </w:rPr>
        <w:t xml:space="preserve"> </w:t>
      </w:r>
      <w:r>
        <w:rPr>
          <w:rFonts w:ascii="Arial" w:cs="Arial" w:eastAsia="Arial" w:hAnsi="Arial"/>
          <w:sz w:val="16"/>
          <w:szCs w:val="16"/>
          <w:color w:val="auto"/>
        </w:rPr>
        <w:t>nucleotide polymorphism (“SNP”), “mHTT SNP3”, associated with the disease-causing mutant huntingtin (“mHTT”) mRNA transcript within</w:t>
      </w:r>
    </w:p>
    <w:p>
      <w:pPr>
        <w:ind w:right="120"/>
        <w:spacing w:after="0" w:line="25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WVE-003 incorporates our novel PN chemistry, as well as learnings from our first-generation HD programs. Targeting mRNA with SNP3 allows us to lower expression of transcript from the mutant allele, while leaving the healthy transcript relatively intact, thereby preserving wild-type (healthy) huntingtin (“wtHTT”) protein, which is important for neuronal function. Our allele-selective approach may also enable us to address the pre-manifest, or asymptomatic, HD patient population in the future. In preclinical studies, WVE-003 showed dose-dependent and selective reduction of mHTT mRNA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potent and durable knockdown of mHTT mRNA and protein </w:t>
      </w:r>
      <w:r>
        <w:rPr>
          <w:rFonts w:ascii="Arial" w:cs="Arial" w:eastAsia="Arial" w:hAnsi="Arial"/>
          <w:sz w:val="18"/>
          <w:szCs w:val="18"/>
          <w:i w:val="1"/>
          <w:iCs w:val="1"/>
          <w:color w:val="auto"/>
        </w:rPr>
        <w:t>in vivo</w:t>
      </w:r>
      <w:r>
        <w:rPr>
          <w:rFonts w:ascii="Arial" w:cs="Arial" w:eastAsia="Arial" w:hAnsi="Arial"/>
          <w:sz w:val="18"/>
          <w:szCs w:val="18"/>
          <w:color w:val="auto"/>
        </w:rPr>
        <w:t>. A pharmacokinetic-pharmacodynamic (“PK-PD”) model for WVE-003 based on preclinical data predicts that WVE-003 may attain sufficient concentrations to engage mHTT transcript in both the cortex and striatum and decrease expression of the mHTT protein.</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SELECT-HD trial is a multicenter, randomized, double-blind, placebo-controlled Phase 1b/2a clinical trial to assess the safety and tolerability of intrathecally administered WVE-003 for patients with early manifest HD. Additional objectives include measurement of mHTT and wtHTT protein and exploratory pharmacokinetic, pharmacodynamic, clinical and magnetic resonance imaging (“MRI”) endpoints. The SELECT-HD trial is designed to be adaptive, with dose level and dosing frequency being guided by an independent committee. Preclinical models that have established pharmacologic activity have informed the starting dose for this trial. In September 2021, we announced the initiation of dosing in the SELECT-HD trial. We expect to share clinical data in 2022 to provide insight into the clinical effects of PN chemistry and enable decision making for WVE-003.</w:t>
      </w:r>
    </w:p>
    <w:p>
      <w:pPr>
        <w:spacing w:after="0" w:line="70"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i w:val="1"/>
          <w:iCs w:val="1"/>
          <w:u w:val="single" w:color="auto"/>
          <w:color w:val="auto"/>
        </w:rPr>
        <w:t>WVE-N531</w:t>
      </w:r>
      <w:r>
        <w:rPr>
          <w:rFonts w:ascii="Arial" w:cs="Arial" w:eastAsia="Arial" w:hAnsi="Arial"/>
          <w:sz w:val="16"/>
          <w:szCs w:val="16"/>
          <w:color w:val="auto"/>
        </w:rPr>
        <w:t>: In DMD, we are advancing WVE-N531, which is designed to target exon 53 within the dystrophin gene. WVE-N531 is designed to cause the</w:t>
      </w:r>
      <w:r>
        <w:rPr>
          <w:rFonts w:ascii="Arial" w:cs="Arial" w:eastAsia="Arial" w:hAnsi="Arial"/>
          <w:sz w:val="16"/>
          <w:szCs w:val="16"/>
          <w:i w:val="1"/>
          <w:iCs w:val="1"/>
          <w:color w:val="auto"/>
        </w:rPr>
        <w:t xml:space="preserve"> </w:t>
      </w:r>
      <w:r>
        <w:rPr>
          <w:rFonts w:ascii="Arial" w:cs="Arial" w:eastAsia="Arial" w:hAnsi="Arial"/>
          <w:sz w:val="16"/>
          <w:szCs w:val="16"/>
          <w:color w:val="auto"/>
        </w:rPr>
        <w:t>cellular splicing machinery to skip over this exon during pre-mRNA processing, which restores the dystrophin mRNA reading frame and enables production of truncated, but functional dystrophin protein. Exon-skipping produces dystrophin from the endogenous dystrophin gene (not micro or mini dystrophin expressed from a vector), under the control of native gene-regulatory elements, resulting in normal temporospatial expression. WVE-N531 is both our first splicing candidate and our first systemically administered candidate incorporating PN chemistry to be assessed in the clinic.</w:t>
      </w:r>
    </w:p>
    <w:p>
      <w:pPr>
        <w:spacing w:after="0" w:line="5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September 2021, we announced the initiation of dosing in an open-label clinical trial evaluating WVE-N531 as a treatment for boys with DMD who are amenable to exon 53 skipping. We expect to share clinical data, including muscle biopsies, in 2022 to provide insight into the clinical effects of PN chemistry and enable decision making for WVE-N531.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Hepatic</w:t>
      </w:r>
    </w:p>
    <w:p>
      <w:pPr>
        <w:spacing w:after="0" w:line="23"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We are initially focused on developing AIMers to address genetic hepatic diseases. Our AIMers are relatively short and stable (fully chemically modified), which enables us to leverage clinically-proven N-acetyl galactosamine (“GalNAc”)-mediated delivery to hepatocytes with subcutaneous dosing.</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Alpha-1 antitrypsin deficiency (“AATD”):</w:t>
      </w:r>
      <w:r>
        <w:rPr>
          <w:rFonts w:ascii="Arial" w:cs="Arial" w:eastAsia="Arial" w:hAnsi="Arial"/>
          <w:sz w:val="18"/>
          <w:szCs w:val="18"/>
          <w:i w:val="1"/>
          <w:iCs w:val="1"/>
          <w:color w:val="auto"/>
        </w:rPr>
        <w:t xml:space="preserve"> </w:t>
      </w:r>
      <w:r>
        <w:rPr>
          <w:rFonts w:ascii="Arial" w:cs="Arial" w:eastAsia="Arial" w:hAnsi="Arial"/>
          <w:sz w:val="18"/>
          <w:szCs w:val="18"/>
          <w:color w:val="auto"/>
        </w:rPr>
        <w:t>Our AATD program is the first to leverage our novel RNA editing capability that uses GalNAc-conjugated</w:t>
      </w:r>
      <w:r>
        <w:rPr>
          <w:rFonts w:ascii="Arial" w:cs="Arial" w:eastAsia="Arial" w:hAnsi="Arial"/>
          <w:sz w:val="18"/>
          <w:szCs w:val="18"/>
          <w:i w:val="1"/>
          <w:iCs w:val="1"/>
          <w:color w:val="auto"/>
        </w:rPr>
        <w:t xml:space="preserve"> </w:t>
      </w:r>
      <w:r>
        <w:rPr>
          <w:rFonts w:ascii="Arial" w:cs="Arial" w:eastAsia="Arial" w:hAnsi="Arial"/>
          <w:sz w:val="18"/>
          <w:szCs w:val="18"/>
          <w:color w:val="auto"/>
        </w:rPr>
        <w:t>AIMers (RNA base editing oligonucleotides) and endogenous ADAR enzymes by correcting the single RNA base mutation, ADAR editing may provide an ideal approach for increasing circulating levels of wild-type AAT protein and reducing aggregation in the liver, thus simultaneously addressing both the lung and liver manifestations of the disease. We expect to select an AATD AIMer development candidate and initiate IND-enabling toxicology studies in the third quarter of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the COVID-19 Global Pandemic</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ongoing COVID-19 global pandemic, and variants thereof, continues to have widespread, rapidly evolving, and unpredictable impacts on global societies, economies, financial markets, and business practices. We are closely monitoring the impact of the pandemic and related developments, and our focus remains on safeguarding employee and patient health, while minimizing the negative effects on our business and continuing to advance the research and development of our therapeutic candidates. For discussion regarding the impact of the COVID-19 global pandemic on our business and financial results, see “Risk Factors” in Part I, Item 1A and “Management's Discussion and Analysis of Financial Condition and Results of Operations” in Part II, Item 7 of this Annual Report on Form 10-K.</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are building a fully integrated genetic medicines company by leveraging PRISM to design, develop and commercialize optimized disease-modifying medicines for indications with a high degree of unmet medical need in genetically defined diseases. Our lead clinical programs are focused in neurology and are aimed at addressing ALS, FTD, HD, and DMD using silencing and splicing modalities. We are also using our RNA base editing modality to address hepatic indications using GalNAc-conjugated AIMers, with our lead program aimed at treating AATD. In addition to driving clinical and preclinical programs, we are continuously investing in PRISM to fully unlock the potential of our unique and expanding platform capabilities.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key components of our strategy are as follows:</w:t>
      </w:r>
    </w:p>
    <w:p>
      <w:pPr>
        <w:spacing w:after="0" w:line="116" w:lineRule="exact"/>
        <w:rPr>
          <w:sz w:val="20"/>
          <w:szCs w:val="20"/>
          <w:color w:val="auto"/>
        </w:rPr>
      </w:pPr>
    </w:p>
    <w:p>
      <w:pPr>
        <w:ind w:left="1000" w:right="20" w:hanging="495"/>
        <w:spacing w:after="0" w:line="25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Extend our leadership in oligonucleotides</w:t>
      </w:r>
      <w:r>
        <w:rPr>
          <w:rFonts w:ascii="Arial" w:cs="Arial" w:eastAsia="Arial" w:hAnsi="Arial"/>
          <w:sz w:val="18"/>
          <w:szCs w:val="18"/>
          <w:color w:val="auto"/>
        </w:rPr>
        <w:t>. We intend to establish a dominant position in the field of oligonucleotides, advancing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pharmacology using stereochemistry and novel modifications across multiple therapeutic modalities and target classes. Our work has already led to the development of AIMers for RNA base editing, as well as the introduction of PN backbone chemistry modifications for potential therapeutic use. Through PRISM, our efforts continue to reveal structure-activity relationships among sequence, chemistry and backbone stereochemistry that may allow us to further tune the activity of our oligonucleotides in a previously unexplored, modality-specific manner.</w:t>
      </w:r>
    </w:p>
    <w:p>
      <w:pPr>
        <w:spacing w:after="0" w:line="84" w:lineRule="exact"/>
        <w:rPr>
          <w:rFonts w:ascii="Arial" w:cs="Arial" w:eastAsia="Arial" w:hAnsi="Arial"/>
          <w:sz w:val="18"/>
          <w:szCs w:val="18"/>
          <w:color w:val="auto"/>
        </w:rPr>
      </w:pPr>
    </w:p>
    <w:p>
      <w:pPr>
        <w:ind w:left="1000" w:right="20" w:hanging="495"/>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our differentiated neurology portfolio. </w:t>
      </w:r>
      <w:r>
        <w:rPr>
          <w:rFonts w:ascii="Arial" w:cs="Arial" w:eastAsia="Arial" w:hAnsi="Arial"/>
          <w:sz w:val="18"/>
          <w:szCs w:val="18"/>
          <w:color w:val="auto"/>
        </w:rPr>
        <w:t>We are committed to transforming the care of rare, neurological genetic diseases.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currently advancing three clinical-stage candidates: WVE-003, WVE-004, and WVE-N531, which were all designed with novel PN backbone chemistry modifications developed from our PRISM platform. Clinical data from these candidates will inform individual program decisions as well as future portfolio prioritization.</w:t>
      </w:r>
    </w:p>
    <w:p>
      <w:pPr>
        <w:spacing w:after="0" w:line="78" w:lineRule="exact"/>
        <w:rPr>
          <w:rFonts w:ascii="Arial" w:cs="Arial" w:eastAsia="Arial" w:hAnsi="Arial"/>
          <w:sz w:val="18"/>
          <w:szCs w:val="18"/>
          <w:color w:val="auto"/>
        </w:rPr>
      </w:pPr>
    </w:p>
    <w:p>
      <w:pPr>
        <w:ind w:left="1000" w:right="280" w:hanging="495"/>
        <w:spacing w:after="0" w:line="26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pipeline using our RNA base editing modality, led by hepatic diseases. </w:t>
      </w:r>
      <w:r>
        <w:rPr>
          <w:rFonts w:ascii="Arial" w:cs="Arial" w:eastAsia="Arial" w:hAnsi="Arial"/>
          <w:sz w:val="17"/>
          <w:szCs w:val="17"/>
          <w:color w:val="auto"/>
        </w:rPr>
        <w:t>In 2021, we rapidly advanced our RNA base editing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modality (“AIMers”). With this therapeutic modality, we are positioned to potentially develop first-in-class RNA base editing therapeutics, starting with hepatic indications that leverage GalNAc-conjugated delivery. We will continue to invest in our RNA base editing modality through wholly-owned AIMer programs as well as through potential partnerships and collaborations.</w:t>
      </w:r>
    </w:p>
    <w:p>
      <w:pPr>
        <w:spacing w:after="0" w:line="2" w:lineRule="exact"/>
        <w:rPr>
          <w:rFonts w:ascii="Arial" w:cs="Arial" w:eastAsia="Arial" w:hAnsi="Arial"/>
          <w:sz w:val="17"/>
          <w:szCs w:val="17"/>
          <w:color w:val="auto"/>
        </w:rPr>
      </w:pPr>
    </w:p>
    <w:p>
      <w:pPr>
        <w:ind w:left="1000" w:hanging="495"/>
        <w:spacing w:after="0" w:line="288"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manufacturing leadership in oligonucleotides. </w:t>
      </w:r>
      <w:r>
        <w:rPr>
          <w:rFonts w:ascii="Arial" w:cs="Arial" w:eastAsia="Arial" w:hAnsi="Arial"/>
          <w:sz w:val="16"/>
          <w:szCs w:val="16"/>
          <w:color w:val="auto"/>
        </w:rPr>
        <w:t>We have built a hybrid internal / external manufacturing model that gives us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capability to produce stereopure oligonucleotides at scales from one micromole to potential commercial scale. Through our internal manufacturing, based in our Lexington, Massachusetts facility, we have the capacity to support multiple discovery-, preclinical-, and early clinical-stage programs and have the established expertise to efficiently conduct manufacturing runs for oligonucleotides across a spectrum of modalities. We believe that leveraging our internal manufacturing capabilities along with expertise from contract manufacturing organizations (“CMOs”) facilitates our growth and enhances our ability to secure drug substance for current and future development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Oligonucleotides</w:t>
      </w:r>
    </w:p>
    <w:p>
      <w:pPr>
        <w:spacing w:after="0" w:line="22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Nucleic acid therapeutics, including oligonucleotides, are an innovative class of drugs that can modulate the function of target RNAs to ultimately affect the production of disease-associated proteins or prevent the accumulation of pathogenic RNA species, which are emerging as important factors in human disease. Oligonucleotides can regulate protein and RNA via several different molecular mechanisms. These mechanisms can be broadly categorized as silencing, those that promote degradation of the target RNA, including antisense and RNAi; splicing, those that involve binding to the target RNA and modulating its function by promoting exon skipping; and ADAR-mediated RNA-editing.</w:t>
      </w:r>
    </w:p>
    <w:p>
      <w:pPr>
        <w:spacing w:after="0" w:line="1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unique capability of oligonucleotides to address a wide range of genomic targets that impact multiple therapeutic areas creates potentially significant market opportunities for us to develop molecules to treat a broad spectrum of human diseases, including diseases where no medicines currently exist or for which existing treatments are not optimal.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oligonucleotides we are currently developing employ the following molecular mechanisms:</w:t>
      </w:r>
    </w:p>
    <w:p>
      <w:pPr>
        <w:spacing w:after="0" w:line="112" w:lineRule="exact"/>
        <w:rPr>
          <w:sz w:val="20"/>
          <w:szCs w:val="20"/>
          <w:color w:val="auto"/>
        </w:rPr>
      </w:pPr>
    </w:p>
    <w:p>
      <w:pPr>
        <w:ind w:left="1000" w:right="80" w:hanging="495"/>
        <w:spacing w:after="0" w:line="313"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Antisense</w:t>
      </w:r>
      <w:r>
        <w:rPr>
          <w:rFonts w:ascii="Arial" w:cs="Arial" w:eastAsia="Arial" w:hAnsi="Arial"/>
          <w:sz w:val="16"/>
          <w:szCs w:val="16"/>
          <w:color w:val="auto"/>
        </w:rPr>
        <w:t>, which uses a therapeutic oligonucleotide designed to bind to a specific sequence in a target RNA strand that encodes a disease-associated protein or pathogenic RNA. The resulting two-stranded molecule (“duplex”) is then recognized by a cellular enzyme called RNase H, which cleaves, or cuts, the target RNA in the duplex, thereby preventing the disease-associated protein from being made.</w:t>
      </w:r>
    </w:p>
    <w:p>
      <w:pPr>
        <w:spacing w:after="0" w:line="33" w:lineRule="exact"/>
        <w:rPr>
          <w:rFonts w:ascii="Arial" w:cs="Arial" w:eastAsia="Arial" w:hAnsi="Arial"/>
          <w:sz w:val="16"/>
          <w:szCs w:val="16"/>
          <w:color w:val="auto"/>
        </w:rPr>
      </w:pPr>
    </w:p>
    <w:p>
      <w:pPr>
        <w:ind w:left="1000" w:right="540" w:hanging="495"/>
        <w:spacing w:after="0" w:line="287"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RNA interference </w:t>
      </w:r>
      <w:r>
        <w:rPr>
          <w:rFonts w:ascii="Arial" w:cs="Arial" w:eastAsia="Arial" w:hAnsi="Arial"/>
          <w:sz w:val="17"/>
          <w:szCs w:val="17"/>
          <w:color w:val="auto"/>
        </w:rPr>
        <w:t>(“RNAi”), which uses a therapeutic oligonucleotide designed to recognize a specific sequence and engages RNAi</w:t>
      </w:r>
      <w:r>
        <w:rPr>
          <w:rFonts w:ascii="Arial" w:cs="Arial" w:eastAsia="Arial" w:hAnsi="Arial"/>
          <w:sz w:val="17"/>
          <w:szCs w:val="17"/>
          <w:b w:val="1"/>
          <w:bCs w:val="1"/>
          <w:color w:val="auto"/>
        </w:rPr>
        <w:t xml:space="preserve"> </w:t>
      </w:r>
      <w:r>
        <w:rPr>
          <w:rFonts w:ascii="Arial" w:cs="Arial" w:eastAsia="Arial" w:hAnsi="Arial"/>
          <w:sz w:val="17"/>
          <w:szCs w:val="17"/>
          <w:color w:val="auto"/>
        </w:rPr>
        <w:t>machinery known as the RNA-induced silencing complex (“RISC”) to silence a target RNA that is either pathogenic itself or encodes a disease-associated protein, thereby preventing the accumulation of the pathogenic species (RNA or protein).</w:t>
      </w:r>
    </w:p>
    <w:p>
      <w:pPr>
        <w:spacing w:after="0" w:line="52" w:lineRule="exact"/>
        <w:rPr>
          <w:rFonts w:ascii="Arial" w:cs="Arial" w:eastAsia="Arial" w:hAnsi="Arial"/>
          <w:sz w:val="17"/>
          <w:szCs w:val="17"/>
          <w:color w:val="auto"/>
        </w:rPr>
      </w:pPr>
    </w:p>
    <w:p>
      <w:pPr>
        <w:ind w:left="1000" w:right="80" w:hanging="495"/>
        <w:spacing w:after="0" w:line="297"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Splicing / exon-skipping</w:t>
      </w:r>
      <w:r>
        <w:rPr>
          <w:rFonts w:ascii="Arial" w:cs="Arial" w:eastAsia="Arial" w:hAnsi="Arial"/>
          <w:sz w:val="16"/>
          <w:szCs w:val="16"/>
          <w:color w:val="auto"/>
        </w:rPr>
        <w:t>, which is the processing of a nascent pre-mRNA transcript into messenger RNA (“mRNA”) by removing introns</w:t>
      </w:r>
      <w:r>
        <w:rPr>
          <w:rFonts w:ascii="Arial" w:cs="Arial" w:eastAsia="Arial" w:hAnsi="Arial"/>
          <w:sz w:val="16"/>
          <w:szCs w:val="16"/>
          <w:b w:val="1"/>
          <w:bCs w:val="1"/>
          <w:color w:val="auto"/>
        </w:rPr>
        <w:t xml:space="preserve"> </w:t>
      </w:r>
      <w:r>
        <w:rPr>
          <w:rFonts w:ascii="Arial" w:cs="Arial" w:eastAsia="Arial" w:hAnsi="Arial"/>
          <w:sz w:val="16"/>
          <w:szCs w:val="16"/>
          <w:color w:val="auto"/>
        </w:rPr>
        <w:t>and joining exons together. Exon skipping uses a therapeutic oligonucleotide designed to bind to a particular sequence within a target pre-mRNA and direct the cellular machinery to delete, or splice out, certain specific regions of that RNA. Often, the underlying mutation leads to non-productive mRNA, yielding no functional protein. Use of the exon-skipping modality permits the cellular machinery to bypass and assemble a partially functional protein, thereby mitigating or alleviating the disease that would otherwise result.</w:t>
      </w:r>
    </w:p>
    <w:p>
      <w:pPr>
        <w:spacing w:after="0" w:line="45" w:lineRule="exact"/>
        <w:rPr>
          <w:rFonts w:ascii="Arial" w:cs="Arial" w:eastAsia="Arial" w:hAnsi="Arial"/>
          <w:sz w:val="16"/>
          <w:szCs w:val="16"/>
          <w:color w:val="auto"/>
        </w:rPr>
      </w:pPr>
    </w:p>
    <w:p>
      <w:pPr>
        <w:ind w:left="1000" w:right="20" w:hanging="495"/>
        <w:spacing w:after="0" w:line="273"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ADAR-mediated RNA base editing, </w:t>
      </w:r>
      <w:r>
        <w:rPr>
          <w:rFonts w:ascii="Arial" w:cs="Arial" w:eastAsia="Arial" w:hAnsi="Arial"/>
          <w:sz w:val="17"/>
          <w:szCs w:val="17"/>
          <w:color w:val="auto"/>
        </w:rPr>
        <w:t>which involves a therapeutic oligonucleotide that uses endogenous ADAR (adenosine deaminases</w:t>
      </w:r>
      <w:r>
        <w:rPr>
          <w:rFonts w:ascii="Arial" w:cs="Arial" w:eastAsia="Arial" w:hAnsi="Arial"/>
          <w:sz w:val="17"/>
          <w:szCs w:val="17"/>
          <w:b w:val="1"/>
          <w:bCs w:val="1"/>
          <w:color w:val="auto"/>
        </w:rPr>
        <w:t xml:space="preserve"> </w:t>
      </w:r>
      <w:r>
        <w:rPr>
          <w:rFonts w:ascii="Arial" w:cs="Arial" w:eastAsia="Arial" w:hAnsi="Arial"/>
          <w:sz w:val="17"/>
          <w:szCs w:val="17"/>
          <w:color w:val="auto"/>
        </w:rPr>
        <w:t>acting on RNA) to edit Adenosines in target RNAs. This technology can be used to correct missense and nonsense mutations to restore or modify protein activity. Other applications of this technology include the ability to target AUGs in the 5’-UTR for translational upregulation, target AG splice acceptor sites to modify exon splicing, and target amino acids (codons) to alter their function, examples of which include amino acids involved in post-translational modifications, to synthetically alter signaling pathways and/or protein stability, or post-translational protein processing, such as altering a protease cleavage sequence.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Stereochemistry of Oligonucleotide Backbone Modifications Impacts Pharmacology</w:t>
      </w:r>
    </w:p>
    <w:p>
      <w:pPr>
        <w:spacing w:after="0" w:line="4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Oligonucleotides are comprised of a sequence of nucleotides—the building blocks of RNA and DNA—that are linked together by a backbone of chemical bonds. In nucleic acid molecules that have not been modified for therapeutic use, the nucleotides are linked by phosphodiester (“PO”) bonds. Such unmodified nucleic acid molecules are unsuitable for use as therapeutics because they are rapidly degraded, are rapidly cleared by the kidneys and are taken up poorly by targeted cells.</w:t>
      </w:r>
    </w:p>
    <w:p>
      <w:pPr>
        <w:spacing w:after="0" w:line="186"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color w:val="auto"/>
        </w:rPr>
        <w:t>Backbone chemistry modifications such as the phosphorothioate (“PS”) modification, one of the most common backbone modifications used in oligonucleotides, can improve the stability, biodistribution and cellular uptake of oligonucleotides.</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A consequence of introducing backbone modifications, such as PS modifications, into an oligonucleotide is that it also introduces a chiral center at each phosphorus, creating stereoisomers designated as either an “</w:t>
      </w:r>
      <w:r>
        <w:rPr>
          <w:rFonts w:ascii="Arial" w:cs="Arial" w:eastAsia="Arial" w:hAnsi="Arial"/>
          <w:sz w:val="17"/>
          <w:szCs w:val="17"/>
          <w:i w:val="1"/>
          <w:iCs w:val="1"/>
          <w:color w:val="auto"/>
        </w:rPr>
        <w:t>S</w:t>
      </w:r>
      <w:r>
        <w:rPr>
          <w:rFonts w:ascii="Arial" w:cs="Arial" w:eastAsia="Arial" w:hAnsi="Arial"/>
          <w:sz w:val="17"/>
          <w:szCs w:val="17"/>
          <w:color w:val="auto"/>
        </w:rPr>
        <w:t>p” or “</w:t>
      </w:r>
      <w:r>
        <w:rPr>
          <w:rFonts w:ascii="Arial" w:cs="Arial" w:eastAsia="Arial" w:hAnsi="Arial"/>
          <w:sz w:val="17"/>
          <w:szCs w:val="17"/>
          <w:i w:val="1"/>
          <w:iCs w:val="1"/>
          <w:color w:val="auto"/>
        </w:rPr>
        <w:t>R</w:t>
      </w:r>
      <w:r>
        <w:rPr>
          <w:rFonts w:ascii="Arial" w:cs="Arial" w:eastAsia="Arial" w:hAnsi="Arial"/>
          <w:sz w:val="17"/>
          <w:szCs w:val="17"/>
          <w:color w:val="auto"/>
        </w:rPr>
        <w:t>p” isomer. As shown below, these stereoisomers have identical chemical compositions but different three-dimensional arrangements of their atoms and consequently have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96520</wp:posOffset>
            </wp:positionV>
            <wp:extent cx="4177030" cy="1563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77030" cy="156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 xml:space="preserve">During traditional oligonucleotide synthesis, the isomeric configuration at each chiral backbone modification is random (either </w:t>
      </w:r>
      <w:r>
        <w:rPr>
          <w:rFonts w:ascii="Arial" w:cs="Arial" w:eastAsia="Arial" w:hAnsi="Arial"/>
          <w:sz w:val="18"/>
          <w:szCs w:val="18"/>
          <w:i w:val="1"/>
          <w:iCs w:val="1"/>
          <w:color w:val="auto"/>
        </w:rPr>
        <w:t>R</w:t>
      </w:r>
      <w:r>
        <w:rPr>
          <w:rFonts w:ascii="Arial" w:cs="Arial" w:eastAsia="Arial" w:hAnsi="Arial"/>
          <w:sz w:val="18"/>
          <w:szCs w:val="18"/>
          <w:color w:val="auto"/>
        </w:rPr>
        <w:t xml:space="preserve">p or </w:t>
      </w:r>
      <w:r>
        <w:rPr>
          <w:rFonts w:ascii="Arial" w:cs="Arial" w:eastAsia="Arial" w:hAnsi="Arial"/>
          <w:sz w:val="18"/>
          <w:szCs w:val="18"/>
          <w:i w:val="1"/>
          <w:iCs w:val="1"/>
          <w:color w:val="auto"/>
        </w:rPr>
        <w:t>S</w:t>
      </w:r>
      <w:r>
        <w:rPr>
          <w:rFonts w:ascii="Arial" w:cs="Arial" w:eastAsia="Arial" w:hAnsi="Arial"/>
          <w:sz w:val="18"/>
          <w:szCs w:val="18"/>
          <w:color w:val="auto"/>
        </w:rPr>
        <w:t>p), resulting in a complex mixture containing many stereoisomers (known as diastereomers). Using PS modifications as an example, each PS linkage introduces a chiral center, thereby doubling the number of stereoisomers in the product, so that a traditional preparation of a PS-containing oligonucleotide contains 2</w:t>
      </w:r>
      <w:r>
        <w:rPr>
          <w:rFonts w:ascii="Arial" w:cs="Arial" w:eastAsia="Arial" w:hAnsi="Arial"/>
          <w:sz w:val="15"/>
          <w:szCs w:val="15"/>
          <w:color w:val="auto"/>
        </w:rPr>
        <w:t>N</w:t>
      </w:r>
      <w:r>
        <w:rPr>
          <w:rFonts w:ascii="Arial" w:cs="Arial" w:eastAsia="Arial" w:hAnsi="Arial"/>
          <w:sz w:val="18"/>
          <w:szCs w:val="18"/>
          <w:color w:val="auto"/>
        </w:rPr>
        <w:t xml:space="preserve"> stereoisomers, where N represents the number of PS modifications.</w:t>
      </w:r>
    </w:p>
    <w:p>
      <w:pPr>
        <w:spacing w:after="0" w:line="22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Stereoisomers can possess different chemical and pharmacological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 when it is a complex mixture.</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Prior to the development of our technology, it was not possible to create stereopure oligonucleotides, meaning molecules where the configuration of each chiral backbone linkage is precisely controlled during chemical synthesis. Moreover, because of the sheer number of stereoisomers present in a mixture, it would be impractical, if not impossible, to physically isolate the most therapeutically optimal stereoisomer from within a mixture. For these reasons, all chiral backbone-modified oligonucleotides currently on the market and in development by others are mixtures of many stereoisomers, which we believe are not optimized for stability, catalytic activity, efficacy or toxicity.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small molecule therapeutics, U.S. regulators have long sought to eliminate the risks potentially posed by drug mixtures containing multiple stereoisomers. Since 1992, the FDA has recommended full molecular characterization of stereoisomers within small-molecule drug mixtures. Historically, it has not been possible to achieve such characterization for nucleic acid therapeutic drug mixtures, which can contain tens of thousands to millions of distinct pharmacological entities. Based on our published and ongoing preclinical studies, we believe that we can design and synthesize stereopure chemically modified oligonucleotides that demonstrate superior pharmacological properties compared with mixture-based oligonucleotides. We believe that PRISM has the potential to set a new industry standard for the molecular characterization of complex nucleic acid therapeutic drug mixtures.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We continue to develop new types of backbone modifications, other than PS modifications, that can be chirally controlled with our technology.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PRISM: Our proprietary discovery and drug development platform</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Through PRISM, our proprietary discovery and drug development platform, we have discovered and expect to continuously elaborate on the relationships between the chemical makeup of an oligonucleotide, including the three-dimensional orientation or arrangement of its atoms, and its pharmacology (i.e., stability of the drug, activity against the target, specificity for the target and safety of the drug). For example, we realized the impact of our novel PN backbone chemistry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preclinical studies only because we evaluated its impact in the context of an otherwise stereopure backbone (Kandasamy et al., 2022; doi: 10.1093/nar/gkac037,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0" w:name="page11"/>
    <w:bookmarkEnd w:id="10"/>
    <w:p>
      <w:pPr>
        <w:ind w:right="320"/>
        <w:spacing w:after="0" w:line="262" w:lineRule="auto"/>
        <w:rPr>
          <w:sz w:val="20"/>
          <w:szCs w:val="20"/>
          <w:color w:val="auto"/>
        </w:rPr>
      </w:pPr>
      <w:r>
        <w:rPr>
          <w:rFonts w:ascii="Arial" w:cs="Arial" w:eastAsia="Arial" w:hAnsi="Arial"/>
          <w:sz w:val="18"/>
          <w:szCs w:val="18"/>
          <w:color w:val="auto"/>
        </w:rPr>
        <w:t>Kandasamy et al., 2022; doi: 10.1093/nar/gkac018). In addition, we have defined relationships between various 2’-sugar modifications to the nucleotide (such as methoxy, methoxyethyl, fluoro, locked), and the chemistry and stereochemistry of the backbone that enhances oligonucleotide pharmacology, providing an enhanced therapeutic profile.</w:t>
      </w:r>
    </w:p>
    <w:p>
      <w:pPr>
        <w:spacing w:after="0" w:line="18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Our rational process for designing stereopure oligonucleotides, which is based on the interplay among oligonucleotide sequence, chemistry and backbone stereochemistry, allows us to selectively optimize for the therapeutic modality in order to generate best-in-class oligonucleotides. With PRISM, we leverage the diversity created by backbone stereochemistry to expand the parameters that we explore to optimize oligonucleotides. We are using these ongoing discoveries to guide our drug development activities, which we believe will lead to medicines that are more specific, can be dosed at lower concentrations, less frequently, or some combination of these characteristics as well as with improved therapeutic profiles.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PRISM is a significant advancement in the development of oligonucleotides. The advantages of our approach include:</w:t>
      </w:r>
    </w:p>
    <w:p>
      <w:pPr>
        <w:spacing w:after="0" w:line="116" w:lineRule="exact"/>
        <w:rPr>
          <w:sz w:val="20"/>
          <w:szCs w:val="20"/>
          <w:color w:val="auto"/>
        </w:rPr>
      </w:pPr>
    </w:p>
    <w:p>
      <w:pPr>
        <w:ind w:left="1000" w:right="20" w:hanging="495"/>
        <w:spacing w:after="0" w:line="292"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rationally design product candidates with optimized pharmacological properties</w:t>
      </w:r>
      <w:r>
        <w:rPr>
          <w:rFonts w:ascii="Arial" w:cs="Arial" w:eastAsia="Arial" w:hAnsi="Arial"/>
          <w:sz w:val="16"/>
          <w:szCs w:val="16"/>
          <w:color w:val="auto"/>
        </w:rPr>
        <w:t>. Our platform combines our unique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construct stereopure oligonucleotides with a deep understanding of how the interplay among oligonucleotide sequence, chemistry and backbone stereochemistry impacts key pharmacological properties. By exploring these interactions through iterative analysis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outcomes and machine learning-driven predictive modeling, we continue to define design principles that we deploy across programs to</w:t>
      </w:r>
      <w:r>
        <w:rPr>
          <w:rFonts w:ascii="Arial" w:cs="Arial" w:eastAsia="Arial" w:hAnsi="Arial"/>
          <w:sz w:val="16"/>
          <w:szCs w:val="16"/>
          <w:i w:val="1"/>
          <w:iCs w:val="1"/>
          <w:color w:val="auto"/>
        </w:rPr>
        <w:t xml:space="preserve"> </w:t>
      </w:r>
      <w:r>
        <w:rPr>
          <w:rFonts w:ascii="Arial" w:cs="Arial" w:eastAsia="Arial" w:hAnsi="Arial"/>
          <w:sz w:val="16"/>
          <w:szCs w:val="16"/>
          <w:color w:val="auto"/>
        </w:rPr>
        <w:t>rapidly develop and manufacture clinical candidates that meet pre-defined product profiles. PRISM has also enabled us to further innovate our nucleic acid chemistry, including the application of novel PN chemistry backbone modifications to our pipeline programs.</w:t>
      </w:r>
    </w:p>
    <w:p>
      <w:pPr>
        <w:spacing w:after="0" w:line="55" w:lineRule="exact"/>
        <w:rPr>
          <w:rFonts w:ascii="Arial" w:cs="Arial" w:eastAsia="Arial" w:hAnsi="Arial"/>
          <w:sz w:val="16"/>
          <w:szCs w:val="16"/>
          <w:color w:val="auto"/>
        </w:rPr>
      </w:pPr>
    </w:p>
    <w:p>
      <w:pPr>
        <w:ind w:left="1000" w:right="40" w:hanging="495"/>
        <w:spacing w:after="0" w:line="262"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Broad applicability</w:t>
      </w:r>
      <w:r>
        <w:rPr>
          <w:rFonts w:ascii="Arial" w:cs="Arial" w:eastAsia="Arial" w:hAnsi="Arial"/>
          <w:sz w:val="18"/>
          <w:szCs w:val="18"/>
          <w:color w:val="auto"/>
        </w:rPr>
        <w:t>. PRISM is applicable to oligonucleotides acting via multiple therapeutic modalties, including antisense, RNAi, exon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skipping, splicing, ADAR-mediated RNA editing, microRNA and others, and is compatible with a broad range of chemical modifications and targeting moieties.</w:t>
      </w:r>
    </w:p>
    <w:p>
      <w:pPr>
        <w:spacing w:after="0" w:line="75" w:lineRule="exact"/>
        <w:rPr>
          <w:rFonts w:ascii="Arial" w:cs="Arial" w:eastAsia="Arial" w:hAnsi="Arial"/>
          <w:sz w:val="18"/>
          <w:szCs w:val="18"/>
          <w:color w:val="auto"/>
        </w:rPr>
      </w:pPr>
    </w:p>
    <w:p>
      <w:pPr>
        <w:ind w:left="1000" w:right="460" w:hanging="495"/>
        <w:spacing w:after="0" w:line="262"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Simplified delivery</w:t>
      </w:r>
      <w:r>
        <w:rPr>
          <w:rFonts w:ascii="Arial" w:cs="Arial" w:eastAsia="Arial" w:hAnsi="Arial"/>
          <w:sz w:val="18"/>
          <w:szCs w:val="18"/>
          <w:color w:val="auto"/>
        </w:rPr>
        <w:t>. We can take advantage of simplified delivery strategies, leveraging free-uptake and endogenous enzymes to avoid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vehicles such as lipid nanoparticles (“LNPs”) or AAV, and our oligonucleotides are GalNAc compatible for targeted delivery to hepatocytes.</w:t>
      </w:r>
    </w:p>
    <w:p>
      <w:pPr>
        <w:spacing w:after="0" w:line="75" w:lineRule="exact"/>
        <w:rPr>
          <w:rFonts w:ascii="Arial" w:cs="Arial" w:eastAsia="Arial" w:hAnsi="Arial"/>
          <w:sz w:val="18"/>
          <w:szCs w:val="18"/>
          <w:color w:val="auto"/>
        </w:rPr>
      </w:pPr>
    </w:p>
    <w:p>
      <w:pPr>
        <w:ind w:left="1000" w:hanging="495"/>
        <w:spacing w:after="0" w:line="258"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production of stereopure oligonucleotides</w:t>
      </w:r>
      <w:r>
        <w:rPr>
          <w:rFonts w:ascii="Arial" w:cs="Arial" w:eastAsia="Arial" w:hAnsi="Arial"/>
          <w:sz w:val="18"/>
          <w:szCs w:val="18"/>
          <w:color w:val="auto"/>
        </w:rPr>
        <w:t>. Our scientists have developed expertise in the techniques required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supplies of chemically modified stereopure oligonucleotide materials for our preclinical and clinical activities. In addition, we believe we have the intellectual property position and know-how necessary to protect, advance and scale these production processes to support our clinical trials and potential future commercial supply.</w:t>
      </w:r>
    </w:p>
    <w:p>
      <w:pPr>
        <w:spacing w:after="0" w:line="78" w:lineRule="exact"/>
        <w:rPr>
          <w:rFonts w:ascii="Arial" w:cs="Arial" w:eastAsia="Arial" w:hAnsi="Arial"/>
          <w:sz w:val="18"/>
          <w:szCs w:val="18"/>
          <w:color w:val="auto"/>
        </w:rPr>
      </w:pPr>
    </w:p>
    <w:p>
      <w:pPr>
        <w:ind w:left="1000" w:right="40" w:hanging="495"/>
        <w:spacing w:after="0" w:line="310"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Scalability and Manufacturing</w:t>
      </w:r>
      <w:r>
        <w:rPr>
          <w:rFonts w:ascii="Arial" w:cs="Arial" w:eastAsia="Arial" w:hAnsi="Arial"/>
          <w:sz w:val="16"/>
          <w:szCs w:val="16"/>
          <w:color w:val="auto"/>
        </w:rPr>
        <w:t>. Our manufacturing process and technical expertise in designing stereopure oligonucleotides is unique.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scalable synthesis processes will allow us to meet demand for cGMP-qualified clinical trial supply, as well as the potential for commercial manufacturing at a cost of goods and potential cost-per-patient that are comparable to stereorandom oligonucleotides.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Chemistry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Backbone Stereochemistry</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our foundational </w:t>
      </w:r>
      <w:r>
        <w:rPr>
          <w:rFonts w:ascii="Arial" w:cs="Arial" w:eastAsia="Arial" w:hAnsi="Arial"/>
          <w:sz w:val="17"/>
          <w:szCs w:val="17"/>
          <w:i w:val="1"/>
          <w:iCs w:val="1"/>
          <w:color w:val="auto"/>
        </w:rPr>
        <w:t>Nature Biotechnology</w:t>
      </w:r>
      <w:r>
        <w:rPr>
          <w:rFonts w:ascii="Arial" w:cs="Arial" w:eastAsia="Arial" w:hAnsi="Arial"/>
          <w:sz w:val="17"/>
          <w:szCs w:val="17"/>
          <w:color w:val="auto"/>
        </w:rPr>
        <w:t xml:space="preserve"> paper (Iwamoto N, et al. Nature Biotechnol. 2017;35(9):845-851), we described our studies using our proprietary chemistry to design and synthesize stereopure oligonucleotides and oligonucleotide mixtures based on mipomersen. Mipomersen, an oligonucleotide containing 20 nucleotides and 19 PS modifications, is synthesized by traditional oligonucleotide chemistry; thus, it is a mixture of over 500,000 different stereoisomers (2</w:t>
      </w:r>
      <w:r>
        <w:rPr>
          <w:rFonts w:ascii="Arial" w:cs="Arial" w:eastAsia="Arial" w:hAnsi="Arial"/>
          <w:sz w:val="14"/>
          <w:szCs w:val="14"/>
          <w:color w:val="auto"/>
        </w:rPr>
        <w:t>19</w:t>
      </w:r>
      <w:r>
        <w:rPr>
          <w:rFonts w:ascii="Arial" w:cs="Arial" w:eastAsia="Arial" w:hAnsi="Arial"/>
          <w:sz w:val="17"/>
          <w:szCs w:val="17"/>
          <w:color w:val="auto"/>
        </w:rPr>
        <w:t xml:space="preserve"> = 524,288). We rationally designed and synthesized individual stereoisomers of mipomersen, each having position-specific and distinct stereochemistry, and conducted studies comparing these defined stereoisomers with the mipomersen stereomixture. These and other preclinical studies have demonstrated that stereochemistry and pharmacology are directly related, and that by controlling stereochemistry, we can impact multiple aspects of pharmacology, including stability, catalytic activity, efficacy, specificity, and safety.</w:t>
      </w:r>
    </w:p>
    <w:p>
      <w:pPr>
        <w:spacing w:after="0" w:line="177" w:lineRule="exact"/>
        <w:rPr>
          <w:sz w:val="20"/>
          <w:szCs w:val="20"/>
          <w:color w:val="auto"/>
        </w:rPr>
      </w:pPr>
    </w:p>
    <w:p>
      <w:pPr>
        <w:ind w:right="520"/>
        <w:spacing w:after="0" w:line="306" w:lineRule="auto"/>
        <w:rPr>
          <w:sz w:val="20"/>
          <w:szCs w:val="20"/>
          <w:color w:val="auto"/>
        </w:rPr>
      </w:pPr>
      <w:r>
        <w:rPr>
          <w:rFonts w:ascii="Arial" w:cs="Arial" w:eastAsia="Arial" w:hAnsi="Arial"/>
          <w:sz w:val="17"/>
          <w:szCs w:val="17"/>
          <w:color w:val="auto"/>
        </w:rPr>
        <w:t>We have subsequently published multiple additional manuscripts since the start of 2021 that provide evidence that stereopure oligonucleotides can be developed to have superior pharmacology to stereorandom oligonucleotides; These manuscripts are listed below:</w:t>
      </w:r>
    </w:p>
    <w:p>
      <w:pPr>
        <w:spacing w:after="0" w:line="147" w:lineRule="exact"/>
        <w:rPr>
          <w:sz w:val="20"/>
          <w:szCs w:val="20"/>
          <w:color w:val="auto"/>
        </w:rPr>
      </w:pPr>
    </w:p>
    <w:p>
      <w:pPr>
        <w:ind w:left="740" w:hanging="369"/>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Translational Vision Science &amp; Technology </w:t>
      </w:r>
      <w:r>
        <w:rPr>
          <w:rFonts w:ascii="Arial" w:cs="Arial" w:eastAsia="Arial" w:hAnsi="Arial"/>
          <w:sz w:val="18"/>
          <w:szCs w:val="18"/>
          <w:color w:val="auto"/>
        </w:rPr>
        <w:t>paper (Byrne M, et al. Trans Vis Sci Tech. 2021 ; 10(1) :23)</w:t>
      </w:r>
    </w:p>
    <w:p>
      <w:pPr>
        <w:spacing w:after="0" w:line="22" w:lineRule="exact"/>
        <w:rPr>
          <w:rFonts w:ascii="Arial" w:cs="Arial" w:eastAsia="Arial" w:hAnsi="Arial"/>
          <w:sz w:val="18"/>
          <w:szCs w:val="18"/>
          <w:color w:val="auto"/>
        </w:rPr>
      </w:pPr>
    </w:p>
    <w:p>
      <w:pPr>
        <w:ind w:left="740" w:right="620" w:hanging="369"/>
        <w:spacing w:after="0" w:line="259"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Nature Communications </w:t>
      </w:r>
      <w:r>
        <w:rPr>
          <w:rFonts w:ascii="Arial" w:cs="Arial" w:eastAsia="Arial" w:hAnsi="Arial"/>
          <w:sz w:val="18"/>
          <w:szCs w:val="18"/>
          <w:color w:val="auto"/>
        </w:rPr>
        <w:t>paper (Liu Y, et al. Nature Communications. 2021; 12:847), which is discussed in more depth under“Therapeutic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 Amyotrophic Lateral Sclerosis and Frontotemporal Dementia”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ind w:left="740" w:hanging="369"/>
        <w:spacing w:after="0" w:line="275"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Nucleic Acids Research </w:t>
      </w:r>
      <w:r>
        <w:rPr>
          <w:rFonts w:ascii="Arial" w:cs="Arial" w:eastAsia="Arial" w:hAnsi="Arial"/>
          <w:sz w:val="18"/>
          <w:szCs w:val="18"/>
          <w:color w:val="auto"/>
        </w:rPr>
        <w:t>papers (Kandasamy et al., 2022; doi: 10.1093/nar/gkac037, Kandasamy et al., 2022; doi: 10.1093/nar/gkac018),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in more depth under “PRISM Therapeutic Modality Types”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PN Backbone Chemistry Modifications</w:t>
      </w:r>
    </w:p>
    <w:p>
      <w:pPr>
        <w:spacing w:after="0" w:line="11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initial investigations into backbone chemistry and stereochemistry on oligonucleotide pharmacology focused on the widely used PO and PS backbones because they are amenable to all oligonucleotide modalities. In August 2020, we announced the introduction of novel PN backbone chemistry modifications (“PN”) to our repertoire of backbone modifications, which involve replacing a non-bridging oxygen atom with a nitrogen-containing moiety,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59055</wp:posOffset>
            </wp:positionV>
            <wp:extent cx="4065905" cy="1939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6590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We have incorporated these PN modifications – specifically phosphoryl guanidine – into oligonucleotide compounds. As with PS modifications, PN modifications are chiral, and we have the capacity to control PN backbone stereochemistry. Unlike PS modifications, PN modifications are neutral, meaning that the negative charge of the oligonucleotide is reduced with every PN modification added to the backbone. In preclinical experiments, we have demonstrated that judicious use of PN backbone chemistry modifications in stereopure oligonucleotides have generally increased potency, tissue exposure and durability of effect across our silencing, splicing and editing modalities.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PRISM Therapeutic Modality Types</w:t>
      </w:r>
    </w:p>
    <w:p>
      <w:pPr>
        <w:spacing w:after="0" w:line="12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Using PRISM, we have designed and optimized diverse sets of stereopure oligonucleotides, which allows us to characterize and compare the behavior of various stereoisomers. With each new target, we gain insight into how the interplay between sequence, chemistry, including 2’-modifications and backbone chemistry, and stereochemistry impacts activity, and we build these learnings into our future programs.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the next section, we describe different therapeutic modalities for which we have used PRISM to optimize stereopure oligonucleotides.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Silencing – RNase H-mediated degradation and RNAi</w:t>
      </w:r>
    </w:p>
    <w:p>
      <w:pPr>
        <w:spacing w:after="0" w:line="11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Using PRISM, we can produce stereopure PN-modified oligonucleotides that promote potent and specific RNA transcript silencing activity in preclinical experiments.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line="253" w:lineRule="auto"/>
        <w:rPr>
          <w:sz w:val="20"/>
          <w:szCs w:val="20"/>
          <w:color w:val="auto"/>
        </w:rPr>
      </w:pPr>
      <w:r>
        <w:rPr>
          <w:rFonts w:ascii="Arial" w:cs="Arial" w:eastAsia="Arial" w:hAnsi="Arial"/>
          <w:sz w:val="18"/>
          <w:szCs w:val="18"/>
          <w:i w:val="1"/>
          <w:iCs w:val="1"/>
          <w:u w:val="single" w:color="auto"/>
          <w:color w:val="auto"/>
        </w:rPr>
        <w:t>RNase H-mediated degradation</w:t>
      </w:r>
      <w:r>
        <w:rPr>
          <w:rFonts w:ascii="Arial" w:cs="Arial" w:eastAsia="Arial" w:hAnsi="Arial"/>
          <w:sz w:val="18"/>
          <w:szCs w:val="18"/>
          <w:color w:val="auto"/>
        </w:rPr>
        <w:t>: In our</w:t>
      </w:r>
      <w:r>
        <w:rPr>
          <w:rFonts w:ascii="Arial" w:cs="Arial" w:eastAsia="Arial" w:hAnsi="Arial"/>
          <w:sz w:val="18"/>
          <w:szCs w:val="18"/>
          <w:i w:val="1"/>
          <w:iCs w:val="1"/>
          <w:color w:val="auto"/>
        </w:rPr>
        <w:t xml:space="preserve"> Nucleic Acids Research </w:t>
      </w:r>
      <w:r>
        <w:rPr>
          <w:rFonts w:ascii="Arial" w:cs="Arial" w:eastAsia="Arial" w:hAnsi="Arial"/>
          <w:sz w:val="18"/>
          <w:szCs w:val="18"/>
          <w:color w:val="auto"/>
        </w:rPr>
        <w:t>paper (Kandasamy et al., 2022; doi: 10.1093/nar/gkac018), we illustrated the impact of PN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backbone chemistry modifications for an RNase-H mediated silencing modality. In addition to the data reported in the paper, we have performed screens for identifying RNaseH-targeting sequences in iCell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free uptake. This screen was initially performed with stereopure molecules with PS and PO backbone chemistry modifications, and the oligonucleotides are rank-ordered from left to right according to their potency. Next, we performed a head-to-head comparison with molecules that contained the same sequence and the same 2’-ribose chemistry, but with the addition of PN chemistry at select locations in the backbone. The introduction of a few PN linkages signficantly increases the potency of the vast majority of the stereopure PS / PO molecules, with ~80% of them yielding at least 75% knockdown. These results, shown below, suggest we are able to target sequence space that would otherwise be inaccessible.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130810</wp:posOffset>
            </wp:positionV>
            <wp:extent cx="5082540" cy="2451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825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 xml:space="preserve">Moving </w:t>
      </w:r>
      <w:r>
        <w:rPr>
          <w:rFonts w:ascii="Arial" w:cs="Arial" w:eastAsia="Arial" w:hAnsi="Arial"/>
          <w:sz w:val="18"/>
          <w:szCs w:val="18"/>
          <w:i w:val="1"/>
          <w:iCs w:val="1"/>
          <w:color w:val="auto"/>
        </w:rPr>
        <w:t>in vivo</w:t>
      </w:r>
      <w:r>
        <w:rPr>
          <w:rFonts w:ascii="Arial" w:cs="Arial" w:eastAsia="Arial" w:hAnsi="Arial"/>
          <w:sz w:val="18"/>
          <w:szCs w:val="18"/>
          <w:color w:val="auto"/>
        </w:rPr>
        <w:t>, we have demonstrated potent silencing activity of multiple targets in the CNS of non-human primates with stereopure, PN-modified oligonucleotides. In the results shown below for an undisclosed target, non-human primates received a single 12 mg dose by intrathecal injection. This single dose led to substantial and widespread mRNA reduction one month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176530</wp:posOffset>
            </wp:positionV>
            <wp:extent cx="2673985" cy="1870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7398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aCSF: artificial cerebrospinal fluid; CTX: cortex; HP: hippocampus; CSC: cervical spinal cord; LSC: lumbar spinal cord; STR: striatum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13" w:name="page14"/>
    <w:bookmarkEnd w:id="13"/>
    <w:p>
      <w:pPr>
        <w:ind w:right="20"/>
        <w:spacing w:after="0" w:line="262" w:lineRule="auto"/>
        <w:rPr>
          <w:sz w:val="20"/>
          <w:szCs w:val="20"/>
          <w:color w:val="auto"/>
        </w:rPr>
      </w:pPr>
      <w:r>
        <w:rPr>
          <w:rFonts w:ascii="Arial" w:cs="Arial" w:eastAsia="Arial" w:hAnsi="Arial"/>
          <w:sz w:val="18"/>
          <w:szCs w:val="18"/>
          <w:i w:val="1"/>
          <w:iCs w:val="1"/>
          <w:u w:val="single" w:color="auto"/>
          <w:color w:val="auto"/>
        </w:rPr>
        <w:t>RNAi:</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also applied our stereopure PS and PN modifications to the RNAi silencing modality using double-stranded siRNAs and demonstrated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potent and durable silencing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data, shown below, highlight that stereochemistry and PN chemistry can enhance the pharmacology of RNAi when applied to current state-of-art RNAi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74295</wp:posOffset>
            </wp:positionV>
            <wp:extent cx="1896110" cy="1452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6110"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Splicing - exon skipping</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With PRISM, we have optimized stereopure oligonucleotides that promote efficient exon skipping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restore protein production. In our exon-skipping programs, as with our other modalities, the sequence, chemistry and backbone stereochemistry of oligonucleotides impact their activity.</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Nucleic Acids Research</w:t>
      </w:r>
      <w:r>
        <w:rPr>
          <w:rFonts w:ascii="Arial" w:cs="Arial" w:eastAsia="Arial" w:hAnsi="Arial"/>
          <w:sz w:val="18"/>
          <w:szCs w:val="18"/>
          <w:color w:val="auto"/>
        </w:rPr>
        <w:t xml:space="preserve"> paper (Kandasamy et al., 2022; doi: 10.1093/nar/gkac018), we highlight the impact of PN chemistry on exon skipping. In one application from the paper, we plotted the in vitro skipping efficiency of compounds containing PS / PO backbone chemistry modifications, depicted in the graph below by the teal dots, which are rank-ordered from left-to-right based on their exon-skipping potency in human myoblasts. The more potent molecules are shifted upwards as they are restoring expression. The navy dots represent the impact of a few stereopure PN modifications in compounds with otherwise identical sequences and 2’-ribose chemical modifications. There is an overall shift upwards in activity among the PS / PO / PN compounds, representing a substantial potency gain in most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131445</wp:posOffset>
            </wp:positionV>
            <wp:extent cx="5740400" cy="2400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404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88" w:right="339" w:bottom="1440" w:gutter="0" w:footer="0" w:header="0"/>
        </w:sectPr>
      </w:pPr>
    </w:p>
    <w:bookmarkStart w:id="14" w:name="page15"/>
    <w:bookmarkEnd w:id="14"/>
    <w:p>
      <w:pPr>
        <w:ind w:right="20"/>
        <w:spacing w:after="0" w:line="258" w:lineRule="auto"/>
        <w:rPr>
          <w:sz w:val="20"/>
          <w:szCs w:val="20"/>
          <w:color w:val="auto"/>
        </w:rPr>
      </w:pPr>
      <w:r>
        <w:rPr>
          <w:rFonts w:ascii="Arial" w:cs="Arial" w:eastAsia="Arial" w:hAnsi="Arial"/>
          <w:sz w:val="18"/>
          <w:szCs w:val="18"/>
          <w:color w:val="auto"/>
        </w:rPr>
        <w:t xml:space="preserve">Moving </w:t>
      </w:r>
      <w:r>
        <w:rPr>
          <w:rFonts w:ascii="Arial" w:cs="Arial" w:eastAsia="Arial" w:hAnsi="Arial"/>
          <w:sz w:val="18"/>
          <w:szCs w:val="18"/>
          <w:i w:val="1"/>
          <w:iCs w:val="1"/>
          <w:color w:val="auto"/>
        </w:rPr>
        <w:t>in vivo</w:t>
      </w:r>
      <w:r>
        <w:rPr>
          <w:rFonts w:ascii="Arial" w:cs="Arial" w:eastAsia="Arial" w:hAnsi="Arial"/>
          <w:sz w:val="18"/>
          <w:szCs w:val="18"/>
          <w:color w:val="auto"/>
        </w:rPr>
        <w:t>, we demonstrated successful exon-skipping in mdx mice that correlated with dystrophin expression. PN-modified oligonucleotides led to more exon-skipping and more dystrophin production in all muscles after six weeks of treatment, as shown below, but especially in the heart and diaphragm. These results demonstrate the impact of a few PN linkages – with no delivery vehicle or conjugate – significantly improves the PK-PD profiles for stereopure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-8890</wp:posOffset>
            </wp:positionV>
            <wp:extent cx="4194175" cy="2280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9417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Data adapted from Figure 5, Kandasamy et al., 2022; doi: 10.1093/nar/gkac018</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Editing - ADAR-mediated RNA editing</w:t>
      </w:r>
    </w:p>
    <w:p>
      <w:pPr>
        <w:spacing w:after="0" w:line="1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Most recently, we have applied our PRISM platform to the generation of short, single-stranded, highly specific A-to-I (G) RNA-editing oligonucleotides – called “AIMers”. Because our AIMers are relatively short and stable (fully chemically modified), we can leverage clinically proven GalNAc-mediated delivery to hepatocytes to further increase tissue uptake with subcutaneous dosing. We are developing fully chemically modified AIMers with and without GalNAc conjugation. In preclinical studies, we have evaluated thousands of AIMers, assessing a variety of sugar and base modifications, backbone chemistry and stereochemistry, and other parameters such as AIMer length to produce insight into the relationship between an AIMer’s structure and its ability to elicit ADAR-editing activity.</w:t>
      </w:r>
    </w:p>
    <w:p>
      <w:pPr>
        <w:spacing w:after="0" w:line="192"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With PRISM, we have generated stereopure AIMers, optimized for chemistry and stereochemistry, which promote RNA editing with endogenous adenosine deaminase acting on RNA (ADAR) enzymes in cellular models. As shown in the figure below, we show the activity of beta-actin-editing stereopure AIMers, with and without PN linkages, compared to a matched stereorandom AIMer (shown in black) in primary human hepatocytes. These AIMers are GalNAc conjugated to increase uptake in hepatocytes. The addition of PN chemistry substantially improves both potency and editing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245110</wp:posOffset>
            </wp:positionV>
            <wp:extent cx="3630295" cy="1913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30295" cy="191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81" w:right="379" w:bottom="1440" w:gutter="0" w:footer="0" w:header="0"/>
        </w:sectPr>
      </w:pPr>
    </w:p>
    <w:bookmarkStart w:id="15" w:name="page16"/>
    <w:bookmarkEnd w:id="15"/>
    <w:p>
      <w:pPr>
        <w:ind w:right="80"/>
        <w:spacing w:after="0" w:line="262" w:lineRule="auto"/>
        <w:rPr>
          <w:sz w:val="20"/>
          <w:szCs w:val="20"/>
          <w:color w:val="auto"/>
        </w:rPr>
      </w:pPr>
      <w:r>
        <w:rPr>
          <w:rFonts w:ascii="Arial" w:cs="Arial" w:eastAsia="Arial" w:hAnsi="Arial"/>
          <w:sz w:val="18"/>
          <w:szCs w:val="18"/>
          <w:color w:val="auto"/>
        </w:rPr>
        <w:t xml:space="preserve">We have achieved efficient RNA editing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with our AIMers across a variety of cell lines, including non-human primate and human primary hepatocytes, as shown in the figures below. We observed potent, dose-dependent RNA editing with three chemically distinct stereopure AIMers (ACTB 1, ACTB 2, ACTB 3) via GalNAc-mediated uptake.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279400</wp:posOffset>
            </wp:positionV>
            <wp:extent cx="5108575" cy="2110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8575" cy="211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next evaluated these same ACTB-editing AIMers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non-human primates (“NHPs”), and the results are shown in the figures below. For this study, we dosed NHPs subcutaneously once a day for five days. We took liver biopsy samples at baseline at two days and 45 days after the last dose to evaluate editing. We detected up to 50% editing two days after the last dose as compared to a baseline of 0% editing, as shown in the figure below on the left. These editing results were durable: we continued to see significant editing 45 days after the last dose. The pharmacokinetic data, shown in the figure below in the center, confirmed that a significant amount of AIMer was still detectable in the liver at that time. To assess off-target editing for the whole transcriptome, a mutation-calling software was used to call edit sites. From this analysis, we observed nominal off-target editing across the transcriptome. Sites where potential off-target editing occurred mapped predominately to non-coding regions of the transcriptome, and had either low read coverage in the analysis or occurred at low percentages of less than 10%, indicating that these are relatively rare events, as shown in the figure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2540</wp:posOffset>
            </wp:positionV>
            <wp:extent cx="6150610" cy="2759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50610" cy="275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81" w:right="41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8"/>
          <w:szCs w:val="18"/>
          <w:color w:val="auto"/>
        </w:rPr>
        <w:t xml:space="preserve">We have also demonstrated efficient editing activity with unconjugated AIMers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both iCell neurons and iCell astrocytes, with EC50s for astrocytes reaching the 200 nM range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1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 xml:space="preserve">We have also demonstrated potent (up to 65%) and durable (out to at least four months) editing of UGP2 mRNA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multiple regions of the CNS following a single AIMer dose in a mouse model with human ADAR,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-1270</wp:posOffset>
            </wp:positionV>
            <wp:extent cx="6150610" cy="2503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5061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 xml:space="preserve">We have also observed productive editing beyond liver and CNS with unconjugated AIMers in multiple tissue types including retina (below top right), kidney, liver, lung and heart of NHPs (below bottom left), and human PBMCs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(below bottom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-18415</wp:posOffset>
            </wp:positionV>
            <wp:extent cx="4715510" cy="255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5510"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7" w:name="page18"/>
    <w:bookmarkEnd w:id="17"/>
    <w:p>
      <w:pPr>
        <w:ind w:right="220"/>
        <w:spacing w:after="0" w:line="262" w:lineRule="auto"/>
        <w:rPr>
          <w:sz w:val="20"/>
          <w:szCs w:val="20"/>
          <w:color w:val="auto"/>
        </w:rPr>
      </w:pPr>
      <w:r>
        <w:rPr>
          <w:rFonts w:ascii="Arial" w:cs="Arial" w:eastAsia="Arial" w:hAnsi="Arial"/>
          <w:sz w:val="18"/>
          <w:szCs w:val="18"/>
          <w:color w:val="auto"/>
        </w:rPr>
        <w:t>The application of PRISM to RNA editing opens the door to therapeutic applications extending beyond the restoration of protein function. We can use ADAR to upregulate protein expression, to modify protein function by altering post-translational modifications or protein-protein interactions, or to alter protein 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125095</wp:posOffset>
            </wp:positionV>
            <wp:extent cx="4826635" cy="1588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663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To exemplify our ability to modulate protein-protein interactions using ADAR, we evaluated the well characterized KEAP1/NRF2 system. Through direct protein-protein interactions, KEAP1 negatively regulates the activity of NRF2 as an inducer of antioxidant gene expression. As a proof-of-concept experiment, we investigated if we could mimic the cellular stress response by using ADAR to edit individual amino acids at the protein-protein interaction interface between NRF2 and KEAP1 </w:t>
      </w:r>
      <w:r>
        <w:rPr>
          <w:rFonts w:ascii="Arial" w:cs="Arial" w:eastAsia="Arial" w:hAnsi="Arial"/>
          <w:sz w:val="18"/>
          <w:szCs w:val="18"/>
          <w:i w:val="1"/>
          <w:iCs w:val="1"/>
          <w:color w:val="auto"/>
        </w:rPr>
        <w:t>in vitro</w:t>
      </w:r>
      <w:r>
        <w:rPr>
          <w:rFonts w:ascii="Arial" w:cs="Arial" w:eastAsia="Arial" w:hAnsi="Arial"/>
          <w:sz w:val="18"/>
          <w:szCs w:val="18"/>
          <w:color w:val="auto"/>
        </w:rPr>
        <w:t>. If these edits work as designed, we would expect to see downstream activation of the NRF2-dependent gene expression program even in the absence of cellular stressors. As shown below, treatment with each AIMer resulted in increased expression of known downstream NRF2-dependent genes involved in the antioxidant response. Control treatment did not increase expression of any of the NRF2-dependent genes, indicating that AIMer treatment did not lead to NRF2-dependent gene expression changes through non-specific mechanisms such as increased cellular stress.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96520</wp:posOffset>
            </wp:positionV>
            <wp:extent cx="4416425" cy="1751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16425" cy="175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Programs</w:t>
      </w:r>
    </w:p>
    <w:p>
      <w:pPr>
        <w:spacing w:after="0" w:line="120"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Our clinical-stage therapeutic programs include two silencing programs for indications in the CNS – WVE-004 for ALS / FTD and WVE-003 for HD – and a splicing program for protein restoration in muscle – WVE-N531 for DMD. In the third quarter of 2022, we expect to select a development candidate and initiate IND-enabling toxicology studies for our first ADAR editing program leveraging GalNAc-conjugated delivery for a hepatic indications – AATD.</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See below for more information on these programs and the diseases we are targeting.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6"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Hexanucleotide G4C2 expansions found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are one of the most common genetic causes of the sporadic and inherited forms of Amyotrophic Lateral Sclerosis (ALS) and Frontotemporal Dementia (FTD). Some patients exhibit characteristics of both ALS and FTD, indicating that these diseases form part of a continuum of neurological disease with some overlap in symptoms between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57150</wp:posOffset>
            </wp:positionV>
            <wp:extent cx="6150610" cy="13925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50610" cy="139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Background and Market Opportunity</w:t>
      </w:r>
    </w:p>
    <w:p>
      <w:pPr>
        <w:spacing w:after="0" w:line="11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ALS is a neurodegenerative disease characterized by the progression and degeneration of motor neurons in the brain and spinal cord. Diagnosis may take up to 12 months and is made clinically by assessing the signs of upper and lower motor neuron degeneration in the same region of the body. Patients initially present with limb-onset disease (approximately 70% of patients), bulbar-onset disease (approximately 25% of patients) or with initial trunk or respiratory involvement (approximately 5% of patients). Age of onset is generally in the mid-to-late 50’s, and median survival is three years; however, up to 24% of patients survive for five to ten years. Survival in patients with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ALS may be shorter than in patients with sporadic ALS.</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the United States and Europe combined, there are approximately three to five ALS patients per 100,000 people. This translates to approximately 13,000 diagnosed patients in the United States, although the total prevalence may be around 20,000 people in the United States. There are one or two newly diagnosed cases of ALS per year, per 100,000 people in the United States and Europe combined, resulting in approximately 5,000 newly diagnosed patients in the United States each year. While the majority of ALS cases are sporadic, approximately 10% of cases are found to be familial in nature.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mutation is currently the most common demonstrated mutation related to ALS and is present in approximately 40% of familial ALS and 8 – 10% of sporadic ALS patients.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Current Treatments</w:t>
      </w:r>
    </w:p>
    <w:p>
      <w:pPr>
        <w:spacing w:after="0" w:line="11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There is significant unmet need for the treatment of ALS. Two medicines are currently approved in the United States for the treatment of ALS. Rilutek (riluzole), an inhibitor of glutamate release, was approved in 1995 for the treatment of patients with ALS. It was demonstrated to extend survival by three to six months. Radicava (edaravone) was approved in 2017 for the treatment of ALS. Administration of edaravone resulted in a significantly smaller decline in the ALS Functional Rating Scale-Revised (“ALSFRS-R”) through six months of treatment as compared to placebo.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FTD Background and Market Opportunity</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FTD is a neurodegenerative disorder of the frontal and anterior temporal lobes of the brain. It is characterized by changes in personality, cognition (e.g., language impairment and executive dysfunction), and behavior (e.g., disinhibition, apathy and compulsivity). Diagnostic criteria categorize FTD into either the behavioral variant (approximately 60% of patients) or speech/language variant (approximately 40% of patients) based on the primary symptom observed at presentation; however, FTD results in dementia in all patients. The majority of FTD associated with the G4C2 expansion in the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gene is categorized as the behavioral variant. FTD frequently has an onset in mid-life, and death typically occurs within three to 14 years of onset. FTD is the second most common form of early-onset dementia in people under the age of 65, after AD.</w:t>
      </w:r>
    </w:p>
    <w:p>
      <w:pPr>
        <w:spacing w:after="0" w:line="17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 xml:space="preserve">In FTD,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mutations appear in approximately 38% of familial cases and approximately 6% of sporadic cases. FTD affects approximately 55,000 people in the United States, of which 10 – 50% are familial cases and 50 – 90% are sporadic cases.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FTD Current Treatments</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There are currently no disease-modifying therapies approved for the treatment of FTD. Treatment to date has involved use of medications for symptomatic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6"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i w:val="1"/>
          <w:iCs w:val="1"/>
          <w:u w:val="single" w:color="auto"/>
          <w:color w:val="auto"/>
        </w:rPr>
        <w:t>WVE-004</w:t>
      </w:r>
      <w:r>
        <w:rPr>
          <w:rFonts w:ascii="Arial" w:cs="Arial" w:eastAsia="Arial" w:hAnsi="Arial"/>
          <w:sz w:val="16"/>
          <w:szCs w:val="16"/>
          <w:color w:val="auto"/>
        </w:rPr>
        <w:t>: In ALS and FTD, we are advancing WVE-004, which uses our novel PN chemistry and preferentially targets the transcripts containing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hexanucleotide G4C2 expansion in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 WVE-004 is designed to minimize the impact on normal C9orf72 protein in patients, thereby reducing potential on-target risk.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WVE-004 potently and selectively reduced V3 transcripts in iPSC-derived motor neurons, which were derived from a patient carrying a </w:t>
      </w:r>
      <w:r>
        <w:rPr>
          <w:rFonts w:ascii="Arial" w:cs="Arial" w:eastAsia="Arial" w:hAnsi="Arial"/>
          <w:sz w:val="16"/>
          <w:szCs w:val="16"/>
          <w:i w:val="1"/>
          <w:iCs w:val="1"/>
          <w:color w:val="auto"/>
        </w:rPr>
        <w:t>C9orf72</w:t>
      </w:r>
      <w:r>
        <w:rPr>
          <w:rFonts w:ascii="Arial" w:cs="Arial" w:eastAsia="Arial" w:hAnsi="Arial"/>
          <w:sz w:val="16"/>
          <w:szCs w:val="16"/>
          <w:color w:val="auto"/>
        </w:rPr>
        <w:t>-repeat expansion. In C9 BAC transgenic mice, WVE-004 led to substantial reductions in repeat-containing C9orf72 transcripts and dipeptide repeat (DPR) proteins that are sustained for at least six months, without disrupting total C9orf72 protein expression.</w:t>
      </w:r>
    </w:p>
    <w:p>
      <w:pPr>
        <w:spacing w:after="0" w:line="16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i w:val="1"/>
          <w:iCs w:val="1"/>
          <w:u w:val="single" w:color="auto"/>
          <w:color w:val="auto"/>
        </w:rPr>
        <w:t>FOCUS-C9 Phase 1b/2a clinical trial</w:t>
      </w:r>
      <w:r>
        <w:rPr>
          <w:rFonts w:ascii="Arial" w:cs="Arial" w:eastAsia="Arial" w:hAnsi="Arial"/>
          <w:sz w:val="16"/>
          <w:szCs w:val="16"/>
          <w:color w:val="auto"/>
        </w:rPr>
        <w:t>: The FOCUS-C9 trial is a global, multicenter, randomized, double-blind, placebo-controlled Phase 1b/2a clinical trial</w:t>
      </w:r>
      <w:r>
        <w:rPr>
          <w:rFonts w:ascii="Arial" w:cs="Arial" w:eastAsia="Arial" w:hAnsi="Arial"/>
          <w:sz w:val="16"/>
          <w:szCs w:val="16"/>
          <w:i w:val="1"/>
          <w:iCs w:val="1"/>
          <w:color w:val="auto"/>
        </w:rPr>
        <w:t xml:space="preserve"> </w:t>
      </w:r>
      <w:r>
        <w:rPr>
          <w:rFonts w:ascii="Arial" w:cs="Arial" w:eastAsia="Arial" w:hAnsi="Arial"/>
          <w:sz w:val="16"/>
          <w:szCs w:val="16"/>
          <w:color w:val="auto"/>
        </w:rPr>
        <w:t>to assess the safety and tolerability of intrathecal doses of WVE-004 for patients with C9-ALS and/or C9-FTD. Additional objectives include measurement of polyGP proteins in the cerebrospinal fluid (“CSF”), plasma and CSF pharmacokinetics and exploratory biomarker and clinical endpoints. The FOCUS-C9 trial is designed to be adaptive with dose level and dosing frequency being guided by an independent committee. Preclinical models that have established pharmacologic activity have informed the starting dose for this trial. In July 2021, we announced the initiation of dosing in the FOCUS-C9 clinical trial. We expect to share clinical data in 2022 to provide insight into the clinical effects of PN chemistry and enable decision making for WVE-004.</w:t>
      </w:r>
    </w:p>
    <w:p>
      <w:pPr>
        <w:spacing w:after="0" w:line="164"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 xml:space="preserve">Expansion of the G4C2 repeat alters the normal expression of the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gene and causes the production of repeat-containing RNAs. These RNAs accumulate in cellular nuclei in the form of RNA foci and can be translated into DPR proteins. Neuronal degeneration associated with the expression of the repeat expansion is hypothesized to arise either from a toxic loss-of-function mechanism due to a reduction in C9orf72 protein or a toxic RNA gain-of-function mechanism through the accumulation of RNA foci and/or DPRs in the brain and spinal cord.</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our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(Liu, Y et al. Nat Comms. 2021), we report the discovery of a new targeting sequence that is common to all C9orf72 transcripts but enables preferential knockdown of repeat-containing transcripts in multiples models and C9BAC transgenic mice. Wild-type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alleles produce three mRNA transcripts: variant 1 (V1), variant (V2), and variant (V3). We apply our platform to generate stereopure oligonucleotides that target a sequence at the exon 1b-intron 1 junction, termed Splice Site-1b (“SS1b”), that is common to all C9orf72 transcripts (shown below in “b”, pre-mRNAs corresponding to V1-V3 are illustrated; the coral star indicates SS1b). In multiple in vitro model systems, an unoptimized stereopure oligonucleotide yields preferential knockdown of exon1a-containing transcripts. The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paper describes our work to identify and validate the targeting site to achieve variant-selective knockdown of expansion-containing C9orf72 transcripts. The publication highlights the foundational work that led to the development of our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1363345</wp:posOffset>
            </wp:positionH>
            <wp:positionV relativeFrom="paragraph">
              <wp:posOffset>-13970</wp:posOffset>
            </wp:positionV>
            <wp:extent cx="4416425" cy="1845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16425" cy="184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340" w:lineRule="auto"/>
        <w:rPr>
          <w:sz w:val="20"/>
          <w:szCs w:val="20"/>
          <w:color w:val="auto"/>
        </w:rPr>
      </w:pPr>
      <w:r>
        <w:rPr>
          <w:rFonts w:ascii="Arial" w:cs="Arial" w:eastAsia="Arial" w:hAnsi="Arial"/>
          <w:sz w:val="16"/>
          <w:szCs w:val="16"/>
          <w:color w:val="auto"/>
        </w:rPr>
        <w:t>By targeting the V1 and V3 mRNA transcripts that contain the G4C2 expansion and sparing V2 transcripts and healthy C9orf72 protein, WVE-004 has the potential to reduce both RNA-based and protein-based toxicity, thereby impacting the disease course and slowing the progression of ALS or FTD.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20" w:name="page21"/>
    <w:bookmarkEnd w:id="20"/>
    <w:p>
      <w:pPr>
        <w:ind w:right="40"/>
        <w:spacing w:after="0" w:line="275"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WVE-004 potently and selectively reduced V3 transcripts in iPSC-derived motor neurons, which were derived from a patient carrying a</w:t>
      </w:r>
      <w:r>
        <w:rPr>
          <w:rFonts w:ascii="Arial" w:cs="Arial" w:eastAsia="Arial" w:hAnsi="Arial"/>
          <w:sz w:val="18"/>
          <w:szCs w:val="18"/>
          <w:i w:val="1"/>
          <w:iCs w:val="1"/>
          <w:color w:val="auto"/>
        </w:rPr>
        <w:t xml:space="preserve"> C9orf72 </w:t>
      </w:r>
      <w:r>
        <w:rPr>
          <w:rFonts w:ascii="Arial" w:cs="Arial" w:eastAsia="Arial" w:hAnsi="Arial"/>
          <w:sz w:val="18"/>
          <w:szCs w:val="18"/>
          <w:color w:val="auto"/>
        </w:rPr>
        <w:t>repeat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135255</wp:posOffset>
            </wp:positionV>
            <wp:extent cx="6047740" cy="2383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4774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749"/>
        <w:spacing w:after="0" w:line="262" w:lineRule="auto"/>
        <w:rPr>
          <w:sz w:val="20"/>
          <w:szCs w:val="20"/>
          <w:color w:val="auto"/>
        </w:rPr>
      </w:pPr>
      <w:r>
        <w:rPr>
          <w:rFonts w:ascii="Arial" w:cs="Arial" w:eastAsia="Arial" w:hAnsi="Arial"/>
          <w:sz w:val="18"/>
          <w:szCs w:val="18"/>
          <w:color w:val="auto"/>
        </w:rPr>
        <w:t xml:space="preserve">WVE-004 led to dose-dependent knockdown of V3 transcripts and DPRs in mouse spinal cord tissue. In the transgenic model, mice express the human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repeat-containing gene from a bacterial artificial chromosome (“BAC”) insertion. We observed qualitatively similar dose-dependent knockdown of V3 transcripts and the polyGP DPR protein in mouse cortex tissue (data not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108585</wp:posOffset>
            </wp:positionV>
            <wp:extent cx="3963670" cy="284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963670"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60"/>
          </w:cols>
          <w:pgMar w:left="320" w:top="381" w:right="519" w:bottom="1440" w:gutter="0" w:footer="0" w:header="0"/>
        </w:sectPr>
      </w:pPr>
    </w:p>
    <w:bookmarkStart w:id="21" w:name="page22"/>
    <w:bookmarkEnd w:id="21"/>
    <w:p>
      <w:pPr>
        <w:ind w:right="120"/>
        <w:spacing w:after="0" w:line="275" w:lineRule="auto"/>
        <w:rPr>
          <w:sz w:val="20"/>
          <w:szCs w:val="20"/>
          <w:color w:val="auto"/>
        </w:rPr>
      </w:pPr>
      <w:r>
        <w:rPr>
          <w:rFonts w:ascii="Arial" w:cs="Arial" w:eastAsia="Arial" w:hAnsi="Arial"/>
          <w:sz w:val="18"/>
          <w:szCs w:val="18"/>
          <w:color w:val="auto"/>
        </w:rPr>
        <w:t xml:space="preserve">In C9 BAC transgenic mice, WVE-004 led to substantial reductions in repeat-containing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transcripts and dipeptide repeat (DPR) proteins that are sustained for at least six months, without disrupting total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135255</wp:posOffset>
            </wp:positionV>
            <wp:extent cx="6150610" cy="4723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0610" cy="4723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u w:val="single" w:color="auto"/>
          <w:color w:val="auto"/>
        </w:rPr>
        <w:t>Huntington’s Disease (“HD”)</w:t>
      </w:r>
      <w:r>
        <w:rPr>
          <w:rFonts w:ascii="Arial" w:cs="Arial" w:eastAsia="Arial" w:hAnsi="Arial"/>
          <w:sz w:val="16"/>
          <w:szCs w:val="16"/>
          <w:color w:val="auto"/>
        </w:rPr>
        <w:t>: HD is a rare hereditary neurodegenerative disease that results in early death and for which there is no cure. In HD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there is a progressive loss of neurons in the brain leading to cognitive, psychiatric and motor disabilities. HD is caused by a defect (i.e., an expanded CAG triplet repeat) in the </w:t>
      </w:r>
      <w:r>
        <w:rPr>
          <w:rFonts w:ascii="Arial" w:cs="Arial" w:eastAsia="Arial" w:hAnsi="Arial"/>
          <w:sz w:val="16"/>
          <w:szCs w:val="16"/>
          <w:i w:val="1"/>
          <w:iCs w:val="1"/>
          <w:color w:val="auto"/>
        </w:rPr>
        <w:t>HTT</w:t>
      </w:r>
      <w:r>
        <w:rPr>
          <w:rFonts w:ascii="Arial" w:cs="Arial" w:eastAsia="Arial" w:hAnsi="Arial"/>
          <w:sz w:val="16"/>
          <w:szCs w:val="16"/>
          <w:color w:val="auto"/>
        </w:rPr>
        <w:t xml:space="preserve"> gene, which results in production of mutant HTT (“mHTT”) protein. HD patients still possess some wild-type (healthy) HTT (“wtHTT”) protein, which is important for neuronal function and which may be neuroprotective in an adult brain. Studies suggest a dominant gain of function in mHTT protein and a concurrent loss of function of wtHTT protein may be important components of the pathophysiology of HD. Accordingly, therapeutic approaches for HD that involve suppression of wtHTT may have detrimental long-term consequences. There is growing evidence of the importance of wtHTT, including a 2020 </w:t>
      </w:r>
      <w:r>
        <w:rPr>
          <w:rFonts w:ascii="Arial" w:cs="Arial" w:eastAsia="Arial" w:hAnsi="Arial"/>
          <w:sz w:val="16"/>
          <w:szCs w:val="16"/>
          <w:i w:val="1"/>
          <w:iCs w:val="1"/>
          <w:color w:val="auto"/>
        </w:rPr>
        <w:t>Nature</w:t>
      </w:r>
      <w:r>
        <w:rPr>
          <w:rFonts w:ascii="Arial" w:cs="Arial" w:eastAsia="Arial" w:hAnsi="Arial"/>
          <w:sz w:val="16"/>
          <w:szCs w:val="16"/>
          <w:color w:val="auto"/>
        </w:rPr>
        <w:t xml:space="preserve"> publication (Poplawski, G.H.D., et al. Injured adult neurons regress to an embryonic transcriptional growth state. </w:t>
      </w:r>
      <w:r>
        <w:rPr>
          <w:rFonts w:ascii="Arial" w:cs="Arial" w:eastAsia="Arial" w:hAnsi="Arial"/>
          <w:sz w:val="16"/>
          <w:szCs w:val="16"/>
          <w:i w:val="1"/>
          <w:iCs w:val="1"/>
          <w:color w:val="auto"/>
        </w:rPr>
        <w:t>Nature</w:t>
      </w:r>
      <w:r>
        <w:rPr>
          <w:rFonts w:ascii="Arial" w:cs="Arial" w:eastAsia="Arial" w:hAnsi="Arial"/>
          <w:sz w:val="16"/>
          <w:szCs w:val="16"/>
          <w:color w:val="auto"/>
        </w:rPr>
        <w:t xml:space="preserve"> 581, 77–82 (2020)) which evaluated conditional knockout of huntingtin in 4-month old mice (post-neuronal development) and demonstrated that huntingtin is at the center of the regeneration transcriptome and plays an essential role in neural plasticity. In addition, at our Analyst and Investor Research Day in October 2019, key opinion leaders in HD research presented data suggesting that wtHTT is neuroprotective in an adult brain; transport of key neurotrophic factors such as brain-derived neurotrophic factor (“BDNF”) is regulated by wtHTT levels; and HD may be caused by a dominant gain of function in mHTT and a loss of function of wtHTT protein. Further, the relative proportion of wtHTT to mHTT may be critical based on evidence that suggests increased amount of wtHTT relative to mHTT may result in slower disease progression (measured by age-at-onset).</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381" w:right="459" w:bottom="1440" w:gutter="0" w:footer="0" w:header="0"/>
        </w:sectPr>
      </w:pPr>
    </w:p>
    <w:bookmarkStart w:id="22" w:name="page23"/>
    <w:bookmarkEnd w:id="22"/>
    <w:p>
      <w:pPr>
        <w:ind w:right="20"/>
        <w:spacing w:after="0" w:line="271" w:lineRule="auto"/>
        <w:rPr>
          <w:sz w:val="20"/>
          <w:szCs w:val="20"/>
          <w:color w:val="auto"/>
        </w:rPr>
      </w:pPr>
      <w:r>
        <w:rPr>
          <w:rFonts w:ascii="Arial" w:cs="Arial" w:eastAsia="Arial" w:hAnsi="Arial"/>
          <w:sz w:val="17"/>
          <w:szCs w:val="17"/>
          <w:color w:val="auto"/>
        </w:rPr>
        <w:t>Symptoms of HD typically appear between the ages of 30 and 50 and worsen over the next 10 to 20 years. Many describe the symptoms of HD as similar to having amyotrophic lateral sclerosis, Parkinson’s Disease and Alzheimer’s Disease simultaneously. Patients experience a reduction in motor function and psychological disturbances. Life expectancy after symptom onset is approximately 20 years. In the most symptomatic stages, often lasting over 10 years, affected persons become fully dependent upon others to manage all activities of daily living; they lose the ability to make decisions, feed themselves and walk, and often require premature placement in a long-term care facility. It is estimated that approximately 30,000 people in the United States have symptomatic HD. Our allele-selective approach may also enable us to address the pre-manifest, or asymptomatic, HD patient population in the future. More than 200,000 people in the United States are at-risk of developing HD.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There are no approved treatments that can reverse or slow HD progression. Current pharmacological therapies only address HD symptoms. Antipsychotics are used to manage depression, irritability and chorea (involuntary movements). Xenazine (tetrabenazine) and Austedo (deutetrabenazine) are the only two therapies approved for the treatment of chorea associated with HD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Programs</w:t>
      </w:r>
    </w:p>
    <w:p>
      <w:pPr>
        <w:spacing w:after="0" w:line="116" w:lineRule="exact"/>
        <w:rPr>
          <w:sz w:val="20"/>
          <w:szCs w:val="20"/>
          <w:color w:val="auto"/>
        </w:rPr>
      </w:pPr>
    </w:p>
    <w:p>
      <w:pPr>
        <w:ind w:right="620"/>
        <w:spacing w:after="0" w:line="290" w:lineRule="auto"/>
        <w:rPr>
          <w:sz w:val="20"/>
          <w:szCs w:val="20"/>
          <w:color w:val="auto"/>
        </w:rPr>
      </w:pPr>
      <w:r>
        <w:rPr>
          <w:rFonts w:ascii="Arial" w:cs="Arial" w:eastAsia="Arial" w:hAnsi="Arial"/>
          <w:sz w:val="16"/>
          <w:szCs w:val="16"/>
          <w:i w:val="1"/>
          <w:iCs w:val="1"/>
          <w:u w:val="single" w:color="auto"/>
          <w:color w:val="auto"/>
        </w:rPr>
        <w:t>WVE-003:</w:t>
      </w:r>
      <w:r>
        <w:rPr>
          <w:rFonts w:ascii="Arial" w:cs="Arial" w:eastAsia="Arial" w:hAnsi="Arial"/>
          <w:sz w:val="16"/>
          <w:szCs w:val="16"/>
          <w:i w:val="1"/>
          <w:iCs w:val="1"/>
          <w:color w:val="auto"/>
        </w:rPr>
        <w:t xml:space="preserve"> </w:t>
      </w:r>
      <w:r>
        <w:rPr>
          <w:rFonts w:ascii="Arial" w:cs="Arial" w:eastAsia="Arial" w:hAnsi="Arial"/>
          <w:sz w:val="16"/>
          <w:szCs w:val="16"/>
          <w:color w:val="auto"/>
        </w:rPr>
        <w:t>In HD, we are currently advancing WVE-003, a stereopure antisense oligonucleotide designed to selectively target an undisclosed single</w:t>
      </w:r>
      <w:r>
        <w:rPr>
          <w:rFonts w:ascii="Arial" w:cs="Arial" w:eastAsia="Arial" w:hAnsi="Arial"/>
          <w:sz w:val="16"/>
          <w:szCs w:val="16"/>
          <w:i w:val="1"/>
          <w:iCs w:val="1"/>
          <w:color w:val="auto"/>
        </w:rPr>
        <w:t xml:space="preserve"> </w:t>
      </w:r>
      <w:r>
        <w:rPr>
          <w:rFonts w:ascii="Arial" w:cs="Arial" w:eastAsia="Arial" w:hAnsi="Arial"/>
          <w:sz w:val="16"/>
          <w:szCs w:val="16"/>
          <w:color w:val="auto"/>
        </w:rPr>
        <w:t>nucleotide polymorphism (“SNP”), “mHTT SNP3”, associated with the disease-causing mutant huntingtin (“mHTT”) mRNA transcript within</w:t>
      </w:r>
    </w:p>
    <w:p>
      <w:pPr>
        <w:spacing w:after="0" w:line="25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SNPs are naturally occurring variations within a given genetic sequence and in certain instances can be used to distinguish between two related copies of a gene where only one is associated with the expression of a disease-causing protein. Approximately 40% of the HD population carries SNP3 according to published literature (Carroll et al., Molecular Therapy, 2011). WVE-003 incorporates our novel PN chemistry, as well as learnings from our first-generation HD programs. Targeting mRNA with SNP3 allows us to lower expression of transcript from the mutant allele, while leaving the healthy transcript relatively intact. The healthy transcript is required to produce wtHTT protein which is important for neuronal function. We commonly refer to this method (or approach) as “allele-selective targeting.” Our allele-selective approach may also enable us to address the pre-manifest, or asymptomatic, HD patient population in the future. In preclinical studies, WVE-003 showed dose-dependent and selective reduction of mHTT mRNA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potent and durable knockdown of mHTT mRNA and protein </w:t>
      </w:r>
      <w:r>
        <w:rPr>
          <w:rFonts w:ascii="Arial" w:cs="Arial" w:eastAsia="Arial" w:hAnsi="Arial"/>
          <w:sz w:val="18"/>
          <w:szCs w:val="18"/>
          <w:i w:val="1"/>
          <w:iCs w:val="1"/>
          <w:color w:val="auto"/>
        </w:rPr>
        <w:t>in vivo</w:t>
      </w:r>
      <w:r>
        <w:rPr>
          <w:rFonts w:ascii="Arial" w:cs="Arial" w:eastAsia="Arial" w:hAnsi="Arial"/>
          <w:sz w:val="18"/>
          <w:szCs w:val="18"/>
          <w:color w:val="auto"/>
        </w:rPr>
        <w:t>. A pharmacokinetic-pharmacodynamic (PK-PD) model for WVE-003 based on preclinical data predicts that WVE-003 may attain sufficient concentrations to engage mHTT transcript in both the cortex and striatum and decrease expression of mHTT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1841500</wp:posOffset>
            </wp:positionH>
            <wp:positionV relativeFrom="paragraph">
              <wp:posOffset>339090</wp:posOffset>
            </wp:positionV>
            <wp:extent cx="3468370" cy="2691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68370" cy="269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3" w:name="page24"/>
    <w:bookmarkEnd w:id="23"/>
    <w:p>
      <w:pPr>
        <w:ind w:right="20"/>
        <w:spacing w:after="0" w:line="271" w:lineRule="auto"/>
        <w:rPr>
          <w:sz w:val="20"/>
          <w:szCs w:val="20"/>
          <w:color w:val="auto"/>
        </w:rPr>
      </w:pPr>
      <w:r>
        <w:rPr>
          <w:rFonts w:ascii="Arial" w:cs="Arial" w:eastAsia="Arial" w:hAnsi="Arial"/>
          <w:sz w:val="17"/>
          <w:szCs w:val="17"/>
          <w:i w:val="1"/>
          <w:iCs w:val="1"/>
          <w:u w:val="single" w:color="auto"/>
          <w:color w:val="auto"/>
        </w:rPr>
        <w:t>SNP Phasing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To verify that HD patients have a SNP selectively available on the mutant allele, we investigated multiple technologies that could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highly accurate results and rapid turnaround. We conducted a prospective observational study of the frequency of two SNPs in patients with HD, which confirmed the feasibility of rapidly and prospectively identifying SNPs in association with the mHTT allele in patients with HD (Claassen et al., Neurol Genet 2020; Svrzikapa et al., Molecular Therapy 2020). We have an agreement with Asuragen, Inc. (“Asuragen”), a molecular diagnostics company that was acquired by Bio-Techne Corporation on April 6, 2021, for the development and potential commercialization of companion diagnostics for our allele-selective therapeutic program in HD. This agreement includes the use of their scalable SNP phasing technology (AmplideX</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HTT</w:t>
      </w:r>
      <w:r>
        <w:rPr>
          <w:rFonts w:ascii="Arial" w:cs="Arial" w:eastAsia="Arial" w:hAnsi="Arial"/>
          <w:sz w:val="17"/>
          <w:szCs w:val="17"/>
          <w:color w:val="auto"/>
        </w:rPr>
        <w:t xml:space="preserve"> SNP/Repeat Phasing Clinical Trial Assay) in our SELECT-HD trial for WVE-003.</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6"/>
          <w:szCs w:val="16"/>
          <w:i w:val="1"/>
          <w:iCs w:val="1"/>
          <w:u w:val="single" w:color="auto"/>
          <w:color w:val="auto"/>
        </w:rPr>
        <w:t>SELECT-HD Phase 1b/2a clinical trial</w:t>
      </w:r>
      <w:r>
        <w:rPr>
          <w:rFonts w:ascii="Arial" w:cs="Arial" w:eastAsia="Arial" w:hAnsi="Arial"/>
          <w:sz w:val="16"/>
          <w:szCs w:val="16"/>
          <w:color w:val="auto"/>
        </w:rPr>
        <w:t>: The SELECT-HD trial is a multicenter, randomized, double-blind, placebo-controlled Phase 1b/2a trial to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the safety and tolerability of intrathecally administered WVE-003 for patients with early manifest HD. Additional objectives include measurement of mHTT and wtHTT protein and exploratory pharmacokinetic, pharmacodynamic, clinical and MRI endpoints. The SELECT-HD trial is designed to be adaptive, with dose level and dosing frequency being guided by an independent committee. Preclinical models that have established pharmacologic activity have informed the starting dose for this trial. In September 2021, we announced the initiation of dosing in the SELECT-HD clinical trial. We expect to share clinical data in 2022 to provide insight into the clinical effects of PN chemistry and enable decision making for WVE-003.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6"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color w:val="auto"/>
        </w:rPr>
        <w:t>WVE-003 showed potent knockdown of HTT mRNA in a preclinical study using induced pluripotent stem cell (“iPSC”)-derived motor neurons homozygous for SNP3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118110</wp:posOffset>
            </wp:positionV>
            <wp:extent cx="2545715" cy="17341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5715" cy="173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WVE-003 promoted RNase H–mediated degradation of mHTT RNA while sparing wtHTT RNA in a biochemical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1892935</wp:posOffset>
            </wp:positionH>
            <wp:positionV relativeFrom="paragraph">
              <wp:posOffset>151130</wp:posOffset>
            </wp:positionV>
            <wp:extent cx="3365500" cy="23920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0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4" w:name="page25"/>
    <w:bookmarkEnd w:id="24"/>
    <w:p>
      <w:pPr>
        <w:ind w:right="160"/>
        <w:spacing w:after="0" w:line="258" w:lineRule="auto"/>
        <w:rPr>
          <w:sz w:val="20"/>
          <w:szCs w:val="20"/>
          <w:color w:val="auto"/>
        </w:rPr>
      </w:pPr>
      <w:r>
        <w:rPr>
          <w:rFonts w:ascii="Arial" w:cs="Arial" w:eastAsia="Arial" w:hAnsi="Arial"/>
          <w:sz w:val="18"/>
          <w:szCs w:val="18"/>
          <w:color w:val="auto"/>
        </w:rPr>
        <w:t>We further demonstrated selectivity of WVE-003 in assays performed in induced pluripotent stem cell (iPSC) neurons from patients with HD that are heterozygous for SNP3. These cells are amenable to the free-uptake delivery method that is an integral part of PRISM. WVE-003 selectively silences the mutant transcript while largely sparing the wild-type transcript. By comparison, the pan-silencing active comparator silences both mutant and wild-type HTT transcripts.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306705</wp:posOffset>
            </wp:positionV>
            <wp:extent cx="4100195" cy="240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0019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next tested our SNP3 compounds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a BACHD model for Huntington’s disease. This model expresses a mutant version of the human </w:t>
      </w:r>
      <w:r>
        <w:rPr>
          <w:rFonts w:ascii="Arial" w:cs="Arial" w:eastAsia="Arial" w:hAnsi="Arial"/>
          <w:sz w:val="17"/>
          <w:szCs w:val="17"/>
          <w:i w:val="1"/>
          <w:iCs w:val="1"/>
          <w:color w:val="auto"/>
        </w:rPr>
        <w:t>HTT</w:t>
      </w:r>
      <w:r>
        <w:rPr>
          <w:rFonts w:ascii="Arial" w:cs="Arial" w:eastAsia="Arial" w:hAnsi="Arial"/>
          <w:sz w:val="17"/>
          <w:szCs w:val="17"/>
          <w:color w:val="auto"/>
        </w:rPr>
        <w:t xml:space="preserve"> gene. The model is homozygous for SNP3, so it is not suitable for assessing selectivity, but enables assessment of target engagement </w:t>
      </w:r>
      <w:r>
        <w:rPr>
          <w:rFonts w:ascii="Arial" w:cs="Arial" w:eastAsia="Arial" w:hAnsi="Arial"/>
          <w:sz w:val="17"/>
          <w:szCs w:val="17"/>
          <w:i w:val="1"/>
          <w:iCs w:val="1"/>
          <w:color w:val="auto"/>
        </w:rPr>
        <w:t>in vivo</w:t>
      </w:r>
      <w:r>
        <w:rPr>
          <w:rFonts w:ascii="Arial" w:cs="Arial" w:eastAsia="Arial" w:hAnsi="Arial"/>
          <w:sz w:val="17"/>
          <w:szCs w:val="17"/>
          <w:color w:val="auto"/>
        </w:rPr>
        <w:t>. Importantly, the model expresses multiple copies of the transgene; however, not all of the copies contain SNP3, so our SNP3 compounds cannot silence all the mHTT transcripts in these mice. After administration, WVE-003 showed significant mHTT mRNA knockdown compared with phosphate-buffered saline (PBS) at the highest concentration tested in the striatum and all but the lowest concentration tested in the cortex. WVE-003 showed comparable reduction of mHTT mRNA to that of the pan-silencing oligonucleotide, despite having fewer targets in these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139065</wp:posOffset>
            </wp:positionV>
            <wp:extent cx="4151630" cy="2160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5163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81" w:right="419" w:bottom="1440" w:gutter="0" w:footer="0" w:header="0"/>
        </w:sectPr>
      </w:pPr>
    </w:p>
    <w:bookmarkStart w:id="25" w:name="page26"/>
    <w:bookmarkEnd w:id="25"/>
    <w:p>
      <w:pPr>
        <w:ind w:right="100"/>
        <w:spacing w:after="0" w:line="258" w:lineRule="auto"/>
        <w:rPr>
          <w:sz w:val="20"/>
          <w:szCs w:val="20"/>
          <w:color w:val="auto"/>
        </w:rPr>
      </w:pPr>
      <w:r>
        <w:rPr>
          <w:rFonts w:ascii="Arial" w:cs="Arial" w:eastAsia="Arial" w:hAnsi="Arial"/>
          <w:sz w:val="18"/>
          <w:szCs w:val="18"/>
          <w:color w:val="auto"/>
        </w:rPr>
        <w:t>In the cortex of BACHD mice, WVE-003 showed significant mHTT knockdown compared PBS through week 4. In the striatum, WVE-003 led to significant and durable mHTT knockdown that was sustained for 12 weeks, compared with PBS. WVE-003 led to significantly more knockdown than the pan-silencing reference compound at week 12. Since most but not all of the transgenes in this model contain SNP3, our SNP3 compounds are handicapped slightly versus the pan-silencing active comparator.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144145</wp:posOffset>
            </wp:positionV>
            <wp:extent cx="4954270" cy="2486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427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In vivo allele-selectivity: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Using an allele-selective mHTT SNP3 targeting oligonucleotide that represented a back-up candidate to our WVE-003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candidate, we investigated allele-selectivity </w:t>
      </w:r>
      <w:r>
        <w:rPr>
          <w:rFonts w:ascii="Arial" w:cs="Arial" w:eastAsia="Arial" w:hAnsi="Arial"/>
          <w:sz w:val="18"/>
          <w:szCs w:val="18"/>
          <w:i w:val="1"/>
          <w:iCs w:val="1"/>
          <w:color w:val="auto"/>
        </w:rPr>
        <w:t>in vivo</w:t>
      </w:r>
      <w:r>
        <w:rPr>
          <w:rFonts w:ascii="Arial" w:cs="Arial" w:eastAsia="Arial" w:hAnsi="Arial"/>
          <w:sz w:val="18"/>
          <w:szCs w:val="18"/>
          <w:color w:val="auto"/>
        </w:rPr>
        <w:t>. After administration (3 x 100 ug ICV doses), the allele-selective molecule decreased mHTT and spared wtHTT in the cortex, striatum and hippocampus of Hu97/18 mice up to 12 weeks post-injection throughout the brain. By contrast a pan-silencing control decreased expression of both mHTT and wtHTT, and the silencing activity was both less potent and less durable than the allele-selective molecule, especially in the striatum.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264795</wp:posOffset>
            </wp:positionV>
            <wp:extent cx="6150610" cy="2229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061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Data are mean ± SD, n=8; Stats: ns non-significant, *P&lt;0.05, **P&lt;0.01, ***P&lt;0.0001, ****P&lt;0.0001 versus PBS by 1-way ANOVA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Spinocerebellar ataxia 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SCA3 is a rare, hereditary (autosomal dominant) progressive neurodegenerative disorder that results in a lack of muscle control and coordination of the upper and lower extremities. Signs and symptoms of SCA3 may begin between childhood and late adulthood, and they vary greatly. Symptoms may include progressive clumsiness in the arms and legs, spasticity, difficulty with gait, and impaired speaking, swallowing and eye movements. Symptoms of the disease worsen over time, eventually leading to paralysis. Some patients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1" w:right="359" w:bottom="1440" w:gutter="0" w:footer="0" w:header="0"/>
        </w:sectPr>
      </w:pPr>
    </w:p>
    <w:bookmarkStart w:id="26" w:name="page27"/>
    <w:bookmarkEnd w:id="26"/>
    <w:p>
      <w:pPr>
        <w:ind w:right="800"/>
        <w:spacing w:after="0" w:line="340" w:lineRule="auto"/>
        <w:rPr>
          <w:sz w:val="20"/>
          <w:szCs w:val="20"/>
          <w:color w:val="auto"/>
        </w:rPr>
      </w:pPr>
      <w:r>
        <w:rPr>
          <w:rFonts w:ascii="Arial" w:cs="Arial" w:eastAsia="Arial" w:hAnsi="Arial"/>
          <w:sz w:val="16"/>
          <w:szCs w:val="16"/>
          <w:color w:val="auto"/>
        </w:rPr>
        <w:t>with SCA3 develop dystonia or symptoms similar to those of PD, including twitching of the face or tongue, and nerve damage (neuropathy). Life expectancy ranges from the mid-30s in the more severe forms, to a nearly normal life expectancy for those with milder forms of the disease.</w:t>
      </w:r>
    </w:p>
    <w:p>
      <w:pPr>
        <w:spacing w:after="0" w:line="12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SCA3 is caused by a CAG-repeat expansion in the </w:t>
      </w:r>
      <w:r>
        <w:rPr>
          <w:rFonts w:ascii="Arial" w:cs="Arial" w:eastAsia="Arial" w:hAnsi="Arial"/>
          <w:sz w:val="18"/>
          <w:szCs w:val="18"/>
          <w:i w:val="1"/>
          <w:iCs w:val="1"/>
          <w:color w:val="auto"/>
        </w:rPr>
        <w:t>ATXN3</w:t>
      </w:r>
      <w:r>
        <w:rPr>
          <w:rFonts w:ascii="Arial" w:cs="Arial" w:eastAsia="Arial" w:hAnsi="Arial"/>
          <w:sz w:val="18"/>
          <w:szCs w:val="18"/>
          <w:color w:val="auto"/>
        </w:rPr>
        <w:t xml:space="preserve"> gene, resulting in an abnormally long polyglutamine stretch in the encoded ataxin-3 protein. Mutant ataxin-3 protein is thought to cause widespread neuronal loss in the brain and spinal cord, likely through a toxic gain-of-function mechanism. SCA3 is the most common dominantly inherited form of ataxia. The prevalence of SCA3 is believed to be one to two cases in 100,000 people with significant geographic and ethnic variations.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There are currently no disease-modifying therapies approved for treatment of SCA3. Treatment to date has involved the use of medications for symptomatic management, as well as physical and occupational therapy.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SCA3, we are continuing to advance our program targeting ATXN3.</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DMD is a rare, genetic progressive neuromuscular disorder caused by mutations in the dystrophin gene on the X chromosome that affects approximately one in 5,000 newborn boys around the world (approximately 20,000 new cases annually). The dystrophin protein is part of a protein complex called the dystrophin-associated protein complex that acts as an anchor, connecting each muscle cell’s structural framework with a lattice of proteins and other molecules outside the cell through the muscle cell membrane. The dystrophin-associated protein complex protects the muscle from injury during contraction and relaxation. Patients with DMD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few individuals with DMD live beyond their thirties.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While there are approved therapies for DMD, there is no cure, and there continues to be significant unmet medical need. In most countries, corticosteroids are the standard drug therapy, which slows the progression of muscle weakness and delays loss of ambulation by two to three years. In February 2017, Emflaza (deflazacort) became the first corticosteroid in the United States approved by the FDA as a treatment for DMD patients older than five years of age.</w:t>
      </w:r>
    </w:p>
    <w:p>
      <w:pPr>
        <w:spacing w:after="0" w:line="18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In 2016, Sarepta Therapeutics’ Exondys 51™ </w:t>
      </w:r>
      <w:r>
        <w:rPr>
          <w:rFonts w:ascii="Arial" w:cs="Arial" w:eastAsia="Arial" w:hAnsi="Arial"/>
          <w:sz w:val="16"/>
          <w:szCs w:val="16"/>
          <w:i w:val="1"/>
          <w:iCs w:val="1"/>
          <w:color w:val="auto"/>
        </w:rPr>
        <w:t>(</w:t>
      </w:r>
      <w:r>
        <w:rPr>
          <w:rFonts w:ascii="Arial" w:cs="Arial" w:eastAsia="Arial" w:hAnsi="Arial"/>
          <w:sz w:val="16"/>
          <w:szCs w:val="16"/>
          <w:color w:val="auto"/>
        </w:rPr>
        <w:t>eteplirsen) received accelerated approval in the United States for the treatment of patients with DMD, who have a confirmed mutation of the dystrophin gene amenable to exon 51 skipping. Two drugs have received accelerated approval in the United States for DMD patients with a confirmed mutation of the dystrophin gene amenable to exon 53 skipping: Sarepta Therapeutics’ Vyondys 53™ (golodirsen) in 2019 and NS Pharma’s Viltepso™ (viltolarsen) in 2020. NS Pharma has also received Marketing Authorization for Viltepso in Japan. In 2021, Sarepta’s Amondys 45™ (casimersen) received accelerated approval for DMD patients with a mutation amenable to exon 45 skipping. According to U.S. accelerated approval guidelines, approval is based on a surrogate endpoint that is likely to predict clinical benefit, but no clinical benefit needs to be established at the time of FDA approval. No clinical benefit has yet been established for eteplirsen, golodirsen, viltolarsen, or casimersen. Thus, in accordance with the U.S. accelerated approval regulations, the FDA is requiring Sarepta to conduct clinical trials to verify and describe the clinical benefit of eteplirsen, golodirsen, and casimersen. Similarly, NS Pharma is required to conduct a clinical trial to verify and describe the clinical benefit of viltolarsen. If any of these confirmatory trials fail to verify clinical benefit, the FDA could initiate proceedings to withdraw approval of the respective drug(s).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2014, PTC Therapeutics’ Translarna™ (ataluren) was the first disease-modifying treatment to receive conditional approval by the EMA for the treatment of ambulatory DMD patients over 5 years of age who have a nonsense mutation (12% of DMD cases) in the dystrophin gene. In 2016, the EMA did not allow Translarna to convert to full marketing authorization; rather, it granted a renewal of the conditional approval. In 2018, EMA expanded the conditional approval for Translarna to include treatment of ambulatory DMD patients ≤2 years of age who have a nonsense mutation in the dystrophin gene. In June 2020, the EMA removed a statement from the summary of product characteristics (“SmPC”) for Translarna that “efficacy has not been demonstrated in non-ambulatory patients.”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Our Program</w:t>
      </w:r>
    </w:p>
    <w:p>
      <w:pPr>
        <w:spacing w:after="0" w:line="116"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i w:val="1"/>
          <w:iCs w:val="1"/>
          <w:u w:val="single" w:color="auto"/>
          <w:color w:val="auto"/>
        </w:rPr>
        <w:t>WVE-N531</w:t>
      </w:r>
      <w:r>
        <w:rPr>
          <w:rFonts w:ascii="Arial" w:cs="Arial" w:eastAsia="Arial" w:hAnsi="Arial"/>
          <w:sz w:val="16"/>
          <w:szCs w:val="16"/>
          <w:color w:val="auto"/>
        </w:rPr>
        <w:t>: In DMD, we are advancing WVE-N531, which is designed to target exon 53 within the dystrophin gene. WVE-N531 is designed to cause the</w:t>
      </w:r>
      <w:r>
        <w:rPr>
          <w:rFonts w:ascii="Arial" w:cs="Arial" w:eastAsia="Arial" w:hAnsi="Arial"/>
          <w:sz w:val="16"/>
          <w:szCs w:val="16"/>
          <w:i w:val="1"/>
          <w:iCs w:val="1"/>
          <w:color w:val="auto"/>
        </w:rPr>
        <w:t xml:space="preserve"> </w:t>
      </w:r>
      <w:r>
        <w:rPr>
          <w:rFonts w:ascii="Arial" w:cs="Arial" w:eastAsia="Arial" w:hAnsi="Arial"/>
          <w:sz w:val="16"/>
          <w:szCs w:val="16"/>
          <w:color w:val="auto"/>
        </w:rPr>
        <w:t>cellular splicing machinery to skip over this exon during pre-mRNA processing, which restores the dystrophin mRNA reading frame and enables production of truncated, but functional dystrophin protein. Exon-skipping produces dystrophin from the endogenous dystrophin gene (not micro or mini dystrophin expressed from a vector), under the control of native gene-regulatory elements, resulting in normal temporospatial expression. WVE-N531 is both our first splicing candidate and our first systemically administered candidate incorporating PN chemistry to be assessed in the clinic.</w:t>
      </w:r>
    </w:p>
    <w:p>
      <w:pPr>
        <w:spacing w:after="0" w:line="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u w:val="single" w:color="auto"/>
          <w:color w:val="auto"/>
        </w:rPr>
        <w:t>WVE-N531 clinical trial</w:t>
      </w:r>
      <w:r>
        <w:rPr>
          <w:rFonts w:ascii="Arial" w:cs="Arial" w:eastAsia="Arial" w:hAnsi="Arial"/>
          <w:sz w:val="18"/>
          <w:szCs w:val="18"/>
          <w:color w:val="auto"/>
        </w:rPr>
        <w:t>: In September 2021, we announced the initiation of dosing in an open-label clinical trial evaluating WVE-N531 as a treatment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boys with DMD who are amenable to exon 53 skipping. We expect to share clinical data, including muscle biopsies, in 2022 to provide insight into the clinical effects of PN chemistry and enable decision making for WVE-N531.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WVE-N531 induced dose-dependent exon 53 skipping up to 49% and dystrophin protein restoration up to 71% in DMD patient-derived myoblasts</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 deletion of exons 45-52. In these experiments, cells were exposed to WVE-N531 at 0.1 µM-10 µM under gymnotic conditions. After four days of oligonucleotide treatment, efficiency at skipping exon 53 was determined by quantitative RT-PCR. After six days of oligonucleotide treatment, protein lysate was analyzed by western blot for dystrophin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127635</wp:posOffset>
            </wp:positionV>
            <wp:extent cx="3399790" cy="2178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9979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61" w:right="359" w:bottom="144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t xml:space="preserve">To understand the effects of PN backbone chemistry modifications </w:t>
      </w:r>
      <w:r>
        <w:rPr>
          <w:rFonts w:ascii="Arial" w:cs="Arial" w:eastAsia="Arial" w:hAnsi="Arial"/>
          <w:sz w:val="16"/>
          <w:szCs w:val="16"/>
          <w:i w:val="1"/>
          <w:iCs w:val="1"/>
          <w:color w:val="auto"/>
        </w:rPr>
        <w:t>in vivo</w:t>
      </w:r>
      <w:r>
        <w:rPr>
          <w:rFonts w:ascii="Arial" w:cs="Arial" w:eastAsia="Arial" w:hAnsi="Arial"/>
          <w:sz w:val="16"/>
          <w:szCs w:val="16"/>
          <w:color w:val="auto"/>
        </w:rPr>
        <w:t>, we conducted a study in a double-knockout or “dKO” mouse model, which has a mutation in exon 23 leading to a lack of dystrophin, as well as a mutation leading to a lack of utrophin. We compared the effects of a PS/PO-containing molecule dosed at 150 mg/kg weekly to a PN-containing compound dosed at the same level, a PN-containing compound at 75 mg/kg every other week and a control group dosed with PBS. Other than the placement of the three PN backbone linkages, these molecules have the same sequence and chemistry. There is a significant increase in survival in those animals treated with PN containing compounds as compared with the other treatment groups. As shown in the figure below on the left, both cohorts of mice receiving the PN-containing molecules (shown in dark blue and light green) had 100% survival at the time of study termination, with a median age of approximately 40 weeks. By comparison, the median survival for the mice receiving the PS/PO-containing molecule dosed at 150 mg/kg weekly was approximately 12 weeks and the dKO control animals that received PBS had a median survival of approximately seven weeks. These results were published in Nucleic Acids Research (Kandasamy et al., 2022; doi: 101.1093/nar/gkac018).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114300</wp:posOffset>
            </wp:positionV>
            <wp:extent cx="2827655" cy="21272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7655" cy="212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We are leveraging our ADAR editing platform capability to develop a potentially novel treatment for alpha-1 antitrypsin deficiency (“AATD”). AATD is a rare, inherited genetic disorder that is commonly caused by a G-to-A point mutation in the </w:t>
      </w:r>
      <w:r>
        <w:rPr>
          <w:rFonts w:ascii="Arial" w:cs="Arial" w:eastAsia="Arial" w:hAnsi="Arial"/>
          <w:sz w:val="18"/>
          <w:szCs w:val="18"/>
          <w:i w:val="1"/>
          <w:iCs w:val="1"/>
          <w:color w:val="auto"/>
        </w:rPr>
        <w:t>SERPINA1</w:t>
      </w:r>
      <w:r>
        <w:rPr>
          <w:rFonts w:ascii="Arial" w:cs="Arial" w:eastAsia="Arial" w:hAnsi="Arial"/>
          <w:sz w:val="18"/>
          <w:szCs w:val="18"/>
          <w:color w:val="auto"/>
        </w:rPr>
        <w:t xml:space="preserve"> gene; this mutant allele is termed the </w:t>
      </w:r>
      <w:r>
        <w:rPr>
          <w:rFonts w:ascii="Arial" w:cs="Arial" w:eastAsia="Arial" w:hAnsi="Arial"/>
          <w:sz w:val="18"/>
          <w:szCs w:val="18"/>
          <w:i w:val="1"/>
          <w:iCs w:val="1"/>
          <w:color w:val="auto"/>
        </w:rPr>
        <w:t>Z</w:t>
      </w:r>
      <w:r>
        <w:rPr>
          <w:rFonts w:ascii="Arial" w:cs="Arial" w:eastAsia="Arial" w:hAnsi="Arial"/>
          <w:sz w:val="18"/>
          <w:szCs w:val="18"/>
          <w:color w:val="auto"/>
        </w:rPr>
        <w:t xml:space="preserve"> allele. This mutation leads to misfolding and aggregation of alpha-1 antitrypsin (“AAT”) protein in hepatocytes and a lack of functional AAT in the lungs. People with AATD typically exhibit progressive lung damage, liver damage or both, leading to frequent hospitalizations and potentially terminal lung disease and/or liver disease. While the few approved therapies for AATD modestly increase circulating levels of AAT in those with the lung pathology, there are no approved therapies to address the liver pathology. Approximately 200,000 people in the United States and Europe are homozygous for the Z allele, which is the most common form of severe disease.</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There are five treatments currently approved in the United States for chronic augmentation and maintenance therapy in adults with emphysema due to congenital deficiency of alpha1-proteinase inhibitor (Alpha1-PI). Per FDA labeling for each, the effect of augmentation therapy with any alpha1-proteinase inhibitor on pulmonary exacerbations and on the progression of emphysema in Alpha1-PI deficiency has not been demonstrated in randomized, controlled clinical trials. Patients with AATD can also be treated with therapies used in other lung diseases including bronchodilators to open airways and corticosteroids to reduce chronic inflammation common in the lungs of AATD patients.</w:t>
      </w:r>
    </w:p>
    <w:p>
      <w:pPr>
        <w:spacing w:after="0" w:line="21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There are currently no approved therapies to prevent the accumulation of the misfolded AAT protein in the liver. Treatments are available to help deal with intestinal bleeding, fluid in the abdomen, nutritional issues and other complications from scarring of the liver, but ultimately many patients will progress towards requiring a liver transplant.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Our Program</w:t>
      </w:r>
    </w:p>
    <w:p>
      <w:pPr>
        <w:spacing w:after="0" w:line="129"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Our AATD program is the first to leverage our novel RNA editing capability that uses GalNAc-conjugated AIMers (RNA base editing oligonucleotides) and endogenous ADAR enzymes by correcting a single base in the mutant SERPINA1 mRNA. ADAR editing may provide an ideal approach for increasing circulating levels of wild-type AAT protein and reducing aggregation in the liver, thus simultaneously addressing both the lung and liver manifestations of the disease. We expect to select an AATD AIMer development candidate and initiate IND-enabling toxicology studies in the third quarter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245110</wp:posOffset>
            </wp:positionV>
            <wp:extent cx="6150610" cy="2178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061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3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 xml:space="preserve">In a primary hepatocyte </w:t>
      </w:r>
      <w:r>
        <w:rPr>
          <w:rFonts w:ascii="Arial" w:cs="Arial" w:eastAsia="Arial" w:hAnsi="Arial"/>
          <w:sz w:val="16"/>
          <w:szCs w:val="16"/>
          <w:i w:val="1"/>
          <w:iCs w:val="1"/>
          <w:color w:val="auto"/>
        </w:rPr>
        <w:t>SERPINA1</w:t>
      </w:r>
      <w:r>
        <w:rPr>
          <w:rFonts w:ascii="Arial" w:cs="Arial" w:eastAsia="Arial" w:hAnsi="Arial"/>
          <w:sz w:val="16"/>
          <w:szCs w:val="16"/>
          <w:color w:val="auto"/>
        </w:rPr>
        <w:t xml:space="preserve"> Z allele cell model, we demonstrated that editing the Z allele mRNA restored protein secretion from hepatocytes, as shown in the figure below. We observed upwards of 60% correction of the Z allele mRNA back to wild-type transcript (as shown below on the left), which prevented protein misfolding and increases secretion of editing AAT protein from hepatocytes (as shown below on the right). Edited, wild-type AAT protein was confirmed to be wild-type by mass spectrometry and the function of secreted, edited AAT protein was confirmed by neutrophil elastase inhibition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-1905</wp:posOffset>
            </wp:positionV>
            <wp:extent cx="5364480" cy="1546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64480" cy="154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30" w:name="page31"/>
    <w:bookmarkEnd w:id="30"/>
    <w:p>
      <w:pPr>
        <w:ind w:right="60"/>
        <w:spacing w:after="0" w:line="278" w:lineRule="auto"/>
        <w:rPr>
          <w:sz w:val="20"/>
          <w:szCs w:val="20"/>
          <w:color w:val="auto"/>
        </w:rPr>
      </w:pPr>
      <w:r>
        <w:rPr>
          <w:rFonts w:ascii="Arial" w:cs="Arial" w:eastAsia="Arial" w:hAnsi="Arial"/>
          <w:sz w:val="17"/>
          <w:szCs w:val="17"/>
          <w:color w:val="auto"/>
        </w:rPr>
        <w:t xml:space="preserve">With a GalNAc-AIMer (specifically “SA1-4”) dosed at 3 x 10 mg/kg, we reported proof-of-concept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that demonstrated up to 40% editing of human SERPINA1 Z allele mRNA in liver at an initial time point, which resulted in a therapeutically meaningful increase in circulating, functional wild-type AAT protein (as shown in the two charts below). This initial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utilized our proprietary transgenic mouse model, which has both the human </w:t>
      </w:r>
      <w:r>
        <w:rPr>
          <w:rFonts w:ascii="Arial" w:cs="Arial" w:eastAsia="Arial" w:hAnsi="Arial"/>
          <w:sz w:val="17"/>
          <w:szCs w:val="17"/>
          <w:i w:val="1"/>
          <w:iCs w:val="1"/>
          <w:color w:val="auto"/>
        </w:rPr>
        <w:t>SERPINA1</w:t>
      </w:r>
      <w:r>
        <w:rPr>
          <w:rFonts w:ascii="Arial" w:cs="Arial" w:eastAsia="Arial" w:hAnsi="Arial"/>
          <w:sz w:val="17"/>
          <w:szCs w:val="17"/>
          <w:color w:val="auto"/>
        </w:rPr>
        <w:t xml:space="preserve"> Z-allele, as well as human ADAR that is expressed comparably to human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-18415</wp:posOffset>
            </wp:positionV>
            <wp:extent cx="6150610" cy="2221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5061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evaluate the specificity of our GalNAc-AIMer (specifically “SA1-4 AIMer”), we performed RNA-seq on liver biopsies from treated animals. The figure below on the left shows total sequence coverage across the entire SERPINA1 transcript for the AIMer-treated samples. The percentage of unedited “T” and edited “C” reads are indicated for each group. Editing is only detected at the intended, on-target sequence in the SERPINA1 transcript. Thus, the protein being produced using this approach is truly wild-type M-AAT protein. This also confirms there is no editing of bystander residues, as has been seen with DNA targeting approaches. To assess off-target editing for the whole transcriptome, we applied a mutation-calling software to search edit sites. From this analysis, we observed minimal off-target editing across the transcriptome. Sites where potential off-target editing occurred had either low read coverage in the analysis or occurred at low percentages of less than 10%, indicating that these are rare events, as shown below on the right. In both analyses, we find a high percentage of editing that is specific for the target site in the SERPINA1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121920</wp:posOffset>
            </wp:positionV>
            <wp:extent cx="6150610" cy="23152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5061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40" w:right="419" w:bottom="1440" w:gutter="0" w:footer="0" w:header="0"/>
        </w:sectPr>
      </w:pPr>
    </w:p>
    <w:bookmarkStart w:id="31" w:name="page32"/>
    <w:bookmarkEnd w:id="31"/>
    <w:p>
      <w:pPr>
        <w:ind w:right="60"/>
        <w:spacing w:after="0" w:line="285" w:lineRule="auto"/>
        <w:rPr>
          <w:sz w:val="20"/>
          <w:szCs w:val="20"/>
          <w:color w:val="auto"/>
        </w:rPr>
      </w:pPr>
      <w:r>
        <w:rPr>
          <w:rFonts w:ascii="Arial" w:cs="Arial" w:eastAsia="Arial" w:hAnsi="Arial"/>
          <w:sz w:val="17"/>
          <w:szCs w:val="17"/>
          <w:color w:val="auto"/>
        </w:rPr>
        <w:t>Using an optimized AIMer (specifically “SA1-5”), we demonstrated restoration of functional AAT protein in a transgenic mouse model with bi-weekly doses of 10 mg/kg following initial loading doses. At 19 weeks, AIMer treatment resulted in approximately 60% RNA editing of SERPINA1 transcript and circulating serum AAT levels (18.5 uM) in AIMer treated mice that were approximately 5-fold greater than PBS-treated control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1628140</wp:posOffset>
            </wp:positionH>
            <wp:positionV relativeFrom="paragraph">
              <wp:posOffset>113665</wp:posOffset>
            </wp:positionV>
            <wp:extent cx="3886835" cy="25628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868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11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ophthalmology, we have generated </w:t>
      </w:r>
      <w:r>
        <w:rPr>
          <w:rFonts w:ascii="Arial" w:cs="Arial" w:eastAsia="Arial" w:hAnsi="Arial"/>
          <w:sz w:val="17"/>
          <w:szCs w:val="17"/>
          <w:i w:val="1"/>
          <w:iCs w:val="1"/>
          <w:color w:val="auto"/>
        </w:rPr>
        <w:t>in vitro, 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in preclinical studies that support the potential of our stereopure oligonucleotides for the treatment of rare, inherited eye diseases. Our preclinical data demonstrate that a single intravitreal injection of stereopure oligonucleotide in the eye of non-human primates (“NHPs”) resulted in greater than 95% knockdown of a target RNA in the retina for at least 4 months, which supports the potential to design candidates that could achieve a therapeutic effect with only two doses per year. We have also used AIMers to achieve up to 50% mRNA editing of UGP2 in the posterior of mouse eyes following a single intravitreal dose. Our pipeline includes two preclinical programs: Usher syndrome type 2A (“USH2A”) and retinitis pigmentosa due to a P23H mutation in the </w:t>
      </w:r>
      <w:r>
        <w:rPr>
          <w:rFonts w:ascii="Arial" w:cs="Arial" w:eastAsia="Arial" w:hAnsi="Arial"/>
          <w:sz w:val="17"/>
          <w:szCs w:val="17"/>
          <w:i w:val="1"/>
          <w:iCs w:val="1"/>
          <w:color w:val="auto"/>
        </w:rPr>
        <w:t>RHO</w:t>
      </w:r>
      <w:r>
        <w:rPr>
          <w:rFonts w:ascii="Arial" w:cs="Arial" w:eastAsia="Arial" w:hAnsi="Arial"/>
          <w:sz w:val="17"/>
          <w:szCs w:val="17"/>
          <w:color w:val="auto"/>
        </w:rPr>
        <w:t xml:space="preserve"> gene (“RhoP23H”).</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u w:val="single" w:color="auto"/>
          <w:color w:val="auto"/>
        </w:rPr>
        <w:t>USH2A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Usher syndrome type 2A is an autosomal recessive disease characterized by hearing loss at birth and progressive vision loss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adolescence or adulthood. It is commonly caused by a mutation that introduces a stop codon and prevents translation of usherin protein, leading to progressive degeneration of photoreceptors. Antisense oligonucleotides that preferentially promote exon skipping may restore production of functional usherin protein and potentially confer therapeutic benefit in patients.</w:t>
      </w:r>
    </w:p>
    <w:p>
      <w:pPr>
        <w:spacing w:after="0" w:line="24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Using a stereopure antisense oligonucleotide, we induced dose-dependent </w:t>
      </w:r>
      <w:r>
        <w:rPr>
          <w:rFonts w:ascii="Arial" w:cs="Arial" w:eastAsia="Arial" w:hAnsi="Arial"/>
          <w:sz w:val="18"/>
          <w:szCs w:val="18"/>
          <w:i w:val="1"/>
          <w:iCs w:val="1"/>
          <w:color w:val="auto"/>
        </w:rPr>
        <w:t>USH2A</w:t>
      </w:r>
      <w:r>
        <w:rPr>
          <w:rFonts w:ascii="Arial" w:cs="Arial" w:eastAsia="Arial" w:hAnsi="Arial"/>
          <w:sz w:val="18"/>
          <w:szCs w:val="18"/>
          <w:color w:val="auto"/>
        </w:rPr>
        <w:t xml:space="preserve"> exon skipping that was 2-fold more potent than a stereorandom reference ASO under gymnotic conditions in Y79 cells. To bridge the gap between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we used a stereopure antisense oligonucleotide to induce dose-dependent </w:t>
      </w:r>
      <w:r>
        <w:rPr>
          <w:rFonts w:ascii="Arial" w:cs="Arial" w:eastAsia="Arial" w:hAnsi="Arial"/>
          <w:sz w:val="18"/>
          <w:szCs w:val="18"/>
          <w:i w:val="1"/>
          <w:iCs w:val="1"/>
          <w:color w:val="auto"/>
        </w:rPr>
        <w:t>USH2A</w:t>
      </w:r>
      <w:r>
        <w:rPr>
          <w:rFonts w:ascii="Arial" w:cs="Arial" w:eastAsia="Arial" w:hAnsi="Arial"/>
          <w:sz w:val="18"/>
          <w:szCs w:val="18"/>
          <w:color w:val="auto"/>
        </w:rPr>
        <w:t xml:space="preserve"> exon skipping in a NHP retina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under gymnotic conditions 48 hours after treatment. Finally, we used a stereopure oligonucleotide to demonstrate dose-dependent exon-skipping in NHP retina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186"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u w:val="single" w:color="auto"/>
          <w:color w:val="auto"/>
        </w:rPr>
        <w:t>Retinitis pigmentosa (RP) program</w:t>
      </w:r>
      <w:r>
        <w:rPr>
          <w:rFonts w:ascii="Arial" w:cs="Arial" w:eastAsia="Arial" w:hAnsi="Arial"/>
          <w:sz w:val="18"/>
          <w:szCs w:val="18"/>
          <w:color w:val="auto"/>
        </w:rPr>
        <w:t>: Retinitis pigmentosa is a group of rare, genetic eye disorders resulting in progressive photoreceptor cell death and</w:t>
      </w:r>
      <w:r>
        <w:rPr>
          <w:rFonts w:ascii="Arial" w:cs="Arial" w:eastAsia="Arial" w:hAnsi="Arial"/>
          <w:sz w:val="18"/>
          <w:szCs w:val="18"/>
          <w:i w:val="1"/>
          <w:iCs w:val="1"/>
          <w:color w:val="auto"/>
        </w:rPr>
        <w:t xml:space="preserve"> </w:t>
      </w:r>
      <w:r>
        <w:rPr>
          <w:rFonts w:ascii="Arial" w:cs="Arial" w:eastAsia="Arial" w:hAnsi="Arial"/>
          <w:sz w:val="18"/>
          <w:szCs w:val="18"/>
          <w:color w:val="auto"/>
        </w:rPr>
        <w:t>gradual loss of function. Currently, there is no cure for this condition. Approximately 10% of U.S. autosomal dominant RP cases are caused by the P23H mutation in the rhodopsin gene (RHO). Mutant P23H rhodopsin protein is thought to misfold and co-aggregate with wild-type rhodopsin, resulting in a gain-of-function or dominant negative effect in rod photoreceptor cells.</w:t>
      </w:r>
    </w:p>
    <w:p>
      <w:pPr>
        <w:spacing w:after="0" w:line="18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We have presented preclinical data demonstrating dose-dependent reduction of the mutant RhoP23H transcript following treatment with our stereopure, allele-selective sequence, with preservation of wild-type Rhodopsin transcripts.</w:t>
      </w:r>
    </w:p>
    <w:p>
      <w:pPr>
        <w:spacing w:after="0" w:line="27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 xml:space="preserve">At the 2021 Oligonucleotide Therapeutics Conference, we shared the first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which was performed by our collaborator at University of Louisville, to show functional benefit after treatment with our RhoP23H candidate in a severe humanized pig model. PN-containing oligonucleotides preserve retinal cell morphology, prevent rod cell death and restore rod cell function in severe humanized pig model of adRP.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120"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Our business strategy is to develop and commercialize a broad pipeline of novel nucleic acid therapies. As part of this strategy, we have entered into, and may enter into new partnership and collaboration agreements as a means of advancing our own nucleic acid therapeutic programs, investing in third-party technologies to further strengthen PRISM and leveraging external partnerships to extend the reach of PRISM into therapeutic areas where our platform demonstrates a competitive advantage.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February 2018, Wave Life Sciences USA, Inc. (“Wave USA”) and Wave Life Sciences UK Limited (“Wave UK”) entered into a collaboration and license agreement (the “Takeda Collaboration Agreement”) for a global strategic collaboration (the “Takeda Collaboration”) with Takeda Pharmaceutical Company Limited (“Takeda”), pursuant to which Wave USA, Wave UK and Takeda agreed to collaborate on the research, development and commercialization of oligonucleotide therapeutics for disorders of the Central Nervous System (“CNS”). The Takeda Collaboration provided us with at least $230.0 million in committed cash and Takeda with the option to co-develop and co-commercialize our CNS development programs in (1) Huntington’s disease (“HD”); (2) amyotrophic lateral sclerosis (“ALS”) and frontotemporal dementia (“FTD”); and (3) our discovery-stage program targeting </w:t>
      </w:r>
      <w:r>
        <w:rPr>
          <w:rFonts w:ascii="Arial" w:cs="Arial" w:eastAsia="Arial" w:hAnsi="Arial"/>
          <w:sz w:val="16"/>
          <w:szCs w:val="16"/>
          <w:i w:val="1"/>
          <w:iCs w:val="1"/>
          <w:color w:val="auto"/>
        </w:rPr>
        <w:t>ATXN3</w:t>
      </w:r>
      <w:r>
        <w:rPr>
          <w:rFonts w:ascii="Arial" w:cs="Arial" w:eastAsia="Arial" w:hAnsi="Arial"/>
          <w:sz w:val="16"/>
          <w:szCs w:val="16"/>
          <w:color w:val="auto"/>
        </w:rPr>
        <w:t xml:space="preserve"> for the treatment of spinocerebellar ataxia 3 (“SCA3”) (collectively, “Category 1 Programs”), which we will have the right to co-commercialize in the United States. In addition, the Takeda Collaboration provided Takeda with the right to exclusively license multiple preclinical programs for CNS disorders, including Alzheimer’s disease and Parkinson’s disease (collectively, “Category 2 Programs”). In April 2018, the Takeda Collaboration became effective and Takeda paid Wave $110.0 million as an upfront payment. Takeda also agreed to fund our research and preclinical activities in the amount of $60.0 million during the four-year research term and to reimburse Wave for any collaboration-budgeted research and preclinical expenses incurred by us that exceed that amount.</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October 15, 2021, we and Takeda entered into the Second Amendment (the “Amendment”) to the Takeda Collaboration Agreement, which amended the Category 2 component of the two-part collaboration (the “Category 2 Programs”). As discussed above, under Category 2 of the Takeda Collaboration Agreement, we had granted Takeda the right to exclusively license multiple preclinical programs for CNS disorders during a four-year research term. Pursuant to the terms of the Amendment, we and Takeda discontinued the Category 2 component of the Takeda Collaboration Agreement and Takeda paid us an additional $22.5 million for collaboration-related research and preclinical expenses. As a result of the Amendment, we are free to advance our CNS programs independently or enter partnerships in the CNS field outside of the three specified targets, C9orf72, HTT and ATXN3, including WVE-004 and WVE-003, that are part of the ongoing late-stage Category 1 Programs. The Category 1 component of the original Takeda Collaboration Agreement remains in effect and is unchanged by the Amendment.</w:t>
      </w:r>
    </w:p>
    <w:p>
      <w:pPr>
        <w:spacing w:after="0" w:line="17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Simultaneously with Wave USA and Wave UK’s entry into the Takeda Collaboration Agreement, we entered into a share purchase agreement with Takeda (the “Takeda Equity Agreement,” and together with the Takeda Collaboration Agreement, the “Takeda Agreements”) pursuant to which it agreed to sell to Takeda 1,096,892 of our ordinary shares at a purchase price of $54.70 per share. In April 2018, we closed the Takeda Equity Agreement and received aggregate cash proceeds of $60.0 million. The parties also agreed for the shares purchased by Takeda to be subject to certain lock-up and standstill restrictions and carry certain registration rights, customary for transactions of this kind.</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With respect to Category 1 Programs, we will be responsible for researching and developing products and companion diagnostics for Category 1 Programs through completion of the first proof of mechanism study for such products. Takeda will have an exclusive option for each target and all associated products and companion diagnostics for such target, which it may exercise at any time through completion of the proof of mechanism study. If Takeda exercises this option, we will receive an opt-in payment and will lead manufacturing and joint clinical co-development activities and Takeda will lead joint co-commercial activities in the United States and all commercial activities outside of the United States. Global costs and potential profits will be shared 50:50 and we will be eligible to receive development and commercial milestone payments. In addition to its 50% profit share, we are eligible to receive option exercise fees and development and commercial milestone payments for each of the Category 1 Programs.</w:t>
      </w:r>
    </w:p>
    <w:p>
      <w:pPr>
        <w:spacing w:after="0" w:line="17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Under the Takeda Collaboration Agreement, each party grants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8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term of the Takeda Collaboration Agreement commenced on April 2, 2018 and, unless terminated earlier, will continue until the date on which: (i) with respect to each Category 1 Program target for which Takeda does not exercise its option, the expiration or termination of the development program with respect to such target; or (ii) with respect to each Category 1 Program target for which Takeda exercises its option, the date on which neither party is researching, developing or manufacturing any products or companion diagnostics directed to such target.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33" w:name="page34"/>
    <w:bookmarkEnd w:id="33"/>
    <w:p>
      <w:pPr>
        <w:ind w:right="20"/>
        <w:spacing w:after="0" w:line="284" w:lineRule="auto"/>
        <w:rPr>
          <w:sz w:val="20"/>
          <w:szCs w:val="20"/>
          <w:color w:val="auto"/>
        </w:rPr>
      </w:pPr>
      <w:r>
        <w:rPr>
          <w:rFonts w:ascii="Arial" w:cs="Arial" w:eastAsia="Arial" w:hAnsi="Arial"/>
          <w:sz w:val="16"/>
          <w:szCs w:val="16"/>
          <w:color w:val="auto"/>
        </w:rPr>
        <w:t>Takeda may terminate the Takeda Collaboration Agreement for convenience on 180 days’ notice, in its entirety or on a target-by-target basis. Subject to certain exceptions, each party has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is subject to the Takeda Collaboration Agreement. In the event of any material breach of the Takeda Collaboration Agreement by a party, subject to cure rights, the other party may terminate the Takeda Collaboration Agreement in its entirety if the breach relates to all targets or on</w:t>
      </w:r>
    </w:p>
    <w:p>
      <w:pPr>
        <w:spacing w:after="0" w:line="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a target-by-target basis if the breach relates to a specific target. In the event that Takeda and its affiliates cease development, manufacturing and commercialization activities with respect to compounds or products subject to the Takeda Collaboration Agreement and directed to a particular target, we may terminate the Takeda Collaboration Agreement with respect to such target. Either party may terminate the Takeda Collaboration Agreement for the other party’s insolvency. In certain termination circumstances, we would receive a license from Takeda to continue researching, developing and manufacturing certain products, and companion diagnostics.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Asuragen</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November 2019, we entered into an agreement with Asuragen, Inc. (which was acquired by Bio-Techne Corporation on April 6, 2021) (“Asuragen”), a molecular diagnostics company, for the development and potential commercialization of companion diagnostics for our investigational allele-selective therapeutic programs targeting HD. This collaboration uses Asuragen’s market-leading repetitive sequence diagnostic expertise to provide scalable SNP phasing to support global development programs and future commercialization at a global level. Asuragen has leveraged its AmplideX® PCR technology to develop companion diagnostic tests designed to size and phase HTT CAG repeats with the SNPs targeted by our previous investigational therapeutic programs in HD, as well as WVE-003, our current HD program being investigated in the ongoing SELECT-HD clinical trial. These tests are designed to aid clinicians in selecting HD patients by identifying the SNPs that are in phase with the CAG-expanded allele.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Collaborations</w:t>
      </w:r>
    </w:p>
    <w:p>
      <w:pPr>
        <w:spacing w:after="0" w:line="22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We have partnered with leading academic researchers and organizations to complement our capabilities to develop potential medicines, expand our knowledge of disease biology, and better understand the potential of our oligonucleotides.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University of Oxford -- Dr. Matthew Wood -- </w:t>
      </w:r>
      <w:r>
        <w:rPr>
          <w:rFonts w:ascii="Arial" w:cs="Arial" w:eastAsia="Arial" w:hAnsi="Arial"/>
          <w:sz w:val="18"/>
          <w:szCs w:val="18"/>
          <w:color w:val="auto"/>
        </w:rPr>
        <w:t>investigating therapeutic approaches using our novel stereopure antisense oligonucleotides to target mRNA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field of degenerative disorders of the nervous system and muscle; characterizing our proprietary oligonucleotides in murine models to further improve the pharmacology of oligonucleotides using our novel chemistries.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University of Massachusetts Medical School -- Dr. Robert H. Brown, Jr. -- </w:t>
      </w:r>
      <w:r>
        <w:rPr>
          <w:rFonts w:ascii="Arial" w:cs="Arial" w:eastAsia="Arial" w:hAnsi="Arial"/>
          <w:sz w:val="18"/>
          <w:szCs w:val="18"/>
          <w:color w:val="auto"/>
        </w:rPr>
        <w:t>characterizing our proprietary stereopure antisense oligonucleotides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pharmacology of oligonucleotides for the treatment of ALS and FTD while investigating the mechanisms of action of specific and efficient knockdown of the targeted mutant C9orf72 mRNA.</w:t>
      </w:r>
    </w:p>
    <w:p>
      <w:pPr>
        <w:spacing w:after="0" w:line="18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 xml:space="preserve">Western Washington University -- Jeff Carroll, PhD </w:t>
      </w:r>
      <w:r>
        <w:rPr>
          <w:rFonts w:ascii="Arial" w:cs="Arial" w:eastAsia="Arial" w:hAnsi="Arial"/>
          <w:sz w:val="18"/>
          <w:szCs w:val="18"/>
          <w:color w:val="auto"/>
        </w:rPr>
        <w:t>-- understanding the role of preserving wild-type huntingtin protein in the context of knocking down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mutant huntingtin protein in murine models.</w:t>
      </w:r>
    </w:p>
    <w:p>
      <w:pPr>
        <w:spacing w:after="0" w:line="1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i w:val="1"/>
          <w:iCs w:val="1"/>
          <w:color w:val="auto"/>
        </w:rPr>
        <w:t xml:space="preserve">Grenoble Institute of Neurosciences -- Frédéric Saudou, PhD -- </w:t>
      </w:r>
      <w:r>
        <w:rPr>
          <w:rFonts w:ascii="Arial" w:cs="Arial" w:eastAsia="Arial" w:hAnsi="Arial"/>
          <w:sz w:val="18"/>
          <w:szCs w:val="18"/>
          <w:color w:val="auto"/>
        </w:rPr>
        <w:t>understanding the role of wild-type huntingtin protein in cellular models of HD,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Anselme Perrier, PhD of the Commissariat a l’Energie Atomique.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IRBM S.p.A. -- </w:t>
      </w:r>
      <w:r>
        <w:rPr>
          <w:rFonts w:ascii="Arial" w:cs="Arial" w:eastAsia="Arial" w:hAnsi="Arial"/>
          <w:sz w:val="18"/>
          <w:szCs w:val="18"/>
          <w:color w:val="auto"/>
        </w:rPr>
        <w:t>developing an assay to measure wild-type huntingtin protein in human cerebrospinal fluid.</w:t>
      </w:r>
    </w:p>
    <w:p>
      <w:pPr>
        <w:spacing w:after="0" w:line="223"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 xml:space="preserve">University of Louisville -- Maureen McCall, PhD -- </w:t>
      </w:r>
      <w:r>
        <w:rPr>
          <w:rFonts w:ascii="Arial" w:cs="Arial" w:eastAsia="Arial" w:hAnsi="Arial"/>
          <w:sz w:val="18"/>
          <w:szCs w:val="18"/>
          <w:color w:val="auto"/>
        </w:rPr>
        <w:t>investigating therapeutic approaches using our proprietary stereopure antisense oligonucleotides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miniature swine model of autosomal dominant retinitis pigmentosa caused by the Rho P23H mutation.</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 xml:space="preserve">University College London -- Adrian Isaacs, PhD </w:t>
      </w:r>
      <w:r>
        <w:rPr>
          <w:rFonts w:ascii="Arial" w:cs="Arial" w:eastAsia="Arial" w:hAnsi="Arial"/>
          <w:sz w:val="18"/>
          <w:szCs w:val="18"/>
          <w:color w:val="auto"/>
        </w:rPr>
        <w:t>-- developing a biomarker assay to detect the polyGP protein present in the cerebrospinal fluid of 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FTD patients with the C9orf72 mutation.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Manufacturing</w:t>
      </w:r>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provide internal cGMP manufacturing capabilities and increase control and visibility of our drug product supply chain, we entered into a lease in September 2016 for a multi-use facility of approximately 90,000 square feet in Lexington, Massachusetts and initiated the build out of manufacturing space and related capabilities. Through our internal manufacturing, we have the capacity to support multiple discovery-, preclinical-, and early clinical-stage programs and have the established expertise to efficiently conduct manufacturing runs for oligonucleotides across a spectrum of modalities. In addition to manufacturing space, the Lexington facility includes additional laboratory and office space. This facility supplements our existing Cambridge, Massachusetts laboratory and office space headquarters, enhances our ability to secure drug substance for current and future development activities and may provide commercial-scale manufacturing capabilities. In July 2017, we took occupancy of the Lexington facility and began manufacturing production in the fourth quarter of 2017.</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leveraging our internal manufacturing capabilities along with expertise from CMOs facilitates our growth and enhances our ability to secure drug substance for current and future research, clinical and early-stage commercial development activities. We believe that the addition of our internal cGMP manufacturing capabilities, together with the supply capacity we have established externally, will be sufficient to meet our anticipated manufacturing needs for the next several years. We monitor the availability of capacity for the manufacture of drug substance and drug product and believe that our supply agreements with our contract manufacturers and the lead times for new supply agreements would allow us to access additional capacity if needed. We believe that our product candidates can be manufactured at scale and with production and procurement efficiencies that will result in commercially competitive costs.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oligonucleotides.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for both proprietary methods and reagents, as well as various chemical methodologies that enable production of such stereopure oligonucleotide compositions. In addition, our portfolio includes filings designed to protect methods of using stereopure oligonucleotide compositions and filings designed to protect particular stereopure oligonucleotide products, such as those having a particular sequence, pattern of nucleoside and/or backbone modification, pattern of backbone linkages and/or pattern of backbone chiral centers.</w:t>
      </w:r>
    </w:p>
    <w:p>
      <w:pPr>
        <w:spacing w:after="0" w:line="177"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We own or have rights to worldwide patent filings that protect our proprietary technologies for making stereopure oligonucleotide compositions, and that also protect the compositions themselves, as well as methods of using them, including in the treatment of diseases. Our portfolio includes multiple issued patents, including in major market jurisdictions such as the United States, Europe and Japan. We also have applications pending in multiple jurisdictions around the world, including these major market jurisdictions.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Synthetic Methodologies</w:t>
      </w:r>
    </w:p>
    <w:p>
      <w:pPr>
        <w:spacing w:after="0" w:line="11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patent portfolio includes multiple families that protect synthetic methodologies and/or reagents for generating stereopure oligonucleotide compositions. Certain synthetic methodologies and/or reagents are covered by families which include two issued Japanese patents that have terms that extend to 2022-2025.</w:t>
      </w:r>
    </w:p>
    <w:p>
      <w:pPr>
        <w:spacing w:after="0" w:line="18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Additional synthetic methodologies and/or reagents are protected by other families in our patent portfolio. Certain such families have 20-year expiration dates that range from 2029 to at least 2041. Some of these families have issued patents in several jurisdictions, including in major market jurisdictions such as the United States, Europe, and/or Japan, have pending applications in multiple jurisdictions including in these major market jurisdictions, or are in the international stage.</w:t>
      </w:r>
    </w:p>
    <w:p>
      <w:pPr>
        <w:spacing w:after="0" w:line="18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We also co-own with the University of Tokyo certain filings that are directed to certain methods and/or reagents for synthesizing oligonucleotides; their 20-year expiration dates fall in 2031.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Stereopure Oligonucleotide Compositions</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of our patent filings protect stereopure compositions, particularly of therapeutically relevant oligonucleotides. Some such filings are directed to compositions whose oligonucleotides are characterized by particular patterns of chemical modification (including modifications of bases, sugars and/or internucleotidic linkages) and/or of internucleotidic linkage stereochemistry. Certain patent filings describe specific compositions designed for use in the treatment of particular diseases. Several of our patent filings directed to stereopure compositions have entered national stage prosecution in multiple jurisdictions and some have issued in one or more jurisdictions; others are in the international stage. Certain filings offer 20-year protection terms that range from 2033 to at least 2041.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35" w:name="page36"/>
    <w:bookmarkEnd w:id="35"/>
    <w:p>
      <w:pPr>
        <w:ind w:right="260"/>
        <w:spacing w:after="0" w:line="275" w:lineRule="auto"/>
        <w:rPr>
          <w:sz w:val="20"/>
          <w:szCs w:val="20"/>
          <w:color w:val="auto"/>
        </w:rPr>
      </w:pPr>
      <w:r>
        <w:rPr>
          <w:rFonts w:ascii="Arial" w:cs="Arial" w:eastAsia="Arial" w:hAnsi="Arial"/>
          <w:sz w:val="18"/>
          <w:szCs w:val="18"/>
          <w:color w:val="auto"/>
        </w:rPr>
        <w:t>We also co-own with Shin Nippon Biomedical Laboratories, Ltd. various patent families, some of which include one or more issued patents, including in major market jurisdictions; these filings have 20-year terms extending to 2033-2035.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Filings</w:t>
      </w:r>
    </w:p>
    <w:p>
      <w:pPr>
        <w:spacing w:after="0" w:line="116"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Intellectual Property Law</w:t>
      </w:r>
    </w:p>
    <w:p>
      <w:pPr>
        <w:spacing w:after="0" w:line="1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Section 34 of the Patents Act 1994 of Singapore (the “Singapore Patents Act”) provides that a person residing in Singapore is required to obtain written authorization from the Singapore Registrar of Patents (the “Registrar”) before filing an application for a patent for an invention outside of Singapore, unless all of the following conditions have been satisfied: (a) the person has filed an application for a patent for the same invention in the Singapore Registry of Patents at least two months before the filing of the patent application outside Singapore, and (b) the Singapore Registrar of Patents has not, in respect of this patent application, given directions to prohibit or restrict the publication of information contained in the patent application or its communication to any persons or description of persons pursuant to Section 33 of the Singapore Patents Act, or if the Registrar has given any such directions, all such directions have been revoked.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S$2,000,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biotechnology and pharmaceutical marketplace is characterized by rapidly advancing technologies, intense competition and a strong emphasis on proprietary products. While we believe that our expertise in oligonucleotides,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oligonucleotides, but any product candidates that we successfully develop and commercialize will compete with existing therapies and new therapies that may become available in the future.</w:t>
      </w:r>
    </w:p>
    <w:p>
      <w:pPr>
        <w:spacing w:after="0" w:line="19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6"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There are no approved treatments available to slow the progression of HD. We believe, based on publicly available information, that Annexon Biosciences (Phase 2), Ionis Pharmaceuticals and Roche (Phase 2 planned), Mitochon Pharmaceuticals (Phase 2), Novartis (Phase 2), Prilenia Therapeutics (Phase 3), PTC Therapeutics (Phase 1), and uniQure (Phase 1/2) all have investigational drugs in clinical development.</w:t>
      </w:r>
    </w:p>
    <w:p>
      <w:pPr>
        <w:spacing w:after="0" w:line="57"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Several companies have ongoing discovery or preclinical programs for HD, including Alnylam Pharmaceuticals, AskBio, Atalanta Therapeutics and Biogen, Avergen Pharmaceuticals, LocanaBio, Mitoconix Bio, NeuBase Therapeutics, Neurimmune, Ophidion, PTC Therapeutics, Sangamo Therapeutics and Takeda, Spark Therapeutics, Triplet Therapeutics, Vico, and Voyager Therapeutics, among others.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6" w:name="page37"/>
    <w:bookmarkEnd w:id="36"/>
    <w:p>
      <w:pPr>
        <w:ind w:right="640"/>
        <w:spacing w:after="0" w:line="275" w:lineRule="auto"/>
        <w:rPr>
          <w:sz w:val="20"/>
          <w:szCs w:val="20"/>
          <w:color w:val="auto"/>
        </w:rPr>
      </w:pPr>
      <w:r>
        <w:rPr>
          <w:rFonts w:ascii="Arial" w:cs="Arial" w:eastAsia="Arial" w:hAnsi="Arial"/>
          <w:sz w:val="18"/>
          <w:szCs w:val="18"/>
          <w:color w:val="auto"/>
        </w:rPr>
        <w:t>A number of companies are developing molecules to treat symptoms associated with HD, including Azevan Pharmaceuticals (Phase 2), Neurocrine Biosciences (Phase 3), Sage Therapeutics (Phase 1), and SOM Biotech (Phase 2), among others.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There are two treatments approved in the United States for the treatment of ALS: riluzole, approved in 1995, and edaravone, approved in 2017. There are a number of companies with potential therapeutics for the treatment of ALS in clinical development, including AB Science (Phase 3), Alector (Phase 2), Amylyx Pharmaceuticals (Pre-registration), Biogen (Phase 1 completed), Biohaven Pharmaceuticals (Phase 2/3), BrainStorm Cell Therapeutics (Phase 3 completed), Prilenia (Phase 2/3), and UCB (Phase 2/3), among others. We believe that two companies, Biogen (Phase 1 completed) and Alector (Phase 2), are conducting clinical trials targeting ALS due to a C9orf72 mutation in the United States.</w:t>
      </w:r>
    </w:p>
    <w:p>
      <w:pPr>
        <w:spacing w:after="0" w:line="68" w:lineRule="exact"/>
        <w:rPr>
          <w:sz w:val="20"/>
          <w:szCs w:val="20"/>
          <w:color w:val="auto"/>
        </w:rPr>
      </w:pPr>
    </w:p>
    <w:p>
      <w:pPr>
        <w:ind w:right="520"/>
        <w:spacing w:after="0" w:line="306" w:lineRule="auto"/>
        <w:rPr>
          <w:sz w:val="20"/>
          <w:szCs w:val="20"/>
          <w:color w:val="auto"/>
        </w:rPr>
      </w:pPr>
      <w:r>
        <w:rPr>
          <w:rFonts w:ascii="Arial" w:cs="Arial" w:eastAsia="Arial" w:hAnsi="Arial"/>
          <w:sz w:val="17"/>
          <w:szCs w:val="17"/>
          <w:color w:val="auto"/>
        </w:rPr>
        <w:t>Several companies have ongoing discovery or preclinical programs for ALS that may directly or indirectly target patients with the C9orf72 mutation, including AGTC, Apic Bio, Biogen and Neurimmune, Locana Bio, Passage Bio, Pfizer and Sangamo Therapeutics, and uniQure.</w:t>
      </w:r>
    </w:p>
    <w:p>
      <w:pPr>
        <w:spacing w:after="0" w:line="40"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There are no approved treatments available to slow the progression of FTD. Multiple companies have investigational therapies in clinical development for FTD, including Alector (Phase 3), Anavex (Phase 1 completed), Eli Lilly (Phase 1/2), Passage Bio (Phase 1/2), and TauRx Pharmaceuticals (Phase 3 complete). Alector is studying its investigational therapy for FTD patients with a C9orf72 mutation in a Phase 2 study.</w:t>
      </w:r>
    </w:p>
    <w:p>
      <w:pPr>
        <w:spacing w:after="0" w:line="16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There are several companies with ongoing discovery or preclinical programs for FTD that may directly or indirectly target patients with the C9orf72 mutation including Biogen and Neurimmune, Locana Bio, Pfizer and Sangamo Therapeutics, and uniQure.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There are two treatments approved in the United States for the treatment of DMD in patients who have a confirmed mutation of the DMD gene amenable to exon 53 skipping: Sarepta Therapeutics’ Vyondys 53 (golodirsen), an exon skipping nucleic acid therapeutic, was approved by the FDA in 2019, and NS Pharma’s Viltepso (viltolarsen), an exon skipping nucleic acid therapeutic, was approved by the FDA in 2020. Both therapies received accelerated approval, as the FDA concluded that the data submitted by each company demonstrated an increase in dystrophin production that is reasonably likely to predict clinical benefit in some patients with DMD who have a confirmed mutation of the DMD gene amenable to exon 53 skipping. No clinical benefit of golodirsen or viltolarsen has been established. Thus, in accordance with the U.S. accelerated approval regulations, the FDA is requiring Sarepta and NS Pharma to each conduct a clinical trial to verify and describe their drug’s clinical benefit. Sarepta’s study of golodirsen would need to assess whether golodirsen improves motor function of DMD patients with a confirmed mutation of the DMD gene amenable to exon 53 skipping, and NS Pharma’s study of viltolarsen is designed to assess whether viltolarsen improves the time to stand for DMD patients amenable to exon 53 skipping. If the trials fail to verify clinical benefit, the FDA could initiate proceedings to withdraw approval of the respective drug.</w:t>
      </w:r>
    </w:p>
    <w:p>
      <w:pPr>
        <w:spacing w:after="0" w:line="77"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Several other companies have investigational drugs in clinical development targeting DMD more broadly, including patients amenable to exon 53 skipping. These include Astellas Pharma (Phase 1), Dystrogen Therapeutics (Phase 1), FibroGen (Phase 3), Pfizer (Phase 3), PTC Therapeutics (Phase 3), Santhera Pharmaceuticals (Phase 2), Sarepta Therapeutics (Phase 3), and Solid Biosciences (Phase 1/2), among others. Based on available information, we do not believe there are other companies with ongoing clinical programs directly targeting DMD patients amenable to exon 53 skipping.</w:t>
      </w:r>
    </w:p>
    <w:p>
      <w:pPr>
        <w:spacing w:after="0" w:line="15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Several companies also have ongoing preclinical programs for DMD that may directly or indirectly target patients amenable to exon 53 skipping. These companies include Astellas, Code Bio, CRISPR Therapeutics, Daiichi Sankyo, Fulcrum Therapeutics, PepGen, Precision BioSciences, REGENXBIO, Sarepta Therapeutics, and Ultragenyx,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Alpha-1 Antitrypsin Deficiency (“AATD”)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are five treatments approved in the United States for AATD: Prolastin, Prolastin-C, Aralast NP, Zemaira, and Glassia. All five contain plasma-derived human alpha1-proteinase inhibitor and are indicated for chronic augmentation and maintenance therapy in adults with emphysema due to congenital deficiency of alpha1-proteinase inhibitor (Alpha1-PI). The prescribing information for each notes that the effect of augmentation therapy with any alpha1-proteinase inhibitor on pulmonary exacerbations and on the progression of emphysema in Alpha1-PI deficiency has not been demonstrated in randomized, controlled clinical trials.</w:t>
      </w:r>
    </w:p>
    <w:p>
      <w:pPr>
        <w:spacing w:after="0" w:line="80" w:lineRule="exact"/>
        <w:rPr>
          <w:sz w:val="20"/>
          <w:szCs w:val="20"/>
          <w:color w:val="auto"/>
        </w:rPr>
      </w:pPr>
    </w:p>
    <w:p>
      <w:pPr>
        <w:jc w:val="both"/>
        <w:ind w:right="420"/>
        <w:spacing w:after="0" w:line="262" w:lineRule="auto"/>
        <w:rPr>
          <w:sz w:val="20"/>
          <w:szCs w:val="20"/>
          <w:color w:val="auto"/>
        </w:rPr>
      </w:pPr>
      <w:r>
        <w:rPr>
          <w:rFonts w:ascii="Arial" w:cs="Arial" w:eastAsia="Arial" w:hAnsi="Arial"/>
          <w:sz w:val="18"/>
          <w:szCs w:val="18"/>
          <w:color w:val="auto"/>
        </w:rPr>
        <w:t>There are also a number of companies with investigational drugs in clinical development: Arrowhead Pharmaceuticals and Takeda (Phase 2), Centessa (Phase 1), Dicerna Pharmaceuticals and Alnylam Pharmaceuticals (Phase 2), InhibRx (Phase 1), Kamada (Phase 3), Mereo BioPharma (Phase 2), and Santhera Pharmacauticals (Phase 1).</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37" w:name="page38"/>
    <w:bookmarkEnd w:id="37"/>
    <w:p>
      <w:pPr>
        <w:ind w:right="340"/>
        <w:spacing w:after="0" w:line="306" w:lineRule="auto"/>
        <w:rPr>
          <w:sz w:val="20"/>
          <w:szCs w:val="20"/>
          <w:color w:val="auto"/>
        </w:rPr>
      </w:pPr>
      <w:r>
        <w:rPr>
          <w:rFonts w:ascii="Arial" w:cs="Arial" w:eastAsia="Arial" w:hAnsi="Arial"/>
          <w:sz w:val="17"/>
          <w:szCs w:val="17"/>
          <w:color w:val="auto"/>
        </w:rPr>
        <w:t>There are also several companies with ongoing discovery or preclinical programs for AATD including Apic Bio, Beam Therapeutics, Biomarin, Intellia Therapeutics, KorroBio, Krystal Biotech, LogicBio Therapeutics, Shape Therapeutics, and Vertex Pharmaceuticals, among others.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ADAR-mediated RNA Editing (“ADAR editing”)</w:t>
      </w:r>
    </w:p>
    <w:p>
      <w:pPr>
        <w:spacing w:after="0" w:line="116"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There are several companies pursuing editing approaches that may compete with our ADAR editing modality. These companies are in various stages of development (discovery through the clinic) and are developing investigational drugs via viral and non-viral delivery for RNA editing (Shape Therapeutics and Korro Bio), DNA base-editing (Beam), and DNA editing (Editas Medicine, Intellia Therapeutics, and Sangamo Therapeutics), among others. These companies may leverage these approaches to target the same indications that we intend to target or indications where we do not currently plan to compete.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 for Drug Products</w:t>
      </w:r>
    </w:p>
    <w:p>
      <w:pPr>
        <w:spacing w:after="0" w:line="116"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pharmaceutical company to a variety of administrative or judicial sanctions, such as the FDA’s refusal to approve pending applications, a clinical hold, warning letters, recall or seizure of drug products, partial or total suspension of production, withdrawal of drug products from the market, injunctions, fines, civil penalties or criminal prosecution.</w:t>
      </w:r>
    </w:p>
    <w:p>
      <w:pPr>
        <w:spacing w:after="0" w:line="164"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FDA approval is required before any new drug, such as a new molecular or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75" w:lineRule="exact"/>
        <w:rPr>
          <w:sz w:val="20"/>
          <w:szCs w:val="20"/>
          <w:color w:val="auto"/>
        </w:rPr>
      </w:pPr>
    </w:p>
    <w:p>
      <w:pPr>
        <w:ind w:left="1000" w:right="32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in compliance with applicable FDA good laboratory practice regulations and other requirements (“GLP”);</w:t>
      </w:r>
    </w:p>
    <w:p>
      <w:pPr>
        <w:spacing w:after="0" w:line="63" w:lineRule="exact"/>
        <w:rPr>
          <w:rFonts w:ascii="Arial" w:cs="Arial" w:eastAsia="Arial" w:hAnsi="Arial"/>
          <w:sz w:val="18"/>
          <w:szCs w:val="18"/>
          <w:color w:val="auto"/>
        </w:rPr>
      </w:pPr>
    </w:p>
    <w:p>
      <w:pPr>
        <w:ind w:left="1000" w:right="22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 in the United States;</w:t>
      </w:r>
    </w:p>
    <w:p>
      <w:pPr>
        <w:spacing w:after="0" w:line="63" w:lineRule="exact"/>
        <w:rPr>
          <w:rFonts w:ascii="Arial" w:cs="Arial" w:eastAsia="Arial" w:hAnsi="Arial"/>
          <w:sz w:val="18"/>
          <w:szCs w:val="18"/>
          <w:color w:val="auto"/>
        </w:rPr>
      </w:pPr>
    </w:p>
    <w:p>
      <w:pPr>
        <w:ind w:left="1000" w:right="36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site where a clinical trial will be performed before the trial may be initiated at that site;</w:t>
      </w:r>
    </w:p>
    <w:p>
      <w:pPr>
        <w:spacing w:after="0" w:line="63" w:lineRule="exact"/>
        <w:rPr>
          <w:rFonts w:ascii="Arial" w:cs="Arial" w:eastAsia="Arial" w:hAnsi="Arial"/>
          <w:sz w:val="18"/>
          <w:szCs w:val="18"/>
          <w:color w:val="auto"/>
        </w:rPr>
      </w:pPr>
    </w:p>
    <w:p>
      <w:pPr>
        <w:ind w:left="1000" w:right="20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to establish safety and substantial evidence of effectiveness of the proposed product candidate for each intended use;</w:t>
      </w:r>
    </w:p>
    <w:p>
      <w:pPr>
        <w:spacing w:after="0" w:line="63" w:lineRule="exact"/>
        <w:rPr>
          <w:rFonts w:ascii="Arial" w:cs="Arial" w:eastAsia="Arial" w:hAnsi="Arial"/>
          <w:sz w:val="18"/>
          <w:szCs w:val="18"/>
          <w:color w:val="auto"/>
        </w:rPr>
      </w:pPr>
    </w:p>
    <w:p>
      <w:pPr>
        <w:ind w:left="100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thorough characterization of the product candidate and establishment of acceptable standards to assure its purity, identity, strength, quality and stability in compliance with cGMP;</w:t>
      </w:r>
    </w:p>
    <w:p>
      <w:pPr>
        <w:spacing w:after="0" w:line="63" w:lineRule="exact"/>
        <w:rPr>
          <w:rFonts w:ascii="Arial" w:cs="Arial" w:eastAsia="Arial" w:hAnsi="Arial"/>
          <w:sz w:val="18"/>
          <w:szCs w:val="18"/>
          <w:color w:val="auto"/>
        </w:rPr>
      </w:pPr>
    </w:p>
    <w:p>
      <w:pPr>
        <w:ind w:left="1000" w:right="74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facility or facilities at which the product is manufactured to assess compliance with cGMP;</w:t>
      </w:r>
    </w:p>
    <w:p>
      <w:pPr>
        <w:spacing w:after="0" w:line="63" w:lineRule="exact"/>
        <w:rPr>
          <w:rFonts w:ascii="Arial" w:cs="Arial" w:eastAsia="Arial" w:hAnsi="Arial"/>
          <w:sz w:val="18"/>
          <w:szCs w:val="18"/>
          <w:color w:val="auto"/>
        </w:rPr>
      </w:pPr>
    </w:p>
    <w:p>
      <w:pPr>
        <w:ind w:left="1000" w:right="240" w:hanging="495"/>
        <w:spacing w:after="0" w:line="27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one or more clinical trial site(s) or the sponsor’s site and/or contract research organization responsible for conduct of key clinical trials in accordance with GCP;</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which must be accepted for filing by the FDA;</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an FDA advisory committee review, if applicable;</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fees, if applicable;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manufacturing development, preclinical and clinical testing, and review process requires substantial time, effort and financial resources. Manufacturing development includes laboratory evaluation of product chemistry, formulation, development of manufacturing and control procedures, evaluation of stability, and the establishment of procedures to ensure continued product quality.</w:t>
      </w:r>
    </w:p>
    <w:p>
      <w:pPr>
        <w:spacing w:after="0" w:line="183"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 xml:space="preserve">Nonclinical tests include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to assess the toxicity and other safety characteristics of the product candidate, as well as other important aspects of drug pharmacology. The results of nonclinical tests, together with manufacturing information, analytical data and a proposed clinical trial protocol and other information, are submitted as part of an IND to the FDA.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38" w:name="page39"/>
    <w:bookmarkEnd w:id="38"/>
    <w:p>
      <w:pPr>
        <w:ind w:right="20"/>
        <w:spacing w:after="0" w:line="271" w:lineRule="auto"/>
        <w:rPr>
          <w:sz w:val="20"/>
          <w:szCs w:val="20"/>
          <w:color w:val="auto"/>
        </w:rPr>
      </w:pPr>
      <w:r>
        <w:rPr>
          <w:rFonts w:ascii="Arial" w:cs="Arial" w:eastAsia="Arial" w:hAnsi="Arial"/>
          <w:sz w:val="17"/>
          <w:szCs w:val="17"/>
          <w:color w:val="auto"/>
        </w:rPr>
        <w:t>Some long-term nonclinical testing to further establish the safety profile of the product candidate, as well as manufacturing processes development and drug quality evaluation, continues after the IND is submitted. An IND automatically becomes effective 30 days after receipt by the FDA, unless the FDA, within the 30-day time period, raises concerns or questions related to the proposed clinical trial and places the IND on a clinical hold. In such a case, the IND sponsor must resolve all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or if changes are made in trial design. Even if the IND becomes effective and the trial proceeds without initial FDA objection, the FDA may stop the trial at a later time if it has concerns, such as if unacceptable safety risks arise.</w:t>
      </w:r>
    </w:p>
    <w:p>
      <w:pPr>
        <w:spacing w:after="0" w:line="17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 an IRB for each site proposing to conduct the clinical trial must review and approve the plan for any clinical trial and informed consent information for subjects before the trial commences at that site and it must perform an ongoing review of the research on an annual basis until the trial is completed. The FDA or the sponsor may suspend a clinical trial at any time on various grounds, including a finding that the subjects or patients are being exposed to an unacceptable health risk or that the trials are not being conducted in accordance with the clinical plan or in compliance with GCP.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 in accordance with GCP requirements, which include the requirement that all research subjects provide their informed consent in writing for their participation in any clinical trial. Sponsors of clinical trials of certain FDA-regulated products generally must register and disclose certain clinical trial information to a public registry maintained by the National Institutes of Health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the government has recently begun enforcing those requirements against non-compliant clinical trial sponsors.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the following sequential phases, which may overlap or be combined:</w:t>
      </w:r>
    </w:p>
    <w:p>
      <w:pPr>
        <w:spacing w:after="0" w:line="116" w:lineRule="exact"/>
        <w:rPr>
          <w:sz w:val="20"/>
          <w:szCs w:val="20"/>
          <w:color w:val="auto"/>
        </w:rPr>
      </w:pPr>
    </w:p>
    <w:p>
      <w:pPr>
        <w:ind w:left="1000" w:right="780" w:hanging="495"/>
        <w:spacing w:after="0" w:line="30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spacing w:after="0" w:line="39" w:lineRule="exact"/>
        <w:rPr>
          <w:rFonts w:ascii="Arial" w:cs="Arial" w:eastAsia="Arial" w:hAnsi="Arial"/>
          <w:sz w:val="17"/>
          <w:szCs w:val="17"/>
          <w:color w:val="auto"/>
        </w:rPr>
      </w:pPr>
    </w:p>
    <w:p>
      <w:pPr>
        <w:ind w:left="1000" w:right="340" w:hanging="495"/>
        <w:spacing w:after="0" w:line="31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The product is administered to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40" w:lineRule="exact"/>
        <w:rPr>
          <w:rFonts w:ascii="Arial" w:cs="Arial" w:eastAsia="Arial" w:hAnsi="Arial"/>
          <w:sz w:val="16"/>
          <w:szCs w:val="16"/>
          <w:color w:val="auto"/>
        </w:rPr>
      </w:pPr>
    </w:p>
    <w:p>
      <w:pPr>
        <w:ind w:left="1000" w:hanging="495"/>
        <w:spacing w:after="0" w:line="27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are commonly referred to as pivotal studies. When Phase 2 evaluations demonstrate that a dose range of the product appears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effective and has an acceptable safety profile, trials are undertaken in larger patient populations to further evaluate dosage, to obtain substantial, statistical evidence of clinical efficacy and safety, generally at multiple, geographically-dispersed clinical trial sites, to establish the overall risk-benefit relationship of the product and to provide adequate information for approval of the product.</w:t>
      </w:r>
    </w:p>
    <w:p>
      <w:pPr>
        <w:spacing w:after="0" w:line="62" w:lineRule="exact"/>
        <w:rPr>
          <w:rFonts w:ascii="Arial" w:cs="Arial" w:eastAsia="Arial" w:hAnsi="Arial"/>
          <w:sz w:val="17"/>
          <w:szCs w:val="17"/>
          <w:color w:val="auto"/>
        </w:rPr>
      </w:pPr>
    </w:p>
    <w:p>
      <w:pPr>
        <w:ind w:left="1000" w:right="320" w:hanging="495"/>
        <w:spacing w:after="0" w:line="262"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In some cases, the FDA may condition approval of an NDA for a product candidate on the sponsor’s agreement to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clinical trials to further assess the product’s safety and effectiveness after NDA approval. Such post-approval trials are typically referred to as Phase 4 studies.</w:t>
      </w:r>
    </w:p>
    <w:p>
      <w:pPr>
        <w:spacing w:after="0" w:line="1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Progress reports detailing progress and safety data gathered from clinical trials must be submitted at least annually to the FDA. Safety reports are submitted more frequently if certain serious adverse effects (“SAEs”) occur. Phase 1, Phase 2 and Phase 3 clinical trials may not be completed successfully within any specified period, or at all. The FDA will typically inspect one or more clinical sites to assure compliance with GCP and the integrity of the clinical data submitted as part of NDA review. Information related to the product, patient population, phase of investigation, study sites and investigators and other aspects of the clinical trial is made public as part of the registration of the clinical trial. Sponsors are also obligated to disclose the results of most clinical trials after completion, although in some cases disclosure of the results of these trials can be delayed for up to two years after the trial completion date. Competitors may use this publicly available information to gain knowledge regarding the progress of development programs.</w:t>
      </w:r>
    </w:p>
    <w:p>
      <w:pPr>
        <w:spacing w:after="0" w:line="16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along with information relating to the product’s pharmacology, chemistry, manufacturing, and controls, and proposed labeling, are submitted to the FDA as part of an NDA requesting approval to market the product for one or more indications. Data may come from company-sponsored clinical trials intended to test the safety and efficacy of a product’s use or from a number of alternative sources, including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9" w:name="page40"/>
    <w:bookmarkEnd w:id="39"/>
    <w:p>
      <w:pPr>
        <w:ind w:right="260"/>
        <w:spacing w:after="0" w:line="274" w:lineRule="auto"/>
        <w:rPr>
          <w:sz w:val="20"/>
          <w:szCs w:val="20"/>
          <w:color w:val="auto"/>
        </w:rPr>
      </w:pPr>
      <w:r>
        <w:rPr>
          <w:rFonts w:ascii="Arial" w:cs="Arial" w:eastAsia="Arial" w:hAnsi="Arial"/>
          <w:sz w:val="17"/>
          <w:szCs w:val="17"/>
          <w:color w:val="auto"/>
        </w:rPr>
        <w:t>studies initiated by investigators. To support marketing approval, the data submitted must be sufficient in quality and quantity to establish the safety and efficacy of the investigational product to the satisfaction of the FDA. Under federal law, the fee for the submission of an NDA with clinical data is substantial (for example, for fiscal year 2022 this application fee exceeds $3.1 million), and the sponsor of an approved NDA is also subject to an annual program fee, currently more than $360,000 per program. These fees are typically adjusted annually, but exemptions and waivers may be available under certain circumstances, including NDA fees for products with orphan designation.</w:t>
      </w:r>
    </w:p>
    <w:p>
      <w:pPr>
        <w:spacing w:after="0" w:line="176" w:lineRule="exact"/>
        <w:rPr>
          <w:sz w:val="20"/>
          <w:szCs w:val="20"/>
          <w:color w:val="auto"/>
        </w:rPr>
      </w:pPr>
    </w:p>
    <w:p>
      <w:pPr>
        <w:ind w:right="420"/>
        <w:spacing w:after="0" w:line="285"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Any resubmitted application, following a refusal to file action, is also subject to 60-day review before the FDA accepts it for filing.</w:t>
      </w:r>
    </w:p>
    <w:p>
      <w:pPr>
        <w:spacing w:after="0" w:line="165"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Under the Prescription Drug User Fee Act (“PDUFA”), for original NDAs, the FDA has ten months from the filing date in which to complete its initial review of a standard application and respond to the applicant, and six months from the filing date for an application with priority review. For all new molecular entity (“NME”) NDAs, the ten and six-month time periods run from the filing date; for all other original applications, the ten and six-month time periods run from the submission date. Despite these review goals, it is not uncommon for FDA review of an NDA to extend beyond the goal date.</w:t>
      </w:r>
    </w:p>
    <w:p>
      <w:pPr>
        <w:spacing w:after="0" w:line="15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Once the submission has been accepted for filing, the FDA begins an in-depth review. As noted above, the FDA has agreed to specified performance goals in the review process of NDAs. Most such applications are meant to be reviewed within ten months from the date it is accepted for filing (i.e., 12 months), and most applications for “priority review” products are meant to be reviewed within six months from the date the application is accepted for filing (i.e., 8 months).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16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Before approving an NDA, the FDA may inspect the facility or facilities where the product is manufactured. The FDA will not approve an application unless it determines that the manufacturing processes and facilities are in compliance with cGMP. The FDA may also inspect one or more of the clinical sites where pivotal trials were conducted and the contract research organization facilities with oversight of the trial, in order to ensure compliance with GCP and the integrity of the study data.</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the FDA may refer any NDA,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The FDA likely will re-analyze the clinical trial data, which could result in extensive discussions between the FDA and the applicant during the review process. The FDA also may require submission of a risk evaluation and mitigation strategy (“REMS”) if it determines that a REMS is necessary to ensure that the benefits of the drug outweigh its risks and to assure the safe use of the drug or biological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an NDA without a REMS, if required.</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determining whether a REMS is necessary, the FDA may consider the size of the population likely to use the drug, the seriousness of the disease or condition to be treated, the expected benefit of the drug, the duration of treatment, the seriousness of known or potential adverse events, and whether the drug is an NME. If the FDA determines a REMS is necessary, the drug sponsor must agree to the REMS plan at the time of approval, or at a later date should significant new risk information come to light. A REMS may be required to include various elements, such as a medication guide, a communication plan to educate healthcare providers of the drug’s risks, limitations on who may prescribe or dispense the drug, or other elements to assure safe use that the FDA deems necessary to assure the benefits of use of the drug outweigh its risks. In addition, the REMS must include a timetable to assess the strategy, often at 18 months, 3 years, and 7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16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Under the Pediatric Research Equity Act (“PREA”), as amended, an NDA or supplement to an NDA must contain data that are adequate to assess the safety and efficacy of the product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PREA requires a sponsor who is planning to submit a marketing application for a product that includes a new active ingredient, new indication, new dosage form, new dosing regimen or new route of administration to submit an initial Pediatric Study Plan (“PSP”) within sixty days of an end-of-Phase 2 meeting or, if there is no such meeting, as early as practicable before the initiation of the Phase 3 or Phase 2/3 clinical trial. The initial PSP must include an outline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0" w:name="page41"/>
    <w:bookmarkEnd w:id="40"/>
    <w:p>
      <w:pPr>
        <w:ind w:right="60"/>
        <w:spacing w:after="0" w:line="274" w:lineRule="auto"/>
        <w:rPr>
          <w:sz w:val="20"/>
          <w:szCs w:val="20"/>
          <w:color w:val="auto"/>
        </w:rPr>
      </w:pPr>
      <w:r>
        <w:rPr>
          <w:rFonts w:ascii="Arial" w:cs="Arial" w:eastAsia="Arial" w:hAnsi="Arial"/>
          <w:sz w:val="17"/>
          <w:szCs w:val="17"/>
          <w:color w:val="auto"/>
        </w:rPr>
        <w:t>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 phase clinical trials or other clinical development programs.</w:t>
      </w:r>
    </w:p>
    <w:p>
      <w:pPr>
        <w:spacing w:after="0" w:line="2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FDA reviews an NDA to determine, among other things, whether a product is safe and effective for its intended use and whether its manufacturing is cGMP-compliant to assure and preserve the product’s identity, strength, quality and purity. 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it may issue an approval letter or a Complete Response Letter (“CRL”). An approval letter authorizes commercial marketing of the product with specific prescribing information for specific indications. A CRL indicates that the review cycle for an application is complete and that the application will not be approved in its present form. CRLs outline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applicant may choose to either resubmit the NDA or NDA addressing all of the deficiencies identified in the letter, or withdraw the application. The FDA has committed to reviewing such resubmissions in response to an issued CRL in either two or six months depending on the type of information included. Even with submission of this additional information, the FDA ultimately may decide that the application does not satisfy the regulatory criteria for approval. If and when the deficiencies have been addressed to the FDA’s satisfaction, the FDA will typically issue an approval letter.</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Products may be marketed only for the approved indications and in accordance with the provisions of the approved label and, even if the FDA approves a product, the FDA may limit the approved indications for use for the product or impose other conditions, including labeling or distribution restrictions or other risk-management mechanisms, such as a Boxed Warning, which highlights a serious safety concern that should be mitigated under a REMS program. Further, if there are any modifications to the product, including changes in indications, labeling, or manufacturing processes or facilities, a company is generally required to submit and obtain FDA approval of a supplemental NDA, which may require the company to develop additional data or conduct additional nonclinical studies and clinical trials.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Breakthrough Therapy and Priority Review Designations</w:t>
      </w:r>
    </w:p>
    <w:p>
      <w:pPr>
        <w:spacing w:after="0" w:line="11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be eligible for a fast 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In addition, fast track designation may be withdrawn by the sponsor or rescinded by the FDA if the designation is no longer supported by data emerging from the clinical trial process.</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in 2012 Congress created a new regulatory program for product candidates designated by FDA as “breakthrough therapies” upon a request made by the IND sponsors.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of their respective marketing applications. The FDA must take certain actions with respect to breakthrough therapies, such as holding timely meetings with and providing advice to the product sponsor, which are intended to expedite the development and review of an application for approval of a breakthrough therapy.</w:t>
      </w:r>
    </w:p>
    <w:p>
      <w:pPr>
        <w:spacing w:after="0" w:line="16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Finally, the FDA may designate a product for priority review if it is a drug or biologic that treats a serious condition and, if approved, would provide a significant improvement in safety or effectiveness over existing therapy. The FDA determines at the time that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1" w:name="page42"/>
    <w:bookmarkEnd w:id="41"/>
    <w:p>
      <w:pPr>
        <w:ind w:right="40"/>
        <w:spacing w:after="0" w:line="254" w:lineRule="auto"/>
        <w:rPr>
          <w:sz w:val="20"/>
          <w:szCs w:val="20"/>
          <w:color w:val="auto"/>
        </w:rPr>
      </w:pPr>
      <w:r>
        <w:rPr>
          <w:rFonts w:ascii="Arial" w:cs="Arial" w:eastAsia="Arial" w:hAnsi="Arial"/>
          <w:sz w:val="18"/>
          <w:szCs w:val="18"/>
          <w:color w:val="auto"/>
        </w:rPr>
        <w:t>marketing application is submitted, on a case- 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NME NDA from the date of filing.</w:t>
      </w:r>
    </w:p>
    <w:p>
      <w:pPr>
        <w:spacing w:after="0" w:line="19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breakthrough therapy designation and priority review do not change the standards for approval and may not ultimately expedite the development or approval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As a condition of approval, the FDA will require that a sponsor of a drug receiving accelerated approval perform post-marketing clinical trials to verify and describe the predicted effect on IMM or other clinical endpoint, and the product may be subject to expedited withdrawal procedures. Drugs and biologics granted accelerated approval must meet the same statutory standards for safety and effectiveness as those granted traditional approval.</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drug’s clinical benefit. As a result, a product candidate approved on this basis is subject to rigorous post-marketing compliance requirements, including the completion of Phase 4 or post-approval clinical trials to establish the effect on the clinical endpoint. Failure to conduct required post-approval studies, or to confirm the predicted clinical benefit of the product during post-marketing studies, would allow the FDA to withdraw approval of the drug. All promotional materials for product candidates being considered and approved under the accelerated approval program are subject to prior review by the FDA.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6"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Once an NDA is approved, a product will be subject to continuing regulation by the FDA, including, among other things, requirements relating to safety surveillance and adverse event reporting, periodic reporting, continued cGMP compliance and quality oversight, compliance with post-marketing commitments, recordkeeping, advertising and promotion, and reporting manufacturing and labeling changes, as applicable.</w:t>
      </w:r>
    </w:p>
    <w:p>
      <w:pPr>
        <w:spacing w:after="0" w:line="165"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(including third-party manufacturers) are required to register their establishments with the FDA and some state agencies and are subject to periodic unannounced inspections by the FDA and some state agencies for assessment of compliance with cGMP. Changes to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2" w:name="page43"/>
    <w:bookmarkEnd w:id="42"/>
    <w:p>
      <w:pPr>
        <w:ind w:right="140"/>
        <w:spacing w:after="0" w:line="258" w:lineRule="auto"/>
        <w:rPr>
          <w:sz w:val="20"/>
          <w:szCs w:val="20"/>
          <w:color w:val="auto"/>
        </w:rPr>
      </w:pPr>
      <w:r>
        <w:rPr>
          <w:rFonts w:ascii="Arial" w:cs="Arial" w:eastAsia="Arial" w:hAnsi="Arial"/>
          <w:sz w:val="18"/>
          <w:szCs w:val="18"/>
          <w:color w:val="auto"/>
        </w:rPr>
        <w:t>manufacturing process are strictly regulated and often require prior FDA approval before being implemented. FDA regulations also require investigation and correction, and sometimes notification of, any deviations from cGMP. These regulations impose reporting and documentation requirements on the sponsor and any third-party manufacturers that we may decide to use. Accordingly, manufacturers must continue to expend time, money, and effort in the area of production and quality control to maintain cGMP compliance.</w:t>
      </w:r>
    </w:p>
    <w:p>
      <w:pPr>
        <w:spacing w:after="0" w:line="18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Discovery of previously unknown problems with a product, including adverse events of unlisted severity or frequency, or with manufacturing processes, or failure to comply with regulatory requirements such as noncompliance with cGMP or failure to correct previously identified inspection findings, may result in mandatory revisions to the approved labeling to add new safety information; imposition of post-market or clinical trials to assess new safety risks; or imposition of distribution or other restrictions under a REMS program. Other potential consequences include, among other things:</w:t>
      </w:r>
    </w:p>
    <w:p>
      <w:pPr>
        <w:spacing w:after="0" w:line="85" w:lineRule="exact"/>
        <w:rPr>
          <w:sz w:val="20"/>
          <w:szCs w:val="20"/>
          <w:color w:val="auto"/>
        </w:rPr>
      </w:pPr>
    </w:p>
    <w:p>
      <w:pPr>
        <w:ind w:left="1000" w:right="80" w:hanging="495"/>
        <w:spacing w:after="0" w:line="27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issuance of field alerts, restrictions on the marketing or manufacturing of the product, product recalls, or complete withdrawal of the product from the market;</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5" w:lineRule="exact"/>
        <w:rPr>
          <w:rFonts w:ascii="Arial" w:cs="Arial" w:eastAsia="Arial" w:hAnsi="Arial"/>
          <w:sz w:val="18"/>
          <w:szCs w:val="18"/>
          <w:color w:val="auto"/>
        </w:rPr>
      </w:pPr>
    </w:p>
    <w:p>
      <w:pPr>
        <w:ind w:left="1000" w:right="220" w:hanging="495"/>
        <w:spacing w:after="0" w:line="27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other enforcement-related letters or holds on clinical trials using the product or other products manufactured at the same facility;</w:t>
      </w:r>
    </w:p>
    <w:p>
      <w:pPr>
        <w:spacing w:after="0" w:line="63" w:lineRule="exact"/>
        <w:rPr>
          <w:rFonts w:ascii="Arial" w:cs="Arial" w:eastAsia="Arial" w:hAnsi="Arial"/>
          <w:sz w:val="18"/>
          <w:szCs w:val="18"/>
          <w:color w:val="auto"/>
        </w:rPr>
      </w:pPr>
    </w:p>
    <w:p>
      <w:pPr>
        <w:ind w:left="1000" w:right="680" w:hanging="495"/>
        <w:spacing w:after="0" w:line="275"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consent decrees, or the imposition of civil or criminal penalties;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 care programs.</w:t>
      </w:r>
    </w:p>
    <w:p>
      <w:pPr>
        <w:spacing w:after="0" w:line="223"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generally prescribe a drug for off-label uses, manufacturers may only promote the drug in accordance with the approved product label. The FDA and other agencies actively enforce the laws and regulations prohibiting the promotion of off-label uses, and a company that is found to have promoted false and misleading information about the product may be subject to significant liability, both at the federal and state levels.</w:t>
      </w:r>
    </w:p>
    <w:p>
      <w:pPr>
        <w:spacing w:after="0" w:line="170"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 Most recently, the Drug Supply Chain Security Act (“DSCSA”) was enacted with the aim of building an electronic system to identify and trace certain prescription drugs distributed in the United States. The DSCSA mandates phased-in and resource-intensive obligations for pharmaceutical manufacturers, wholesale distributors, and dispensers over a 10</w:t>
      </w:r>
      <w:r>
        <w:rPr>
          <w:rFonts w:ascii="MS PGothic" w:cs="MS PGothic" w:eastAsia="MS PGothic" w:hAnsi="MS PGothic"/>
          <w:sz w:val="17"/>
          <w:szCs w:val="17"/>
          <w:color w:val="auto"/>
        </w:rPr>
        <w:t>‑</w:t>
      </w:r>
      <w:r>
        <w:rPr>
          <w:rFonts w:ascii="Arial" w:cs="Arial" w:eastAsia="Arial" w:hAnsi="Arial"/>
          <w:sz w:val="17"/>
          <w:szCs w:val="17"/>
          <w:color w:val="auto"/>
        </w:rPr>
        <w:t>year period that is expected to culminate in November 2023.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PREA, submission of a pediatric assessment is not required for pediatric investigation of a product that has been granted orphan drug designation. However, under the FDA Reauthorization Act of 2017 (“FDASIA”), the scope of the PREA was extended to require pediatric studies for products intended for the treatment of an adult cancer that are directed at a molecular target that are determined to be substantially relevant to the growth or progression of a pediatric cancer. In addition, the FDA finalized guidance in 2018 indicating that it does not expect to grant any additional orphan drug designation to products for pediatric subpopulations of common diseases. Nevertheless, the FDA intends to still grant orphan drug designation to a drug or biologic that otherwise meets all other criteria for</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40" w:right="419" w:bottom="1440" w:gutter="0" w:footer="0" w:header="0"/>
        </w:sectPr>
      </w:pPr>
    </w:p>
    <w:bookmarkStart w:id="43" w:name="page44"/>
    <w:bookmarkEnd w:id="43"/>
    <w:p>
      <w:pPr>
        <w:jc w:val="both"/>
        <w:ind w:right="420"/>
        <w:spacing w:after="0" w:line="340" w:lineRule="auto"/>
        <w:rPr>
          <w:sz w:val="20"/>
          <w:szCs w:val="20"/>
          <w:color w:val="auto"/>
        </w:rPr>
      </w:pPr>
      <w:r>
        <w:rPr>
          <w:rFonts w:ascii="Arial" w:cs="Arial" w:eastAsia="Arial" w:hAnsi="Arial"/>
          <w:sz w:val="16"/>
          <w:szCs w:val="16"/>
          <w:color w:val="auto"/>
        </w:rPr>
        <w:t>designation when it prevents, diagnoses or treats either (i) a rare disease that includes a rare pediatric subpopulation, (ii) a pediatric subpopulation that constitutes a valid orphan subset, or (iii) a rare disease that is in fact a different disease in the pediatric population as compared to the adult population.</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(such as a showing of clinical superiority to the product with orphan exclusivity by means of greater effectiveness, greater safety or providing a major contribution to patient care or in instances of drug supply issues), for seven years. Orphan exclusivity does not block the approval of a different drug or biologic for the same rare disease or condition, nor does it block the approval of the same drug or biologic for different conditions.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Drug Designation</w:t>
      </w:r>
    </w:p>
    <w:p>
      <w:pPr>
        <w:spacing w:after="0" w:line="11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European Union (the “EU”), orphan drug designation by the European Commission (the “EC”) provides regulatory and financial incentives for companies to develop and market therapies that meet the following requirements: (1) the product is intended for the diagnosis, prevention or treatment of life-threatening or chronically debilitating conditions;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To be considered for orphan drug designation in the EU, companies must provide data that demonstrate the plausibility for use of the investigational therapy in the treatment of the disease and establish that the drug has the potential to provide relevant advantages or a major contribution to patient care over existing therapies.</w:t>
      </w:r>
    </w:p>
    <w:p>
      <w:pPr>
        <w:spacing w:after="0" w:line="18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Among the incentives available to medicines designated as orphan drugs by the EC are ten-year market exclusivity in the EU after product approval, eligibility for conditional marketing authorization, protocol assistance from the European Medicines Agency at reduced fees during the product development phase and direct access to centralized marketing authorization in the EU. The exclusivity period may be reduced to six years if, at the end of the fifth year, the orphan drug designation criteria are no longer met, including where it is shown that the product is sufficiently profitable not to justify maintenance of market exclusivity. In addition,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of the product. Marketing authorization may also be granted to a similar medicinal product with the same orphan indication if the similar product is deemed safer, more effective or otherwise clinically superior to the original orphan medicinal product. Orphan drug designation must be requested before submitting an application for marketing authorization. Orphan drug designation does not, in itself, convey any advantage in, or shorten the duration of, the regulatory review and authorization process.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Pediatric Use</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Best Pharmaceuticals for Children Act (“BPCA”) provides NDA holders a six-month period of non-patent marketing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and the submission to the FDA, completion of the studies in accordance with the written request, and the acceptance by the FDA, of the reports of the requested studies within the statutory timeframe.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The issuance of a written request does not require the sponsor to undertake the described studies. Applications under the BPCA are treated as priority applications.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Hatch-Waxman Act and Marketing Exclusivity</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1984, with passage of the Hatch-Waxman Amendments to the FDCA, Congress authorized the FDA to approve generic drugs that are the same as drugs previously approved by the FDA under the NDA provisions of the statute and also enacted Section 505(b)(2) of the FDCA. To obtain approval of a generic drug, an applicant must submit an abbreviated new drug application (“ANDA”) to the agency. In support of such applications, a generic manufacturer may rely on the preclinical and clinical testing conducted for a drug product previously approved under an NDA, known as the reference listed drug (“RLD”). Specifically, in order for an ANDA to be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4" w:name="page45"/>
    <w:bookmarkEnd w:id="44"/>
    <w:p>
      <w:pPr>
        <w:ind w:right="200"/>
        <w:spacing w:after="0" w:line="340" w:lineRule="auto"/>
        <w:rPr>
          <w:sz w:val="20"/>
          <w:szCs w:val="20"/>
          <w:color w:val="auto"/>
        </w:rPr>
      </w:pPr>
      <w:r>
        <w:rPr>
          <w:rFonts w:ascii="Arial" w:cs="Arial" w:eastAsia="Arial" w:hAnsi="Arial"/>
          <w:sz w:val="16"/>
          <w:szCs w:val="16"/>
          <w:color w:val="auto"/>
        </w:rPr>
        <w:t>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w:t>
      </w:r>
    </w:p>
    <w:p>
      <w:pPr>
        <w:spacing w:after="0" w:line="12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Upon NDA approval of a new chemical entity (“NCE”), which is a drug that contains no active moiety that has been approved by the FDA in any other NDA, that drug receives five years of marketing exclusivity. During the exclusivity period, the FDA cannot accept for review any ANDA or 505(b)(2) NDA submitted by another company for another version of such drug where the applicant does not own or have a legal right of reference to all the data required for approval. However, an application may be submitted one year before NCE exclusivity expires if a Paragraph IV certification is filed on an NCE patent and any time after approval if the application is filed based on a new indication or a new formulation.</w:t>
      </w:r>
    </w:p>
    <w:p>
      <w:pPr>
        <w:spacing w:after="0" w:line="1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Hatch-Waxman Act also provides three years of data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follow-on applications for drugs containing the original active agent. If there is no listed patent in the Orange Book, there may not be a Paragraph IV certification, and, thus, no ANDA or 505(b)(2) NDA may be filed before the expiration of the exclusivity period.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Depending upon the timing, duration and specifics of FDA approval of the use of our therapeutic candidates, some of our U.S. patents may be eligible for limited patent term extension under the Hatch-Waxman Act. The Hatch-Waxman Act permits a patent restoration term of up to five years as compensation for any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Vitro Diagnostic Tests for Biomarkers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For some of our product candidates, we plan to work with collaborators to develop or obtain access to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tests to identify appropriate patients for these targeted therapies. If a sponsor or the FDA believes that a diagnostic test is essential for the safe and effective use of a corresponding therapeutic product, a sponsor will typically work with a collaborator to develop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(“IVD”). IVDs are regulated by the FDA as medical devices, and since 2014 the agency has issued final and draft guidance documents that are intended to assist companies developing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and companies developing therapeutic products that depend on the use of a specific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for the safe and effective use of the product.</w:t>
      </w:r>
    </w:p>
    <w:p>
      <w:pPr>
        <w:spacing w:after="0" w:line="19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 xml:space="preserve">The three types of marketing pathways for medical devices are clearance of a premarket notification under Section 510(k) of the FDCA (“510(k)”), approval of a premarket approval application (“PMA”) and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request, or </w:t>
      </w:r>
      <w:r>
        <w:rPr>
          <w:rFonts w:ascii="Arial" w:cs="Arial" w:eastAsia="Arial" w:hAnsi="Arial"/>
          <w:sz w:val="16"/>
          <w:szCs w:val="16"/>
          <w:i w:val="1"/>
          <w:iCs w:val="1"/>
          <w:color w:val="auto"/>
        </w:rPr>
        <w:t>de novo</w:t>
      </w:r>
      <w:r>
        <w:rPr>
          <w:rFonts w:ascii="Arial" w:cs="Arial" w:eastAsia="Arial" w:hAnsi="Arial"/>
          <w:sz w:val="16"/>
          <w:szCs w:val="16"/>
          <w:color w:val="auto"/>
        </w:rPr>
        <w:t>. If a company is required to perform clinical trials to support the safety and effectiveness of an IVD, and the IVD is viewed as a significant risk device, the sponsor will have to submit an investigational device exemption application (“IDE”) to the FDA, which is similar in format and function to an IND. If the diagnostic test and the therapeutic drug are studied together to support their respective approvals, any clinical trials involving both product candidates must meet both the IDE and IND requirements.</w:t>
      </w:r>
    </w:p>
    <w:p>
      <w:pPr>
        <w:spacing w:after="0" w:line="16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FDA expects that the therapeutic sponsor will address the need for an IVD companion diagnostic device in its therapeutic product development plan and that, in most cases, the therapeutic product and its corresponding IVD companion diagnostic device will be developed contemporaneously. If the companion diagnostic test will be used to make critical treatment decisions such as patient selection, treatment assignment, or treatment arm, it will likely be considered a significant risk device for which a clinical trial will be required. After approval, the use of an IVD companion diagnostic device with a therapeutic product will be stipulated in the instructions for use in the labeling of both the diagnostic device and the corresponding therapeutic product. In addition, a diagnostic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ind w:right="40"/>
        <w:spacing w:after="0" w:line="275" w:lineRule="auto"/>
        <w:rPr>
          <w:sz w:val="20"/>
          <w:szCs w:val="20"/>
          <w:color w:val="auto"/>
        </w:rPr>
      </w:pPr>
      <w:r>
        <w:rPr>
          <w:rFonts w:ascii="Arial" w:cs="Arial" w:eastAsia="Arial" w:hAnsi="Arial"/>
          <w:sz w:val="18"/>
          <w:szCs w:val="18"/>
          <w:color w:val="auto"/>
        </w:rPr>
        <w:t xml:space="preserve">test that was approved through the PMA process, or one that was cleared through the 510(k) process or reclassified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process, and placed on the market will be subject to many of the same regulatory requirements that apply to approved drugs.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However, the FDA may decide that it is appropriate to approve such a therapeutic product without an approved or cleared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when the drug or therapeutic biologic is intended to treat a serious or life-threatening condition for which no satisfactory alternative treatment exists and the FDA determines that the benefits from the use of a product with an unapproved or uncleared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are so pronounced as to outweigh the risks from the lack of an approved or cleared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The FDA encourages sponsors considering developing a therapeutic product that requires a companion diagnostic to request a meeting with both relevant device and therapeutic product review divisions to ensure that the product development plan will produce sufficient data to establish the safety and effectiveness of both the therapeutic product and the companion diagnostic. Because the FDA’s policies on companion diagnostics is set forth only in guidance, this policy is subject to change and is not legally binding.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Regulation of Drug Products</w:t>
      </w:r>
    </w:p>
    <w:p>
      <w:pPr>
        <w:spacing w:after="0" w:line="11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addition to regulations in the United States, we are and will be subject, either directly or through our distribution partners, to a variety of regulations in other jurisdictions governing, among other things, clinical trials, the privacy of personal data and commercial sales and distribution of our products, if approved.</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much like an IND prior to the commencement of human clinical trials. In Europe, for example, a clinical trial application (“CTA”), must be submitted to the competent national health authority and to independent ethics committees in each country in which a company plans to conduct clinical trials. Once the CTA is approved in accordance with a country’s requirements, clinical trials may proceed in that country. Under the EU Clinical Trials Regulation, a harmonized assessment and supervision processes was implemented as of January 31, 2022 for clinical trials throughout the EU, via a Clinical Trials Information System (“CTIS”). The CTIS will contain the centralized EU portal and database for clinical trials conducted in the EU and will allow for a centralized review process. This harmonized submission process became mandatory for new CTA submissions to be filed beginning on February 1, 2023.</w:t>
      </w:r>
    </w:p>
    <w:p>
      <w:pPr>
        <w:spacing w:after="0" w:line="181"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even though there is already some degree of legal harmonization in the EU member states resulting from the national implementation of underlying EU legislation. In all cases, the clinical trials are conducted in accordance with GCP and other applicable regulatory requirements.</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obtain a marketing license for a new drug or medicinal product in the European Union, the sponsor must obtain approval of a marketing authorization application (“MAA”). The way in which a medicinal product can be approved in the European Union depends on the nature of the medicinal product. As of January 31, 2020, the United Kingdom (“UK”) is no longer a member state of the EU, and therefore a separate MAA and approval will be required to market a medicinal product in the UK. The UK’s Medicines and Healthcare products Regulatory Agency (“MHRA”) has issued guidance regarding the requirements for licensing and marketing therapeutic drugs and biologics post-Brexit.</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centralized procedure results in a single marketing authorization granted by the European Commission that is valid across the European Union, as well as in Iceland, Liechtenstein, and Norway. The centralized procedure is compulsory for human drugs that are: (i) derived from biotechnology processes, such as genetic engineering, (ii) contain a new active substance indicated for the treatment of certain diseases, such as HIV/AIDS, cancer, diabetes, neurodegenerative diseases, autoimmune and other immune dysfunctions and viral diseases, (iii) officially designated “orphan drugs” (drugs used for rare human diseases) and (iv) advanced-therapy medicines, such as gene-therapy, somatic cell-therapy or tissue-engineered medicines. The centralized procedure may at the request of the applicant also be used for human drugs which do not fall within the above mentioned categories if the human drug</w:t>
      </w:r>
    </w:p>
    <w:p>
      <w:pPr>
        <w:spacing w:after="0" w:line="4" w:lineRule="exact"/>
        <w:rPr>
          <w:sz w:val="20"/>
          <w:szCs w:val="20"/>
          <w:color w:val="auto"/>
        </w:rPr>
      </w:pPr>
    </w:p>
    <w:p>
      <w:pPr>
        <w:ind w:right="40" w:firstLine="8"/>
        <w:spacing w:after="0" w:line="254"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contains a new active substance which was not authorized in the European Community; or (b) the applicant shows that the medicinal product constitutes a significant therapeutic, scientific or technical innovation or that the granting of authorization in the centralized procedure is in the interests of patients or animal health at the European Community level.</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the centralized procedure in the European Union, the maximum timeframe for the evaluation of a marketing authorization application by the European Medicines Agency (“EMA”) is 210 days (excluding clock stops, when additional written or oral information is to be provided by the applicant in response to questions asked by the Committee for Medicinal Products for Human Use (“CHMP”)), with adoption of the actual marketing authorization by the European Commission thereafter. Accelerated evaluation might be granted by the CHMP in exceptional cases, when a medicinal product is expected to be of a major public health interest from the point of view of therapeutic innovation, defined by three cumulative criteria: the seriousness of the disease to be treated; the absence of an appropriate alternative therapeutic approach, and anticipation of exceptional high therapeutic benefit. In this circumstance, EMA ensures that the evaluation for the opinion of the CHMP is completed within 150 days and the opinion issued thereafter.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7"/>
          <w:szCs w:val="17"/>
          <w:color w:val="auto"/>
        </w:rPr>
        <w:t>The mutual recognition procedure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is based on the principle of recognition of an already existing national marketing authorization by one or more member states. In the MRP, a marketing authorization for a drug already exists in one or more member states of the European Union and subsequently marketing authorization applications are made in other European Union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 After a product assessment is completed by the reference member state,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within individual member states shall be granted within 30 days after acknowledgement of the agreement</w:t>
      </w:r>
    </w:p>
    <w:p>
      <w:pPr>
        <w:spacing w:after="0" w:line="18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Should any member state refuse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Commission, for the start of the decision-making process. As in the centralized procedure, this process entails consulting various European Commission Directorates General and the Standing Committee on Human Medicinal Products or Veterinary Medicinal Products, as appropriate.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Government Regulation</w:t>
      </w:r>
    </w:p>
    <w:p>
      <w:pPr>
        <w:spacing w:after="0" w:line="11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countries outside of the United States and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other applicable regulatory requirements.</w:t>
      </w:r>
    </w:p>
    <w:p>
      <w:pPr>
        <w:spacing w:after="0" w:line="183" w:lineRule="exact"/>
        <w:rPr>
          <w:sz w:val="20"/>
          <w:szCs w:val="20"/>
          <w:color w:val="auto"/>
        </w:rPr>
      </w:pPr>
    </w:p>
    <w:p>
      <w:pPr>
        <w:ind w:right="680"/>
        <w:spacing w:after="0" w:line="340"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Although we currently do not have any products on the market, if our product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 the following:</w:t>
      </w:r>
    </w:p>
    <w:p>
      <w:pPr>
        <w:spacing w:after="0" w:line="49" w:lineRule="exact"/>
        <w:rPr>
          <w:sz w:val="20"/>
          <w:szCs w:val="20"/>
          <w:color w:val="auto"/>
        </w:rPr>
      </w:pPr>
    </w:p>
    <w:p>
      <w:pPr>
        <w:ind w:left="1120" w:right="60" w:hanging="372"/>
        <w:spacing w:after="0" w:line="258"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120" w:right="40" w:hanging="372"/>
        <w:spacing w:after="0" w:line="285"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rFonts w:ascii="Arial" w:cs="Arial" w:eastAsia="Arial" w:hAnsi="Arial"/>
          <w:sz w:val="17"/>
          <w:szCs w:val="17"/>
          <w:color w:val="auto"/>
        </w:rPr>
      </w:pPr>
    </w:p>
    <w:p>
      <w:pPr>
        <w:ind w:left="1120" w:right="400" w:hanging="372"/>
        <w:spacing w:after="0" w:line="275"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imposes criminal and civil liability for executing a scheme to defraud any healthcare benefit program or making false statements relating to healthcare matters;</w:t>
      </w:r>
    </w:p>
    <w:p>
      <w:pPr>
        <w:spacing w:after="0" w:line="63" w:lineRule="exact"/>
        <w:rPr>
          <w:rFonts w:ascii="Arial" w:cs="Arial" w:eastAsia="Arial" w:hAnsi="Arial"/>
          <w:sz w:val="18"/>
          <w:szCs w:val="18"/>
          <w:color w:val="auto"/>
        </w:rPr>
      </w:pPr>
    </w:p>
    <w:p>
      <w:pPr>
        <w:ind w:left="1120" w:right="260" w:hanging="372"/>
        <w:spacing w:after="0" w:line="262"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1120" w:right="320" w:hanging="372"/>
        <w:spacing w:after="0" w:line="306" w:lineRule="auto"/>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47" w:name="page48"/>
    <w:bookmarkEnd w:id="47"/>
    <w:p>
      <w:pPr>
        <w:ind w:left="1120" w:right="120" w:hanging="372"/>
        <w:spacing w:after="0" w:line="278"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transparency requirements under the Physician Payments Sunshine Act require manufacturers of FDA-approved drugs, devices, biologics and medical supplies covered by Medicare or Medicaid to report, on an annual basis, to the Department of Health and Human Services information related to payments and other transfers of value to physicians, teaching hospitals, and certain advanced non-physician health care practitioners and physician ownership and investment interests; and</w:t>
      </w:r>
    </w:p>
    <w:p>
      <w:pPr>
        <w:spacing w:after="0" w:line="62" w:lineRule="exact"/>
        <w:rPr>
          <w:rFonts w:ascii="Arial" w:cs="Arial" w:eastAsia="Arial" w:hAnsi="Arial"/>
          <w:sz w:val="17"/>
          <w:szCs w:val="17"/>
          <w:color w:val="auto"/>
        </w:rPr>
      </w:pPr>
    </w:p>
    <w:p>
      <w:pPr>
        <w:ind w:left="1120" w:right="540" w:hanging="372"/>
        <w:spacing w:after="0" w:line="262"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Some state laws require pharmaceutical or medical device companies to comply with the relevant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83" w:lineRule="exact"/>
        <w:rPr>
          <w:sz w:val="20"/>
          <w:szCs w:val="20"/>
          <w:color w:val="auto"/>
        </w:rPr>
      </w:pPr>
    </w:p>
    <w:p>
      <w:pPr>
        <w:jc w:val="both"/>
        <w:ind w:right="360"/>
        <w:spacing w:after="0" w:line="258" w:lineRule="auto"/>
        <w:rPr>
          <w:sz w:val="20"/>
          <w:szCs w:val="20"/>
          <w:color w:val="auto"/>
        </w:rPr>
      </w:pPr>
      <w:r>
        <w:rPr>
          <w:rFonts w:ascii="Arial" w:cs="Arial" w:eastAsia="Arial" w:hAnsi="Arial"/>
          <w:sz w:val="18"/>
          <w:szCs w:val="18"/>
          <w:color w:val="auto"/>
        </w:rPr>
        <w:t>In November 2020, the Department of Health and Human Services (“DHHS”) finalized significant changes to the regulations implementing the Anti-Kickback Statute, as well as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18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State and foreign laws also govern the privacy and security of health information in some circumstances, many of which differ from each other in significant ways and often are not preempted by HIPAA, thus complicating compliance efforts. We also are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Significant uncertainty exists as to the coverage and reimbursement status of products approved by the FDA and other government authorities. Sales of our products, when and if approved for marketing in the United States, will depend, in part, on the extent to which our products will be covered by third-party payors, such as federal, state, and foreign government healthcare programs, commercial insurance and managed healthcare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In addition, these third-party payors are increasingly reducing reimbursements for medical products, drugs and services. Furthermore,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17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Europe and other countries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and some foreign jurisdictions, there have been, and continue to be, several legislative and regulatory changes and proposed changes regarding the healthcare system that could prevent or delay marketing approval of product and therapeutic candidates, restrict or regulate post-approval activities, and affect the ability to profitably sell product and therapeutic candidates that obtain marketing approval. The FDA’s and other regulatory authorities’ policies may change and additional government regulations may be enacted that could prevent, limit or delay regulatory approval of our product and therapeutic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 Moreover, among policy makers and payors in the United States and elsewhere, there is significant interest in promoting changes in healthcare systems with the stated goals of containing healthcare costs, improving quality and/or expanding access.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20"/>
        <w:spacing w:after="0" w:line="284" w:lineRule="auto"/>
        <w:rPr>
          <w:sz w:val="20"/>
          <w:szCs w:val="20"/>
          <w:color w:val="auto"/>
        </w:rPr>
      </w:pPr>
      <w:r>
        <w:rPr>
          <w:rFonts w:ascii="Arial" w:cs="Arial" w:eastAsia="Arial" w:hAnsi="Arial"/>
          <w:sz w:val="16"/>
          <w:szCs w:val="16"/>
          <w:color w:val="auto"/>
        </w:rPr>
        <w:t>For example, the Patient Protection and Affordable Care Act, as amended by the Health Care and Education Reconciliation Act (collectively, the “ACA”), was enacted in March 2010 and has had a significant impact on the health care industry in the United States.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on manufacturers of certain branded prescription drugs, and created a new Medicare Part D coverage gap discount program. Additionally, on December 20, 2019, the Further Consolidated Appropriations Act for 2020 was signed into law (P.L. 116-94) and includes a piece of bipartisan legislation called the Creating and Restoring Equal Access to Equivalent Samples Act of 2019 or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product developers access to samples of brand products. Because generic product developers need samples to conduct certain comparative testing required by the FDA, some have attributed the inability to timely obtain samples as a cause of delay in the entry of generic products. To remedy this concern, the CREATES Act establishes a private cause of action that permits a generic product developer to sue the brand manufacturer to compel it to furnish the necessary samples on “commercially reasonable, market-based terms.” Whether and how generic product developments will use this new pathway, as well as the likely outcome of any legal challenges to provisions of the CREATES Act, remain highly uncertain and its potential effects on any of our future commercial products are unknown.</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Since the enactment of the ACA, there have been executive, judicial and Congressional challenges to certain aspects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Further legislative and regulatory changes under the ACA remain possible, although the Biden Administration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United States.</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that affect health care expenditures.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(the “CARES Act”), which was signed into law on March 27, 2020 and was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The suspension was subsequently extended through March 31, 2022, with a reduction of the suspension to 1% sequester through June 30, 2022.</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DHHS has solicited feedback on some of the various measures intended to lower drug prices and reduce the out of pocket costs of drugs and implemented others under its existing authority. For example, in May 2019, DHHS issued a final rule to allow Medicare Advantage plans the option to use step therapy for Part B drugs beginning January 1, 2020. This final rule codified a DHHS policy change that was effective January 1, 2019.</w:t>
      </w:r>
    </w:p>
    <w:p>
      <w:pPr>
        <w:spacing w:after="0" w:line="16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w:t>
      </w:r>
    </w:p>
    <w:p>
      <w:pPr>
        <w:spacing w:after="0" w:line="19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any future drug products for which we secure marketing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Manufacturing Requirements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and our third-party manufacturers must comply with applicable cGMP requirements. The cGMP requirements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commercial products. We and our third-party manufacturers are also subject to periodic announced or for-cause unannounced inspections of facilities by the FDA and other authorities, including procedures and operations used in the testing and manufacture of our commercial products, if any, to assess our compliance with applicable regulations. Failure to comply with statutory and regulatory requirements subjects a manufacturer to possible legal or regulatory action, including, among other things, warning or other enforcement letters, voluntary corrective action, the seizure of products, injunctions, consent decrees placing significant restrictions on or suspending manufacturing operations, disgorgement of profits, and other civil and criminal penalties.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authority,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December 31, 2021, we employed 238 employees, of which 235 were full-time employees. A significant number of our management and professional employees have had prior experience with pharmaceutical, biotechnology or medical product companies. None of our employees are represented by a labor union or covered under a collective bargaining agreement. Management considers relations with our employees to be good.</w:t>
      </w:r>
    </w:p>
    <w:p>
      <w:pPr>
        <w:spacing w:after="0" w:line="5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approach to how we recruit, develop, retain and manage our talent is driven by our values statement: Making an impact through innovation, inclusion, and inspiration. Our values are at the core of who we are as an organization, and what drive us to envision a brighter future for the patients and families we serve. Critical to achieving our strategic imperatives is our ability to build a world-class organization and retain an exceptional team in which each member plays a unique and important role. We value diversity, inclusion, and social responsibility where our employees have a strong sense of belonging and contributing, while being empowered to make a real difference. In 2021, we updated our Nominating and Corporate Governance Committee charter to reflect the Nominating and Corporate Governance Committee’s oversight of our strategies and policies related to our people and diversity, equity and inclusion (“DEI”), in addition to the Nominating and Corporate Governance Committee’s oversight of our environmental, social and governance (“ESG”) strategy, initiatives and policies.</w:t>
      </w:r>
    </w:p>
    <w:p>
      <w:pPr>
        <w:spacing w:after="0" w:line="7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recognize that maintaining an engaged and high-performing workforce who share a connection with the communities we serve is critical to our success. Comradery and cohesion are at the core of who we are as a company, and are integral facets of our human capital strategy. Whether it is coming together throughout the year to connect at our town halls or participating in a global fitness challenge to support the health and well-being of our employees, we take a team approach to our work. We are inspired by each other and the possibilities of what we can achieve together.</w:t>
      </w:r>
    </w:p>
    <w:p>
      <w:pPr>
        <w:spacing w:after="0" w:line="6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understand that in order to drive innovation, we must continuously improve our people strategies and find ways to foster engagement and growth within our organization. To this end, below are some of our initiatives:</w:t>
      </w:r>
    </w:p>
    <w:p>
      <w:pPr>
        <w:spacing w:after="0" w:line="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Employee Engagement</w:t>
      </w:r>
      <w:r>
        <w:rPr>
          <w:rFonts w:ascii="Arial" w:cs="Arial" w:eastAsia="Arial" w:hAnsi="Arial"/>
          <w:sz w:val="16"/>
          <w:szCs w:val="16"/>
          <w:color w:val="auto"/>
        </w:rPr>
        <w:t>: We embrace the idea that our employees do their best work when they have equity ownership in the business. Having an engaged and dedicated workforce is essential for us to achieve our goals. Employee engagement ensures that our employees feel passionate about the work they are doing, and with this commitment, we recognize that this is when results happen. It is more apparent than ever that we are all in this together, and as a company, we need to set up our employees for success and continue to cultivate their engagement with our company. We regularly conduct surveys as a means of engaging with employees and gaining their insights. We use the data and input as a tool for improving our human resources management going forward. Engagement is also directly correlated to the interactions our employees have with each other and their teams. Our Wave Activities Committee is a cross-functional team dedicated to organizing activities, such as themed social gatherings, charity and volunteer opportunities, and health and wellness events, which enrich our culture and bring employees together. We also work to ensure that we are deeply aligned with our corporate goals as a company, that functional goals are clear and transparent, and that employees understand how their work contributes to the company’s success.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50" w:name="page51"/>
    <w:bookmarkEnd w:id="50"/>
    <w:p>
      <w:pPr>
        <w:spacing w:after="0" w:line="286" w:lineRule="auto"/>
        <w:rPr>
          <w:sz w:val="20"/>
          <w:szCs w:val="20"/>
          <w:color w:val="auto"/>
        </w:rPr>
      </w:pPr>
      <w:r>
        <w:rPr>
          <w:rFonts w:ascii="Arial" w:cs="Arial" w:eastAsia="Arial" w:hAnsi="Arial"/>
          <w:sz w:val="16"/>
          <w:szCs w:val="16"/>
          <w:u w:val="single" w:color="auto"/>
          <w:color w:val="auto"/>
        </w:rPr>
        <w:t>Employee Health and Safety</w:t>
      </w:r>
      <w:r>
        <w:rPr>
          <w:rFonts w:ascii="Arial" w:cs="Arial" w:eastAsia="Arial" w:hAnsi="Arial"/>
          <w:sz w:val="16"/>
          <w:szCs w:val="16"/>
          <w:color w:val="auto"/>
        </w:rPr>
        <w:t>: Compliance with environmental, health and safety (“EH&amp;S”) laws and regulations forms the basis of the EH&amp;S policy and programs we have in place, which include occupational health and safety measures that apply to all of our employees, contractors and visitors. These programs detail the proactive, risk-based approach that we take to prevent workplace injuries and protect the health and safety of our employees and the communities around us. We have implemented an EH&amp;S management system to monitor and track the effectiveness of our programs, ensure EH&amp;S compliance, respond to incidents and manage corrective actions to reinforce safeguards. Our training programs provide training to our employees that is commensurate with their level of risk exposure and are designed to ensure that employees have the knowledge and equipment available to mitigate risk. Our cross-functional Safety Committee meets monthly to discuss any concerns and ways to improve our EH&amp;S programs. Employees are also required to report any incidents, no matter how small, and are encouraged to voice any health or safety concerns to management or a member of our EH&amp;S team. As we continue to monitor the COVID-19 situation, we have implemented and will continue to implement measures designed to safeguard the health and safety of our employees and our patients, including COVID-19 testing. We formed a COVID-19 response team, a business continuity planning team and a “future of work” team that is continuously evaluating the guidance from federal and local authorities and has created polices and guidelines that continue to ensure our employees’ health and safety comes first. In October 2021, we implemented a mandatory COVID-19 vaccination policy.</w:t>
      </w:r>
    </w:p>
    <w:p>
      <w:pPr>
        <w:spacing w:after="0" w:line="59" w:lineRule="exact"/>
        <w:rPr>
          <w:sz w:val="20"/>
          <w:szCs w:val="20"/>
          <w:color w:val="auto"/>
        </w:rPr>
      </w:pPr>
    </w:p>
    <w:p>
      <w:pPr>
        <w:spacing w:after="0" w:line="285" w:lineRule="auto"/>
        <w:rPr>
          <w:sz w:val="20"/>
          <w:szCs w:val="20"/>
          <w:color w:val="auto"/>
        </w:rPr>
      </w:pPr>
      <w:r>
        <w:rPr>
          <w:rFonts w:ascii="Arial" w:cs="Arial" w:eastAsia="Arial" w:hAnsi="Arial"/>
          <w:sz w:val="16"/>
          <w:szCs w:val="16"/>
          <w:u w:val="single" w:color="auto"/>
          <w:color w:val="auto"/>
        </w:rPr>
        <w:t>Professional Development Programs and Opportunities</w:t>
      </w:r>
      <w:r>
        <w:rPr>
          <w:rFonts w:ascii="Arial" w:cs="Arial" w:eastAsia="Arial" w:hAnsi="Arial"/>
          <w:sz w:val="16"/>
          <w:szCs w:val="16"/>
          <w:color w:val="auto"/>
        </w:rPr>
        <w:t>: Employees are our most valuable resource, and we aspire to provide them with opportunities so that they can continue to grow and excel in their functions and our company. Professional growth of our employees leads to engagement and development, and allows us to leverage opportunities to hire and promote key talent from within our organization. We have also implemented a personal development plan program, and leadership and management development programs. Through development planning, we strive for employees at all levels to focus on strengthening the skills required in their current role and potentially their next role. We conduct annual performance reviews for all employees, but, as importantly, we are focused on building a culture of continuous coaching, feedback and open communication between managers and their direct reports throughout the entire year. We provide managers and employees with training on how to conduct effective forward-looking performance conversations and to set effective goals that are specific, measurable, attainable, relevant and timebound (SMART). We provide our employees with unlimited access to LinkedIn Learning, to advance their professional development, interests and goals. Another example where we provide company-wide leadership and development opportunities is through the Wave Learning Series, which was developed to build awareness of all functional areas, special areas of interest or importance, timely subject matters and to expand knowledge of industry trends and other matters of interest and relevance within the biopharmaceutical industry. The Wave Learning Series is conducted through company-wide presentations by employees at various levels, providing opportunities for development and cross-functional exposure for our employees. To further assist our employees, we also offer all full-time employees the option to participate in our Education Assistance Program, where we reimburse employees for tuition and eligible expenses.</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Health and Well-Being</w:t>
      </w:r>
      <w:r>
        <w:rPr>
          <w:rFonts w:ascii="Arial" w:cs="Arial" w:eastAsia="Arial" w:hAnsi="Arial"/>
          <w:sz w:val="17"/>
          <w:szCs w:val="17"/>
          <w:color w:val="auto"/>
        </w:rPr>
        <w:t>: We believe that the overall well-being of our employees and ensuring that their basic health and wellness needs are met, is fundamental for us to achieve success as a company. In our ongoing efforts to prioritize wellness initiatives, we understand that a key part of this includes providing our employees with access to mental health, behavioral health, and/or substance abuse services through our medical plans. We provide an Employee Assistance Program (“EAP”), as a cost-free benefit, which is available to help employees and their household members confidentially manage everyday life, work challenges, stress, and other personal issues, by providing consultation, referrals and resources, along with ongoing webinars on various work-life, mental health and wellness topics for employees. In addition, we understand that workplace flexibility is an important component to our employees’ well-being. Throughout the COVID-19 pandemic, safeguarding employee and patient health has been our top priority, as we advance our business through the research and development of our therapeutic candidates. During the height of the pandemic, we implemented procedures to protect our workforce in manufacturing and laboratory operations, which included mandating a work-from-home policy for most employees. Prioritizing employee safety while achieving our goals has provided us with a greater appreciation for workplace flexibility, which keeps our employees engaged and motivated, while also creating a sense of trust throughout our organization.</w:t>
      </w:r>
    </w:p>
    <w:p>
      <w:pPr>
        <w:spacing w:after="0" w:line="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auto"/>
        </w:rPr>
        <w:t>Diversity, Equity and Inclusion (“DEI”)</w:t>
      </w:r>
      <w:r>
        <w:rPr>
          <w:rFonts w:ascii="Arial" w:cs="Arial" w:eastAsia="Arial" w:hAnsi="Arial"/>
          <w:sz w:val="16"/>
          <w:szCs w:val="16"/>
          <w:color w:val="auto"/>
        </w:rPr>
        <w:t>: Our commitment to maintaining a top-performing company means investing in and creating ongoing opportunities for employee development in a diverse and inclusive workplace. We provide equal employment opportunities without regard to race, color, religion, sex, national origin, age, disability or genetics. In 2021, we formalized our DEI efforts through various initiatives, including the formation of a DEI Steering Group to be more intentional about creating and maintaining a diverse, inclusive, equitable, culturally competent and supportive environment for all of our employees and stakeholders. Some of our preliminary DEI initiatives include creating opportunities for our employees to be engaged with our DEI initiatives through participation in a cultural assessment survey and implementing a DEI strategy with short-, medium- and long-term goals. We believe that a diverse and inclusive workforce positively impacts our performance, fosters innovation and inspires us to achieve greater results. In addition to this, our intentional focus on DEI continues to strengthen our culture and helps ensure that we continue to cultivate an effective next generation of experienced leaders and managers necessary to execute on our mission and plans for ambitious growth. Hiring for diversity of thought, background and experience, and diversity of personal characteristics such as gender, race and ethnicity, among many others, is intentional, and continues to be an area of focus for us as we build and grow our workforce. Despite the historical lack of institutional emphasis on the importance of girls and women focusing on education in science, technology, engineering and mathematics (“STEM”) and the resulting disproportionate occupation by men in the STEM-educated talent pool, we have prioritized and hired a gender diverse workforce. As of December 31, 2021, women made up approximately 52% of our global workforce and constitute approximately 49% of management (defined as director level and above). We are also committed to building a racially and ethnically diverse workforce. As of December 31, 2021, racially diverse employees (those self-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ind w:right="120"/>
        <w:spacing w:after="0" w:line="258" w:lineRule="auto"/>
        <w:rPr>
          <w:sz w:val="20"/>
          <w:szCs w:val="20"/>
          <w:color w:val="auto"/>
        </w:rPr>
      </w:pPr>
      <w:r>
        <w:rPr>
          <w:rFonts w:ascii="Arial" w:cs="Arial" w:eastAsia="Arial" w:hAnsi="Arial"/>
          <w:sz w:val="18"/>
          <w:szCs w:val="18"/>
          <w:color w:val="auto"/>
        </w:rPr>
        <w:t>identifying as Black or African American, Hispanic or Latinx, Asian, or being of two or more races) make up approximately 36% of our global workforce and approximately 30% of management (22% of our employees did not provide us with this information). In addition, we continue to partner with Project Onramp, which is an organization that is working to bridge the opportunity gap for Massachusetts college students in underserved and minority communities. Through this partnership, we provide students with summer internships.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Community Outreach and Engagement</w:t>
      </w:r>
      <w:r>
        <w:rPr>
          <w:rFonts w:ascii="Arial" w:cs="Arial" w:eastAsia="Arial" w:hAnsi="Arial"/>
          <w:sz w:val="17"/>
          <w:szCs w:val="17"/>
          <w:color w:val="auto"/>
        </w:rPr>
        <w:t>: Our community engagement activities are focused on seeking to better understand the lives of people living with rare disease and identifying opportunities to support the rare disease community. We believe that partnering with, and understanding the lives of patients and their families and caregivers, differentiates us and enhances our ability to discover and develop potential therapies. Through collaboration with patients, families and advocacy organizations, face-to-face meetings, and participation in patient-focused conferences and community events, we aim to broaden our understanding of the needs of patients and families and incorporate those critical learnings into every aspect of our company. These insights inform the design and execution of our clinical trials, the enrichment of our corporate culture, and the development of programs and services that make a positive impact on people’s lives. Employee volunteerism is another important component of our community engagement initiatives. We partner with advocacy and service organizations to provide opportunities for employees to contribute directly to our local communities, including through our Wave Service Day. By participating in a broad range of volunteer activities, our employees donate time and resources to support patients and families in the rare disease community and beyond.</w:t>
      </w:r>
    </w:p>
    <w:p>
      <w:pPr>
        <w:spacing w:after="0" w:line="77"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u w:val="single" w:color="auto"/>
          <w:color w:val="auto"/>
        </w:rPr>
        <w:t>Rewards and Recognition</w:t>
      </w:r>
      <w:r>
        <w:rPr>
          <w:rFonts w:ascii="Arial" w:cs="Arial" w:eastAsia="Arial" w:hAnsi="Arial"/>
          <w:sz w:val="17"/>
          <w:szCs w:val="17"/>
          <w:color w:val="auto"/>
        </w:rPr>
        <w:t>: We have a multi-tiered awards program, including peer-to-peer recognition, which our employees use to recognize and reward one another for their contributions and achievements, taking into consideration the combination of employees who best exemplify our values and the achievement of results. We believe that providing a rewards program not only increases engagement and performance, but meaningfully recognizes those employees who go above and beyond to positively impact our company and culture. In 2021, we developed a team rewards and recognition program to provide another opportunity to recognize and reward collaborative teamwork.</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6"/>
          <w:szCs w:val="16"/>
          <w:u w:val="single" w:color="auto"/>
          <w:color w:val="auto"/>
        </w:rPr>
        <w:t>Compensation, Equity and Benefits (Total Rewards)</w:t>
      </w:r>
      <w:r>
        <w:rPr>
          <w:rFonts w:ascii="Arial" w:cs="Arial" w:eastAsia="Arial" w:hAnsi="Arial"/>
          <w:sz w:val="16"/>
          <w:szCs w:val="16"/>
          <w:color w:val="auto"/>
        </w:rPr>
        <w:t>: Compensation programs are one of the most powerful tools available to companies to attract, retain and motivate employees, as well as align their interests with those of shareholders. We have designed a broad-based compensation program that is designed to attract, retain and motivate our employees, while driving sustainable long-term value creation. We seek to deliver performance-driven, market competitive reward opportunities commensurate with company and individual performance. All of our employees receive competitive base salaries, cash bonuses, new hire equity grants and annual long-term incentive grants, in addition to our generous benefits package. We believe that providing employees with an ownership interest in our company through grants of equity awards, further strengthens the level of employee engagement. Furthermore, equity awards help align the interests of our employees with the long-term interests of our shareholders. In addition, we have an Employee Share Purchase Plan (“ESPP”), which provides our employees with an opportunity to purchase shares of our Company at a 15% discount to the market price.</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Offering a highly competitive, industry-leading, benefits package is another integral piece of our total rewards package and differentiated employee value proposition. Notably, we provide our employees with access to choice and offer employees a very progressive health insurance package, with no premiums. We also offer a 401(k) plan with matching contributions for all eligible employees. We were named a best-in-class employer, scoring in the top quartile of large and midsize employers who participated in Gallagher’s 2021 Benefits Strategy &amp; Benchmarking Survey. We were recognized for providing innovative solutions that are key to attracting, engaging and motivating employees, including (i) our excellent benefits and compensation programs and strategies; (ii) our employee well-being approach and strategy; (iii) our health plan and how we have managed this over time; and (iv) internal communications and education around our total rewards strategy.</w:t>
      </w:r>
    </w:p>
    <w:p>
      <w:pPr>
        <w:spacing w:after="0" w:line="87"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We will continue to evolve and strengthen our strategies relating to talent, while furthering our investment in our employees, culture, community partnerships and outreach, and other human capital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(“Wave”). Wave has four wholly-owned subsidiaries: Wave Life Sciences USA, Inc. (“Wave USA”), a Delaware 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2" w:name="page53"/>
    <w:bookmarkEnd w:id="52"/>
    <w:p>
      <w:pPr>
        <w:spacing w:after="0" w:line="256" w:lineRule="auto"/>
        <w:rPr>
          <w:sz w:val="20"/>
          <w:szCs w:val="20"/>
          <w:color w:val="auto"/>
        </w:rPr>
      </w:pPr>
      <w:r>
        <w:rPr>
          <w:rFonts w:ascii="Arial" w:cs="Arial" w:eastAsia="Arial" w:hAnsi="Arial"/>
          <w:sz w:val="18"/>
          <w:szCs w:val="18"/>
          <w:color w:val="auto"/>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+1-617-949-2900. Our registered office for Wave Japan is 2438 Miyanoura-cho, Kagoshima-shi, Kagoshima pref. 891-1394, Japan. Our registered office for Wave Ireland is One Spencer Dock, North Wall Quay, Dublin 1, D01 X9R7, Ireland. Our registered office for Wave UK is 1 Chamberlain Square CS, Birmingham B3 3AX, United Kingdom.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2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Internet website address is http://www.wavelifesciences.com. The information contained on, or that can be accessed through, our website is not a part of, or incorporated by reference in, this Annual Report on Form 10-K or our other filings with the SEC.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“For Investors &amp; Media – SEC Filings” section of our website as soon as reasonably practicable after we electronically file such reports with, or furnish such reports to, the Securities and Exchange Commission (“SEC”). We also make available, free of charge on our website, the reports filed with the SEC by our executive officers, directors and 10% shareholders pursuant to Section 16 under the Exchange Act as soon as reasonably practicable after copies of those filings are filed with the SEC. You can review our electronically filed reports and other information that we file with the SEC on the SEC’s website at http://www.sec.gov.</w:t>
      </w:r>
    </w:p>
    <w:p>
      <w:pPr>
        <w:spacing w:after="0" w:line="18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In addition, we regularly use our website to post information regarding our business and governance, and we encourage investors to use our website, particularly the information in the section entitled “For Investors &amp; Media,” as a source of information about 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3" w:name="page54"/>
    <w:bookmarkEnd w:id="53"/>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ordinary shares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12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We are a clinical-stage genetic medicines company with a history of losses, and we expect to continue to incur losses for the foreseeable future, and we may never achieve or maintain profitability.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are a clinical-stage genetic medicines company and have incurred significant operating losses since our incorporation in 2012. Our net loss was</w:t>
      </w:r>
    </w:p>
    <w:p>
      <w:pPr>
        <w:spacing w:after="0" w:line="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$122.2 million and $149.9 million for the fiscal years ended December 31, 2021 and 2020, respectively. As of December 31, 2021 and 2020, we had an accumulated deficit of $805.5 million and $683.3 million, respectively. To date, we have not generated any product revenue. Substantially all of our losses have resulted from expenses incurred in connection with our research and development programs and from general and administrative costs associated with our operations.</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currently have no products on the market and expect that it may be many years, if ever, before we have a product candidate ready for commercialization. Our lead clinical development programs are designed to treat genetic diseases within the CNS, including ALS, FTD, HD and DMD, and we expect to share clinical data in 2022 to provide insight into the clinical effects of PN chemistry to enable decision making. With RNA base editing, our initial focus is on using GalNAc-conjugated AIMers to treat hepatic diseases and our lead program is designed to treat AATD. We expect to select an AATD AIMer development candidate and initiate IND-enabling toxicology studies in the third quarter of 2022. We have not generated, and do not expect to generate, any product revenue for the foreseeable future, and we expect to continue to incur significant operating losses for the foreseeable future due to the cost of research and development, manufacturing, preclinical studies and clinical trials and the regulatory review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shareholders to lose all or part of their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We have used substantial funds to develop our programs and PRISM, our proprietary discovery and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We believe that our existing cash and cash equivalents will be sufficient to fund our operations for at least the next 12 months.</w:t>
      </w:r>
    </w:p>
    <w:p>
      <w:pPr>
        <w:spacing w:after="0" w:line="21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Our future capital requirements and the period for which we expect our existing resources to support our operations may vary significantly from what we expect. We do not expect to realize any appreciable revenue from product sales or royalties in the foreseeable future, if at all. Our revenue sources will remain extremely limited unless and until our product candidates complete clinical development and are approved for commercialization and successfully marketed.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 but not limited to, the following:</w:t>
      </w:r>
    </w:p>
    <w:p>
      <w:pPr>
        <w:spacing w:after="0" w:line="116" w:lineRule="exact"/>
        <w:rPr>
          <w:sz w:val="20"/>
          <w:szCs w:val="20"/>
          <w:color w:val="auto"/>
        </w:rPr>
      </w:pPr>
    </w:p>
    <w:p>
      <w:pPr>
        <w:ind w:left="740" w:hanging="36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monthly spending levels, based on new and ongoing development and corporate activities;</w:t>
      </w:r>
    </w:p>
    <w:p>
      <w:pPr>
        <w:spacing w:after="0" w:line="22" w:lineRule="exact"/>
        <w:rPr>
          <w:rFonts w:ascii="Arial" w:cs="Arial" w:eastAsia="Arial" w:hAnsi="Arial"/>
          <w:sz w:val="18"/>
          <w:szCs w:val="18"/>
          <w:color w:val="auto"/>
        </w:rPr>
      </w:pPr>
    </w:p>
    <w:p>
      <w:pPr>
        <w:ind w:left="740" w:hanging="36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and clinical development for our product candidates;</w:t>
      </w:r>
    </w:p>
    <w:p>
      <w:pPr>
        <w:spacing w:after="0" w:line="8" w:lineRule="exact"/>
        <w:rPr>
          <w:rFonts w:ascii="Arial" w:cs="Arial" w:eastAsia="Arial" w:hAnsi="Arial"/>
          <w:sz w:val="18"/>
          <w:szCs w:val="18"/>
          <w:color w:val="auto"/>
        </w:rPr>
      </w:pPr>
    </w:p>
    <w:p>
      <w:pPr>
        <w:ind w:left="740" w:right="580" w:hanging="369"/>
        <w:spacing w:after="0" w:line="259"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and whether our collaboration partners decide to exercise option rights in connection with targets and development programs;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54" w:name="page55"/>
    <w:bookmarkEnd w:id="54"/>
    <w:p>
      <w:pPr>
        <w:ind w:left="740" w:hanging="36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 w:lineRule="exact"/>
        <w:rPr>
          <w:rFonts w:ascii="Arial" w:cs="Arial" w:eastAsia="Arial" w:hAnsi="Arial"/>
          <w:sz w:val="18"/>
          <w:szCs w:val="18"/>
          <w:color w:val="auto"/>
        </w:rPr>
      </w:pPr>
    </w:p>
    <w:p>
      <w:pPr>
        <w:ind w:left="740" w:hanging="36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marketing approval for our product candidates;</w:t>
      </w:r>
    </w:p>
    <w:p>
      <w:pPr>
        <w:spacing w:after="0" w:line="8" w:lineRule="exact"/>
        <w:rPr>
          <w:rFonts w:ascii="Arial" w:cs="Arial" w:eastAsia="Arial" w:hAnsi="Arial"/>
          <w:sz w:val="18"/>
          <w:szCs w:val="18"/>
          <w:color w:val="auto"/>
        </w:rPr>
      </w:pPr>
    </w:p>
    <w:p>
      <w:pPr>
        <w:ind w:left="740" w:hanging="36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impacts of the COVID-19 global pandemic (and emerging or future variants of COVID-19) on our business;</w:t>
      </w:r>
    </w:p>
    <w:p>
      <w:pPr>
        <w:spacing w:after="0" w:line="8" w:lineRule="exact"/>
        <w:rPr>
          <w:rFonts w:ascii="Arial" w:cs="Arial" w:eastAsia="Arial" w:hAnsi="Arial"/>
          <w:sz w:val="18"/>
          <w:szCs w:val="18"/>
          <w:color w:val="auto"/>
        </w:rPr>
      </w:pPr>
    </w:p>
    <w:p>
      <w:pPr>
        <w:ind w:left="740" w:right="300" w:hanging="369"/>
        <w:spacing w:after="0" w:line="24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achievement of milestones and other development targets that trigger payments under our collaboration with Takeda, or any other strategic collaborations into which we may enter;</w:t>
      </w:r>
    </w:p>
    <w:p>
      <w:pPr>
        <w:ind w:left="740" w:right="240" w:hanging="369"/>
        <w:spacing w:after="0" w:line="24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clinical trial costs or expenses and other costs and expenses associated with clinical activities under our collaboration with Takeda, or any other future collaboration agreements, if any;</w:t>
      </w:r>
    </w:p>
    <w:p>
      <w:pPr>
        <w:ind w:left="740" w:right="360" w:hanging="369"/>
        <w:spacing w:after="0" w:line="24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ind w:left="740" w:right="780" w:hanging="369"/>
        <w:spacing w:after="0" w:line="24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ind w:left="740" w:right="560" w:hanging="369"/>
        <w:spacing w:after="0" w:line="24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ind w:left="740" w:hanging="369"/>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internally or with third parties for drug supply.</w:t>
      </w:r>
    </w:p>
    <w:p>
      <w:pPr>
        <w:spacing w:after="0" w:line="20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date, we have primarily financed our operations through sales of our securities and our collaborations with third parties. As a privately held company, we received an aggregate of $89.3 million from the sale of our securities. As a publicly traded company, through March 2, 2022, we have received an aggregate of $484.5 million in gross proceeds from public offerings of our securities, or approximately $449.4 million in net proceeds. On or about March 3, 2022, we plan to file a new universal shelf registration on Form S-3 with the SEC, pursuant to which we will register for sale up to $500.0 million of any combination of our ordinary shares, debt securities, warrants, rights and/or units from time to time and at prices and on terms that we may determine, which we refer to as the “2022 Form S-3.” The 2022 Form S-3 includes a prospectus covering up to approximately $132.0 million in ordinary shares remaining that have not yet been issued or sold under our at-the-market equity program with Jefferies LLC. As of March 2, 2022, we have received approximately $118.0 million in gross proceeds from our at-the-market equity program, and we have received $292.5 million under our collaborations with third parties, exclusive of any potential future milestone and royalty payments. We intend to seek additional funding in the future through collaborations, public or private equity offerings or debt financings, credit or loan facilities or a combination of one or more of these financing sources.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raise additional funds will depend on financial, economic and other factors, many of which are beyond our control. We may seek access to the capital and credit markets for working capital, capital expenditure, and other business initiatives. The capital and credit markets are experiencing, and in the past have experienced, extreme volatility and disruption, which may lead to uncertainty and liquidity issues for both borrowers and investors. In the event of adverse market conditions, or other factors, additional funds may not be available to us on acceptable terms or at all. If we raise additional funds by issuing equity or convertible debt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6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If we are unable to obtain funding on a timely basis or on acceptable terms, we may have to delay, limit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i w:val="1"/>
          <w:iCs w:val="1"/>
          <w:color w:val="auto"/>
        </w:rPr>
        <w:t>Our management has broad discretion over the use of proceeds received from sales of our securities and our collaborations with third parties and the proceeds may not be used effectively.</w:t>
      </w:r>
    </w:p>
    <w:p>
      <w:pPr>
        <w:spacing w:after="0" w:line="64"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rPr>
        <w:t>Our management has broad discretion as to the use of proceeds we receive from conducting sales of our securities and our collaborations with third parties and could use the proceeds for purposes other than those contemplated at the time of such transactions. It is also possible that the proceeds we have received, or may receive, from securities sales and collaborations will be invested in a way that does not yield a favorable, or any, return for us.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shareholders to evaluate the success of our business to date and to assess our future viability.</w:t>
      </w:r>
    </w:p>
    <w:p>
      <w:pPr>
        <w:spacing w:after="0" w:line="13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are a clinical-stage genetic medicines company with a limited operating history. We commenced active operations in 2012. Our operations to date have been limited to organizing and staffing our company, research and development activities, manufacturing, preclinical and clinical development, patient advocacy activities, business planning and raising capital. Our lead clinical development programs are designed to treat genetic diseases within the CNS, including ALS, FTD, HD and DMD, and we expect to share clinical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right="40"/>
        <w:spacing w:after="0" w:line="268" w:lineRule="auto"/>
        <w:rPr>
          <w:sz w:val="20"/>
          <w:szCs w:val="20"/>
          <w:color w:val="auto"/>
        </w:rPr>
      </w:pPr>
      <w:r>
        <w:rPr>
          <w:rFonts w:ascii="Arial" w:cs="Arial" w:eastAsia="Arial" w:hAnsi="Arial"/>
          <w:sz w:val="17"/>
          <w:szCs w:val="17"/>
          <w:color w:val="auto"/>
        </w:rPr>
        <w:t>data in 2022 to provide insight into the clinical effects of PN chemistry to enable decision making. With RNA base editing, our initial focus is on using GalNAc-conjugated AIMers to treat hepatic diseases and our lead program is designed to treat AATD. We expect to select an AATD AIMer development candidate and initiate IND-enabling toxicology studies in the third quarter of in 2022. We have not yet demonstrated our ability to successfully complete pivotal clinical trials, obtain marketing approvals, or conduct sales and marketing activities necessary for successful product commercialization. We have limited experience manufacturing our products at commercial scale or arranging for a third party to do so on our behalf. Typically, it takes many years to develop and commercialize a therapeutic from the time it is discovered to when it is available for treating patients. Further, drug development is a capital-intensive and highly speculative undertaking that involves a substantial degree of risk. You should consider our prospects in light of the costs, uncertainties, delays and difficulties frequently encountered by biotechnology companies in the early stages of clinical development, such as ours. Any predictions about our future success or viability may not be as accurate as they could be if we had a longer operating history or a history of successfully developing and commercializing pharmaceutical products.</w:t>
      </w:r>
    </w:p>
    <w:p>
      <w:pPr>
        <w:spacing w:after="0" w:line="292"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i w:val="1"/>
          <w:iCs w:val="1"/>
          <w:color w:val="auto"/>
        </w:rPr>
        <w:t>We, or third parties upon whom we depend, may face risks related to health epidemics, including the novel coronavirus (COVID-19) pandemic and variants thereof, which may delay our ability to complete our ongoing clinical trials, initiate additional clinical trials, delay regulatory activities and have other adverse effects on our business and operations.</w:t>
      </w:r>
    </w:p>
    <w:p>
      <w:pPr>
        <w:spacing w:after="0" w:line="7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Since December 2019, multiple countries throughout the world and their economies, including the United States, have been subject to intermittent shutdowns and adversely affected by the COVID-19 global pandemic. To date, responsive measures such as social distancing, work-from-home policies, travel bans and quarantines have been implemented in many countries throughout the world, including the United States. We are in the midst of the global pandemic; therefore, we are continuing to evaluate the situation and the extent to which these responsive measures may materially and adversely affect our business operations and financial condition.</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a clinical-stage company with multiple programs and multiple clinical trials currently underway, the pandemic is impacting the execution of our clinical trials. We have clinical trial sites located in countries that have been affected by COVID-19 and variants thereof. Clinical site initiation and patient enrollment has been delayed due to prioritization of hospital resources in favor of COVID-19 patients and difficulties in recruiting clinical site investigators and clinical site staff. Some patients have not been able to travel or gain access to clinical trial sites due to local restrictions. Similarly, our ability to recruit and retain patients and principal investigators and site staff who, as healthcare providers, may have heightened risk of exposure to COVID-19, has been negatively impacted, which has delayed the timelines of our clinical trial operations. We are continuing to experience delays and disruptions in our clinical trials and preclinical studies due to resource constraints at contract research organizations and vendors along their supply chain. We may also experience interruption of key clinical trial activities, such as on-site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ultimately impact the extent of missing data.</w:t>
      </w:r>
    </w:p>
    <w:p>
      <w:pPr>
        <w:spacing w:after="0" w:line="18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COVID-19 pandemic has affected and may continue to affect the operations of the FDA, EMA and other regulatory authorities, which could result in delays of reviews and approvals, including with respect to our product candidates. If regulatory matters resulting from COVID-19 continue to prevent regulatory authorities from conducting their regular inspections, reviews, or other regulatory activities, it could impact the ability of regulatory authorities to timely review and process our regulatory submissions, which could have a material adverse effect on our business.</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212529"/>
        </w:rPr>
        <w:t xml:space="preserve">We rely upon third parties for many aspects of our business, including the raw materials used to make our product candidates and the conduct of our clinical trials and preclinical studies. </w:t>
      </w:r>
      <w:r>
        <w:rPr>
          <w:rFonts w:ascii="Arial" w:cs="Arial" w:eastAsia="Arial" w:hAnsi="Arial"/>
          <w:sz w:val="18"/>
          <w:szCs w:val="18"/>
          <w:color w:val="000000"/>
        </w:rPr>
        <w:t>While we have built up inventory to assist us through this uncertain operating environment, our suppliers may be disrupted</w:t>
      </w:r>
      <w:r>
        <w:rPr>
          <w:rFonts w:ascii="Arial" w:cs="Arial" w:eastAsia="Arial" w:hAnsi="Arial"/>
          <w:sz w:val="18"/>
          <w:szCs w:val="18"/>
          <w:color w:val="212529"/>
        </w:rPr>
        <w:t xml:space="preserve"> </w:t>
      </w:r>
      <w:r>
        <w:rPr>
          <w:rFonts w:ascii="Arial" w:cs="Arial" w:eastAsia="Arial" w:hAnsi="Arial"/>
          <w:sz w:val="18"/>
          <w:szCs w:val="18"/>
          <w:color w:val="000000"/>
        </w:rPr>
        <w:t>now or in the future, which may affect our ability to procure items that are essential for our research and development activities and may cause pricing increases, inflation, and significant disruptions to our business.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implemented procedures to protect our workforce in manufacturing and laboratory operations, including implementing a mandatory COVID-19 vaccination policy in October 2021, while ensuring appropriate remote working protocols have been implemented for our employees who can work from home. The spread of COVID-19 and the responsive measures taken to date have limited our access to our facilities and caused the majority of our employees to work from home. We continue to monitor the global spread of COVID-19 and the response of international, national and local authorities, and have implemented and will continue to implement measures that we believe are appropriate and necessary for our business and the safety of our employees. These public health directives and orders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 increase in working remotely has increased our cybersecurity risk, has created data accessibility concerns, and has made us more susceptible to communication disruptions. In addition, as a result of potential shelter-in-place orders or other mandated travel restrictions, our on-site staff conducting research and development and manufacturing activities have experienced difficulties and delays in accessing our laboratories or manufacturing space.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6" w:name="page57"/>
    <w:bookmarkEnd w:id="56"/>
    <w:p>
      <w:pPr>
        <w:ind w:right="60"/>
        <w:spacing w:after="0" w:line="275" w:lineRule="auto"/>
        <w:rPr>
          <w:sz w:val="20"/>
          <w:szCs w:val="20"/>
          <w:color w:val="auto"/>
        </w:rPr>
      </w:pPr>
      <w:r>
        <w:rPr>
          <w:rFonts w:ascii="Arial" w:cs="Arial" w:eastAsia="Arial" w:hAnsi="Arial"/>
          <w:sz w:val="18"/>
          <w:szCs w:val="18"/>
          <w:color w:val="auto"/>
        </w:rPr>
        <w:t>Our future capital requirements depend on many factors, including the continued uncertainty and duration of the COVID-19 pandemic. As a result, we may face difficulties raising capital through sales of our securities or such sales may be on unfavorable terms.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COVID-19 global pandemic, including any emerging variants of COVID-19, is continuing to evolve rapidly and is subject to change. While we are adapting our processes to lessen the impact that COVID-19 may have on our business, we do not yet know the full extent of delays or long-term impacts on our business, our clinical trials, healthcare systems or the global economy. These impacts are highly uncertain and cannot be predicted with confidence, such as variants of the virus that may evolve, the duration of the outbreak, travel restrictions and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treat the disease. These effects may materially adversely affect our business, financial condition, results of operations, and prospects.</w:t>
      </w:r>
    </w:p>
    <w:p>
      <w:pPr>
        <w:spacing w:after="0" w:line="280" w:lineRule="exact"/>
        <w:rPr>
          <w:sz w:val="20"/>
          <w:szCs w:val="20"/>
          <w:color w:val="auto"/>
        </w:rPr>
      </w:pPr>
    </w:p>
    <w:p>
      <w:pPr>
        <w:ind w:right="2260"/>
        <w:spacing w:after="0" w:line="452" w:lineRule="auto"/>
        <w:rPr>
          <w:sz w:val="20"/>
          <w:szCs w:val="20"/>
          <w:color w:val="auto"/>
        </w:rPr>
      </w:pPr>
      <w:r>
        <w:rPr>
          <w:rFonts w:ascii="Arial" w:cs="Arial" w:eastAsia="Arial" w:hAnsi="Arial"/>
          <w:sz w:val="15"/>
          <w:szCs w:val="15"/>
          <w:b w:val="1"/>
          <w:bCs w:val="1"/>
          <w:color w:val="auto"/>
        </w:rPr>
        <w:t xml:space="preserve">Risks Related to the Discovery, Manufacturing, Development and Commercialization of Our Product Candidates </w:t>
      </w:r>
      <w:r>
        <w:rPr>
          <w:rFonts w:ascii="Arial" w:cs="Arial" w:eastAsia="Arial" w:hAnsi="Arial"/>
          <w:sz w:val="15"/>
          <w:szCs w:val="15"/>
          <w:b w:val="1"/>
          <w:bCs w:val="1"/>
          <w:i w:val="1"/>
          <w:iCs w:val="1"/>
          <w:color w:val="auto"/>
        </w:rPr>
        <w:t>The approach we are taking to discover and develop oligonucleotides is novel and may never lead to marketable products.</w:t>
      </w:r>
    </w:p>
    <w:p>
      <w:pPr>
        <w:spacing w:after="0" w:line="288" w:lineRule="auto"/>
        <w:rPr>
          <w:sz w:val="20"/>
          <w:szCs w:val="20"/>
          <w:color w:val="auto"/>
        </w:rPr>
      </w:pPr>
      <w:r>
        <w:rPr>
          <w:rFonts w:ascii="Arial" w:cs="Arial" w:eastAsia="Arial" w:hAnsi="Arial"/>
          <w:sz w:val="16"/>
          <w:szCs w:val="16"/>
          <w:color w:val="auto"/>
        </w:rPr>
        <w:t>We have concentrated our efforts and research and development activities on oligonucleotides and enhancing PRISM, our proprietary discovery and drug development platform. PRISM enables us to target genetically defined diseases with stereopure oligonucleotides across multiple therapeutic modalities. Our future success depends on the successful development of stereopure oligonucleotides and the effectiveness of PRISM. The scientific discoveries that form the basis for our efforts to discover and develop new product candidates, including our discoveries about the relationships between oligonucleotide stereochemistry and pharmacology, are relatively new. PRISM combines our unique ability to control backbone stereochemistry to create stereopure oligonucleotides and our deep knowledge of how the interplay among oligonucleotide sequence, chemistry and backbone stereochemistry impacts key properties. The scientific evidence to support the feasibility of developing medicines based on these discoveries is limited. Skepticism as to the feasibility of developing oligonucleotides generally has been, and may continue to be, expressed in scientific literature. In addition, decisions by other companies with respect to their oligonucleotide development efforts may increase skepticism in the marketplace regarding the potential for oligonucleotides.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number of clinical trials for oligonucleotide products conducted by other companies have not been successful, but some have received regulatory approval. The pharmacological properties ascribed to the investigational compounds we are testing in laboratory studies may not be positively demonstrated in clinical trials in patients, and they may interact with human biological systems in unforeseen, ineffective or harmful ways. For example, our first three clinical programs contained our first-generation chemistry, all of which we discontinued following receipt of negative clinical data. By contrast, all of our current product candidates contain our next-generation PN backbone chemistry modifications. If our product candidates prove to be ineffective, unsafe or commercially unviable, PRISM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oligonucleotides that receive regulatory approval.</w:t>
      </w:r>
    </w:p>
    <w:p>
      <w:pPr>
        <w:spacing w:after="0" w:line="273"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i w:val="1"/>
          <w:iCs w:val="1"/>
          <w:color w:val="auto"/>
        </w:rPr>
        <w:t>Because we are developing oligonucleotides, which are considered a relatively new class of drugs, there is increased risk that the outcome of our clinical trials will not be sufficient to obtain regulatory approval.</w:t>
      </w:r>
    </w:p>
    <w:p>
      <w:pPr>
        <w:spacing w:after="0" w:line="6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FDA and comparable ex-U.S. regulatory agencies have relatively limited experience with oligonucleotides, which may increase the complexity, uncertainty and length of the regulatory review process for our product candidates. To date, the FDA has approved only 13 oligonucleotides for marketing and commercialization. Even though the FDA in January 2021 issued a draft guidance document relating to IND submissions for individualized antisense oligonucleotide drugs for severely debilitating or life-threatening genetic diseases (“n of 1” guidance), the FDA and its foreign counterparts have not yet established any definitive policies, practices or guidelines specifically in relation to the development considerations for oligonucleotide drugs for larger populations. The general lack of policies, practices or guidelines specific to oligonucleotides may hinder or slow review by the FDA of any regulatory filings that we may submit. Moreover, the FDA may respond to these submissions by defining requirements we may not have anticipated. Such responses could lead to significant delays in the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8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57" w:name="page58"/>
    <w:bookmarkEnd w:id="57"/>
    <w:p>
      <w:pPr>
        <w:ind w:right="380"/>
        <w:spacing w:after="0" w:line="262" w:lineRule="auto"/>
        <w:rPr>
          <w:sz w:val="20"/>
          <w:szCs w:val="20"/>
          <w:color w:val="auto"/>
        </w:rPr>
      </w:pPr>
      <w:r>
        <w:rPr>
          <w:rFonts w:ascii="Arial" w:cs="Arial" w:eastAsia="Arial" w:hAnsi="Arial"/>
          <w:sz w:val="18"/>
          <w:szCs w:val="18"/>
          <w:color w:val="auto"/>
        </w:rPr>
        <w:t>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ordinary shares could decline.</w:t>
      </w:r>
    </w:p>
    <w:p>
      <w:pPr>
        <w:spacing w:after="0" w:line="29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Our preclinical studies and clinical trials may not be successful. If we are unable to commercialize our product candidates or experience significant delays in doing so, our business will be materially harmed.</w:t>
      </w:r>
    </w:p>
    <w:p>
      <w:pPr>
        <w:spacing w:after="0" w:line="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a robust and diverse pipeline of PN-modified, stereopure oligonucleotides, including our clinical silencing and splicing programs as well as our AIMers. Our lead clinical development programs are designed to treat genetic diseases within the CNS, including ALS, FTD, HD and DMD, and we expect to share clinical data in 2022 to provide insight into the clinical effects of PN chemistry to enable decision making. With RNA base editing, our initial focus is on using GalNAc-conjugated AIMers to treat hepatic diseases and our lead program is designed to treat AATD. We expect to select an AATD AIMer development candidate and initiate IND-enabling toxicology studies in the third quarter of 2022. However, we currently have no products on the market. We have invested a significant portion of our efforts and financial resources in the identification and preclinical and clinical development of our oligonucleotides, the development of PRISM, including our ADAR editing capability, and our novel PN backbone chemistry modifications, and the continued growth of our manufacturing capabilities.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87" w:lineRule="exact"/>
        <w:rPr>
          <w:sz w:val="20"/>
          <w:szCs w:val="20"/>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5" w:lineRule="exact"/>
        <w:rPr>
          <w:rFonts w:ascii="Arial" w:cs="Arial" w:eastAsia="Arial" w:hAnsi="Arial"/>
          <w:sz w:val="18"/>
          <w:szCs w:val="18"/>
          <w:color w:val="auto"/>
        </w:rPr>
      </w:pPr>
    </w:p>
    <w:p>
      <w:pPr>
        <w:ind w:left="1000" w:right="680" w:hanging="495"/>
        <w:spacing w:after="0" w:line="27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conducting process development and manufacturing campaigns in accordance with current good manufacturing practice (“cGMP”);</w:t>
      </w:r>
    </w:p>
    <w:p>
      <w:pPr>
        <w:spacing w:after="0" w:line="63" w:lineRule="exact"/>
        <w:rPr>
          <w:rFonts w:ascii="Arial" w:cs="Arial" w:eastAsia="Arial" w:hAnsi="Arial"/>
          <w:sz w:val="18"/>
          <w:szCs w:val="18"/>
          <w:color w:val="auto"/>
        </w:rPr>
      </w:pPr>
    </w:p>
    <w:p>
      <w:pPr>
        <w:ind w:left="1000" w:right="520" w:hanging="495"/>
        <w:spacing w:after="0" w:line="27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receiving regulatory approvals from applicable regulatory authorities to market our product candidates and, to the extent necessary, our companion diagnostic tests;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 party contract manufacturing organizations (“CMOs”);</w:t>
      </w:r>
    </w:p>
    <w:p>
      <w:pPr>
        <w:spacing w:after="0" w:line="138" w:lineRule="exact"/>
        <w:rPr>
          <w:rFonts w:ascii="Arial" w:cs="Arial" w:eastAsia="Arial" w:hAnsi="Arial"/>
          <w:sz w:val="16"/>
          <w:szCs w:val="16"/>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we are successful in our collaboration with Takeda, and any additional collaborations we may establish;</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maintain an acceptable safety profile of the products following approval.</w:t>
      </w:r>
    </w:p>
    <w:p>
      <w:pPr>
        <w:spacing w:after="0" w:line="223"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clinical trials successfully due to various process-related factors that could negatively impact our business plans.</w:t>
      </w:r>
    </w:p>
    <w:p>
      <w:pPr>
        <w:spacing w:after="0" w:line="24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64" w:lineRule="exact"/>
        <w:rPr>
          <w:sz w:val="20"/>
          <w:szCs w:val="20"/>
          <w:color w:val="auto"/>
        </w:rPr>
      </w:pPr>
    </w:p>
    <w:p>
      <w:pPr>
        <w:ind w:left="1000" w:hanging="495"/>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and recruit employees, contractors or consultants with the required level of knowledge and experience;</w:t>
      </w:r>
    </w:p>
    <w:p>
      <w:pPr>
        <w:spacing w:after="0" w:line="115" w:lineRule="exact"/>
        <w:rPr>
          <w:rFonts w:ascii="Arial" w:cs="Arial" w:eastAsia="Arial" w:hAnsi="Arial"/>
          <w:sz w:val="18"/>
          <w:szCs w:val="18"/>
          <w:color w:val="auto"/>
        </w:rPr>
      </w:pPr>
    </w:p>
    <w:p>
      <w:pPr>
        <w:ind w:left="1000" w:right="100" w:hanging="495"/>
        <w:spacing w:after="0" w:line="300"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retain and recruit in a timely manner a sufficient number of patients necessary to conduct a clinical trial, which is a function of many factors, including the impact of the COVID-19 global pandemic, the proximity of participants to clinical sites, the size of the relevant population, the eligibility criteria for the trial, possible side effects from treatments, the existence of competing clinical trials, the involvement of patient advocacy groups, the availability of new or alternative treatments, lack of efficacy, personal issues and ease of participation;</w:t>
      </w:r>
    </w:p>
    <w:p>
      <w:pPr>
        <w:spacing w:after="0" w:line="48" w:lineRule="exact"/>
        <w:rPr>
          <w:rFonts w:ascii="Arial" w:cs="Arial" w:eastAsia="Arial" w:hAnsi="Arial"/>
          <w:sz w:val="16"/>
          <w:szCs w:val="16"/>
          <w:color w:val="auto"/>
        </w:rPr>
      </w:pPr>
    </w:p>
    <w:p>
      <w:pPr>
        <w:ind w:left="1000" w:hanging="495"/>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the impact of the COVID-19 pandemic on our early-stage discovery efforts and clinical trials;</w:t>
      </w:r>
    </w:p>
    <w:p>
      <w:pPr>
        <w:spacing w:after="0" w:line="115" w:lineRule="exact"/>
        <w:rPr>
          <w:rFonts w:ascii="Arial" w:cs="Arial" w:eastAsia="Arial" w:hAnsi="Arial"/>
          <w:sz w:val="18"/>
          <w:szCs w:val="18"/>
          <w:color w:val="auto"/>
        </w:rPr>
      </w:pPr>
    </w:p>
    <w:p>
      <w:pPr>
        <w:ind w:left="1000" w:right="320" w:hanging="495"/>
        <w:spacing w:after="0" w:line="27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open study sites, and enroll, treat, and monitor patients due to local restrictions implemented in response to the COVID-19 or other global health pandemics;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companion diagnostic tests for use with certain of our product candidates;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58" w:name="page59"/>
    <w:bookmarkEnd w:id="58"/>
    <w:p>
      <w:pPr>
        <w:ind w:left="1000" w:hanging="495"/>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and maintain a sufficient amount of clinical material, internally or through third parties;</w:t>
      </w:r>
    </w:p>
    <w:p>
      <w:pPr>
        <w:spacing w:after="0" w:line="115" w:lineRule="exact"/>
        <w:rPr>
          <w:rFonts w:ascii="Arial" w:cs="Arial" w:eastAsia="Arial" w:hAnsi="Arial"/>
          <w:sz w:val="18"/>
          <w:szCs w:val="18"/>
          <w:color w:val="auto"/>
        </w:rPr>
      </w:pPr>
    </w:p>
    <w:p>
      <w:pPr>
        <w:ind w:left="1000" w:right="560" w:hanging="495"/>
        <w:spacing w:after="0" w:line="27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regulatory and legal guidelines;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or resolve unforeseen adverse side effects during a clinical trial;</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clinical trial designs and protocols approved by regulatory authorities without deficiencies;</w:t>
      </w:r>
    </w:p>
    <w:p>
      <w:pPr>
        <w:spacing w:after="0" w:line="115" w:lineRule="exact"/>
        <w:rPr>
          <w:rFonts w:ascii="Arial" w:cs="Arial" w:eastAsia="Arial" w:hAnsi="Arial"/>
          <w:sz w:val="18"/>
          <w:szCs w:val="18"/>
          <w:color w:val="auto"/>
        </w:rPr>
      </w:pPr>
    </w:p>
    <w:p>
      <w:pPr>
        <w:ind w:left="1000" w:right="360" w:hanging="495"/>
        <w:spacing w:after="0" w:line="27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contract research organizations (“CROs”) involved in the clinical trial;</w:t>
      </w:r>
    </w:p>
    <w:p>
      <w:pPr>
        <w:spacing w:after="0" w:line="63" w:lineRule="exact"/>
        <w:rPr>
          <w:rFonts w:ascii="Arial" w:cs="Arial" w:eastAsia="Arial" w:hAnsi="Arial"/>
          <w:sz w:val="18"/>
          <w:szCs w:val="18"/>
          <w:color w:val="auto"/>
        </w:rPr>
      </w:pPr>
    </w:p>
    <w:p>
      <w:pPr>
        <w:ind w:left="1000" w:right="40" w:hanging="495"/>
        <w:spacing w:after="0" w:line="310"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negotiate contracts and other related documents with clinical trial parties and institutional review boards (“IRBs”), such as informed consents,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40" w:lineRule="exact"/>
        <w:rPr>
          <w:rFonts w:ascii="Arial" w:cs="Arial" w:eastAsia="Arial" w:hAnsi="Arial"/>
          <w:sz w:val="16"/>
          <w:szCs w:val="16"/>
          <w:color w:val="auto"/>
        </w:rPr>
      </w:pPr>
    </w:p>
    <w:p>
      <w:pPr>
        <w:ind w:left="1000" w:right="380" w:hanging="495"/>
        <w:spacing w:after="0" w:line="262"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22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79" w:lineRule="exact"/>
        <w:rPr>
          <w:sz w:val="20"/>
          <w:szCs w:val="20"/>
          <w:color w:val="auto"/>
        </w:rPr>
      </w:pPr>
    </w:p>
    <w:p>
      <w:pPr>
        <w:ind w:right="240"/>
        <w:spacing w:after="0" w:line="340" w:lineRule="auto"/>
        <w:rPr>
          <w:sz w:val="20"/>
          <w:szCs w:val="20"/>
          <w:color w:val="auto"/>
        </w:rPr>
      </w:pPr>
      <w:r>
        <w:rPr>
          <w:rFonts w:ascii="Arial" w:cs="Arial" w:eastAsia="Arial" w:hAnsi="Arial"/>
          <w:sz w:val="16"/>
          <w:szCs w:val="16"/>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develop our product candidates, apply for regulatory approvals and commercialize our product candidates, we will need to develop, contract for, or otherwise arrange for the necessary manufacturing capabilities. In September 2016, we entered into a lease for a multi-use facility of approximately 90,000 square feet in Lexington, Massachusetts to provide internal cGMP manufacturing capabilities and increase control and visibility of our drug substance supply chain, and we began cGMP manufacturing in this facility at the beginning of 2018. This facility supplements our existing Cambridge, Massachusetts laboratory and office space headquarters, enhances our ability to secure drug substance for current and future development activities and may provide commercial-scale manufacturing capabilities. However, while we have established and continue to enhance our internal cGMP manufacturing capabilities, we have limited experience manufacturing drug substance on a commercial scale, and we will incur significant costs to develop this expertise internally.</w:t>
      </w:r>
    </w:p>
    <w:p>
      <w:pPr>
        <w:spacing w:after="0" w:line="19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our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which could result in unusable product and cause delays in our manufacturing timelines and ultimately delay our clinical trials, as well as result in additional expense to us.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the coronavirus outbreak or other similar global disruptions has made access to our existing supply chain difficult and further supply chain disruptions could impact our business. Additionally,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94"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6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process of manufacturing oligonucleotides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that may interfere with preclinical and clinical trials, along with additional costs. We also may make changes to our manufacturing process at various points during development, and even after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59" w:name="page60"/>
    <w:bookmarkEnd w:id="59"/>
    <w:p>
      <w:pPr>
        <w:ind w:right="80"/>
        <w:spacing w:after="0" w:line="268" w:lineRule="auto"/>
        <w:rPr>
          <w:sz w:val="20"/>
          <w:szCs w:val="20"/>
          <w:color w:val="auto"/>
        </w:rPr>
      </w:pPr>
      <w:r>
        <w:rPr>
          <w:rFonts w:ascii="Arial" w:cs="Arial" w:eastAsia="Arial" w:hAnsi="Arial"/>
          <w:sz w:val="17"/>
          <w:szCs w:val="17"/>
          <w:color w:val="auto"/>
        </w:rPr>
        <w:t xml:space="preserve">commercialization, for various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 the performance of the product, once commercialized. In some circumstances, changes in the manufacturing process may require us to perform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comparability studies and to collect additional data from patients prior to undertaking more advanced clinical trials. For instance, changes in our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process before or after commercialization, and such changes may require us to show the comparability of the resulting product to the product used in the clinical trials using earlier processes. We may be required to collect additional clinical data from any modified process prior to obtaining marketing approval for the product candidate produced with such modified process. If clinical data are not ultimately comparable to that seen in the earlier trials in terms of safety or efficacy, we may be required to make further changes to our process and/or undertake additional clinical testing, either of which could significantly delay the clinical development or commercialization of the associated product candidate.</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a robust and diverse pipeline of PN-modified, stereopure oligonucleotides, including our clinical silencing and splicing programs as well as our AIMers. Our lead clinical development programs are designed to treat genetic diseases within the CNS, including ALS, FTD, HD and DMD, and we expect to share clinical data in 2022 to provide insight into the clinical effects of PN chemistry to enable decision making. With RNA base editing, our initial focus is on using GalNAc-conjugated AIMers to treat hepatic diseases and our lead program is designed to treat AATD. We expect to select an AATD AIMer development candidate and initiate IND-enabling toxicology studies in the third quarter of 2022. Although we continue to build on our experience in manufacturing oligonucleotides, we have limited experience as a company manufacturing product candidates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18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Furthermore, compliance with cGMP requirements and other quality issues may arise during our internal efforts to scale-up manufacturing, and with our current or any future CMOs. If contaminants are discovered in our supply of our product candidates or in our manufacturing facilities or those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we and our CMOs may experience manufacturing difficulties due to resource constraints or as a result of labor disputes or unstable political environments. If we or our CMOs were to encounter any of these difficulties, our ability to provide our product candidate to patients in clinical trials, or to provide product for treatment of patients once approved, would be jeopardized.</w:t>
      </w:r>
    </w:p>
    <w:p>
      <w:pPr>
        <w:spacing w:after="0" w:line="2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Because we have limited financial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product candidates we develop may fail in development or be delayed to a point where they do not become commercially viable.</w:t>
      </w:r>
    </w:p>
    <w:p>
      <w:pPr>
        <w:spacing w:after="0" w:line="127"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For example, our first three clinical programs contained our first-generation chemistry, all of which we discontinued following receipt of negative clinical data. By contrast, all of our current product candidates contain our next-generation PN backbone chemistry modifications.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jc w:val="both"/>
        <w:ind w:right="180"/>
        <w:spacing w:after="0" w:line="274" w:lineRule="auto"/>
        <w:rPr>
          <w:sz w:val="20"/>
          <w:szCs w:val="20"/>
          <w:color w:val="auto"/>
        </w:rPr>
      </w:pPr>
      <w:r>
        <w:rPr>
          <w:rFonts w:ascii="Arial" w:cs="Arial" w:eastAsia="Arial" w:hAnsi="Arial"/>
          <w:sz w:val="17"/>
          <w:szCs w:val="17"/>
          <w:color w:val="auto"/>
        </w:rPr>
        <w:t>We, the FDA or comparable foreign regulatory authorities or an IRB, or similar foreign review board or ethics committee, may suspend clinical trials of a product candidate at any time for various reasons, including if we or they believe the healthy volunteer subjects or patients participating in such trials are being exposed to unacceptable health risks. Among other reasons, unacceptable side effects or other more serious adverse events of a product candidate in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Clinical trials also require the review, oversight and approval of IRBs or ethics committees, which review the clinical protocols for investigations that will be conducted at their institutions in order to protect the rights and welfare of human subjects. Inability to obtain or delay in obtaining IRB approval can prevent or delay the initiation and completion of clinical trials at particular sites. Furthermore, failure to provide information to the IRB as required throughout the study, such as emergent safety reports and annual updates, may result in suspension of the IRB’s approval of the trial. Our product candidates may encounter problems during clinical trials that will cause us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any of our other product candidates. We may also lose, or be unable to enter into, collaborative arrangements for the affected product candidate and for other product candidates we are developing. 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77" w:lineRule="exact"/>
        <w:rPr>
          <w:sz w:val="20"/>
          <w:szCs w:val="20"/>
          <w:color w:val="auto"/>
        </w:rPr>
      </w:pPr>
    </w:p>
    <w:p>
      <w:pPr>
        <w:jc w:val="both"/>
        <w:ind w:left="1000" w:right="740" w:hanging="495"/>
        <w:spacing w:after="0" w:line="310"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40" w:lineRule="exact"/>
        <w:rPr>
          <w:rFonts w:ascii="Arial" w:cs="Arial" w:eastAsia="Arial" w:hAnsi="Arial"/>
          <w:sz w:val="16"/>
          <w:szCs w:val="16"/>
          <w:color w:val="auto"/>
        </w:rPr>
      </w:pPr>
    </w:p>
    <w:p>
      <w:pPr>
        <w:jc w:val="both"/>
        <w:ind w:left="1000" w:right="340" w:hanging="495"/>
        <w:spacing w:after="0" w:line="262"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filing clinical trial applications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on us by the FDA or comparable foreign authorities regarding the scope or design of our clinical trials;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in obtaining or maintaining IRB approval of trials;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enrolling patients or volunteers into clinical trials, and variability in the number and types of patients available for clinical trials;</w:t>
      </w:r>
    </w:p>
    <w:p>
      <w:pPr>
        <w:spacing w:after="0" w:line="127" w:lineRule="exact"/>
        <w:rPr>
          <w:rFonts w:ascii="Arial" w:cs="Arial" w:eastAsia="Arial" w:hAnsi="Arial"/>
          <w:sz w:val="17"/>
          <w:szCs w:val="17"/>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developing and receiving regulatory approval for companion diagnostic tests to identify patients for our clinical trials;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for patients in clinical trials and substantial missing data;</w:t>
      </w:r>
    </w:p>
    <w:p>
      <w:pPr>
        <w:spacing w:after="0" w:line="115" w:lineRule="exact"/>
        <w:rPr>
          <w:rFonts w:ascii="Arial" w:cs="Arial" w:eastAsia="Arial" w:hAnsi="Arial"/>
          <w:sz w:val="18"/>
          <w:szCs w:val="18"/>
          <w:color w:val="auto"/>
        </w:rPr>
      </w:pPr>
    </w:p>
    <w:p>
      <w:pPr>
        <w:ind w:left="100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open study sites, or enroll, treat, and monitor patients due to local restrictions implemented in response to COVID-19 (emerging or future variants of COVID-19) or other global health pandemics;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from future clinical trials may not confirm positive results, if any, from earlier preclinical studies and clinical trials;</w:t>
      </w:r>
    </w:p>
    <w:p>
      <w:pPr>
        <w:spacing w:after="0" w:line="115" w:lineRule="exact"/>
        <w:rPr>
          <w:rFonts w:ascii="Arial" w:cs="Arial" w:eastAsia="Arial" w:hAnsi="Arial"/>
          <w:sz w:val="18"/>
          <w:szCs w:val="18"/>
          <w:color w:val="auto"/>
        </w:rPr>
      </w:pPr>
    </w:p>
    <w:p>
      <w:pPr>
        <w:ind w:left="1000" w:right="20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consistently manufacture, inadequate supply, or unacceptable quality of product candidate materials or other materials necessary for the conduct of our clinical trials;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5" w:lineRule="exact"/>
        <w:rPr>
          <w:rFonts w:ascii="Arial" w:cs="Arial" w:eastAsia="Arial" w:hAnsi="Arial"/>
          <w:sz w:val="18"/>
          <w:szCs w:val="18"/>
          <w:color w:val="auto"/>
        </w:rPr>
      </w:pPr>
    </w:p>
    <w:p>
      <w:pPr>
        <w:ind w:left="1000" w:right="2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or disappointing effectiveness of our product candidates during clinical trials;</w:t>
      </w:r>
    </w:p>
    <w:p>
      <w:pPr>
        <w:spacing w:after="0" w:line="115" w:lineRule="exact"/>
        <w:rPr>
          <w:rFonts w:ascii="Arial" w:cs="Arial" w:eastAsia="Arial" w:hAnsi="Arial"/>
          <w:sz w:val="18"/>
          <w:szCs w:val="18"/>
          <w:color w:val="auto"/>
        </w:rPr>
      </w:pPr>
    </w:p>
    <w:p>
      <w:pPr>
        <w:ind w:left="1000" w:right="40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manufacturing or clinical trial site or other records relating to the clinical investigation;</w:t>
      </w:r>
    </w:p>
    <w:p>
      <w:pPr>
        <w:spacing w:after="0" w:line="63" w:lineRule="exact"/>
        <w:rPr>
          <w:rFonts w:ascii="Arial" w:cs="Arial" w:eastAsia="Arial" w:hAnsi="Arial"/>
          <w:sz w:val="18"/>
          <w:szCs w:val="18"/>
          <w:color w:val="auto"/>
        </w:rPr>
      </w:pPr>
    </w:p>
    <w:p>
      <w:pPr>
        <w:ind w:left="1000" w:right="18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63" w:lineRule="exact"/>
        <w:rPr>
          <w:rFonts w:ascii="Arial" w:cs="Arial" w:eastAsia="Arial" w:hAnsi="Arial"/>
          <w:sz w:val="18"/>
          <w:szCs w:val="18"/>
          <w:color w:val="auto"/>
        </w:rPr>
      </w:pPr>
    </w:p>
    <w:p>
      <w:pPr>
        <w:ind w:left="1000" w:right="480" w:hanging="495"/>
        <w:spacing w:after="0" w:line="27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1" w:name="page62"/>
    <w:bookmarkEnd w:id="61"/>
    <w:p>
      <w:pPr>
        <w:ind w:left="1000" w:hanging="495"/>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3"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In addition, preclinical and clinical data are often susceptible to varying interpretations and analyses. Product candidates that seemingly perform satisfactorily in preclinical studies may nonetheless fail to obtain regulatory approval. For example, our preclinical studies for suvodirsen yielded positive results. However, in December 2019, the interim analysis of the Phase 1 open-label extension (OLE) study of suvodirsen for patients with DMD showed no change from baseline in dystrophin expression and resulted in our discontinuation of the suvodirsen program.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92"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COVID-19 global pandemic or emerging or future variants of COVID-19,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addition, our success may depend, in part, on our ability to identify patients who qualify for our clinical trials, or are likely to benefit from any medicines that we may develop, which will require those potential patients to undergo a screening assay, which we also refer to as a companion diagnostic test, for the presence or absence of a particular genetic sequence. For example, in HD, we are conducting a clinical trial for WVE-003, which targets a SNP associated with the mutant allele of the </w:t>
      </w:r>
      <w:r>
        <w:rPr>
          <w:rFonts w:ascii="Arial" w:cs="Arial" w:eastAsia="Arial" w:hAnsi="Arial"/>
          <w:sz w:val="17"/>
          <w:szCs w:val="17"/>
          <w:i w:val="1"/>
          <w:iCs w:val="1"/>
          <w:color w:val="auto"/>
        </w:rPr>
        <w:t>HTT</w:t>
      </w:r>
      <w:r>
        <w:rPr>
          <w:rFonts w:ascii="Arial" w:cs="Arial" w:eastAsia="Arial" w:hAnsi="Arial"/>
          <w:sz w:val="17"/>
          <w:szCs w:val="17"/>
          <w:color w:val="auto"/>
        </w:rPr>
        <w:t xml:space="preserve"> gene. Approximately 40% of the HD patient population carry this SNP. We have developed a novel screening assay that is intended to identify whether a patient has the particular SNP that our product candidate is targeting, and partnered with a third party for testing in future trials. If we, or any third parties that we engage to assist us are unable to successfully identify patients with the appropriate SNP that we are targeting, the percentage of patients with the SNP we are targeting is lower than expected, or we experience delays in testing, we may not realize the full commercial potential of any product candidates we develop.</w:t>
      </w:r>
    </w:p>
    <w:p>
      <w:pPr>
        <w:spacing w:after="0" w:line="286" w:lineRule="exact"/>
        <w:rPr>
          <w:sz w:val="20"/>
          <w:szCs w:val="20"/>
          <w:color w:val="auto"/>
        </w:rPr>
      </w:pPr>
    </w:p>
    <w:p>
      <w:pPr>
        <w:ind w:right="680"/>
        <w:spacing w:after="0" w:line="306" w:lineRule="auto"/>
        <w:rPr>
          <w:sz w:val="20"/>
          <w:szCs w:val="20"/>
          <w:color w:val="auto"/>
        </w:rPr>
      </w:pPr>
      <w:r>
        <w:rPr>
          <w:rFonts w:ascii="Arial" w:cs="Arial" w:eastAsia="Arial" w:hAnsi="Arial"/>
          <w:sz w:val="17"/>
          <w:szCs w:val="17"/>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development programs for some of our product candidates contemplate the development of companion diagnostic tests, which are assays or tests to identify an appropriate patient population. The success of certain of our product candidates will depend on several factors, including the successful development of, and ability to obtain regulatory approval for, companion diagnostic tests that will be used to screen and identify the right patients for our product candidates. Our goal is to develop and commercialize disease-modifying medicines for genetically defined diseases with a high degree of unmet medical need, and to become a fully integrated genetic medicines company. The target patient populations for several of our product candidates are relatively small, and it will be difficult to successfully identify the appropriate patients for whom our product candidates are being designed without reliable, accessible, relatively inexpensive, easy-to-use companion diagnostic tests.</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Companion diagnostic tests are subject to regulation by the FDA and similar regulatory authorities outside the United States as medical devices and require separate regulatory authorization prior to commercialization. We are not a medical device company, and we have limited experience developing medical devices. A more detailed description of the FDA approval process for companion diagnostic tests is included under “Business – Government Regulation – In Vitro Diagnostic Tests for Biomarkers.” Given our limited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right="40"/>
        <w:spacing w:after="0" w:line="289" w:lineRule="auto"/>
        <w:rPr>
          <w:sz w:val="20"/>
          <w:szCs w:val="20"/>
          <w:color w:val="auto"/>
        </w:rPr>
      </w:pPr>
      <w:r>
        <w:rPr>
          <w:rFonts w:ascii="Arial" w:cs="Arial" w:eastAsia="Arial" w:hAnsi="Arial"/>
          <w:sz w:val="16"/>
          <w:szCs w:val="16"/>
          <w:color w:val="auto"/>
        </w:rPr>
        <w:t>experience in developing and commercializing companion diagnostic tests, we may seek to collaborate with third parties to assist us in the design, manufacture, regulatory authorization and commercialization of the companion diagnostic tests for some of our product candidates. In November 2019, we entered into a collaboration with Asuragen, Inc. (“Asuragen”) for the development and commercialization of companion diagnostics for our allele-selective product candidate in HD. We, Asuragen and other potential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authorization of the companion diagnostic tests could delay or prevent approval of our product candidates. If we, Asuragen or any other third parties that we engage to assist us, are unable to successfully develop, validate, and commercialize companion diagnostic tests for our drug candidates, or experience delays in doing so, our clinical trials and our business could be materially harmed.</w:t>
      </w:r>
    </w:p>
    <w:p>
      <w:pPr>
        <w:spacing w:after="0" w:line="27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6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7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16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278" w:lineRule="exact"/>
        <w:rPr>
          <w:sz w:val="20"/>
          <w:szCs w:val="20"/>
          <w:color w:val="auto"/>
        </w:rPr>
      </w:pPr>
    </w:p>
    <w:p>
      <w:pPr>
        <w:ind w:right="340"/>
        <w:spacing w:after="0" w:line="340" w:lineRule="auto"/>
        <w:rPr>
          <w:sz w:val="20"/>
          <w:szCs w:val="20"/>
          <w:color w:val="auto"/>
        </w:rPr>
      </w:pPr>
      <w:r>
        <w:rPr>
          <w:rFonts w:ascii="Arial" w:cs="Arial" w:eastAsia="Arial" w:hAnsi="Arial"/>
          <w:sz w:val="16"/>
          <w:szCs w:val="16"/>
          <w:b w:val="1"/>
          <w:bCs w:val="1"/>
          <w:i w:val="1"/>
          <w:iCs w:val="1"/>
          <w:color w:val="auto"/>
        </w:rPr>
        <w:t>If we are granted orphan drug designations in the United States for any of our product candidates, there can be no guarantee that we will maintain orphan status for these product candidates or receive approval for any product candidate with an orphan drug designation.</w:t>
      </w:r>
    </w:p>
    <w:p>
      <w:pPr>
        <w:spacing w:after="0" w:line="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Subject to receiving approval from the FDA of an NDA, products granted orphan drug status are provided with seven years of marketing exclusivity in the United States, meaning the FDA generally will not approve applications for other product candidates for the same orphan indication that contain the same active ingredient.</w:t>
      </w:r>
    </w:p>
    <w:p>
      <w:pPr>
        <w:spacing w:after="0" w:line="1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not guaranteed to maintain or receive orphan status for our current or future product candidates, and if our product candidates that were granted orphan status were to lose their status as an orphan drug or the marketing exclusivity provided to it in the United States, our business and results of operations could be materially adversely affected. While orphan status for any of our products, if granted or maintained, would provide market exclusivity in the United States for the time periods specified above, we would not be able to exclude other companies from manufacturing and/or selling products using the same active ingredient for the same indication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63" w:name="page64"/>
    <w:bookmarkEnd w:id="63"/>
    <w:p>
      <w:pPr>
        <w:ind w:right="40"/>
        <w:spacing w:after="0" w:line="274" w:lineRule="auto"/>
        <w:rPr>
          <w:sz w:val="20"/>
          <w:szCs w:val="20"/>
          <w:color w:val="auto"/>
        </w:rPr>
      </w:pPr>
      <w:r>
        <w:rPr>
          <w:rFonts w:ascii="Arial" w:cs="Arial" w:eastAsia="Arial" w:hAnsi="Arial"/>
          <w:sz w:val="17"/>
          <w:szCs w:val="17"/>
          <w:color w:val="auto"/>
        </w:rPr>
        <w:t>beyond the exclusivity period applicable to our product on the basis of orphan drug status. In addition, orphan exclusivity does not block the approval of a different drug or biologic for the same rare disease or condition, nor does it block the approval of the same drug or biologic for different conditions. Even if we are the first to obtain approval of an orphan product candidate and are granted exclusivity in the United States, there are circumstances under which a later competitor product may be approved for the same indication during the period of marketing exclusivity, such as if the later product is shown to be clinically superior to our product or if we are not able to provide a sufficient quantity of the orphan drug.</w:t>
      </w:r>
    </w:p>
    <w:p>
      <w:pPr>
        <w:spacing w:after="0" w:line="28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good clinical practice for any clinical trials that we conduct post-approval. Failure to comply with these requirements could result in criminal or civil penalties, recalls, or product withdrawals. In addition, we are conducting our clinical trials and we intend to seek approval to market our product candidates in jurisdictions outside of the United States, and therefore will be subject to, and must comply with, regulatory requirements in those jurisdictions.</w:t>
      </w:r>
    </w:p>
    <w:p>
      <w:pPr>
        <w:spacing w:after="0" w:line="18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The discovery of any new or previously unknown problems with us or our CMOs, or our or their manufacturing processes or facilities, including failure to maintain compliance with cGMP requirements, may result in the need for field alerts, product recalls, restrictions on the drug or manufacturer or facility, including withdrawal of the drug from the market.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our material ourselves, including reliance on the CMO for regulatory compliance. Our product promotion and advertising will also be subject to regulatory requirements and continuing regulatory review.</w:t>
      </w:r>
    </w:p>
    <w:p>
      <w:pPr>
        <w:spacing w:after="0" w:line="192"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8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6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believe will materially affect market acceptance of our product candidates include:</w:t>
      </w:r>
    </w:p>
    <w:p>
      <w:pPr>
        <w:spacing w:after="0" w:line="116" w:lineRule="exact"/>
        <w:rPr>
          <w:sz w:val="20"/>
          <w:szCs w:val="20"/>
          <w:color w:val="auto"/>
        </w:rPr>
      </w:pPr>
    </w:p>
    <w:p>
      <w:pPr>
        <w:ind w:left="1000" w:hanging="495"/>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127" w:lineRule="exact"/>
        <w:rPr>
          <w:rFonts w:ascii="Arial" w:cs="Arial" w:eastAsia="Arial" w:hAnsi="Arial"/>
          <w:sz w:val="17"/>
          <w:szCs w:val="17"/>
          <w:color w:val="auto"/>
        </w:rPr>
      </w:pPr>
    </w:p>
    <w:p>
      <w:pPr>
        <w:ind w:left="1000" w:hanging="495"/>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consistently manufacture our products within acceptable quality standards;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64" w:name="page65"/>
    <w:bookmarkEnd w:id="64"/>
    <w:p>
      <w:pPr>
        <w:ind w:left="1000" w:hanging="495"/>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incidence, seriousness and severity of any side effects;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product candidates;</w:t>
      </w:r>
    </w:p>
    <w:p>
      <w:pPr>
        <w:spacing w:after="0" w:line="115" w:lineRule="exact"/>
        <w:rPr>
          <w:rFonts w:ascii="Arial" w:cs="Arial" w:eastAsia="Arial" w:hAnsi="Arial"/>
          <w:sz w:val="18"/>
          <w:szCs w:val="18"/>
          <w:color w:val="auto"/>
        </w:rPr>
      </w:pPr>
    </w:p>
    <w:p>
      <w:pPr>
        <w:ind w:left="1000" w:right="320" w:hanging="495"/>
        <w:spacing w:after="0" w:line="27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accept potentially new routes of administration and their risk tolerance as it relates to potentially serious side effects;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government and third-party payer coverage and adequate reimbursement;</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5" w:lineRule="exact"/>
        <w:rPr>
          <w:rFonts w:ascii="Arial" w:cs="Arial" w:eastAsia="Arial" w:hAnsi="Arial"/>
          <w:sz w:val="18"/>
          <w:szCs w:val="18"/>
          <w:color w:val="auto"/>
        </w:rPr>
      </w:pPr>
    </w:p>
    <w:p>
      <w:pPr>
        <w:ind w:left="1000" w:right="340" w:hanging="495"/>
        <w:spacing w:after="0" w:line="27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diseases that product candidates we develop are intended to treat and the relative risks, benefits and costs of those treatments.</w:t>
      </w:r>
    </w:p>
    <w:p>
      <w:pPr>
        <w:spacing w:after="0" w:line="17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2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i w:val="1"/>
          <w:iCs w:val="1"/>
          <w:color w:val="auto"/>
        </w:rPr>
        <w:t>The pharmaceutical industry is intensely competitive. If we are unable to compete effectively with existing drugs, new treatment methods and new technologies, we may be unable to commercialize successfully any drugs that we develop.</w:t>
      </w:r>
    </w:p>
    <w:p>
      <w:pPr>
        <w:spacing w:after="0" w:line="6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75" w:lineRule="exact"/>
        <w:rPr>
          <w:sz w:val="20"/>
          <w:szCs w:val="20"/>
          <w:color w:val="auto"/>
        </w:rPr>
      </w:pPr>
    </w:p>
    <w:p>
      <w:pPr>
        <w:ind w:left="1000" w:right="800" w:hanging="495"/>
        <w:spacing w:after="0" w:line="27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of products;</w:t>
      </w:r>
    </w:p>
    <w:p>
      <w:pPr>
        <w:spacing w:after="0" w:line="63" w:lineRule="exact"/>
        <w:rPr>
          <w:rFonts w:ascii="Arial" w:cs="Arial" w:eastAsia="Arial" w:hAnsi="Arial"/>
          <w:sz w:val="18"/>
          <w:szCs w:val="18"/>
          <w:color w:val="auto"/>
        </w:rPr>
      </w:pPr>
    </w:p>
    <w:p>
      <w:pPr>
        <w:ind w:left="1000" w:right="980" w:hanging="495"/>
        <w:spacing w:after="0" w:line="275"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extensive experience in designing and conducting preclinical studies and clinical trials, obtaining regulatory approvals, and manufacturing, marketing and selling pharmaceutical products;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competitors may develop or commercialize products with significant advantages over any products we are able to develop and commercialize based on many different factors, including:</w:t>
      </w:r>
    </w:p>
    <w:p>
      <w:pPr>
        <w:spacing w:after="0" w:line="64" w:lineRule="exact"/>
        <w:rPr>
          <w:sz w:val="20"/>
          <w:szCs w:val="20"/>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27" w:lineRule="exact"/>
        <w:rPr>
          <w:rFonts w:ascii="Arial" w:cs="Arial" w:eastAsia="Arial" w:hAnsi="Arial"/>
          <w:sz w:val="17"/>
          <w:szCs w:val="17"/>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extensive coverage and higher levels of reimbursement;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ind w:right="100"/>
        <w:spacing w:after="0" w:line="374" w:lineRule="auto"/>
        <w:rPr>
          <w:sz w:val="20"/>
          <w:szCs w:val="20"/>
          <w:color w:val="auto"/>
        </w:rPr>
      </w:pPr>
      <w:r>
        <w:rPr>
          <w:rFonts w:ascii="Arial" w:cs="Arial" w:eastAsia="Arial" w:hAnsi="Arial"/>
          <w:sz w:val="15"/>
          <w:szCs w:val="15"/>
          <w:b w:val="1"/>
          <w:bCs w:val="1"/>
          <w:i w:val="1"/>
          <w:iCs w:val="1"/>
          <w:color w:val="auto"/>
        </w:rPr>
        <w:t>If we or our collaborators, manufacturers, service providers or other third parties fail to comply with applicable healthcare laws and regulations, we or they could be subject to enforcement actions, which could affect our ability to develop, market and sell our products and may harm our reputation.</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79" w:lineRule="exact"/>
        <w:rPr>
          <w:sz w:val="20"/>
          <w:szCs w:val="20"/>
          <w:color w:val="auto"/>
        </w:rPr>
      </w:pPr>
    </w:p>
    <w:p>
      <w:pPr>
        <w:ind w:left="1000" w:right="100" w:hanging="495"/>
        <w:spacing w:after="0" w:line="25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 recommending, or ordering of an item or service, for which payment may be made under a federal healthcare program such as Medicare or Medicaid;</w:t>
      </w:r>
    </w:p>
    <w:p>
      <w:pPr>
        <w:spacing w:after="0" w:line="78" w:lineRule="exact"/>
        <w:rPr>
          <w:rFonts w:ascii="Arial" w:cs="Arial" w:eastAsia="Arial" w:hAnsi="Arial"/>
          <w:sz w:val="18"/>
          <w:szCs w:val="18"/>
          <w:color w:val="auto"/>
        </w:rPr>
      </w:pPr>
    </w:p>
    <w:p>
      <w:pPr>
        <w:ind w:left="1000" w:hanging="495"/>
        <w:spacing w:after="0" w:line="25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00" w:right="20" w:hanging="495"/>
        <w:spacing w:after="0" w:line="262"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(“HIPAA”), which, among other things, criminalizes a wide array of conduct involving public and private healthcare benefits, creates new civil enforcement mechanisms and increases civil and criminal penalties for healthcare fraud;</w:t>
      </w:r>
    </w:p>
    <w:p>
      <w:pPr>
        <w:spacing w:after="0" w:line="75" w:lineRule="exact"/>
        <w:rPr>
          <w:rFonts w:ascii="Arial" w:cs="Arial" w:eastAsia="Arial" w:hAnsi="Arial"/>
          <w:sz w:val="18"/>
          <w:szCs w:val="18"/>
          <w:color w:val="auto"/>
        </w:rPr>
      </w:pPr>
    </w:p>
    <w:p>
      <w:pPr>
        <w:ind w:left="1000" w:right="240" w:hanging="495"/>
        <w:spacing w:after="0" w:line="25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(“HITECH”) Act, and its implementing regulations, which strengthen and expand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8" w:lineRule="exact"/>
        <w:rPr>
          <w:rFonts w:ascii="Arial" w:cs="Arial" w:eastAsia="Arial" w:hAnsi="Arial"/>
          <w:sz w:val="18"/>
          <w:szCs w:val="18"/>
          <w:color w:val="auto"/>
        </w:rPr>
      </w:pPr>
    </w:p>
    <w:p>
      <w:pPr>
        <w:ind w:left="1000" w:right="180" w:hanging="495"/>
        <w:spacing w:after="0" w:line="25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86" w:lineRule="exact"/>
        <w:rPr>
          <w:rFonts w:ascii="Arial" w:cs="Arial" w:eastAsia="Arial" w:hAnsi="Arial"/>
          <w:sz w:val="18"/>
          <w:szCs w:val="18"/>
          <w:color w:val="auto"/>
        </w:rPr>
      </w:pPr>
    </w:p>
    <w:p>
      <w:pPr>
        <w:ind w:left="1000" w:hanging="495"/>
        <w:spacing w:after="0" w:line="29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some which differ from each other in significant ways and often are not preempted by HIPAA, thus complicating compliance efforts.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66" w:name="page67"/>
    <w:bookmarkEnd w:id="66"/>
    <w:p>
      <w:pPr>
        <w:ind w:right="80"/>
        <w:spacing w:after="0" w:line="262" w:lineRule="auto"/>
        <w:rPr>
          <w:sz w:val="20"/>
          <w:szCs w:val="20"/>
          <w:color w:val="auto"/>
        </w:rPr>
      </w:pPr>
      <w:r>
        <w:rPr>
          <w:rFonts w:ascii="Arial" w:cs="Arial" w:eastAsia="Arial" w:hAnsi="Arial"/>
          <w:sz w:val="18"/>
          <w:szCs w:val="18"/>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5" w:lineRule="exact"/>
        <w:rPr>
          <w:sz w:val="20"/>
          <w:szCs w:val="20"/>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and/or untitled letters;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decrees; and</w:t>
      </w:r>
    </w:p>
    <w:p>
      <w:pPr>
        <w:spacing w:after="0" w:line="115" w:lineRule="exact"/>
        <w:rPr>
          <w:rFonts w:ascii="Arial" w:cs="Arial" w:eastAsia="Arial" w:hAnsi="Arial"/>
          <w:sz w:val="18"/>
          <w:szCs w:val="18"/>
          <w:color w:val="auto"/>
        </w:rPr>
      </w:pPr>
    </w:p>
    <w:p>
      <w:pPr>
        <w:ind w:left="1000" w:right="200" w:hanging="495"/>
        <w:spacing w:after="0" w:line="275"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 up to and including criminal prosecution resulting in fines, exclusion from healthcare reimbursement programs and imprisonment.</w:t>
      </w:r>
    </w:p>
    <w:p>
      <w:pPr>
        <w:spacing w:after="0" w:line="171" w:lineRule="exact"/>
        <w:rPr>
          <w:sz w:val="20"/>
          <w:szCs w:val="20"/>
          <w:color w:val="auto"/>
        </w:rPr>
      </w:pPr>
    </w:p>
    <w:p>
      <w:pPr>
        <w:ind w:right="520"/>
        <w:spacing w:after="0" w:line="306" w:lineRule="auto"/>
        <w:rPr>
          <w:sz w:val="20"/>
          <w:szCs w:val="20"/>
          <w:color w:val="auto"/>
        </w:rPr>
      </w:pPr>
      <w:r>
        <w:rPr>
          <w:rFonts w:ascii="Arial" w:cs="Arial" w:eastAsia="Arial" w:hAnsi="Arial"/>
          <w:sz w:val="17"/>
          <w:szCs w:val="17"/>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25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67" w:name="page68"/>
    <w:bookmarkEnd w:id="67"/>
    <w:p>
      <w:pPr>
        <w:jc w:val="both"/>
        <w:ind w:right="280"/>
        <w:spacing w:after="0" w:line="262" w:lineRule="auto"/>
        <w:rPr>
          <w:sz w:val="20"/>
          <w:szCs w:val="20"/>
          <w:color w:val="auto"/>
        </w:rPr>
      </w:pPr>
      <w:r>
        <w:rPr>
          <w:rFonts w:ascii="Arial" w:cs="Arial" w:eastAsia="Arial" w:hAnsi="Arial"/>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75" w:lineRule="exact"/>
        <w:rPr>
          <w:sz w:val="20"/>
          <w:szCs w:val="20"/>
          <w:color w:val="auto"/>
        </w:rPr>
      </w:pPr>
    </w:p>
    <w:p>
      <w:pPr>
        <w:ind w:left="1000" w:hanging="495"/>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are incident to a physician’s services;</w:t>
      </w:r>
    </w:p>
    <w:p>
      <w:pPr>
        <w:spacing w:after="0" w:line="115" w:lineRule="exact"/>
        <w:rPr>
          <w:rFonts w:ascii="Arial" w:cs="Arial" w:eastAsia="Arial" w:hAnsi="Arial"/>
          <w:sz w:val="18"/>
          <w:szCs w:val="18"/>
          <w:color w:val="auto"/>
        </w:rPr>
      </w:pPr>
    </w:p>
    <w:p>
      <w:pPr>
        <w:ind w:left="1000" w:right="100" w:hanging="495"/>
        <w:spacing w:after="0" w:line="27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are reasonable and necessary for the diagnosis or treatment of the illness or injury for which they are administered according to accepted standards of medical practice; and</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they have been approved by the FDA and meet other requirements of the statute.</w:t>
      </w:r>
    </w:p>
    <w:p>
      <w:pPr>
        <w:spacing w:after="0" w:line="2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6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particular, in March 2010, the Patient Protection and Affordable Care Act (the “ACA”) was signed into law. This legislation changed the system of healthcare insurance and benefits and was intended to broaden access to healthcare coverage, enhance remedies against fraud and abuse, add transparency requirements for the healthcare and health insurance industries, impose taxes and fees on the healthcare industry, impose health policy reforms, and control costs. This law also contains provisions that would affect companies in the pharmaceutical industry and other healthcare related industries by imposing additional costs and changes to business practices. Since its enactment, there have been judicial and Congressional challenges to certain aspects of the ACA. The uncertainty around the future of the ACA, and in particular the impact to reimbursement levels, may lead to uncertainty or delay in the purchasing decisions of our customers, which may in turn negatively impact our product sales. We continue to evaluate the effect that the ACA has or any potential changes to the ACA could have on our business. Additional federal and state legislative and regulatory developments are likely, and we expect ongoing initiatives in the United States to increase pressure on drug pricing and reimbursement.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1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U.S. federal and state laws and agency regulation, as well as foreign laws and regulations, could have a materially negative impact on our business. In the United States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8" w:name="page69"/>
    <w:bookmarkEnd w:id="68"/>
    <w:p>
      <w:pPr>
        <w:spacing w:after="0" w:line="270" w:lineRule="auto"/>
        <w:rPr>
          <w:sz w:val="20"/>
          <w:szCs w:val="20"/>
          <w:color w:val="auto"/>
        </w:rPr>
      </w:pPr>
      <w:r>
        <w:rPr>
          <w:rFonts w:ascii="Arial" w:cs="Arial" w:eastAsia="Arial" w:hAnsi="Arial"/>
          <w:sz w:val="17"/>
          <w:szCs w:val="17"/>
          <w:color w:val="auto"/>
        </w:rPr>
        <w:t>in some other jurisdictions, there have been a number of legislative and regulatory changes and proposed changes regarding the healthcare system that could prevent or delay marketing approval of our product candidates or any potential future product candidates of ours, restrict or regulate post-approval activities, or affect our ability to profitably sell any product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The negotiation process for the next cycle of prescription drug and generic drug user fee programs was completed in 2021 as those programs must be reauthorized by Congress in mid-2022.</w:t>
      </w:r>
    </w:p>
    <w:p>
      <w:pPr>
        <w:spacing w:after="0" w:line="178"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Among policy makers and payors in the United States and elsewhere, there is significant interest in promoting changes in health care systems with the stated goals of containing health care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 care is financed by both the government and private insurers, and significantly impacts the U.S. pharmaceutical industry.</w:t>
      </w:r>
    </w:p>
    <w:p>
      <w:pPr>
        <w:spacing w:after="0" w:line="15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 remain judicial and Congressional challenges to certain aspects of the ACA, and as a result certain sections of the ACA have not been fully implemented or effectively repealed. However, following several years of litigation in the federal courts, in June 2021, the U.S. Supreme Court upheld the ACA when it dismissed a legal challenge to the law’s constitutionality. 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6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uncertainty around the future of the ACA, and in particular the impact to reimbursement levels, may lead to uncertainty or delay in the purchasing decisions of our customers, which may in turn negatively impact our product sales. If there are not adequate reimbursement levels, our business and results of operations could be adversely affected.</w:t>
      </w:r>
    </w:p>
    <w:p>
      <w:pPr>
        <w:spacing w:after="0" w:line="18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However, the Medicare sequester reductions under the Budget Control Act of 2011 was suspended from May 1, 2020 through December 31, 2020 due to the COVID-19 pandemic, pursuant to provisions of the Coronavirus Aid, Relief, and Economic Security Act (“the “CARES Act”), which also extended the sequester by one year, through 2030, in order to offset the added expense of the 2020 cancellation. The suspension was subsequently extended through March 31, 2022, with a reduction of the suspension to 1% sequester through June 30, 2022.</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the Drug Supply Chain Security Act enacted in 2013 imposed obligations on manufacturers of pharmaceutical products related to product tracking and tracing, and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As another example, on December 20, 2019, President Trump signed the Further Consolidated Appropriations Act for 2020 into law (P.L. 116-94) that includes a piece of bipartisan legislation called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184" w:lineRule="exact"/>
        <w:rPr>
          <w:sz w:val="20"/>
          <w:szCs w:val="20"/>
          <w:color w:val="auto"/>
        </w:rPr>
      </w:pPr>
    </w:p>
    <w:p>
      <w:pPr>
        <w:ind w:right="580"/>
        <w:spacing w:after="0" w:line="306"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considering the rising cost of prescription drugs and biologics. Such scrutiny has resulted in several recent congressional inquiries and proposed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120"/>
        <w:spacing w:after="0" w:line="271" w:lineRule="auto"/>
        <w:rPr>
          <w:sz w:val="20"/>
          <w:szCs w:val="20"/>
          <w:color w:val="auto"/>
        </w:rPr>
      </w:pPr>
      <w:r>
        <w:rPr>
          <w:rFonts w:ascii="Arial" w:cs="Arial" w:eastAsia="Arial" w:hAnsi="Arial"/>
          <w:sz w:val="17"/>
          <w:szCs w:val="17"/>
          <w:color w:val="auto"/>
        </w:rPr>
        <w:t>enacted federal and state legislation designed to, among other things, bring more transparency to product pricing, review the relationship between pricing and manufacturer patient programs, and reform government program reimbursement methodologies for products. For example, state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(PBMs) and other members of the health care and pharmaceutical supply chain, an important decision that may lead to further and more aggressive efforts by states in this area.</w:t>
      </w:r>
    </w:p>
    <w:p>
      <w:pPr>
        <w:spacing w:after="0" w:line="177" w:lineRule="exact"/>
        <w:rPr>
          <w:sz w:val="20"/>
          <w:szCs w:val="20"/>
          <w:color w:val="auto"/>
        </w:rPr>
      </w:pPr>
    </w:p>
    <w:p>
      <w:pPr>
        <w:jc w:val="both"/>
        <w:ind w:right="180"/>
        <w:spacing w:after="0" w:line="310" w:lineRule="auto"/>
        <w:rPr>
          <w:sz w:val="20"/>
          <w:szCs w:val="20"/>
          <w:color w:val="auto"/>
        </w:rPr>
      </w:pPr>
      <w:r>
        <w:rPr>
          <w:rFonts w:ascii="Arial" w:cs="Arial" w:eastAsia="Arial" w:hAnsi="Arial"/>
          <w:sz w:val="16"/>
          <w:szCs w:val="16"/>
          <w:color w:val="auto"/>
        </w:rPr>
        <w:t>At the federal level, DHHS has solicited feedback on various measures intended to lower drug prices and reduce the out of pocket costs of drugs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w:t>
      </w:r>
    </w:p>
    <w:p>
      <w:pPr>
        <w:spacing w:after="0" w:line="148" w:lineRule="exact"/>
        <w:rPr>
          <w:sz w:val="20"/>
          <w:szCs w:val="20"/>
          <w:color w:val="auto"/>
        </w:rPr>
      </w:pPr>
    </w:p>
    <w:p>
      <w:pPr>
        <w:ind w:right="400"/>
        <w:spacing w:after="0" w:line="306" w:lineRule="auto"/>
        <w:rPr>
          <w:sz w:val="20"/>
          <w:szCs w:val="20"/>
          <w:color w:val="auto"/>
        </w:rPr>
      </w:pPr>
      <w:r>
        <w:rPr>
          <w:rFonts w:ascii="Arial" w:cs="Arial" w:eastAsia="Arial" w:hAnsi="Arial"/>
          <w:sz w:val="17"/>
          <w:szCs w:val="17"/>
          <w:color w:val="auto"/>
        </w:rPr>
        <w:t>Any additional federal or state health care reform measures could limit the amounts that third-party payers will pay for future health care products and services, and, in turn, could significantly reduce the projected value of certain development projects and reduce our profitability.</w:t>
      </w:r>
    </w:p>
    <w:p>
      <w:pPr>
        <w:spacing w:after="0" w:line="25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i w:val="1"/>
          <w:iCs w:val="1"/>
          <w:color w:val="auto"/>
        </w:rPr>
        <w:t>Risks associated with our operations outside of the United States and developments in international trade by the U.S. and foreign governments could adversely affect our business.</w:t>
      </w:r>
    </w:p>
    <w:p>
      <w:pPr>
        <w:spacing w:after="0" w:line="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have operations and conduct business outside the United States, and we plan to continue to expand these operations. Therefore, we are subject to risks related to operating in foreign countries, which include unfamiliar foreign laws or regulatory requirements or unexpected changes to those laws or requirements; other laws and regulatory requirements to which our business activities abroad are subject, such as the Foreign Corrupt Practices Act and the U.K. Bribery Act; changes in the political or economic condition of a specific country or region; fluctuations in the value of foreign currency versus the U.S. dollar; our ability to deploy overseas funds in an efficient manner; tariffs, trade protection measures, import or export licensing requirements, trade embargoes, and sanctions (including those administered by the Office of Foreign Assets Control of the U.S. Department of the Treasury), and other trade barriers; global instability from an outbreak of pandemic or contagious disease, including the COVID-19 global pandemic and variants thereof; difficulties in attracting and retaining qualified personnel; and cultural differences in the conduct of business. For example, given developments related to international trade over the past few years, unexpected changes in tariffs could adversely affect our cost of goods sold and/or the foreign sales of our product candidates. Further complicating potential uncertainties caused by conducting business outside the United States are recent political movements that are changing decades-old institutions, including, for example, in 2016, the United Kingdom held a referendum in which voters approved an exit from the European Union, commonly referred to as “Brexit.” On March 29, 2017, the United Kingdom formally notified the European Union of its intention to withdraw pursuant to Article 50 of the Lisbon Treaty. The withdrawal of the United Kingdom from the European Union took effect on January 31, 2020, the effective date of the withdrawal agreement, with a transition period that ended on December 31, 2020. Since a significant proportion of the regulatory framework in the United Kingdom was, prior to Brexit, derived from European Union directives and regulations, Brexit and the new Trade and Cooperation Agreement between the European Union and the United Kingdom that took provisional effect on January 1, 2021 could materially impact the regulatory regime with respect to the approval of any product candidates in the United Kingdom. Changes impacting our ability to conduct business in the United Kingdom or other European Union countries, or changes to the regulatory regime applicable to our operations in those countries (such as with respect to the approval of our product candidates), may materially and adversely impact our business, prospects, operating results, and financial condition. Given the lack of comparable precedent, it is unclear what financial, trade, regulatory and legal implications the withdrawal of the United Kingdom from the European Union would have and how such withdrawal would affect us. Any of these effects of Brexit, among others, could adversely affect our business, financial condition and operating results.</w:t>
      </w:r>
    </w:p>
    <w:p>
      <w:pPr>
        <w:spacing w:after="0" w:line="200" w:lineRule="exact"/>
        <w:rPr>
          <w:sz w:val="20"/>
          <w:szCs w:val="20"/>
          <w:color w:val="auto"/>
        </w:rPr>
      </w:pPr>
    </w:p>
    <w:p>
      <w:pPr>
        <w:spacing w:after="0" w:line="302"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We or third parties upon whom we depend may be adversely affected by natural disasters and/or health epidemics (including the COVID-19 pandemic and variants thereof), and our business, financial condition and results of operations could be adversely affected.</w:t>
      </w:r>
    </w:p>
    <w:p>
      <w:pPr>
        <w:spacing w:after="0" w:line="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operations. If a natural disaster, health epidemic, or other event beyond our control occurred that prevented us from using all or a significant portion of our office, manufacturing and/or lab spaces, that damaged critical infrastructure, such as the manufacturing facilities of our third-party contract manufacturers, or that otherwise disrupted operations, it may be difficult for us to continue our business for a substantial period of time. Any outbreak of contagious diseases, or other adverse public health developments, could have a material and adverse effect on our business operations. Clinical site initiation and patient enrollment in our clinical trials have been delayed due to prioritization of hospital resources in favor of COVID-19 patients and difficulties in recruiting clinical site investigators and clinical site staff. The COVID-19 global pandemic, including emerging or future variants of COVID-19, and its impact on our business is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70" w:name="page71"/>
    <w:bookmarkEnd w:id="70"/>
    <w:p>
      <w:pPr>
        <w:jc w:val="both"/>
        <w:ind w:right="140"/>
        <w:spacing w:after="0" w:line="285" w:lineRule="auto"/>
        <w:rPr>
          <w:sz w:val="20"/>
          <w:szCs w:val="20"/>
          <w:color w:val="auto"/>
        </w:rPr>
      </w:pPr>
      <w:r>
        <w:rPr>
          <w:rFonts w:ascii="Arial" w:cs="Arial" w:eastAsia="Arial" w:hAnsi="Arial"/>
          <w:sz w:val="17"/>
          <w:szCs w:val="17"/>
          <w:color w:val="auto"/>
        </w:rPr>
        <w:t>highly uncertain and subject to change. We do not yet know the full extent of potential delays or long-term impacts on our business, our preclinical studies and clinical trials, healthcare systems or the global economy. In addition, certain of our research and development efforts are conducted globally. A health epidemic or other outbreak could materially and adversely affect our business, financial condition and results of operations.</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There is a substantial risk of product liability claims in our business. If we are unable to obtain or maintain sufficient insurance, a product liability claim against us could adversely affect our business.</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In addition, if any of our collaboration partners face product liability claims, our programs could also be affected and our business could be harmed.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adversely affect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3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certain of our product candidates.</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depend on third-party collaborators for the co-development and co-commercialization of certain of our product candidates and we face significant competition to the extent we elect to collaborate with others. Our potential future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 In April 2018, we commenced a collaboration with Takeda to discover, develop and commercialize oligonucleotides for disorders of the CNS. The collaboration provides Takeda with the option to globally co-develop and commercialize programs targeting HD, ALS, FTD, and SCA3, which we will have the right to co-commercialize in the United States. Collaborations are complex and time-consuming to negotiate and document. In October 2021, we and Takeda amended the collaboration, which discontinued the Category 2 component of the collaboration and Takeda paid us an additional $22.5 million for collaboration-related research and preclinical expenses. We may not be able to negotiate collaborations on a timely basis, on acceptable terms, or at all. We may also be restricted under existing license or collaboration agreements from entering into agreements on certain terms with other potential collaborators. If we are unable to enter into collaborations with respect to a product candidate, we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140"/>
        <w:spacing w:after="0" w:line="295" w:lineRule="auto"/>
        <w:rPr>
          <w:sz w:val="20"/>
          <w:szCs w:val="20"/>
          <w:color w:val="auto"/>
        </w:rPr>
      </w:pPr>
      <w:r>
        <w:rPr>
          <w:rFonts w:ascii="Arial" w:cs="Arial" w:eastAsia="Arial" w:hAnsi="Arial"/>
          <w:sz w:val="16"/>
          <w:szCs w:val="16"/>
          <w:color w:val="auto"/>
        </w:rPr>
        <w:t>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1"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Depending on the type of collaborations we enter into, we may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may pose the following risks to us:</w:t>
      </w:r>
    </w:p>
    <w:p>
      <w:pPr>
        <w:spacing w:after="0" w:line="116" w:lineRule="exact"/>
        <w:rPr>
          <w:sz w:val="20"/>
          <w:szCs w:val="20"/>
          <w:color w:val="auto"/>
        </w:rPr>
      </w:pPr>
    </w:p>
    <w:p>
      <w:pPr>
        <w:ind w:left="1000" w:hanging="495"/>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5" w:lineRule="exact"/>
        <w:rPr>
          <w:rFonts w:ascii="Arial" w:cs="Arial" w:eastAsia="Arial" w:hAnsi="Arial"/>
          <w:sz w:val="18"/>
          <w:szCs w:val="18"/>
          <w:color w:val="auto"/>
        </w:rPr>
      </w:pPr>
    </w:p>
    <w:p>
      <w:pPr>
        <w:ind w:left="1000" w:right="180" w:hanging="495"/>
        <w:spacing w:after="0" w:line="262"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1000" w:right="500" w:hanging="495"/>
        <w:spacing w:after="0" w:line="306"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rFonts w:ascii="Arial" w:cs="Arial" w:eastAsia="Arial" w:hAnsi="Arial"/>
          <w:sz w:val="17"/>
          <w:szCs w:val="17"/>
          <w:color w:val="auto"/>
        </w:rPr>
      </w:pPr>
    </w:p>
    <w:p>
      <w:pPr>
        <w:ind w:left="1000" w:right="340" w:hanging="495"/>
        <w:spacing w:after="0" w:line="262"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000" w:right="520" w:hanging="495"/>
        <w:spacing w:after="0" w:line="27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3" w:lineRule="exact"/>
        <w:rPr>
          <w:rFonts w:ascii="Arial" w:cs="Arial" w:eastAsia="Arial" w:hAnsi="Arial"/>
          <w:sz w:val="18"/>
          <w:szCs w:val="18"/>
          <w:color w:val="auto"/>
        </w:rPr>
      </w:pPr>
    </w:p>
    <w:p>
      <w:pPr>
        <w:ind w:left="1000" w:right="120" w:hanging="495"/>
        <w:spacing w:after="0" w:line="27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63" w:lineRule="exact"/>
        <w:rPr>
          <w:rFonts w:ascii="Arial" w:cs="Arial" w:eastAsia="Arial" w:hAnsi="Arial"/>
          <w:sz w:val="18"/>
          <w:szCs w:val="18"/>
          <w:color w:val="auto"/>
        </w:rPr>
      </w:pPr>
    </w:p>
    <w:p>
      <w:pPr>
        <w:ind w:left="1000" w:right="100" w:hanging="495"/>
        <w:spacing w:after="0" w:line="34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6" w:lineRule="exact"/>
        <w:rPr>
          <w:rFonts w:ascii="Arial" w:cs="Arial" w:eastAsia="Arial" w:hAnsi="Arial"/>
          <w:sz w:val="16"/>
          <w:szCs w:val="16"/>
          <w:color w:val="auto"/>
        </w:rPr>
      </w:pPr>
    </w:p>
    <w:p>
      <w:pPr>
        <w:ind w:left="1000" w:right="1040" w:hanging="495"/>
        <w:spacing w:after="0" w:line="275"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29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We do not currently have any sales and marketing or distribution capabilities. Accordingly, we have entered into a collaboration with Takeda in CNS, which we believe can assist us in building these capabilities. We may also enter into additional alliances in the future. We have selectively chosen to enter into a collaboration in the field of CNS with Takeda because we believe this is the optimal way for us to leverage our resources and create significant value for ourselves and our shareholders, as we advance oligonucleotide candidates for genetically defined diseases.</w:t>
      </w:r>
    </w:p>
    <w:p>
      <w:pPr>
        <w:spacing w:after="0" w:line="17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Depending on the collaborations that we enter into, we may expect our collaborators to provide assistance with development, regulatory affairs, marketing, sales and distribution, among other areas. Our future revenues may depend heavily on the success of the efforts of these third parties. For example, under our collaboration with Takeda, if Takeda exercises its option with respect to any of our programs in HD, ALS, FTD or SCA3, we will rely on Takeda for commercialization of such optioned programs outside of the United States.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40"/>
        <w:spacing w:after="0" w:line="254" w:lineRule="auto"/>
        <w:rPr>
          <w:sz w:val="20"/>
          <w:szCs w:val="20"/>
          <w:color w:val="auto"/>
        </w:rPr>
      </w:pPr>
      <w:r>
        <w:rPr>
          <w:rFonts w:ascii="Arial" w:cs="Arial" w:eastAsia="Arial" w:hAnsi="Arial"/>
          <w:sz w:val="18"/>
          <w:szCs w:val="18"/>
          <w:color w:val="auto"/>
        </w:rPr>
        <w:t>We may not be successful in our collaborations due to various factors, including our ability to successfully demonstrate proof of mechanism in humans, our ability to demonstrate the safety and efficacy of our specific product candidates, our ability to manufacture or have third parties manufacture our product candidates, the strength of our intellectual property and/or concerns about potential challenges to or limitations of our intellectual property. To the extent we have entered into, or enter into new, collaborations, we may not be able to maintain them if, for example, development or approval of a product candidate is delayed, challenges are raised as to the validity or scope of our intellectual property or sales of an approved drug are lower than we or our collaboration partner expected.</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certain product candidates that we may develop, we have formed collaborations to fund all or part of the costs of drug development and commercialization, such as our collaboration with Takeda. We may not, however, be able to enter into additional collaborations for certain other programs, and the terms of any collaboration agreement we do secure may not be favorable to us. If we are not successful in our efforts to enter into future collaboration arrangements with respect to one or more of our product candidates, we may not have sufficient funds to develop that or any other product candidate internally, or to bring any product candidates to market. If we do not have sufficient funds to develop and bring our product candidates to market, we will not be able to generate sales revenues from these product candidates, and this will substantially harm our business.</w:t>
      </w:r>
    </w:p>
    <w:p>
      <w:pPr>
        <w:spacing w:after="0" w:line="2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preclinical studies, or clinical trials of product candidates. We currently rely, and expect to continue to rely, on third parties to conduct some aspects of our research and development, preclinical and 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We rely on third parties to design, conduct, supervise and monitor our preclinical studies and clinical trials, and if those third parties perform in an unsatisfactory manner, it may harm our business.</w:t>
      </w:r>
    </w:p>
    <w:p>
      <w:pPr>
        <w:spacing w:after="0" w:line="6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third party clinical investigators, contract research organizations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9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clinical trials to be conducted in accordance with good clinical practices,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60"/>
        <w:spacing w:after="0" w:line="275" w:lineRule="auto"/>
        <w:rPr>
          <w:sz w:val="20"/>
          <w:szCs w:val="20"/>
          <w:color w:val="auto"/>
        </w:rPr>
      </w:pPr>
      <w:r>
        <w:rPr>
          <w:rFonts w:ascii="Arial" w:cs="Arial" w:eastAsia="Arial" w:hAnsi="Arial"/>
          <w:sz w:val="18"/>
          <w:szCs w:val="18"/>
          <w:b w:val="1"/>
          <w:bCs w:val="1"/>
          <w:i w:val="1"/>
          <w:iCs w:val="1"/>
          <w:color w:val="auto"/>
        </w:rPr>
        <w:t>We rely on third parties in the supply and manufacture our product candidates for our research, preclinical and clinical activities, and may do the same for commercial supplies of our product candidates.</w:t>
      </w:r>
    </w:p>
    <w:p>
      <w:pPr>
        <w:spacing w:after="0" w:line="6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While we have built our own internal manufacturing capabilities, we have not yet manufactured our product candidates on a commercial scale, and may not be able to do so for any of our product candidates. In addition, we currently rely on third parties in the supply and manufacture the materials for our research, preclinical and clinical activities and may continue to do so for the foreseeable future.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and development,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nucleic acid therapeutics, there may be increased competition for the supply of the raw materials that are necessary to make our oligonucleotides, which could severely impact the manufacturing of our product candidates.</w:t>
      </w:r>
    </w:p>
    <w:p>
      <w:pPr>
        <w:spacing w:after="0" w:line="1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 in a number of ways, including:</w:t>
      </w:r>
    </w:p>
    <w:p>
      <w:pPr>
        <w:spacing w:after="0" w:line="84" w:lineRule="exact"/>
        <w:rPr>
          <w:sz w:val="20"/>
          <w:szCs w:val="20"/>
          <w:color w:val="auto"/>
        </w:rPr>
      </w:pPr>
    </w:p>
    <w:p>
      <w:pPr>
        <w:ind w:left="1000" w:hanging="495"/>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regulatory approvals, for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inspections by regulatory authorities;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74" w:name="page75"/>
    <w:bookmarkEnd w:id="74"/>
    <w:p>
      <w:pPr>
        <w:ind w:right="120"/>
        <w:spacing w:after="0" w:line="262"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currently have no sales, marketing or distribution capabilities. In addition, while our collaboration with Takeda will provide us with know-how and experience related to commercialization, we have limited experience of our own. If any of our product candidates is approved, we will need to develop internal sales, marketing and distribution capabilities to commercialize such products, which would be expensive and time-consuming, or rely on or enter into additional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may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12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For example, in 2019, as a result of the stock price decline and our workforce reduction following the announcement of our decision to discontinue our development of suvodirsen in DMD, and more recently, in light of the COVID-19 global pandemic,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00" w:lineRule="exact"/>
        <w:rPr>
          <w:sz w:val="20"/>
          <w:szCs w:val="20"/>
          <w:color w:val="auto"/>
        </w:rPr>
      </w:pPr>
    </w:p>
    <w:p>
      <w:pPr>
        <w:spacing w:after="0" w:line="30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As we continue our preclinical studies and clinical trials and advance to further clinical development, we may experience difficulties in managing our growth and expanding our operations.</w:t>
      </w:r>
    </w:p>
    <w:p>
      <w:pPr>
        <w:spacing w:after="0" w:line="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Although we have assembled a team of employees with experience developing medicines and obtaining regulatory approval to market those medicines, we have limited experience as a company in drug development. Our lead clinical development programs are designed to treat genetic diseases within the CNS, including ALS, FTD, HD and DMD, and we expect to share clinical data in 2022 to provide insight into the clinical effects of PN chemistry to enable decision making. With RNA base editing, our initial focus is on using GalNAc-conjugated AIMers to treat hepatic diseases and our lead program is designed to treat AATD. We expect to select an AATD AIMer development candidate and initiate IND-enabling toxicology studies in the third quarter of 2022. As we advance product candidates through preclinical studies and clinical trials, we will need to expand our development, regulatory and manufacturing capabilities or contract with other organizations to provide these capabilities for us. In addition, we must manage our relationships with collaborators or partners, suppliers and other organizations, including our collaboration with Takeda. Our ability to manage our operations and future growth will require us to continue to improve our operational, financial and management controls, reporting systems and procedures. We may not be able to implement improvements to our management information and control systems in 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75" w:name="page76"/>
    <w:bookmarkEnd w:id="75"/>
    <w:p>
      <w:pPr>
        <w:jc w:val="both"/>
        <w:ind w:right="360"/>
        <w:spacing w:after="0" w:line="285" w:lineRule="auto"/>
        <w:rPr>
          <w:sz w:val="20"/>
          <w:szCs w:val="20"/>
          <w:color w:val="auto"/>
        </w:rPr>
      </w:pPr>
      <w:r>
        <w:rPr>
          <w:rFonts w:ascii="Arial" w:cs="Arial" w:eastAsia="Arial" w:hAnsi="Arial"/>
          <w:sz w:val="17"/>
          <w:szCs w:val="17"/>
          <w:color w:val="auto"/>
        </w:rPr>
        <w:t>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27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that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b w:val="1"/>
          <w:bCs w:val="1"/>
          <w:i w:val="1"/>
          <w:iCs w:val="1"/>
          <w:color w:val="auto"/>
        </w:rPr>
        <w:t>Security breaches, cyber security threats, loss of data and other disruptions could compromise sensitive information related to our business, prevent us from accessing critical information or expose us to liability, which could adversely affect our business and our reputation.</w:t>
      </w:r>
    </w:p>
    <w:p>
      <w:pPr>
        <w:spacing w:after="0" w:line="17" w:lineRule="exact"/>
        <w:rPr>
          <w:sz w:val="20"/>
          <w:szCs w:val="20"/>
          <w:color w:val="auto"/>
        </w:rPr>
      </w:pPr>
    </w:p>
    <w:p>
      <w:pPr>
        <w:ind w:right="260"/>
        <w:spacing w:after="0" w:line="300" w:lineRule="auto"/>
        <w:rPr>
          <w:sz w:val="20"/>
          <w:szCs w:val="20"/>
          <w:color w:val="auto"/>
        </w:rPr>
      </w:pPr>
      <w:r>
        <w:rPr>
          <w:rFonts w:ascii="Arial" w:cs="Arial" w:eastAsia="Arial" w:hAnsi="Arial"/>
          <w:sz w:val="16"/>
          <w:szCs w:val="16"/>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vendor information,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secure processing, storage, maintenance and transmission of this critical information by us, or our CROs and other third parties, is vital to our operations and business strategy. Although we are proactive in our approach and take measures to protect sensitive information from unauthorized access or disclosure, our information technology and infrastructure, or that of our CROs or other third parties, may be vulnerable to attacks by hackers, viruses, breaches, interruptions due to employee error, malfeasance or other disruptions, lapses in compliance with privacy and security mandates, or damage from natural disasters, terrorism, war and telecommunication and electrical failures. For example, the COVID-19 pandemic has led to an increase in those working remotely, including our employees and third parties we do business with, which increases our cyber security risk, has created data accessibility concerns, and has made us more susceptible to communication disruptions. In addition, cyberattacks, malicious internet-based activity and fraud are prevalent and continue to increase in frequency. Any such event, including a cyberattack, could compromise our networks, or that of our CROs or other third parties, and the information stored there could be accessed by unauthorized parties, publicly disclosed, lost or stolen. Furthermore, any such event could result in information theft, data corruption, operational disruption, damage to our reputation, or financial loss, and could subject us to liability or negatively impact our business operations.</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such as the HIPAA, government enforcement actions and regulatory penalties. Unauthorized access, loss or dissemination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business. For example, the loss of clinical trial data from completed or ongoing or planned clinical trials could result in delays in our regulatory approval efforts and significantly increase our costs to recover or reproduce the data. In addition, there can be no assurance that we, or our CROs and other third parties,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 candidates could be delayed.</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Numerous federal, state and international laws address privacy, data protection and the collection, storing, sharing, use, disclosure and protection of personally identifiable information and other user data. Numerous states already have, and are looking to expand, data protection legislation. For example, in 2018, California enacted the California Consumer Privacy Act (“CCPA”), which became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line="285" w:lineRule="auto"/>
        <w:rPr>
          <w:sz w:val="20"/>
          <w:szCs w:val="20"/>
          <w:color w:val="auto"/>
        </w:rPr>
      </w:pPr>
      <w:r>
        <w:rPr>
          <w:rFonts w:ascii="Arial" w:cs="Arial" w:eastAsia="Arial" w:hAnsi="Arial"/>
          <w:sz w:val="16"/>
          <w:szCs w:val="16"/>
          <w:color w:val="auto"/>
        </w:rPr>
        <w:t>effective on January 1, 2020. The CCPA gives California residents expanded privacy rights and protections, and provides civil penalties for violations and a private right of action for data breaches. 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In particular, the EU and its member states traditionally have taken broader views as to types of data that are subject to privacy and data protection laws and regulations, and have imposed greater legal obligations on companies in this regard. For example, in April 2016, European legislative bodies adopted the General Data Protection Regulation (“GDPR”), which became effective May 25, 2018. The GDPR applies to any company established in the EU as well as to those outside the EU if they collect and use personal data of EU residents.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annual worldwide revenue, whichever is higher. While we have taken steps to comply with the GDPR, including enhancing our security procedures, updating our website, revising our clinical trial informed consents, and entering into data processing agreements with relevant contractors, we cannot assure you that our efforts to remain in compliance will be fully successful. The GDPR and other changes in laws or regulations associated with the enhanced protection of personal data may increase our costs of compliance and result in greater legal risks.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 may adversely affect our results.</w:t>
      </w:r>
    </w:p>
    <w:p>
      <w:pPr>
        <w:spacing w:after="0" w:line="11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w:t>
      </w:r>
    </w:p>
    <w:p>
      <w:pPr>
        <w:spacing w:after="0" w:line="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the years ended December 31, 2021 and 2020, changes in foreign currency exchange rates did not have a material impact on our historical financial position, our business, our financial condition, the results of our operations or our cash flows. 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9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i w:val="1"/>
          <w:iCs w:val="1"/>
          <w:color w:val="auto"/>
        </w:rPr>
        <w:t>The U.S. tax legislation and future changes to applicable U.S. or foreign tax laws and regulations may have a material adverse effect on our business, financial condition and results of operations.</w:t>
      </w:r>
    </w:p>
    <w:p>
      <w:pPr>
        <w:spacing w:after="0" w:line="6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We are subject to income and other taxes in the United States and foreign jurisdictions. Changes in laws and policy relating to taxes or trade, including increases in tax rates or modifications, technical corrections or clarifications to tax laws, such as the Tax Cuts and Jobs Act, may have an adverse effect on our business, financial condition and results of operations. This Annual Report on Form 10-K does not discuss any such tax legislation or changes to tax laws and legislation, or the manner in which it might affect us or purchasers of our securities. We urge our investors to consult with their legal and tax advisors with respect to such legislation and the potential tax consequences of investing in our securities.</w:t>
      </w:r>
    </w:p>
    <w:p>
      <w:pPr>
        <w:spacing w:after="0" w:line="68"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We are also subject to different tax regulations in each of the jurisdictions where we conduct our business or where our management is located.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spacing w:after="0" w:line="27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0"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77" w:name="page78"/>
    <w:bookmarkEnd w:id="77"/>
    <w:p>
      <w:pPr>
        <w:ind w:right="40"/>
        <w:spacing w:after="0" w:line="270"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Additionally, the FDA and regulatory authorities outside the United States have imposed and may continue to impose various restrictions or other policy measures in response to the COVID-19 pandemic. If a prolonged government shutdown or slowdown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If we are not able to obtain and enforce market exclusivity for our technologies or product candidates, development and commercialization of our product candidates may be adversely affected.</w:t>
      </w:r>
    </w:p>
    <w:p>
      <w:pPr>
        <w:spacing w:after="0" w:line="6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in-licenses of intellectual property rights of others, for our product candidates and platform technologies, methods used to manufacture our product candidates, methods of patient stratification and methods for treating patients using our product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271(e)(1) (the “Safe Harbor”). However, in the United States and certain other jurisdictions, the Safe Harbor exemption terminates when the sponsor submits an application for marketing approval (e.g., a New Drug Application (“NDA”) in the United States). Therefore, the risk that a third party might allege patent infringement may increase as our products approach commercialization. We may not be able to apply for patents or obtain patent protection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Particularly given that some of our product candidates may represent stereopure versions of previously described oligonucleotides, it may be difficult or impossible to obtain patent protection for them in relevant jurisdictions.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Arial" w:cs="Arial" w:eastAsia="Arial" w:hAnsi="Arial"/>
          <w:sz w:val="17"/>
          <w:szCs w:val="17"/>
          <w:i w:val="1"/>
          <w:iCs w:val="1"/>
          <w:color w:val="auto"/>
        </w:rPr>
        <w:t>i.e.,</w:t>
      </w:r>
      <w:r>
        <w:rPr>
          <w:rFonts w:ascii="Arial" w:cs="Arial" w:eastAsia="Arial" w:hAnsi="Arial"/>
          <w:sz w:val="17"/>
          <w:szCs w:val="17"/>
          <w:color w:val="auto"/>
        </w:rPr>
        <w:t xml:space="preserve"> covering product candidates) cannot always be enforced to protect methods of using those compositions to treat or diagnose diseases or medical conditions. In such countries or jurisdictions, enforcement of patents to protect our product candidates, or their uses, may be difficult or impossible. Lack of patent protection in such cases may have a materially adverse effect on our business and financial condition.</w:t>
      </w:r>
    </w:p>
    <w:p>
      <w:pPr>
        <w:spacing w:after="0" w:line="17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78" w:name="page79"/>
    <w:bookmarkEnd w:id="78"/>
    <w:p>
      <w:pPr>
        <w:spacing w:after="0" w:line="278" w:lineRule="auto"/>
        <w:rPr>
          <w:sz w:val="20"/>
          <w:szCs w:val="20"/>
          <w:color w:val="auto"/>
        </w:rPr>
      </w:pPr>
      <w:r>
        <w:rPr>
          <w:rFonts w:ascii="Arial" w:cs="Arial" w:eastAsia="Arial" w:hAnsi="Arial"/>
          <w:sz w:val="17"/>
          <w:szCs w:val="17"/>
          <w:color w:val="auto"/>
        </w:rPr>
        <w:t>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technologies. While we will endeavor to try to protect our product candidates and platform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decision by the U.S.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oligonucleotides which contain modifications that we believe are not found in nature. However, this decision has yet to be clearly interpreted by courts and by the USPTO. We cannot make assurances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7"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attacked or may lose the allowed or granted claims altogether. In addition, there can be no assurance that:</w:t>
      </w:r>
    </w:p>
    <w:p>
      <w:pPr>
        <w:spacing w:after="0" w:line="49" w:lineRule="exact"/>
        <w:rPr>
          <w:sz w:val="20"/>
          <w:szCs w:val="20"/>
          <w:color w:val="auto"/>
        </w:rPr>
      </w:pPr>
    </w:p>
    <w:p>
      <w:pPr>
        <w:ind w:left="1000" w:right="300" w:hanging="495"/>
        <w:spacing w:after="0" w:line="27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3" w:lineRule="exact"/>
        <w:rPr>
          <w:rFonts w:ascii="Arial" w:cs="Arial" w:eastAsia="Arial" w:hAnsi="Arial"/>
          <w:sz w:val="18"/>
          <w:szCs w:val="18"/>
          <w:color w:val="auto"/>
        </w:rPr>
      </w:pPr>
    </w:p>
    <w:p>
      <w:pPr>
        <w:ind w:left="1000" w:right="300" w:hanging="495"/>
        <w:spacing w:after="0" w:line="27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licensors, collaborators or any future collaborators are the first to make the inventions covered by each of our issued patents and pending patent applications that we own or license.</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licensors, collaborators or any future collaborators are the first to file patent applications covering certain aspects of our inventions.</w:t>
      </w:r>
    </w:p>
    <w:p>
      <w:pPr>
        <w:spacing w:after="0" w:line="138" w:lineRule="exact"/>
        <w:rPr>
          <w:rFonts w:ascii="Arial" w:cs="Arial" w:eastAsia="Arial" w:hAnsi="Arial"/>
          <w:sz w:val="16"/>
          <w:szCs w:val="16"/>
          <w:color w:val="auto"/>
        </w:rPr>
      </w:pPr>
    </w:p>
    <w:p>
      <w:pPr>
        <w:ind w:left="1000" w:right="740" w:hanging="495"/>
        <w:spacing w:after="0" w:line="27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3" w:lineRule="exact"/>
        <w:rPr>
          <w:rFonts w:ascii="Arial" w:cs="Arial" w:eastAsia="Arial" w:hAnsi="Arial"/>
          <w:sz w:val="18"/>
          <w:szCs w:val="18"/>
          <w:color w:val="auto"/>
        </w:rPr>
      </w:pPr>
    </w:p>
    <w:p>
      <w:pPr>
        <w:ind w:left="1000" w:right="120" w:hanging="495"/>
        <w:spacing w:after="0" w:line="27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third party may not challenge, invalidate, circumvent or weaken our patents, or that, if any of these events should occur, that a court would hold that our patents are valid, enforceable and infringed.</w:t>
      </w:r>
    </w:p>
    <w:p>
      <w:pPr>
        <w:spacing w:after="0" w:line="63" w:lineRule="exact"/>
        <w:rPr>
          <w:rFonts w:ascii="Arial" w:cs="Arial" w:eastAsia="Arial" w:hAnsi="Arial"/>
          <w:sz w:val="18"/>
          <w:szCs w:val="18"/>
          <w:color w:val="auto"/>
        </w:rPr>
      </w:pPr>
    </w:p>
    <w:p>
      <w:pPr>
        <w:ind w:left="1000" w:right="420" w:hanging="495"/>
        <w:spacing w:after="0" w:line="27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issued patents that we own or have licensed will provide us with any competitive advantages, or will not be challenged, invalidated, circumvented or weakened by third parties.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79" w:name="page80"/>
    <w:bookmarkEnd w:id="79"/>
    <w:p>
      <w:pPr>
        <w:ind w:left="1000" w:right="80" w:hanging="495"/>
        <w:spacing w:after="0" w:line="306"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license patent rights from third parties that we may use from time to time to protect certain aspects of our technology and programs. We may license additional third-party intellectual property in the future. To the extent that we use, and ultimately rely on, in-licensed technologies in our platform and our programs, our success will depend in part on the ability of our licensors to obtain, maintain and enforce patent protection for those in-licensed technologies.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any future collaboration agreements we may enter into or result in termination of an agreement by one or more of our current or future collaborators or any future strategic partners.</w:t>
      </w:r>
    </w:p>
    <w:p>
      <w:pPr>
        <w:spacing w:after="0" w:line="28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The issued patents and pending patent applications in the United States and in key markets around the world that we own or license claim certain methods, compositions and processes relating to the discovery, development, manufacture and/or commercialization of oligonucleotides and/or our platform.</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the field of oligonucleotides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oligonucleotides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any of our product candidates or our platform. In addition, third parties may attempt to invalidate our intellectual property rights. Even if our rights are not directly challenged, invalidated or circumvented, disputes could lead to the weakening of our intellectual property rights. Our defense against any attempt by third parties to challenge, invalidate, circumvent or weaken our intellectual property rights could be costly to us, could require significant time and attention of our management and could adversely affect our business and our ability to successfully compete in the field of oligonucleotides.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generally file a provisional patent application first (a priority filing) at the USPTO. A Patent Cooperation Treaty (“PCT”) application is usually filed within 12 months after the priority filing. Regional and/or national patent applications may be pursued outside of the United States, either based on a PCT application or as a direct filing, in some cases claiming priority to a prior U.S. 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80" w:name="page81"/>
    <w:bookmarkEnd w:id="80"/>
    <w:p>
      <w:pPr>
        <w:ind w:right="40"/>
        <w:spacing w:after="0" w:line="254" w:lineRule="auto"/>
        <w:rPr>
          <w:sz w:val="20"/>
          <w:szCs w:val="20"/>
          <w:color w:val="auto"/>
        </w:rPr>
      </w:pPr>
      <w:r>
        <w:rPr>
          <w:rFonts w:ascii="Arial" w:cs="Arial" w:eastAsia="Arial" w:hAnsi="Arial"/>
          <w:sz w:val="18"/>
          <w:szCs w:val="18"/>
          <w:color w:val="auto"/>
        </w:rPr>
        <w:t>PCT filing. Some of our cases have been filed in multiple jurisdictions, including major market jurisdictions.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different scopes of patent protection may be granted on the same product or technology.</w:t>
      </w:r>
    </w:p>
    <w:p>
      <w:pPr>
        <w:spacing w:after="0" w:line="1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allowing competitors to manufacture and sell their own versions of our product, thereby reducing our sales. In addition, many countries do not permit enforcement of patents, or limit the enforceability of patents against government agencies or government contractors. In these countries, the patent owner may have limited remedies, which could materially diminish the value of such a patent. If we or any of our licensors, collaborators or present or future partners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requirements for patentability may differ in certain countries. For example, some jurisdictions may have heightened requirements for patentability compared to others, and may specifically require a detailed description of medical uses of a claimed drug. In some jurisdictions,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Accordingly, our and our licensors’ and collaborators’ efforts to enforce intellectual property rights around the world may be inadequate to obtain a significant commercial advantage from the intellectual property that we own or license.</w:t>
      </w:r>
    </w:p>
    <w:p>
      <w:pPr>
        <w:spacing w:after="0" w:line="273" w:lineRule="exact"/>
        <w:rPr>
          <w:sz w:val="20"/>
          <w:szCs w:val="20"/>
          <w:color w:val="auto"/>
        </w:rPr>
      </w:pPr>
    </w:p>
    <w:p>
      <w:pPr>
        <w:ind w:right="520"/>
        <w:spacing w:after="0" w:line="300" w:lineRule="auto"/>
        <w:rPr>
          <w:sz w:val="20"/>
          <w:szCs w:val="20"/>
          <w:color w:val="auto"/>
        </w:rPr>
      </w:pPr>
      <w:r>
        <w:rPr>
          <w:rFonts w:ascii="Arial" w:cs="Arial" w:eastAsia="Arial" w:hAnsi="Arial"/>
          <w:sz w:val="16"/>
          <w:szCs w:val="16"/>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and time consuming, or delay or prevent the development and commercialization of our product candidates, or put our patents and other proprietary rights at risk.</w:t>
      </w:r>
    </w:p>
    <w:p>
      <w:pPr>
        <w:spacing w:after="0" w:line="4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81" w:name="page82"/>
    <w:bookmarkEnd w:id="81"/>
    <w:p>
      <w:pPr>
        <w:jc w:val="both"/>
        <w:spacing w:after="0" w:line="258" w:lineRule="auto"/>
        <w:rPr>
          <w:sz w:val="20"/>
          <w:szCs w:val="20"/>
          <w:color w:val="auto"/>
        </w:rPr>
      </w:pPr>
      <w:r>
        <w:rPr>
          <w:rFonts w:ascii="Arial" w:cs="Arial" w:eastAsia="Arial" w:hAnsi="Arial"/>
          <w:sz w:val="18"/>
          <w:szCs w:val="18"/>
          <w:color w:val="auto"/>
        </w:rPr>
        <w:t>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294"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Because the oligonucleotide intellectual property landscape is still evolving and our product candidates have not yet reached commercialization, it is difficult to conclusively assess our freedom to operate. There are numerous companies that have pending patent applications and issued patents directed to certain aspects of oligonucleotides. We are aware of third-party competitors in the oligonucleotide therapeutics space, whose patent filings and/or issued patents may include claims directed to targets and/or products related to some of our programs. It is possible that at the time that we commercialize our products these third-party patent portfolios may include issued patent claims that cover our products or critical features of their production or use. Our competitive position may suffer if patents issued to third parties or other third-party intellectual property rights cover, or may be alleged to cover, our products or elements thereof, or methods of manufacture or use relevant to our development plans. In such cases, we may not be in a position to develop or commercialize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date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4" w:lineRule="exact"/>
        <w:rPr>
          <w:sz w:val="20"/>
          <w:szCs w:val="20"/>
          <w:color w:val="auto"/>
        </w:rPr>
      </w:pPr>
    </w:p>
    <w:p>
      <w:pPr>
        <w:ind w:right="60"/>
        <w:spacing w:after="0" w:line="374"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There are many issued patents and/or pending patent applications that claim aspects of oligonucleotide compositions, chemistry and/or modifications that we may want or need to apply to our product candidates. There are also many issued patents and/or pending patent applications that claim targeted genes or portions of genes that may be relevant for the oligonucleotides we wish to develop. We are aware of third-party competitors in the oligonucleotide therapeutics space whose patent filings and/or issued patents may include claims directed to targets and/or product candidates related to some of our development programs. It is possible that these third-party patent portfolios may include issued patent claims that cover our product candidates or critical features of their production or use. Thus, it is possible that one or more organizations will hold patent rights to which we will need or want a license. If those organizations refuse to grant us a license to such patent rights on reasonable terms, or at all, we may not be able to market products or perform research and development or other activities covered by these patents.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technology licenses and any future licenses we enter into are likely to impose various development, commercialization, funding, milestone, royalty, diligence, sublicensing, insurance, patent prosecution and enforcement, and/or other obligations on us. If we breach any of these imposed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2" w:name="page83"/>
    <w:bookmarkEnd w:id="82"/>
    <w:p>
      <w:pPr>
        <w:ind w:right="520"/>
        <w:spacing w:after="0" w:line="275" w:lineRule="auto"/>
        <w:rPr>
          <w:sz w:val="20"/>
          <w:szCs w:val="20"/>
          <w:color w:val="auto"/>
        </w:rPr>
      </w:pPr>
      <w:r>
        <w:rPr>
          <w:rFonts w:ascii="Arial" w:cs="Arial" w:eastAsia="Arial" w:hAnsi="Arial"/>
          <w:sz w:val="18"/>
          <w:szCs w:val="18"/>
          <w:color w:val="auto"/>
        </w:rPr>
        <w:t>products that we successfully develop and commercialize, if any. Therefore, even if we successfully develop and commercialize products, we may be unable to achieve or maintain profitability.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improvements and technological innovation important to the maintenance of our competitive position. We protect trade secrets and confidential and unpatented know-how, improvements and technological innovation,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6" w:lineRule="exact"/>
        <w:rPr>
          <w:sz w:val="20"/>
          <w:szCs w:val="20"/>
          <w:color w:val="auto"/>
        </w:rPr>
      </w:pPr>
    </w:p>
    <w:p>
      <w:pPr>
        <w:jc w:val="both"/>
        <w:ind w:right="440"/>
        <w:spacing w:after="0" w:line="285"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2"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Our trademarks or trade names may be infringed, challenged, invalidated, circumvented, weakened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12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We are a Singapore incorporated company and it may be difficult to enforce a judgment of U.S. courts for civil liabilities under U.S. federal securities laws against us, our directors or our officers in Singapore.</w:t>
      </w:r>
    </w:p>
    <w:p>
      <w:pPr>
        <w:spacing w:after="0" w:line="64"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We are incorporated under the laws of the Republic of Singapore, and certain of our directors are residents outside the United States. Moreover, a significant portion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enforceable within the United States.</w:t>
      </w:r>
    </w:p>
    <w:p>
      <w:pPr>
        <w:spacing w:after="0" w:line="1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There is uncertainty as to whether judgments of courts in the United States based upon the civil liability provisions of the federal securities laws of the United States would be recognized or enforceable in Singapore.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3" w:name="page84"/>
    <w:bookmarkEnd w:id="83"/>
    <w:p>
      <w:pPr>
        <w:ind w:right="420"/>
        <w:spacing w:after="0" w:line="340" w:lineRule="auto"/>
        <w:rPr>
          <w:sz w:val="20"/>
          <w:szCs w:val="20"/>
          <w:color w:val="auto"/>
        </w:rPr>
      </w:pPr>
      <w:r>
        <w:rPr>
          <w:rFonts w:ascii="Arial" w:cs="Arial" w:eastAsia="Arial" w:hAnsi="Arial"/>
          <w:sz w:val="16"/>
          <w:szCs w:val="16"/>
          <w:color w:val="auto"/>
        </w:rPr>
        <w:t>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w:t>
      </w:r>
    </w:p>
    <w:p>
      <w:pPr>
        <w:spacing w:after="0" w:line="232"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corporate affairs are governed by our constitution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Such process could result in administrative delays which may be prejudicial to any legal proceeding or enforcement action.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laws of Singapore, which differ in certain material respects from the laws of the United States.</w:t>
      </w:r>
    </w:p>
    <w:p>
      <w:pPr>
        <w:spacing w:after="0" w:line="11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As a company incorporated under the laws of the Republic of Singapore, we are required to comply with the laws of Singapore, certain of which are capable of extra-territorial application, as well as our constitution. In particular, we are required to comply with certain provisions of the Securities and Futures Act 2001 of Singapore (the “SFA”), which prohibit certain forms of market conduct and require certain information disclosures, and impose criminal and civil penalties on corporations, directors and officers in respect of any breach of such provisions. We are required to comply with the Singapore Code on Take-Overs and Mergers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6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also subject to Section 34 of the Singapore Patents Act, which provides that a person residing in Singapore is required to obtain written authorization from the Singapore Registrar of Patents (the “Registrar”) before filing an application for a patent for an invention outside of Singapore, unless certain conditions have been satisfied. A violation of Section 34 is a criminal offense punishable by a fine not exceeding S$5,000, or imprisonment for a term not exceeding two years, or both. There have been some instances where we have undertaken filings outside of Singapore, and there may be instances where we are required to make such filings in the future, without first obtaining written authorization from the Registrar. We have notified the Registrar of such filings and we have since implemented measures to address the requirements of Section 34 moving forward. To date, the Registrar has offered a compound of some of the offences considered against payment of a sum of S$50 to S$150 per considered case. Under Singapore law, the Registrar has discretion to offer a compound of such offences against payment of a sum of money of up to S$2,000, or to prosecute the offence subject to the other penalties noted above. Per requests in the Registrar’s most recent decision, we have submitted approximately 140 patent applications in multiple patent families, most of which are related to previously reported applications, to the Intellectual Property Office of Singapore (“IPOS”). The IPOS may consider the filing of some or all of these applications to have breached Section 34 requirements per IPOS’ current interpretation of Section 34, and we are waiting for IPOS’ decision on these applications. We cannot assure you that the Registrar will offer to compound any such violations of Section 34, or that any offer to compound will be for an amount similar to previous compound offer.</w:t>
      </w:r>
    </w:p>
    <w:p>
      <w:pPr>
        <w:spacing w:after="0" w:line="1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laws of Singapore and of the United States differ in certain significant respects. The rights of our shareholders and the obligations of our directors and officers under Singapore law (including under the Companies Act 1967 of Singapore (the “Singapore Companies Act”) are different from those applicable to a company incorporated in the State of Delaware in material respects, and our shareholders may have more difficulty and less clarity in protecting their interests in connection with actions taken by our management, members of our board of directors or our affiliated shareholders than would otherwise apply to a company incorporated in the State of Delaware.</w:t>
      </w:r>
    </w:p>
    <w:p>
      <w:pPr>
        <w:spacing w:after="0" w:line="188"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application of Singapore law, in particular, the Singapore Companies Act may, in certain circumstances, impose more restrictions on us and our shareholders, directors and officers than would otherwise be applicable to a company incorporated in the State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4" w:name="page85"/>
    <w:bookmarkEnd w:id="84"/>
    <w:p>
      <w:pPr>
        <w:spacing w:after="0" w:line="253" w:lineRule="auto"/>
        <w:rPr>
          <w:sz w:val="20"/>
          <w:szCs w:val="20"/>
          <w:color w:val="auto"/>
        </w:rPr>
      </w:pPr>
      <w:r>
        <w:rPr>
          <w:rFonts w:ascii="Arial" w:cs="Arial" w:eastAsia="Arial" w:hAnsi="Arial"/>
          <w:sz w:val="18"/>
          <w:szCs w:val="18"/>
          <w:color w:val="auto"/>
        </w:rPr>
        <w:t>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the original requisitioning shareholders, or any of them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such corresponding amounts from fees or other remuneration payable by us to such non-complying directors.</w:t>
      </w:r>
    </w:p>
    <w:p>
      <w:pPr>
        <w:spacing w:after="0" w:line="29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7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(Singapore dollars) or more. For example, under the Singapore Takeover Code, any person acquiring, whether by a series of transactions over a period of time or not, either on such person’s own or together with parties acting in concert with such person, 30% or more of our voting shares, or if such person holds, either on such person’s own or together with parties acting in concert with such person, between 30% and 50% (both inclusive) of our voting shares, and if such person (or parties acting in concert with such person)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6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2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For a limited period of time, our directors have general authority to allot and issue new ordinary shares on terms and conditions and for such purposes as may be determined by our board of directors in its sole discretion.</w:t>
      </w:r>
    </w:p>
    <w:p>
      <w:pPr>
        <w:spacing w:after="0" w:line="6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At our most recent annual general meeting of shareholders, our shareholders provided our directors with a general authority, subject to the provisions of the Singapore Companies Act and our constitution, to allot and issue any number of new ordinary shares and/or make or grant offers, agreements, options or other instruments (including the grant of awards or options pursuant to our equity-based incentive plans and agreements in effect from time to time) that might or would require ordinary shares to be allotted and issued (collectively, the “Instruments”); and unless revoked or varied by us in a general meeting, such authority will continue in force until the earlier of (i) the conclusion of our next annual general meeting of shareholders, or (ii) the expiration of the period within which our next annual general meeting of shareholders is required by law to be held. Subject to the general requirements of the Singapore Companies Act and our constitution, the general authority given to our directors by our shareholders to allot and issue ordinary shares and/or make or grant the Instruments may be exercised by our directors on such terms and conditions, for such purposes and for consideration as they may in their sole discretion deem fit, and with such rights or restrictions as they may think fit to impose and as are set forth in our constitution. Any additional issuances of new ordinary shares and/or any grant of the Instruments by our directors may dilute our shareholders’ interests in our ordinary shares and/or adversely impact the market price of our ordinary shares.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or become a passive foreign investment company, which could result in adverse U.S. federal income tax consequences to U.S. Holders.</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rules governing passive foreign investment companies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which must be made annually after the close of each taxable year,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Moreover, our ability to earn specific types of income that we currently treat as non-passive for purposes of the PFIC rules is uncertain with respect to future years. Because the value of our assets for purposes of determining PFIC status will depend in part on the market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5" w:name="page86"/>
    <w:bookmarkEnd w:id="85"/>
    <w:p>
      <w:pPr>
        <w:ind w:right="80"/>
        <w:spacing w:after="0" w:line="275" w:lineRule="auto"/>
        <w:rPr>
          <w:sz w:val="20"/>
          <w:szCs w:val="20"/>
          <w:color w:val="auto"/>
        </w:rPr>
      </w:pPr>
      <w:r>
        <w:rPr>
          <w:rFonts w:ascii="Arial" w:cs="Arial" w:eastAsia="Arial" w:hAnsi="Arial"/>
          <w:sz w:val="18"/>
          <w:szCs w:val="18"/>
          <w:color w:val="auto"/>
        </w:rPr>
        <w:t>price of our ordinary shares, which may fluctuate significantly, there can be no assurance that we will not be considered a PFIC for our current taxable year ending December 31, 2022 or for any future taxable year.</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we are a PFIC, a U.S. Holder (defined below)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(“QEF”) or, if shares of the PFIC are “marketable stock” for purposes of the PFIC rules, by making a mark-to-market election with respect to the shares of the PFIC. If a U.S. Holder makes a mark-to-market election with respect to its ordinary shares, the U.S. Holder is required to include annually in its U.S. federal taxable income an amount reflecting any year end increase in the value of its ordinary shares. For purposes of this discussion, a “U.S. Holder” is a beneficial owner of ordinary shares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(a) if a court within the U.S. can exercise primary supervision over its administration, and one or more U.S. persons have the authority to control all of the substantial decisions of that trust, or (b) that was in existence on August 20, 1996, and validly elected under applicable Treasury Regulations to continue to be treated as a domestic trust.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consult their own tax advisors regarding all aspects of the application of the PFIC rules to the ordinary shares.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taxes may differ from the tax laws of other jurisdictions.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Prospective investors should consult their tax advisors concerning the overall tax consequences of purchasing, owning and disposing of our shares.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Singapore tax law may differ from the tax laws of other jurisdictions, including the United States.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unanticipated tax liabilities.</w:t>
      </w:r>
    </w:p>
    <w:p>
      <w:pPr>
        <w:spacing w:after="0" w:line="116" w:lineRule="exact"/>
        <w:rPr>
          <w:sz w:val="20"/>
          <w:szCs w:val="20"/>
          <w:color w:val="auto"/>
        </w:rPr>
      </w:pPr>
    </w:p>
    <w:p>
      <w:pPr>
        <w:ind w:right="220"/>
        <w:spacing w:after="0" w:line="285" w:lineRule="auto"/>
        <w:rPr>
          <w:sz w:val="20"/>
          <w:szCs w:val="20"/>
          <w:color w:val="auto"/>
        </w:rPr>
      </w:pPr>
      <w:r>
        <w:rPr>
          <w:rFonts w:ascii="Arial" w:cs="Arial" w:eastAsia="Arial" w:hAnsi="Arial"/>
          <w:sz w:val="17"/>
          <w:szCs w:val="17"/>
          <w:color w:val="auto"/>
        </w:rPr>
        <w:t>We are incorporated under the laws of Singapore. We are, however, subject to income, withholding or other taxes in certain jurisdictions by reason of our activities and operations, and it is also possible that tax authorities in any such jurisdictions could assert that we are subject to greater taxation than we currently anticipate. Any such non-Singaporean tax liability could materially adversely affect our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authorities could challenge the allocation of income and deductions among our subsidiaries, which could increase our overall tax liability.</w:t>
      </w:r>
    </w:p>
    <w:p>
      <w:pPr>
        <w:spacing w:after="0" w:line="1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organized in Singapore, and we currently have subsidiaries in the United States, Japan, the United Kingdom, and Ireland. As we grow our business, we conduct, and expect to continue to conduct, increased operations through our subsidiaries in various jurisdictions. If two or more affiliated companies are located in different jurisdictions, the tax laws or regulations of each country generally will require transactions between those affiliated companies to be conducted on terms consistent with those between unrelated companies dealing at arms’ length, and appropriate documentation generally must be maintained to support the transfer prices. We maintain our transfer pricing policies to be compliant with applicable transfer pricing laws, but our transfer pricing procedures are not binding on applicable tax authorities.</w:t>
      </w:r>
    </w:p>
    <w:p>
      <w:pPr>
        <w:spacing w:after="0" w:line="17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tax authorities were to successfully challenge our transfer pricing, there could be an increase in our overall tax liability, which could adversely affect our financial condition, results of operations and cash flows. In addition, the tax laws in the jurisdictions in which we operate are subject to differing interpretations. Tax authorities may challenge our tax positions, and if successful, such challenges could increase our overall tax liability. In addition, the tax laws in the jurisdictions in which we operate are subject to change. We cannot predict the timing or content of such potential changes, and such changes could increase our overall tax liability, which could adversely affect our financial condition, results of operations and cash flows.</w:t>
      </w:r>
    </w:p>
    <w:p>
      <w:pPr>
        <w:spacing w:after="0" w:line="28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financial results reflect the effect of certain tax credits and the operation of certain tax regimes within the United Kingdom. Recently enacted legislation in the United Kingdom will limit the amount we may be able to claim as a payable tax credit in the future which could impact our financial condition, results of operations and cash flows.</w:t>
      </w:r>
    </w:p>
    <w:p>
      <w:pPr>
        <w:spacing w:after="0" w:line="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benefit from the U.K. research and development tax credit regime for small and medium sized companies, whereby our subsidiary in the United Kingdom is able to surrender the trading losses that arise from its research and development activities for a payable tax credit of up to 33.4% of eligible research and development expenditure on staff and consumables. Expenditure of staff supplied by unconnected third parties are eligible for a cash rebate of up to 21.7%.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6" w:name="page87"/>
    <w:bookmarkEnd w:id="86"/>
    <w:p>
      <w:pPr>
        <w:ind w:right="40"/>
        <w:spacing w:after="0" w:line="258" w:lineRule="auto"/>
        <w:rPr>
          <w:sz w:val="20"/>
          <w:szCs w:val="20"/>
          <w:color w:val="auto"/>
        </w:rPr>
      </w:pPr>
      <w:r>
        <w:rPr>
          <w:rFonts w:ascii="Arial" w:cs="Arial" w:eastAsia="Arial" w:hAnsi="Arial"/>
          <w:sz w:val="18"/>
          <w:szCs w:val="18"/>
          <w:color w:val="auto"/>
        </w:rPr>
        <w:t>Due to a recently enacted change in the U.K. legislation affecting the U.K. research and development tax credit regime for small and medium sized companies, our ability to receive a payable tax credit for the surrender of our trading losses from research and development activities incurred from taxable years beginning on or after April 1, 2021 will be limited to the amount equal to three times our “pay as you earn” and U.K. national insurance tax liabilities, absent our qualification under an exception from such limitation.</w:t>
      </w:r>
    </w:p>
    <w:p>
      <w:pPr>
        <w:spacing w:after="0" w:line="186" w:lineRule="exact"/>
        <w:rPr>
          <w:sz w:val="20"/>
          <w:szCs w:val="20"/>
          <w:color w:val="auto"/>
        </w:rPr>
      </w:pPr>
    </w:p>
    <w:p>
      <w:pPr>
        <w:ind w:right="240"/>
        <w:spacing w:after="0" w:line="340" w:lineRule="auto"/>
        <w:rPr>
          <w:sz w:val="20"/>
          <w:szCs w:val="20"/>
          <w:color w:val="auto"/>
        </w:rPr>
      </w:pPr>
      <w:r>
        <w:rPr>
          <w:rFonts w:ascii="Arial" w:cs="Arial" w:eastAsia="Arial" w:hAnsi="Arial"/>
          <w:sz w:val="16"/>
          <w:szCs w:val="16"/>
          <w:color w:val="auto"/>
        </w:rPr>
        <w:t>Further, we may not be able to continue to claim a U.K. tax credit for research and development tax credits under the small and medium-sized companies regime in the future if we increase our personnel and expand our business because we may no longer qualify as a small or medium-sized enterprise.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The public market for our ordinary shares may not be liquid enough for our shareholders to sell their ordinary shares quickly or at market price, or at all.</w:t>
      </w:r>
    </w:p>
    <w:p>
      <w:pPr>
        <w:spacing w:after="0" w:line="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Prior to the completion of our initial public offering, there was no public market for our ordinary shares. An active trading market for our shares may not develop or be maintained and our shareholders may not be able to sell their ordinary shares quickly or at the market price, or at all. Our executive officers, our directors and their respective affiliates, and our other significant shareholders beneficially own a significant portion of our outstanding ordinary shares, and therefore, liquidity in our ordinary shares is limited. Due to the limited liquidity in our ordinary shares, relatively small orders can have a disproportionate impact on the trading price of our shares. Further, the limited liquidity in our ordinary shares may also impair our ability to raise capital by conducting offerings of our ordinary shares and may impair our ability to enter into strategic partnerships or acquire companies or products by using our ordinary shares as consideration.</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ordinary shares is likely to be highly volatile, and our shareholders may lose some or all of their investment.</w:t>
      </w:r>
    </w:p>
    <w:p>
      <w:pPr>
        <w:spacing w:after="0" w:line="12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The market price of our ordinary shares is likely to continue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ordinary shares, regardless of our operating performance, and can cause our shareholders to lose some or all of their investment in us.</w:t>
      </w:r>
    </w:p>
    <w:p>
      <w:pPr>
        <w:spacing w:after="0" w:line="28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Based on information publicly available to us as of December 31, 2021, our executive officers, our directors and their respective affiliates, and our other significant shareholders beneficially own a significant portion of our outstanding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the interests of our other shareholders.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significant costs due to operating as a public company, and our management is required to devote substantial time to compliance initiatives.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and other requirements of the Exchange Act, the Sarbanes-Oxley Act of 2002 (the “Sarbanes-Oxley Act”), and the Dodd-Frank Wall Street Reform and Protection Act, as well as rules subsequently adopted by the SEC and the Nasdaq Stock Market. These rules and regulations require, among other things, that we file annual, quarterly and current reports with respect to our business and financial condition and establish and maintain effective disclosure and financial controls and corporate governance practices. We expect that compliance with these rules and regulations will continue to result in substantial legal and financial compliance costs and will make some activities more time-consuming and costly. Our management and other personnel devote a substantial amount of time to these compliance requirements.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87" w:name="page88"/>
    <w:bookmarkEnd w:id="87"/>
    <w:p>
      <w:pPr>
        <w:ind w:right="240"/>
        <w:spacing w:after="0" w:line="275"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required to comply with Section 404 of the Sarbanes-Oxley Act. Section 404 of the Sarbanes-Oxley Act requires public companies to maintain effective internal control over financial reporting. In particular, we must perform system and process evaluation and testing of our internal control over financial reporting to allow management to report on the effectiveness of our internal control over financial reporting. Ensuring that we have adequate internal financial and accounting controls and procedures in place so that we can produce accurate financial statements on a timely basis is a costly and time-consuming effort that is evaluated frequently. If we fail to maintain the effectiveness of our internal controls or fail to comply in a timely manner with the requirements of the Sarbanes-Oxley Act, or if we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ordinary shares and we could be subject to sanctions or investigations by Nasdaq,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estimates and judgments we make, or the assumptions on which we rely, in preparing our consolidated financial statements could prove inaccurate.</w:t>
      </w:r>
    </w:p>
    <w:p>
      <w:pPr>
        <w:spacing w:after="0" w:line="15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United States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For example, our estimates as they relate to anticipated timelines and milestones for our clinical trials or preclinical development may prove to be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or otherwise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harm our business, and cause our share price to decline.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on our ordinary shares in the foreseeable future.</w:t>
      </w:r>
    </w:p>
    <w:p>
      <w:pPr>
        <w:spacing w:after="0" w:line="11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our shareholders’ sole source of gain for the foreseeable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share volatility.</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that has experienced significant price and trading volatility have occasionally brought securities class action litigation against the companies that issued the stock.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ordinary shares could cause the price of our ordinary shares to decline.</w:t>
      </w:r>
    </w:p>
    <w:p>
      <w:pPr>
        <w:spacing w:after="0" w:line="1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Sales of substantial amounts of our ordinary shares in the public market, or the availability of such shares for sale, by us or others, including the issuance of ordinary shares upon exercise of outstanding options or vesting of outstanding restricted share units, or the perception that such sales could occur, could adversely affect the price of our ordinary shares. Certain of our shareholders have required us, or have the right to require us, to register the sales of their shares under the Securities Act under agreements between us and such shareholders. For example, in August 2019, we filed a registration statement on Form S-3, which was declared effective on August 14, 2019, to register the resale from time to time by certain of our executive officers, directors and their affiliates of up to approximately 7.1 million ordinary shares.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88" w:name="page89"/>
    <w:bookmarkEnd w:id="88"/>
    <w:p>
      <w:pPr>
        <w:ind w:right="60"/>
        <w:spacing w:after="0" w:line="27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trading market for our ordinary shares may depend in part on the research and reports that securities or industry analysts publish about us or our business. If too few securities or industry analysts cover our company, the trading price for our ordinary shares would likely be negatively impacted.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89" w:name="page90"/>
    <w:bookmarkEnd w:id="89"/>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maintain our U.S. corporate offices and research and development facilities in Cambridge, Massachusetts, where we lease office and laboratory space of approximately 44,000 square feet.</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We lease approximately 90,000 square feet of office and laboratory space in Lexington, Massachusetts, which we use for our research, development and cGMP manufacturing.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occupy laboratory and office space in Japan. We believe our existing facilities are adequate to meet our current needs.</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84" w:right="359" w:bottom="1440" w:gutter="0" w:footer="0" w:header="0"/>
        </w:sectPr>
      </w:pPr>
    </w:p>
    <w:bookmarkStart w:id="90" w:name="page91"/>
    <w:bookmarkEnd w:id="90"/>
    <w:p>
      <w:pPr>
        <w:ind w:left="5300"/>
        <w:spacing w:after="0"/>
        <w:rPr>
          <w:sz w:val="20"/>
          <w:szCs w:val="20"/>
          <w:color w:val="auto"/>
        </w:rPr>
      </w:pPr>
      <w:r>
        <w:rPr>
          <w:rFonts w:ascii="Arial" w:cs="Arial" w:eastAsia="Arial" w:hAnsi="Arial"/>
          <w:sz w:val="18"/>
          <w:szCs w:val="18"/>
          <w:b w:val="1"/>
          <w:bCs w:val="1"/>
          <w:color w:val="auto"/>
        </w:rPr>
        <w:t>PART II</w:t>
      </w:r>
    </w:p>
    <w:p>
      <w:pPr>
        <w:spacing w:after="0" w:line="223" w:lineRule="exact"/>
        <w:rPr>
          <w:sz w:val="20"/>
          <w:szCs w:val="20"/>
          <w:color w:val="auto"/>
        </w:rPr>
      </w:pPr>
    </w:p>
    <w:p>
      <w:pPr>
        <w:ind w:right="520"/>
        <w:spacing w:after="0" w:line="37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ordinary shares are traded on the Nasdaq Global Market under the symbol “WVE”.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25, 2022, we had 60,844,495 ordinary shares outstanding and approximately 12 shareholders of record of our ordinary shares.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3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80"/>
          </w:cols>
          <w:pgMar w:left="320" w:top="336" w:right="1399" w:bottom="1440" w:gutter="0" w:footer="0" w:header="0"/>
        </w:sectPr>
      </w:pPr>
    </w:p>
    <w:bookmarkStart w:id="91" w:name="page92"/>
    <w:bookmarkEnd w:id="91"/>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0"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a clinical-stage genetic medicines company committed to delivering life-changing treatments for people battling devastating diseases. Using PRISM™, our proprietary discovery and drug development platform that enables the precise design, optimization and production of novel stereopure oligonucleotides, we aspire to develop best-in-class medicines that target the transcriptome to treat genetically defined diseases with a high degree of unmet need.</w:t>
      </w:r>
    </w:p>
    <w:p>
      <w:pPr>
        <w:spacing w:after="0" w:line="79"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We are developing oligonucleotides that target ribonucleic acid (“RNA”) and harness existing cellular machinery to reduce the expression of disease-promoting RNA or proteins, restore the production of functional proteins, or modulate protein expression. By intervening at the RNA level, we have the potential to address diseases that have historically been difficult to treat with small molecules or biologics, while retaining the ability to titrate dose, modulate duration of effect, and avoid risk of permanent off-target genetic changes and other challenges associated with DNA editing or gene therapy approaches. Oligonucleotides have additional advantages as a therapeutic class, including the ability to access multiple tissue types and the ability to modulate the frequency of dosing to ensure broad distribution within tissues over time. Oligonucleotides also have well-established manufacturing processes and validated test methods based on decades of improvements, as well as established regulatory, access and reimbursement pathways.</w:t>
      </w:r>
    </w:p>
    <w:p>
      <w:pPr>
        <w:spacing w:after="0" w:line="5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approach is based on the scientific insight that the biological machinery necessary to address genetic diseases already exists in human cells and can be controlled with the right tools. We have built a genetic toolkit comprised of multiple therapeutic modalities, including RNase-H mediated silencing, RNAi, splicing, and RNA base editing, all of which leverage learnings and optimizations from our PRISM platform and allow us to design built-for-purpose molecules to optimally address disease biology.</w:t>
      </w:r>
    </w:p>
    <w:p>
      <w:pPr>
        <w:spacing w:after="0" w:line="79"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A-to-I RNA base editing oligonucleotides (“AIMers”) represent our newest therapeutic modality. AIMers are designed to correct single base mutations on RNA transcript, thereby avoiding permanent changes to the genome that occur with DNA-targeting approaches. Rather than using an exogenous editing enzyme, AIMers recruit proteins that exist in the body, called ADAR (adenosine deaminases acting on RNA) enzymes, which naturally possess the ability to change an adenine (A) to an inosine (I), which cells read as guanine (G). This approach enables simplified delivery and avoids the risk of irreversible off-target effects with DNA-targeting approaches. AIMers are short in length, fully chemically modified, and use novel chemistry, including proprietary PN backbone modifications and chiral control, which make them distinct from other ADAR-mediated editing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44450</wp:posOffset>
            </wp:positionV>
            <wp:extent cx="4946015" cy="2178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4601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PRISM platform is built on the recognition that a significant opportunity exists to tune the pharmacological properties of oligonucleotide therapeutics by leveraging three key features of these molecules: sequence, chemistry, and stereochemistry. Our unique ability to control stereochemistry, which is a reality of chemically modified oligonucleotides, provides the resolution necessary to optimize pharmacological profiles. PRISM therefore enables us to design stereopure oligonucleotides, which are comprised of molecules with atoms precisely and purposefully arranged in three-dimensional orientations at each linkage. These differ from the mixture-based oligonucleotides currently on the market or in development by others. Additionally, to mitigate pharmacological risks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92" w:name="page93"/>
    <w:bookmarkEnd w:id="92"/>
    <w:p>
      <w:pPr>
        <w:ind w:right="460"/>
        <w:spacing w:after="0" w:line="275" w:lineRule="auto"/>
        <w:rPr>
          <w:sz w:val="20"/>
          <w:szCs w:val="20"/>
          <w:color w:val="auto"/>
        </w:rPr>
      </w:pPr>
      <w:r>
        <w:rPr>
          <w:rFonts w:ascii="Arial" w:cs="Arial" w:eastAsia="Arial" w:hAnsi="Arial"/>
          <w:sz w:val="18"/>
          <w:szCs w:val="18"/>
          <w:color w:val="auto"/>
        </w:rPr>
        <w:t>and potential manufacturing challenges, our approach focuses on designing short, chemically modified oligonucleotides without the need for complex delivery vehicles.</w:t>
      </w:r>
    </w:p>
    <w:p>
      <w:pPr>
        <w:spacing w:after="0" w:line="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Our work in developing stereopure oligonucleotides has enabled the continued evolution of PRISM and our drug discovery process of selecting genetically defined targets, identifying a sequence and applying the therapeutic modality we determine is best suited for the disease biology. We use our PRISM platform engine to screen candidates and optimize the pharmacologic profile based on predefined design principles, which reflect a deep understanding of how the interplay among oligonucleotide sequence, chemistry and backbone stereochemistry impacts key pharmacological properties. Through continued exploration of these interactions using iterative analysis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outcomes and machine learning-driven predictive modeling, we also continue to refine our design principles that we deploy across subsequent programs.</w:t>
      </w:r>
    </w:p>
    <w:p>
      <w:pPr>
        <w:spacing w:after="0" w:line="1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August 2020, we publicly introduced our novel PN backbone chemistry modifications, which have been shown preclinically to increase potency, distribution and durability of effect across various modalities. PN chemistry has been incorporated into all of our current clinical, preclinical and discovery-stage programs.</w:t>
      </w:r>
    </w:p>
    <w:p>
      <w:pPr>
        <w:spacing w:after="0" w:line="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have a robust and diverse pipeline of PN-modified, stereopure oligonucleotides, including our clinical silencing and splicing programs, as well as our AIMers. Our lead clinical development programs are designed to treat genetic diseases within the central nervous system (“CNS”), including amyotrophic lateral sclerosis (“ALS”), frontotemporal dementia (“FTD”), Huntington’s disease (“HD”), and muscular dystrophies, including Duchenne muscular dystrophy (“DMD”). These programs include:</w:t>
      </w:r>
    </w:p>
    <w:p>
      <w:pPr>
        <w:spacing w:after="0" w:line="79" w:lineRule="exact"/>
        <w:rPr>
          <w:sz w:val="20"/>
          <w:szCs w:val="20"/>
          <w:color w:val="auto"/>
        </w:rPr>
      </w:pPr>
    </w:p>
    <w:p>
      <w:pPr>
        <w:ind w:left="740" w:hanging="36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WVE-004 (silencing), our C9orf72 molecule for the treatment of C9orf72-associated ALS and FTD,</w:t>
      </w:r>
    </w:p>
    <w:p>
      <w:pPr>
        <w:spacing w:after="0" w:line="22" w:lineRule="exact"/>
        <w:rPr>
          <w:rFonts w:ascii="Arial" w:cs="Arial" w:eastAsia="Arial" w:hAnsi="Arial"/>
          <w:sz w:val="18"/>
          <w:szCs w:val="18"/>
          <w:color w:val="auto"/>
        </w:rPr>
      </w:pPr>
    </w:p>
    <w:p>
      <w:pPr>
        <w:ind w:left="740" w:hanging="36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WVE-003 (silencing), our mHTT SNP3 molecule for the treatment of HD, and</w:t>
      </w:r>
    </w:p>
    <w:p>
      <w:pPr>
        <w:spacing w:after="0" w:line="8" w:lineRule="exact"/>
        <w:rPr>
          <w:rFonts w:ascii="Arial" w:cs="Arial" w:eastAsia="Arial" w:hAnsi="Arial"/>
          <w:sz w:val="18"/>
          <w:szCs w:val="18"/>
          <w:color w:val="auto"/>
        </w:rPr>
      </w:pPr>
    </w:p>
    <w:p>
      <w:pPr>
        <w:ind w:left="740" w:hanging="369"/>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WVE-N531 (splicing), our exon 53 molecule for the treatment of DMD.</w:t>
      </w:r>
    </w:p>
    <w:p>
      <w:pPr>
        <w:spacing w:after="0" w:line="101"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With RNA base editing, our initial focus is on using GalNAc-conjugated AIMers to treat hepatic diseases and our lead program is designed to treat alpha-1antitrypsin deficiency (“AATD”). We expect to select an AATD AIMer development candidate and initiate IND-enabling toxicology studies in the third quarter of 2022.</w:t>
      </w:r>
    </w:p>
    <w:p>
      <w:pPr>
        <w:spacing w:after="0" w:line="75"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We continue to invest in PRISM to further evolve and apply the expanding capabilities and promise of our unique platform. We have also established and continue to enhance our internal current good manufacturing practices (“cGMP”) manufacturing capabilities to increase control and visibility of our drug substance supply chain, while continuing to innovate oligonucleotide manufacturing.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20"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We continue to closely monitor developments related to COVID-19, which was declared a pandemic by the World Health Organization on March 11, 2020. In response to this global pandemic, we have concentrated our efforts on the health and safety of our employees and patients, while maintaining business continuity and honoring our commitment to deliver life-changing treatments for people battling devastating diseases.</w:t>
      </w:r>
    </w:p>
    <w:p>
      <w:pPr>
        <w:spacing w:after="0" w:line="5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on-site activities continue with protocols for safely accessing and working within our facilities, including a mandatory COVID-19 vaccination policy that we implemented in October 2021. While we continue to conduct research and development activities, including our ongoing clinical trials, the COVID-19 pandemic has impacted, and may continue to impact, certain of our early-stage discovery efforts and clinical trials. We are working with our clinical investigators, research and development vendors, and supply chain vendors to continually assess and take steps to mitigate the potential impact of COVID-19 on our manufacturing operations and research and development activities.</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will continue to closely monitor the COVID-19 situation as we evolve our business continuity plans. Given the global risks and uncertainties associated with COVID-19, our business, results of operations, and prospects could be materially adversely affected. For additional information, see “Item 1A. Risk Factors” of this Annual Report on Form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We have never been profitable, and since our inception, we have incurred significant operating losses. Our net loss was $122.2 million in 2021 and $149.9 million in 2020. As of December 31, 2021 and 2020, we had an accumulated deficit of $805.5 million and $683.3 million, respectively. We expect to incur significant expenses and operating losses for the foreseeable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have not generated any product revenue since our inception and do not expect to generate any revenue from the sale of products for the foreseeable future. Our revenue during the years ended December 31, 2021 and 2020 represented revenue earned under our two revenue-generating collaboration agreements: the Pfizer Collaboration Agreement (as defined in Note 5 in the notes to the consolidated financial statements appearing elsewhere in this Annual Report on Form 10-K (“Note 5”)), which was entered into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3" w:name="page94"/>
    <w:bookmarkEnd w:id="93"/>
    <w:p>
      <w:pPr>
        <w:ind w:right="220"/>
        <w:spacing w:after="0" w:line="275" w:lineRule="auto"/>
        <w:rPr>
          <w:sz w:val="20"/>
          <w:szCs w:val="20"/>
          <w:color w:val="auto"/>
        </w:rPr>
      </w:pPr>
      <w:r>
        <w:rPr>
          <w:rFonts w:ascii="Arial" w:cs="Arial" w:eastAsia="Arial" w:hAnsi="Arial"/>
          <w:sz w:val="18"/>
          <w:szCs w:val="18"/>
          <w:color w:val="auto"/>
        </w:rPr>
        <w:t>May 2016 and ended by its original terms in May 2020, and the Takeda Collaboration Agreement (as defined in Note 5), which became effective in April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primarily of research and development expenses and general and administrative expenses.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4" w:lineRule="exact"/>
        <w:rPr>
          <w:sz w:val="20"/>
          <w:szCs w:val="20"/>
          <w:color w:val="auto"/>
        </w:rPr>
      </w:pPr>
    </w:p>
    <w:p>
      <w:pPr>
        <w:ind w:left="1000" w:right="80" w:hanging="495"/>
        <w:spacing w:after="0" w:line="275"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compensation-related expenses, including employee salaries, bonuses, share-based compensation expense and other related benefits expenses for personnel in our research and development organization;</w:t>
      </w:r>
    </w:p>
    <w:p>
      <w:pPr>
        <w:spacing w:after="0" w:line="63" w:lineRule="exact"/>
        <w:rPr>
          <w:rFonts w:ascii="Arial" w:cs="Arial" w:eastAsia="Arial" w:hAnsi="Arial"/>
          <w:sz w:val="18"/>
          <w:szCs w:val="18"/>
          <w:color w:val="auto"/>
        </w:rPr>
      </w:pPr>
    </w:p>
    <w:p>
      <w:pPr>
        <w:jc w:val="both"/>
        <w:ind w:left="1000" w:right="120" w:hanging="495"/>
        <w:spacing w:after="0" w:line="262"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preclinical and clinical activities on our behalf, as well as contract manufacturing organizations (“CMOs”) that manufacture drug product for use in our preclinical studies and clinical trials;</w:t>
      </w:r>
    </w:p>
    <w:p>
      <w:pPr>
        <w:spacing w:after="0" w:line="75" w:lineRule="exact"/>
        <w:rPr>
          <w:rFonts w:ascii="Arial" w:cs="Arial" w:eastAsia="Arial" w:hAnsi="Arial"/>
          <w:sz w:val="18"/>
          <w:szCs w:val="18"/>
          <w:color w:val="auto"/>
        </w:rPr>
      </w:pPr>
    </w:p>
    <w:p>
      <w:pPr>
        <w:ind w:left="1000" w:hanging="495"/>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incurred related to our internal manufacturing of drug substance for use in our preclinical studies and clinical trials;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related to compliance with regulatory requirements;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related to third-party consultants;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and development supplies and services expenses;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facility-related expenses, including rent, maintenance and other general operating expenses.</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16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primary research and development focus since inception has been the development of our proprietary discovery and drug development platform, PRISM. We are using PRISM, which includes our novel PN backbone chemistry modifications, to design, develop and commercialize a broad pipeline of nucleic acid therapeutic candidates that target RNA using silencing, splicing, and ADAR editing.</w:t>
      </w:r>
    </w:p>
    <w:p>
      <w:pPr>
        <w:spacing w:after="0" w:line="1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 facility-related expenses or other operating expenses to specific programs. These expenses, which are not allocated on a program-by-program basis, are included in the “PRISM (including ADAR editing) and other research and development expenses” category along with other external expenses related to our discovery and development programs, as well as platform development and identification of potential drug discovery candidates.</w:t>
      </w:r>
    </w:p>
    <w:p>
      <w:pPr>
        <w:spacing w:after="0" w:line="17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in the foreseeable future as we continue to manage our existing clinical trials, initiate additional clinical trials for certain product candidates, pursue later stages of clinical development for certain product candidates, maintain our manufacturing capabilities and continue to discover and develop additional product candidates in multiple therapeutic areas.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of directors. General and administrative expenses also include legal fees;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4" w:name="page95"/>
    <w:bookmarkEnd w:id="94"/>
    <w:p>
      <w:pPr>
        <w:ind w:right="80"/>
        <w:spacing w:after="0" w:line="275" w:lineRule="auto"/>
        <w:rPr>
          <w:sz w:val="20"/>
          <w:szCs w:val="20"/>
          <w:color w:val="auto"/>
        </w:rPr>
      </w:pPr>
      <w:r>
        <w:rPr>
          <w:rFonts w:ascii="Arial" w:cs="Arial" w:eastAsia="Arial" w:hAnsi="Arial"/>
          <w:sz w:val="18"/>
          <w:szCs w:val="18"/>
          <w:color w:val="auto"/>
        </w:rPr>
        <w:t>expenses associated with being a public company; professional fees for accounting, auditing, tax and consulting services; insurance costs; travel expenses; other operating costs; and facility-related expenses.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Other income, net consists primarily of refundable tax credits from tax authorities, as well as dividend and interest income earned on cash and cash equivalents balances for the years ended December 31, 2021 and 2020. We recognize refundable tax credits when there is reasonable assurance that we will comply with the requirements of the refundable tax credit and that the refundable tax credit will be received.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a Singapore multi-national company subject to taxation in the United States and various other jurisdictions.</w:t>
      </w:r>
    </w:p>
    <w:p>
      <w:pPr>
        <w:spacing w:after="0" w:line="223"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As of December 31, 2021 and 2020, we have recorded a full valuation allowance against our net operating loss carryforwards and federal and state tax credits in all jurisdictions due to uncertainty regarding future taxable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In this section, we discuss the results of our operations for the year ended </w:t>
      </w:r>
      <w:r>
        <w:rPr>
          <w:rFonts w:ascii="Arial" w:cs="Arial" w:eastAsia="Arial" w:hAnsi="Arial"/>
          <w:sz w:val="17"/>
          <w:szCs w:val="17"/>
          <w:color w:val="000000"/>
        </w:rPr>
        <w:t>December 31, 2021</w:t>
      </w:r>
      <w:r>
        <w:rPr>
          <w:rFonts w:ascii="Arial" w:cs="Arial" w:eastAsia="Arial" w:hAnsi="Arial"/>
          <w:sz w:val="17"/>
          <w:szCs w:val="17"/>
          <w:color w:val="212529"/>
        </w:rPr>
        <w:t xml:space="preserve"> compared to the year ended </w:t>
      </w:r>
      <w:r>
        <w:rPr>
          <w:rFonts w:ascii="Arial" w:cs="Arial" w:eastAsia="Arial" w:hAnsi="Arial"/>
          <w:sz w:val="17"/>
          <w:szCs w:val="17"/>
          <w:color w:val="000000"/>
        </w:rPr>
        <w:t>December 31, 2020</w:t>
      </w:r>
      <w:r>
        <w:rPr>
          <w:rFonts w:ascii="Arial" w:cs="Arial" w:eastAsia="Arial" w:hAnsi="Arial"/>
          <w:sz w:val="17"/>
          <w:szCs w:val="17"/>
          <w:color w:val="212529"/>
        </w:rPr>
        <w: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2021 to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2021 and 2020:</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262"/>
              <w:spacing w:after="0"/>
              <w:rPr>
                <w:sz w:val="20"/>
                <w:szCs w:val="20"/>
                <w:color w:val="auto"/>
              </w:rPr>
            </w:pPr>
            <w:r>
              <w:rPr>
                <w:rFonts w:ascii="Arial" w:cs="Arial" w:eastAsia="Arial" w:hAnsi="Arial"/>
                <w:sz w:val="14"/>
                <w:szCs w:val="14"/>
                <w:b w:val="1"/>
                <w:bCs w:val="1"/>
                <w:color w:val="auto"/>
                <w:w w:val="92"/>
              </w:rPr>
              <w:t>For the Year Ended 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242"/>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20,077</w:t>
            </w:r>
          </w:p>
        </w:tc>
        <w:tc>
          <w:tcPr>
            <w:tcW w:w="2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130,944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(153,377)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net</w:t>
            </w:r>
          </w:p>
        </w:tc>
        <w:tc>
          <w:tcPr>
            <w:tcW w:w="15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(122,449)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(122,245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(149,910</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 of $41.0 million was earned under the Takeda Collaboration Agreement for the year ended December 31, 2021. Revenue of $20.1 million was earned under the Takeda Collaboration Agreement and the Pfizer Collaboration Agreement for the year ended December 31, 2020. The $20.9 million increase is primarily driven by the recognition of $22.5 million of revenue for research and development services related to the Amendment to our Takeda Collaboration Agreement, as described in Note 5, partially offset by the fact that no revenue was earned under the Pfizer Collaboration Agreement in 2021, as it ended by its original terms in May 2020.</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95" w:name="page96"/>
    <w:bookmarkEnd w:id="95"/>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for the years ended December 31, 2021 and 2020:</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8"/>
              </w:rPr>
              <w:t>For the Year Ended December 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5"/>
              <w:spacing w:after="0" w:line="155" w:lineRule="exact"/>
              <w:rPr>
                <w:sz w:val="20"/>
                <w:szCs w:val="20"/>
                <w:color w:val="auto"/>
              </w:rPr>
            </w:pPr>
            <w:r>
              <w:rPr>
                <w:rFonts w:ascii="Arial" w:cs="Arial" w:eastAsia="Arial" w:hAnsi="Arial"/>
                <w:sz w:val="14"/>
                <w:szCs w:val="14"/>
                <w:color w:val="auto"/>
                <w:w w:val="99"/>
              </w:rPr>
              <w:t>(in thousands)</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DMD programs</w:t>
            </w:r>
          </w:p>
        </w:tc>
        <w:tc>
          <w:tcPr>
            <w:tcW w:w="8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4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7,120</w:t>
            </w:r>
          </w:p>
        </w:tc>
        <w:tc>
          <w:tcPr>
            <w:tcW w:w="4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HD programs</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Arial" w:cs="Arial" w:eastAsia="Arial" w:hAnsi="Arial"/>
                <w:sz w:val="18"/>
                <w:szCs w:val="18"/>
                <w:color w:val="auto"/>
              </w:rPr>
              <w:t>PRISM (including ADAR editing) and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other research and development expenses (1)</w:t>
            </w:r>
          </w:p>
        </w:tc>
        <w:tc>
          <w:tcPr>
            <w:tcW w:w="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121,875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130,944</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00" w:hanging="492"/>
        <w:spacing w:after="0" w:line="262"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discovery and development programs, identification of potential drug discovery candidates, and compensation-related expenses, internal manufacturing expenses, equipment repairs and maintenance expense, facility-related expenses and other operating expenses, which are not allocated to specific programs.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were $121.9 million for the year ended December 31, 2021, compared to $130.9 million for the year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decrease of approximately $9.0 million was due primarily to the following:</w:t>
      </w:r>
    </w:p>
    <w:p>
      <w:pPr>
        <w:spacing w:after="0" w:line="101" w:lineRule="exact"/>
        <w:rPr>
          <w:sz w:val="20"/>
          <w:szCs w:val="20"/>
          <w:color w:val="auto"/>
        </w:rPr>
      </w:pPr>
    </w:p>
    <w:p>
      <w:pPr>
        <w:ind w:left="1000" w:right="360" w:hanging="495"/>
        <w:spacing w:after="0" w:line="340"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decrease of $6.0 million in external expenses related to our DMD programs, driven by decreased external expenses related to our discontinued suvodirsen program, partially offset by continuing external expenses for our PN chemistry containing WVE-N531 program;</w:t>
      </w:r>
    </w:p>
    <w:p>
      <w:pPr>
        <w:spacing w:after="0" w:line="16" w:lineRule="exact"/>
        <w:rPr>
          <w:rFonts w:ascii="Arial" w:cs="Arial" w:eastAsia="Arial" w:hAnsi="Arial"/>
          <w:sz w:val="16"/>
          <w:szCs w:val="16"/>
          <w:color w:val="auto"/>
        </w:rPr>
      </w:pPr>
    </w:p>
    <w:p>
      <w:pPr>
        <w:ind w:left="1000" w:right="40" w:hanging="495"/>
        <w:spacing w:after="0" w:line="262"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$7.8 million in external expenses related to our HD programs, driven by decreased external expenses related to our discontinued WVE-120101 and WVE-120102 programs, partially offset by continuing external expenses for our PN chemistry containing WVE-003 program;</w:t>
      </w:r>
    </w:p>
    <w:p>
      <w:pPr>
        <w:spacing w:after="0" w:line="75" w:lineRule="exact"/>
        <w:rPr>
          <w:rFonts w:ascii="Arial" w:cs="Arial" w:eastAsia="Arial" w:hAnsi="Arial"/>
          <w:sz w:val="18"/>
          <w:szCs w:val="18"/>
          <w:color w:val="auto"/>
        </w:rPr>
      </w:pPr>
    </w:p>
    <w:p>
      <w:pPr>
        <w:ind w:left="1000" w:right="340" w:hanging="495"/>
        <w:spacing w:after="0" w:line="275"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$2.2 million in external expenses related to our ALS and FTD programs, including our PN chemistry containing WVE-004 program; and</w:t>
      </w:r>
    </w:p>
    <w:p>
      <w:pPr>
        <w:spacing w:after="0" w:line="63" w:lineRule="exact"/>
        <w:rPr>
          <w:rFonts w:ascii="Arial" w:cs="Arial" w:eastAsia="Arial" w:hAnsi="Arial"/>
          <w:sz w:val="18"/>
          <w:szCs w:val="18"/>
          <w:color w:val="auto"/>
        </w:rPr>
      </w:pPr>
    </w:p>
    <w:p>
      <w:pPr>
        <w:jc w:val="both"/>
        <w:ind w:left="1000" w:right="160" w:hanging="495"/>
        <w:spacing w:after="0" w:line="285"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$2.5 million in internal and external research and development expenses related to PRISM (including ADAR editing) and our other research and development activities that are not allocated on a program-by-program basis, primarily due to increases in compensation-related expenses, as well as increases in other external research and development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General and administrative expenses were $46.1 million for the year ended December 31, 2021 compared to $42.5 million for the year ended December 31, 2020. The increase of $3.6 million was mainly driven by increases in professional services expenses and other general and administrative operating expenses, as well as increases in compensation-related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Other income, net for the years ended December 31, 2021 and 2020 was $4.6 million and $2.6 million, respectively. The increase of approximately $2.0 million in other income, net was primarily driven by increases in estimated refundable tax credits, partially offset by a decrease of approximately $0.5 million in dividend income earned on cash equivalents during the year ended December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1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During the years ended December 31, 2021 and 2020, we recorded income tax benefits of $0.2 million and $0.8 million, respectively, primarily due to the release of a portion of our uncertain tax positions as a result of a lapse in the statute of limitations.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Since our inception, we have not generated any product revenue and have incurred recurring net losses. To date, we have primarily funded our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through private placements of debt and equity securities, public offerings of our ordinary shares and collaborations with third parties. Through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we have received an aggregate of approximately $863.5 million in net proceeds from these transactions. We received $89.3 million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net proceeds from private placements of our debt and equity securities, $100.4 million in net proceeds from our initial public offering, $40.0 million under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Pfizer Agreements (as defined in Note 5), including $10.0 million as an upfront payment under the Pfizer Collaboration Agreement and $30.0 million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form of an equity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96" w:name="page97"/>
    <w:bookmarkEnd w:id="96"/>
    <w:p>
      <w:pPr>
        <w:ind w:right="20"/>
        <w:spacing w:after="0" w:line="263" w:lineRule="auto"/>
        <w:rPr>
          <w:sz w:val="20"/>
          <w:szCs w:val="20"/>
          <w:color w:val="auto"/>
        </w:rPr>
      </w:pPr>
      <w:r>
        <w:rPr>
          <w:rFonts w:ascii="Arial" w:cs="Arial" w:eastAsia="Arial" w:hAnsi="Arial"/>
          <w:sz w:val="18"/>
          <w:szCs w:val="18"/>
          <w:color w:val="auto"/>
        </w:rPr>
        <w:t>investment, $93.5 million in net proceeds from our April 2017 follow-on underwritten public offering, $170.0 million in upfront payments under the Takeda Agreements (as defined in Note 5), including $110.0 million as an upfront payment under the Takeda Collaboration Agreement (as defined in Note 5) and $60.0 million in the form of an equity investment, $161.8 million in net proceeds from our January 2019 follow-on underwritten public offering, $93.7 million in net proceeds from our September 2020 follow-on underwritten public offering and $114.8 million in net proceeds from our at-the-market equity program.</w:t>
      </w:r>
    </w:p>
    <w:p>
      <w:pPr>
        <w:spacing w:after="0" w:line="7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As of December 31, 2021, we had cash and cash equivalents of $150.6 million, restricted cash of $3.7 million and an accumulated deficit of $805.5 million. Our operating lease commitments as of December 31, 2021 total $37.5 million, of which $7.2 million is related to payments in 2022 and $30.3 million is related to payments beyond 2022.</w:t>
      </w:r>
    </w:p>
    <w:p>
      <w:pPr>
        <w:spacing w:after="0" w:line="7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expect that our existing cash and cash equivalents will be sufficient to fund our operations for at least the next twelve months.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Until we can generate significant revenue from product sales, if ever, we expect to continue to finance our operations through a combination of public or private equity or debt financings or other sources, which may include collaborations with third parties. In May 2019, we filed a shelf registration statement on Form S-3ASR with the SEC pursuant to which we registered for sale an indeterminate amount of any combination of our ordinary shares, debt securities, warrants, rights and/or units from time to time and at prices and on terms that we may determine. Our shelf registration statement on Form S-3ASR also includes a prospectus covering up to an aggregate of $250.0 million in ordinary shares that we may issue and sell from time to time, through Jefferies LLC (“Jefferies”) acting as our sales agent, pursuant to the open market sales agreement that we entered into with Jefferies in May 2019, as amended in March 2020 (the “Sales Agreement”), for our “at-the-market” equity program. Since we no longer qualified as a “well-known seasoned issuer” at the time of the filing of our Annual Report on Form 10-K for the year ended December 31, 2019, we previously amended the shelf registration statement to register for sale up to $500.0 million of any combination of our ordinary shares, debt securities, warrants, rights and/or units from time to time and at prices and on terms that we may determine, including the $250.0 million in ordinary shares that we may issue and sell from time to time pursuant to our “at-the-market” equity program. This registration statement, which we refer to as the “2019 Form S-3,” will remain effective for up to three years from the date it initially became effective in May 2019, or until May 2022. During the year ended, December 31, 2021, the Company sold 10,740,915 ordinary shares under its at-the-market equity program for aggregate net proceeds of $54.9 million. As of March 2, 2022, we have approximately $282.0 million in securities available for issuance under our shelf registration statement, including approximately $132.0 million in ordinary shares available for issuance under our at-the-market equity program.</w:t>
      </w:r>
    </w:p>
    <w:p>
      <w:pPr>
        <w:spacing w:after="0" w:line="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or about March 3, 2022, we plan to file a new universal shelf registration on Form S-3 with the SEC, pursuant to which we will register for sale up to $500.0 million of any combination of our ordinary shares, debt securities, warrants, rights and/or units from time to time and at prices and on terms that we may determine, which we refer to as the “2022 Form S-3.” The 2022 Form S-3 includes a prospectus covering up to approximately $132.0 million in ordinary shares remaining that have not yet been issued or sold under our Sales Agreement with Jefferies. We make no assurances as to if or when the 2022 Form S-3 will become effective or, if it does become effective, as to the continued effectiveness of the 2022 Form S-3. Subject to the effectiveness of the 2022 Form S-3, we will deregister the remaining securities under the 2019 Form S-3 and we will not issue or sell any additional securities under the 2019 Form S-3. This report shall not constitute an offer to sell or the solicitation of an offer to buy any securities under the 2022 Form S-3 that we filed with the SEC, nor shall there be any sale of such securities in any state in which such offer, solicitation or sale would be unlawful prior to registration or qualification under the securities laws of any such state.</w:t>
      </w:r>
    </w:p>
    <w:p>
      <w:pPr>
        <w:spacing w:after="0" w:line="7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4"/>
          </w:tcPr>
          <w:p>
            <w:pPr>
              <w:jc w:val="right"/>
              <w:ind w:right="67"/>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2"/>
              </w:rPr>
              <w:t>(88,993)</w:t>
            </w:r>
          </w:p>
        </w:tc>
        <w:tc>
          <w:tcPr>
            <w:tcW w:w="50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(115,982)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55,828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154,538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Effect of foreign exchange rates on cash</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Net increase (decrease) in cash, cash equivalents and restricted cash</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(33,933)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jc w:val="right"/>
              <w:ind w:right="67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4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color w:val="auto"/>
        </w:rPr>
        <w:t>Operating Activities</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2021, operating activities used $89.0 million of cash, primarily due to our net loss of $122.2 million, offset by non-cash charges of $26.2 million, partially offset by changes in our operating assets and liabilities of $7.0 million. The non-cash charges for 2021 related mainly to share-based compensation expense of $16.4 million and depreciation expense of $7.5 million. The largest changes in operating assets and liabilities were a decrease of $30.0 million in accounts receivable and a decrease of $18.5 million in deferred revenue related to the Takeda Collaboration Agreement, as well as a decrease in accounts payable of approximately $6.6 million.</w:t>
      </w:r>
    </w:p>
    <w:p>
      <w:pPr>
        <w:spacing w:after="0" w:line="8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During 2020, operating activities used $116.0 million of cash, primarily due to our net loss of $149.9 million, offset by non-cash charges of $24.3 million, partially offset by changes in our operating assets and liabilities of $9.6 million. The non-cash charges for 2020 related mainly to share-based compensation expense of $14.3 million and depreciation expense of $8.1 million. The largest changes in operating assets and liabilities were a decrease of $20.0 million in accounts receivable and a decrease of $20.1 million in deferred revenue, primarily related to the Takeda Collaboration Agreement and a $14.1 million decrease in other assets primarily related to receiving the reimbursement of the refundable tax credits.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2021, investing activities used $0.6 million of cash, consisting of purchases of property and equipment.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During 2020, investing activities used $1.3 million of cash, consisting of purchases of property and equipment.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During 2021, net cash provided by financing activities was $55.8 million, which was mainly due to the approximately $55.0 million in net proceeds from our at-the-market equity program.</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During 2020, net cash provided by financing activities was $154.5 million, which was mainly due to the $93.7 million in net proceeds from our September 2020 follow-on underwritten public offering and $59.9 million in net proceeds from our at-the-market equity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6"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color w:val="auto"/>
        </w:rPr>
        <w:t>We expect to continue to incur significant expenses in connection with our ongoing research and development activities and our internal cGMP manufacturing activities. Furthermore, we anticipate that our expenses will continue to vary if and as we:</w:t>
      </w:r>
    </w:p>
    <w:p>
      <w:pPr>
        <w:spacing w:after="0" w:line="64" w:lineRule="exact"/>
        <w:rPr>
          <w:sz w:val="20"/>
          <w:szCs w:val="20"/>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to conduct our clinical trials evaluating our product candidates in patients;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 research and preclinical development of discovery targets and advance additional programs into clinical development;</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 clinical trial applications with global regulatory agencies and conduct clinical trials for our programs;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 next steps for our programs in rare, inherited eye diseases;</w:t>
      </w:r>
    </w:p>
    <w:p>
      <w:pPr>
        <w:spacing w:after="0" w:line="115" w:lineRule="exact"/>
        <w:rPr>
          <w:rFonts w:ascii="Arial" w:cs="Arial" w:eastAsia="Arial" w:hAnsi="Arial"/>
          <w:sz w:val="18"/>
          <w:szCs w:val="18"/>
          <w:color w:val="auto"/>
        </w:rPr>
      </w:pPr>
    </w:p>
    <w:p>
      <w:pPr>
        <w:ind w:left="1000" w:right="220" w:hanging="495"/>
        <w:spacing w:after="0" w:line="275"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strategic investments in continuing to innovate our research and development platform, PRISM, and in optimizing our manufacturing processes and formulations;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our manufacturing capabilities through our internal facility and our CMOs;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our intellectual property portfolio and consider the acquisition of complementary intellectual property;</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and obtain regulatory approvals for our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respond to the impacts of the COVID-19 global pandemic on our business; and</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and build capabilities to market, distribute and sell our product candidates.</w:t>
      </w:r>
    </w:p>
    <w:p>
      <w:pPr>
        <w:spacing w:after="0" w:line="22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We may experience delays or encounter issues with any of the above, including but not limited to failed studies, complex results, safety issues or other regulatory challenges.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88" w:right="359" w:bottom="1440" w:gutter="0" w:footer="0" w:header="0"/>
        </w:sectPr>
      </w:pPr>
    </w:p>
    <w:bookmarkStart w:id="98" w:name="page99"/>
    <w:bookmarkEnd w:id="98"/>
    <w:p>
      <w:pPr>
        <w:ind w:right="320"/>
        <w:spacing w:after="0" w:line="258" w:lineRule="auto"/>
        <w:rPr>
          <w:sz w:val="20"/>
          <w:szCs w:val="20"/>
          <w:color w:val="auto"/>
        </w:rPr>
      </w:pPr>
      <w:r>
        <w:rPr>
          <w:rFonts w:ascii="Arial" w:cs="Arial" w:eastAsia="Arial" w:hAnsi="Arial"/>
          <w:sz w:val="18"/>
          <w:szCs w:val="18"/>
          <w:color w:val="auto"/>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future capital outlays and operating expenses associated with completing the research and development for our therapeutic programs. Our future capital requirements for our therapeutic programs will depend on many factors, including:</w:t>
      </w:r>
    </w:p>
    <w:p>
      <w:pPr>
        <w:spacing w:after="0" w:line="79" w:lineRule="exact"/>
        <w:rPr>
          <w:sz w:val="20"/>
          <w:szCs w:val="20"/>
          <w:color w:val="auto"/>
        </w:rPr>
      </w:pPr>
    </w:p>
    <w:p>
      <w:pPr>
        <w:ind w:left="1000" w:right="280" w:hanging="495"/>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progress, results and costs of conducting research and continued preclinical and clinical development for our therapeutic programs and future potential pipeline candidates;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programs that we pursue;</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and to what extent milestone events are achieved under our collaboration with Takeda or any potential future licensee or collaborator;</w:t>
      </w:r>
    </w:p>
    <w:p>
      <w:pPr>
        <w:spacing w:after="0" w:line="138" w:lineRule="exact"/>
        <w:rPr>
          <w:rFonts w:ascii="Arial" w:cs="Arial" w:eastAsia="Arial" w:hAnsi="Arial"/>
          <w:sz w:val="16"/>
          <w:szCs w:val="16"/>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marketing approval for our product candidates;</w:t>
      </w:r>
    </w:p>
    <w:p>
      <w:pPr>
        <w:spacing w:after="0" w:line="115"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impacts of the COVID-19 global pandemic on our business;</w:t>
      </w:r>
    </w:p>
    <w:p>
      <w:pPr>
        <w:spacing w:after="0" w:line="115" w:lineRule="exact"/>
        <w:rPr>
          <w:rFonts w:ascii="Arial" w:cs="Arial" w:eastAsia="Arial" w:hAnsi="Arial"/>
          <w:sz w:val="18"/>
          <w:szCs w:val="18"/>
          <w:color w:val="auto"/>
        </w:rPr>
      </w:pPr>
    </w:p>
    <w:p>
      <w:pPr>
        <w:ind w:left="1000" w:right="60" w:hanging="495"/>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3" w:lineRule="exact"/>
        <w:rPr>
          <w:rFonts w:ascii="Arial" w:cs="Arial" w:eastAsia="Arial" w:hAnsi="Arial"/>
          <w:sz w:val="18"/>
          <w:szCs w:val="18"/>
          <w:color w:val="auto"/>
        </w:rPr>
      </w:pPr>
    </w:p>
    <w:p>
      <w:pPr>
        <w:ind w:left="1000" w:right="460" w:hanging="495"/>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63" w:lineRule="exact"/>
        <w:rPr>
          <w:rFonts w:ascii="Arial" w:cs="Arial" w:eastAsia="Arial" w:hAnsi="Arial"/>
          <w:sz w:val="18"/>
          <w:szCs w:val="18"/>
          <w:color w:val="auto"/>
        </w:rPr>
      </w:pPr>
    </w:p>
    <w:p>
      <w:pPr>
        <w:ind w:left="1000" w:right="260" w:hanging="495"/>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3" w:lineRule="exact"/>
        <w:rPr>
          <w:rFonts w:ascii="Arial" w:cs="Arial" w:eastAsia="Arial" w:hAnsi="Arial"/>
          <w:sz w:val="18"/>
          <w:szCs w:val="18"/>
          <w:color w:val="auto"/>
        </w:rPr>
      </w:pPr>
    </w:p>
    <w:p>
      <w:pPr>
        <w:ind w:left="1000" w:hanging="495"/>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5" w:lineRule="exact"/>
        <w:rPr>
          <w:rFonts w:ascii="Arial" w:cs="Arial" w:eastAsia="Arial" w:hAnsi="Arial"/>
          <w:sz w:val="18"/>
          <w:szCs w:val="18"/>
          <w:color w:val="auto"/>
        </w:rPr>
      </w:pPr>
    </w:p>
    <w:p>
      <w:pPr>
        <w:ind w:left="1000" w:right="780" w:hanging="495"/>
        <w:spacing w:after="0" w:line="27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Adequate additional funds may not be available to us on acceptable terms when we need them, or at all. We do not currently have any committed external source of funds, except for possible future payments from Takeda under the Takeda Collaboration Agreement.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detailed information regarding recently issued and adopted accounting pronouncements and the expected impact on our consolidated financial statements, see Note 2 “Significant Accounting Policies” in the notes to the consolidated financial statements appearing elsewhere in this Annual Report on Form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in the United States of America (“U.S. GAAP”). The preparation of our financial statements and related disclosures requires us to make estimates and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99" w:name="page100"/>
    <w:bookmarkEnd w:id="99"/>
    <w:p>
      <w:pPr>
        <w:ind w:right="40"/>
        <w:spacing w:after="0" w:line="292" w:lineRule="auto"/>
        <w:rPr>
          <w:sz w:val="20"/>
          <w:szCs w:val="20"/>
          <w:color w:val="auto"/>
        </w:rPr>
      </w:pPr>
      <w:r>
        <w:rPr>
          <w:rFonts w:ascii="Arial" w:cs="Arial" w:eastAsia="Arial" w:hAnsi="Arial"/>
          <w:sz w:val="16"/>
          <w:szCs w:val="16"/>
          <w:color w:val="auto"/>
        </w:rPr>
        <w:t>assumptions that affect the reported amount of assets, liabilities, revenue, costs and expenses and related disclosures.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judgment, and therefore we consider them to be our critical accounting policies. We evaluate our estimates and assumptions on an ongoing basis. Our actual results may differ from these estimates under different assumptions and conditions.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recognizes revenue in accordance with Accounting Standards Codification (“ASC”) Topic 606, Revenue from Contracts with Customers (“ASC 606”).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pacing w:after="0" w:line="17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4" w:lineRule="exact"/>
        <w:rPr>
          <w:sz w:val="20"/>
          <w:szCs w:val="20"/>
          <w:color w:val="auto"/>
        </w:rPr>
      </w:pPr>
    </w:p>
    <w:p>
      <w:pPr>
        <w:ind w:right="100" w:firstLine="8"/>
        <w:spacing w:after="0" w:line="272" w:lineRule="auto"/>
        <w:tabs>
          <w:tab w:leader="none" w:pos="2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7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auto"/>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4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In assessing whether a promise or performance obligation is distinct from the other promises, the Company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ind w:right="20"/>
        <w:spacing w:after="0" w:line="288"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If an arrangement is determined to contain a promise or obligation for the Company to perform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 additional goods or services, the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As a practical alternative to estimating the standalone selling price when the goods or services are both (i) similar to the original goods and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not recognized as revenue until the option is exercised and the performance obligation is satisfied.</w:t>
      </w:r>
    </w:p>
    <w:p>
      <w:pPr>
        <w:spacing w:after="0" w:line="18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milestone payments, the Company evaluates whether a significant reversal of</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The Company recognizes as an asset the incremental costs of obtaining a contract with a customer if the costs are expected to be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of accounting for collaboration revenues, see Note 5 of our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1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As we prepare our consolidated financial statements, we are required to estimate our prepaid and accrued expenses. For certain contracts with our CROs and CMOs, if the billing terms do not align with the pattern in which the work is completed by the CRO or CMO as of the end of the period, we are required to perform an analysis to estimate the expense, for the period and to date for each contract.</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Contracts that are subject to this analysis generally relate to the following services: research and development services, manufacturing services, toxicology studies and clinical trial services. Once we have completed our analysis, we will record the estimated expense in the period for each contract and, depending on the invoicing activity related to each contract, we either have a prepaid or accrual as of the end of the period. We base our estimates on communications with internal study managers, our knowledge of the ongoing and past work at the CROs and CMOs, and communications and reporting from our CROs and CMOs, where applicable.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01" w:name="page102"/>
    <w:bookmarkEnd w:id="101"/>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0" w:lineRule="exact"/>
        <w:rPr>
          <w:sz w:val="20"/>
          <w:szCs w:val="20"/>
          <w:color w:val="auto"/>
        </w:rPr>
      </w:pPr>
    </w:p>
    <w:p>
      <w:pPr>
        <w:ind w:right="240"/>
        <w:spacing w:after="0" w:line="340"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are exposed to interest rate risk in the ordinary course of our business. Our cash and cash equivalents are held in readily available checking and money market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Due to our operations outside of the Unites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 For the years ended December 31, 2021 and 2020, changes in foreign currency exchange rates did not have a material impact on our historical financial position, our business, our financial condition, the results of our operations or our cash flows.</w:t>
      </w:r>
    </w:p>
    <w:p>
      <w:pPr>
        <w:spacing w:after="0" w:line="188"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three years.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6" w:lineRule="exact"/>
        <w:rPr>
          <w:sz w:val="20"/>
          <w:szCs w:val="20"/>
          <w:color w:val="auto"/>
        </w:rPr>
      </w:pPr>
    </w:p>
    <w:p>
      <w:pPr>
        <w:ind w:right="680"/>
        <w:spacing w:after="0" w:line="306" w:lineRule="auto"/>
        <w:rPr>
          <w:sz w:val="20"/>
          <w:szCs w:val="20"/>
          <w:color w:val="auto"/>
        </w:rPr>
      </w:pPr>
      <w:r>
        <w:rPr>
          <w:rFonts w:ascii="Arial" w:cs="Arial" w:eastAsia="Arial" w:hAnsi="Arial"/>
          <w:sz w:val="17"/>
          <w:szCs w:val="17"/>
          <w:color w:val="auto"/>
        </w:rPr>
        <w:t>We currently have no product revenues and depend on funds raised through other sources. One possible source of funding is through further equity offerings. Our ability to raise funds in this manner depends upon capital market forces affecting our share price.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principal executive officer and principal financial officer concluded that, as of such date, our disclosure controls and procedures were effective at the reasonable assurance level.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98"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required by Rule 13a-15(d) and 15d-15(d) of the Exchange Act that occurred during the fiscal quarter ended December 31, 2021 that have materially affected, or are reasonably likely to materially affect, our internal control over financial reporting.</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8" w:lineRule="exact"/>
        <w:rPr>
          <w:sz w:val="20"/>
          <w:szCs w:val="20"/>
          <w:color w:val="auto"/>
        </w:rPr>
      </w:pPr>
    </w:p>
    <w:p>
      <w:pPr>
        <w:ind w:left="1000" w:right="140" w:hanging="495"/>
        <w:spacing w:after="0" w:line="27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3" w:lineRule="exact"/>
        <w:rPr>
          <w:rFonts w:ascii="Arial" w:cs="Arial" w:eastAsia="Arial" w:hAnsi="Arial"/>
          <w:sz w:val="18"/>
          <w:szCs w:val="18"/>
          <w:color w:val="auto"/>
        </w:rPr>
      </w:pPr>
    </w:p>
    <w:p>
      <w:pPr>
        <w:ind w:left="1000" w:right="340" w:hanging="495"/>
        <w:spacing w:after="0" w:line="262"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of the company; and</w:t>
      </w:r>
    </w:p>
    <w:p>
      <w:pPr>
        <w:spacing w:after="0" w:line="75" w:lineRule="exact"/>
        <w:rPr>
          <w:rFonts w:ascii="Arial" w:cs="Arial" w:eastAsia="Arial" w:hAnsi="Arial"/>
          <w:sz w:val="18"/>
          <w:szCs w:val="18"/>
          <w:color w:val="auto"/>
        </w:rPr>
      </w:pPr>
    </w:p>
    <w:p>
      <w:pPr>
        <w:ind w:left="1000" w:hanging="495"/>
        <w:spacing w:after="0" w:line="27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Internal Control-Integrated Framework (2013).</w:t>
      </w:r>
    </w:p>
    <w:p>
      <w:pPr>
        <w:spacing w:after="0" w:line="18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Based on our assessment, management believes that, as of December 31, 2021, our internal control over financial reporting is effective based on those criteria.</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a “smaller reporting company” and a “non-accelerated filer,” we are exempt from the auditor attestation requirements of Section 404 of the Sarbanes-Oxley Act of 2002. As a result, KPMG LLP, our independent registered public accounting firm, has not audited or issued an attestation report with respect to the effectiveness of our internal control over financial reporting as of December 31, 2021.</w:t>
      </w: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right="4920"/>
        <w:spacing w:after="0" w:line="40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444" w:right="419" w:bottom="1440" w:gutter="0" w:footer="0" w:header="0"/>
        </w:sectPr>
      </w:pPr>
    </w:p>
    <w:bookmarkStart w:id="103" w:name="page104"/>
    <w:bookmarkEnd w:id="103"/>
    <w:p>
      <w:pPr>
        <w:ind w:left="5260"/>
        <w:spacing w:after="0"/>
        <w:rPr>
          <w:sz w:val="20"/>
          <w:szCs w:val="20"/>
          <w:color w:val="auto"/>
        </w:rPr>
      </w:pPr>
      <w:r>
        <w:rPr>
          <w:rFonts w:ascii="Arial" w:cs="Arial" w:eastAsia="Arial" w:hAnsi="Arial"/>
          <w:sz w:val="18"/>
          <w:szCs w:val="18"/>
          <w:b w:val="1"/>
          <w:bCs w:val="1"/>
          <w:color w:val="auto"/>
        </w:rPr>
        <w:t>PART III</w:t>
      </w: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Securities and Exchange Commission on Schedule 14A in connection with our 2022 Annual General Meeting of Shareholders, or the Proxy Statement, if the Proxy Statement is filed not later than 120 days after the end of our fiscal year ended December 31, 2021, in the sections titled “Management and Corporate Governance,” “Delinquent Section 16(a) Reports,” and “Code of Business Conduct and Ethics,” and is incorporated herein by reference. If the Proxy Statement is not filed within such 120-day period, the information required by this item will be contained in an amendment to this Annual Report on Form 10-K to be filed with the Securities and Exchange Commission, or the Form 10-K/A.</w:t>
      </w:r>
    </w:p>
    <w:p>
      <w:pPr>
        <w:spacing w:after="0" w:line="29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Proxy Statement. If the Proxy Statement is not filed within 120 days after the end of our fiscal year ended December 31, 2021, the information required by this item will be contained in the Form 10-K/A.</w:t>
      </w:r>
    </w:p>
    <w:p>
      <w:pPr>
        <w:spacing w:after="0" w:line="28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0" w:lineRule="exact"/>
        <w:rPr>
          <w:sz w:val="20"/>
          <w:szCs w:val="20"/>
          <w:color w:val="auto"/>
        </w:rPr>
      </w:pPr>
    </w:p>
    <w:p>
      <w:pPr>
        <w:ind w:right="120"/>
        <w:spacing w:after="0" w:line="285"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“Security Ownership of Certain Beneficial Owners and Management” and “Equity Compensation Plan Information” in our Proxy Statement. If the Proxy Statement is not filed within 120 days after the end of our fiscal year ended December 31, 2021, the information required by this item will be contained in the Form 10-K/A.</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“Certain Relationships and Related Person Transactions” and “Management and Corporate Governance – Board of Directors” in our Proxy Statement. If the Proxy Statement is not filed within 120 days after the end of our fiscal year ended December 31, 2021, the information required by this item will be contained in the Form 10-K/A.</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0"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information set forth in the sections titled “Principal Accountant Fees and Services” and “Policy on Audit Committee Pre-Approval of Audit and Permissible Non-Audit Services of Independent Public Accountant and Independent Singapore Auditor” in our Proxy Statement. If the Proxy Statement is not filed within 120 days after the end of our fiscal year ended December 31, 2021, the information required by this item will be contained in the Form 10-K/A.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Boston, MA, Auditor Firm ID: 185.</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36" w:right="3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IV</w:t>
      </w:r>
    </w:p>
    <w:p>
      <w:pPr>
        <w:spacing w:after="0" w:line="22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0"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5" w:lineRule="exact"/>
        <w:rPr>
          <w:rFonts w:ascii="Arial" w:cs="Arial" w:eastAsia="Arial" w:hAnsi="Arial"/>
          <w:sz w:val="18"/>
          <w:szCs w:val="18"/>
          <w:color w:val="auto"/>
        </w:rPr>
      </w:pPr>
    </w:p>
    <w:p>
      <w:pPr>
        <w:ind w:left="1180" w:hanging="176"/>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Index to Consolidated Financial Statements on page 110 of this Annual Report on Form 10-K.</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 Financial Statement Schedules</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financial statements or notes thereto.</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3. Exhibits</w:t>
      </w:r>
    </w:p>
    <w:p>
      <w:pPr>
        <w:spacing w:after="0" w:line="2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with</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Reference herein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40" w:type="dxa"/>
            <w:vAlign w:val="bottom"/>
            <w:gridSpan w:val="21"/>
            <w:vMerge w:val="restart"/>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this</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from Form or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1"/>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89"/>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3600" w:type="dxa"/>
            <w:vAlign w:val="bottom"/>
            <w:tcBorders>
              <w:bottom w:val="single" w:sz="8" w:color="0000EE"/>
            </w:tcBorders>
            <w:gridSpan w:val="14"/>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Constitution (formerly known as Memorandum of</w:t>
              </w:r>
            </w:hyperlink>
          </w:p>
        </w:tc>
        <w:tc>
          <w:tcPr>
            <w:tcW w:w="54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Amendment No. 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56">
              <w:r>
                <w:rPr>
                  <w:rFonts w:ascii="Arial" w:cs="Arial" w:eastAsia="Arial" w:hAnsi="Arial"/>
                  <w:sz w:val="18"/>
                  <w:szCs w:val="18"/>
                  <w:color w:val="0000EE"/>
                </w:rPr>
                <w:t>Association and Articles of Association)</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0"/>
              </w:rPr>
              <w:t>to Form S-1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3.2)</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Specimen Ordinary Share Certificate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Amendment No. 3</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02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 Form S-1</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vMerge w:val="restart"/>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3320" w:type="dxa"/>
            <w:vAlign w:val="bottom"/>
            <w:gridSpan w:val="12"/>
            <w:vMerge w:val="restart"/>
          </w:tcPr>
          <w:p>
            <w:pPr>
              <w:spacing w:after="0"/>
              <w:rPr>
                <w:rFonts w:ascii="Arial" w:cs="Arial" w:eastAsia="Arial" w:hAnsi="Arial"/>
                <w:sz w:val="18"/>
                <w:szCs w:val="18"/>
                <w:color w:val="0000EE"/>
                <w:w w:val="90"/>
              </w:rPr>
            </w:pPr>
            <w:hyperlink w:anchor="page137">
              <w:r>
                <w:rPr>
                  <w:rFonts w:ascii="Arial" w:cs="Arial" w:eastAsia="Arial" w:hAnsi="Arial"/>
                  <w:sz w:val="18"/>
                  <w:szCs w:val="18"/>
                  <w:color w:val="0000EE"/>
                  <w:w w:val="90"/>
                </w:rPr>
                <w:t>Description of Securities of the Registrant and</w:t>
              </w:r>
            </w:hyperlink>
          </w:p>
        </w:tc>
        <w:tc>
          <w:tcPr>
            <w:tcW w:w="820" w:type="dxa"/>
            <w:vAlign w:val="bottom"/>
            <w:gridSpan w:val="12"/>
            <w:vMerge w:val="restart"/>
          </w:tcPr>
          <w:p>
            <w:pPr>
              <w:spacing w:after="0"/>
              <w:rPr>
                <w:sz w:val="19"/>
                <w:szCs w:val="1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9"/>
              </w:rPr>
              <w:t>X</w:t>
            </w: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(Exhibit 4.1)</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tcBorders>
              <w:bottom w:val="single" w:sz="8" w:color="0000EE"/>
            </w:tcBorders>
            <w:gridSpan w:val="12"/>
            <w:vMerge w:val="continue"/>
          </w:tcPr>
          <w:p>
            <w:pPr>
              <w:spacing w:after="0"/>
              <w:rPr>
                <w:sz w:val="15"/>
                <w:szCs w:val="15"/>
                <w:color w:val="auto"/>
              </w:rPr>
            </w:pPr>
          </w:p>
        </w:tc>
        <w:tc>
          <w:tcPr>
            <w:tcW w:w="820" w:type="dxa"/>
            <w:vAlign w:val="bottom"/>
            <w:gridSpan w:val="1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w:anchor="page137">
              <w:r>
                <w:rPr>
                  <w:rFonts w:ascii="Arial" w:cs="Arial" w:eastAsia="Arial" w:hAnsi="Arial"/>
                  <w:sz w:val="18"/>
                  <w:szCs w:val="18"/>
                  <w:color w:val="0000EE"/>
                </w:rPr>
                <w:t>Comparison of Shareholder Rights</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4.3.1</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rPr>
            </w:pPr>
            <w:hyperlink r:id="rId158">
              <w:r>
                <w:rPr>
                  <w:rFonts w:ascii="Arial" w:cs="Arial" w:eastAsia="Arial" w:hAnsi="Arial"/>
                  <w:sz w:val="18"/>
                  <w:szCs w:val="18"/>
                  <w:color w:val="0000EE"/>
                </w:rPr>
                <w:t>Investors’ Rights Agreement by and among the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0" w:type="dxa"/>
            <w:vAlign w:val="bottom"/>
            <w:tcBorders>
              <w:bottom w:val="single" w:sz="8" w:color="0000EE"/>
            </w:tcBorders>
            <w:gridSpan w:val="16"/>
          </w:tcPr>
          <w:p>
            <w:pPr>
              <w:spacing w:after="0" w:line="195"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Registrant and certain of its shareholders, dated as of</w:t>
              </w:r>
            </w:hyperlink>
          </w:p>
        </w:tc>
        <w:tc>
          <w:tcPr>
            <w:tcW w:w="340" w:type="dxa"/>
            <w:vAlign w:val="bottom"/>
            <w:gridSpan w:val="8"/>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5"/>
              </w:rPr>
              <w:t>(Exhibit 4.2)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58">
              <w:r>
                <w:rPr>
                  <w:rFonts w:ascii="Arial" w:cs="Arial" w:eastAsia="Arial" w:hAnsi="Arial"/>
                  <w:sz w:val="18"/>
                  <w:szCs w:val="18"/>
                  <w:color w:val="0000EE"/>
                </w:rPr>
                <w:t>August 14, 2015</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w w:val="98"/>
              </w:rPr>
            </w:pPr>
            <w:hyperlink r:id="rId159">
              <w:r>
                <w:rPr>
                  <w:rFonts w:ascii="Arial" w:cs="Arial" w:eastAsia="Arial" w:hAnsi="Arial"/>
                  <w:sz w:val="18"/>
                  <w:szCs w:val="18"/>
                  <w:color w:val="0000EE"/>
                  <w:w w:val="98"/>
                </w:rPr>
                <w:t>Amendment No. 1 to Investors’ Rights Agreement by</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and among the Registrant and certain of its</w:t>
              </w:r>
            </w:hyperlink>
          </w:p>
        </w:tc>
        <w:tc>
          <w:tcPr>
            <w:tcW w:w="760" w:type="dxa"/>
            <w:vAlign w:val="bottom"/>
            <w:tcBorders>
              <w:top w:val="single" w:sz="8" w:color="0000EE"/>
            </w:tcBorders>
            <w:gridSpan w:val="8"/>
          </w:tcPr>
          <w:p>
            <w:pPr>
              <w:spacing w:after="0"/>
              <w:rPr>
                <w:sz w:val="16"/>
                <w:szCs w:val="16"/>
                <w:color w:val="auto"/>
              </w:rPr>
            </w:pPr>
          </w:p>
        </w:tc>
        <w:tc>
          <w:tcPr>
            <w:tcW w:w="30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59">
              <w:r>
                <w:rPr>
                  <w:rFonts w:ascii="Arial" w:cs="Arial" w:eastAsia="Arial" w:hAnsi="Arial"/>
                  <w:sz w:val="18"/>
                  <w:szCs w:val="18"/>
                  <w:color w:val="0000EE"/>
                </w:rPr>
                <w:t>shareholders, dated as of November 8, 2018</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rPr>
            </w:pPr>
            <w:hyperlink r:id="rId160">
              <w:r>
                <w:rPr>
                  <w:rFonts w:ascii="Arial" w:cs="Arial" w:eastAsia="Arial" w:hAnsi="Arial"/>
                  <w:sz w:val="18"/>
                  <w:szCs w:val="18"/>
                  <w:color w:val="0000EE"/>
                </w:rPr>
                <w:t>Share Purchase Agreement by and between the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tcBorders>
              <w:bottom w:val="single" w:sz="8" w:color="0000EE"/>
            </w:tcBorders>
            <w:gridSpan w:val="21"/>
          </w:tcPr>
          <w:p>
            <w:pPr>
              <w:spacing w:after="0" w:line="195"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Registrant and C.P. Pharmaceuticals International C.V.,</w:t>
              </w:r>
            </w:hyperlink>
          </w:p>
        </w:tc>
        <w:tc>
          <w:tcPr>
            <w:tcW w:w="18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60">
              <w:r>
                <w:rPr>
                  <w:rFonts w:ascii="Arial" w:cs="Arial" w:eastAsia="Arial" w:hAnsi="Arial"/>
                  <w:sz w:val="18"/>
                  <w:szCs w:val="18"/>
                  <w:color w:val="0000EE"/>
                </w:rPr>
                <w:t>dated as of May 5, 2016</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380" w:type="dxa"/>
            <w:vAlign w:val="bottom"/>
            <w:gridSpan w:val="26"/>
          </w:tcPr>
          <w:p>
            <w:pPr>
              <w:spacing w:after="0"/>
              <w:rPr>
                <w:sz w:val="20"/>
                <w:szCs w:val="20"/>
                <w:color w:val="auto"/>
              </w:rPr>
            </w:pPr>
            <w:r>
              <w:rPr>
                <w:rFonts w:ascii="Arial" w:cs="Arial" w:eastAsia="Arial" w:hAnsi="Arial"/>
                <w:sz w:val="18"/>
                <w:szCs w:val="18"/>
                <w:b w:val="1"/>
                <w:bCs w:val="1"/>
                <w:color w:val="auto"/>
              </w:rPr>
              <w:t>Lease Agreements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3900" w:type="dxa"/>
            <w:vAlign w:val="bottom"/>
            <w:tcBorders>
              <w:bottom w:val="single" w:sz="8" w:color="0000EE"/>
            </w:tcBorders>
            <w:gridSpan w:val="19"/>
          </w:tcPr>
          <w:p>
            <w:pPr>
              <w:spacing w:after="0"/>
              <w:rPr>
                <w:rFonts w:ascii="Arial" w:cs="Arial" w:eastAsia="Arial" w:hAnsi="Arial"/>
                <w:sz w:val="18"/>
                <w:szCs w:val="18"/>
                <w:color w:val="0000EE"/>
                <w:w w:val="88"/>
              </w:rPr>
            </w:pPr>
            <w:hyperlink r:id="rId161">
              <w:r>
                <w:rPr>
                  <w:rFonts w:ascii="Arial" w:cs="Arial" w:eastAsia="Arial" w:hAnsi="Arial"/>
                  <w:sz w:val="18"/>
                  <w:szCs w:val="18"/>
                  <w:color w:val="0000EE"/>
                  <w:w w:val="88"/>
                </w:rPr>
                <w:t>Lease Agreement by and between Wave Life Sciences</w:t>
              </w:r>
            </w:hyperlink>
          </w:p>
        </w:tc>
        <w:tc>
          <w:tcPr>
            <w:tcW w:w="24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USA, Inc., the Registrant, and King 733 Concord LLC,</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10.7)</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5"/>
          </w:tcPr>
          <w:p>
            <w:pPr>
              <w:spacing w:after="0" w:line="195"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dated as of April 6, 2015</w:t>
              </w:r>
            </w:hyperlink>
          </w:p>
        </w:tc>
        <w:tc>
          <w:tcPr>
            <w:tcW w:w="2180" w:type="dxa"/>
            <w:vAlign w:val="bottom"/>
            <w:tcBorders>
              <w:top w:val="single" w:sz="8" w:color="0000EE"/>
            </w:tcBorders>
            <w:gridSpan w:val="16"/>
          </w:tcPr>
          <w:p>
            <w:pPr>
              <w:spacing w:after="0"/>
              <w:rPr>
                <w:sz w:val="16"/>
                <w:szCs w:val="16"/>
                <w:color w:val="auto"/>
              </w:rPr>
            </w:pPr>
          </w:p>
        </w:tc>
        <w:tc>
          <w:tcPr>
            <w:tcW w:w="18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First Amendment (to Lease) by and between Wave Life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03/04/2021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Borders>
              <w:top w:val="single" w:sz="8" w:color="0000EE"/>
            </w:tcBorders>
            <w:gridSpan w:val="22"/>
          </w:tcPr>
          <w:p>
            <w:pPr>
              <w:spacing w:after="0" w:line="195"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Sciences USA, Inc. and CPI/King 733 Concord Owner,</w:t>
              </w:r>
            </w:hyperlink>
          </w:p>
        </w:tc>
        <w:tc>
          <w:tcPr>
            <w:tcW w:w="16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10.5.2)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62">
              <w:r>
                <w:rPr>
                  <w:rFonts w:ascii="Arial" w:cs="Arial" w:eastAsia="Arial" w:hAnsi="Arial"/>
                  <w:sz w:val="18"/>
                  <w:szCs w:val="18"/>
                  <w:color w:val="0000EE"/>
                </w:rPr>
                <w:t>LLC, dated as of December 9, 2020</w:t>
              </w:r>
            </w:hyperlink>
          </w:p>
        </w:tc>
        <w:tc>
          <w:tcPr>
            <w:tcW w:w="18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Lease Agreement by and between Wave Life Sciences</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Form 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01/06/2017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top w:val="single" w:sz="8" w:color="0000EE"/>
            </w:tcBorders>
            <w:gridSpan w:val="18"/>
          </w:tcPr>
          <w:p>
            <w:pPr>
              <w:spacing w:after="0" w:line="195" w:lineRule="exact"/>
              <w:rPr>
                <w:rFonts w:ascii="Arial" w:cs="Arial" w:eastAsia="Arial" w:hAnsi="Arial"/>
                <w:sz w:val="18"/>
                <w:szCs w:val="18"/>
                <w:color w:val="0000EE"/>
                <w:w w:val="97"/>
              </w:rPr>
            </w:pPr>
            <w:hyperlink r:id="rId163">
              <w:r>
                <w:rPr>
                  <w:rFonts w:ascii="Arial" w:cs="Arial" w:eastAsia="Arial" w:hAnsi="Arial"/>
                  <w:sz w:val="18"/>
                  <w:szCs w:val="18"/>
                  <w:color w:val="0000EE"/>
                  <w:w w:val="97"/>
                </w:rPr>
                <w:t>USA, Inc. and King 115 Hartwell LLC, dated as of</w:t>
              </w:r>
            </w:hyperlink>
          </w:p>
        </w:tc>
        <w:tc>
          <w:tcPr>
            <w:tcW w:w="26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top w:val="single" w:sz="8" w:color="0000EE"/>
              <w:bottom w:val="single" w:sz="8" w:color="0000EE"/>
            </w:tcBorders>
            <w:gridSpan w:val="3"/>
          </w:tcPr>
          <w:p>
            <w:pPr>
              <w:spacing w:after="0" w:line="195" w:lineRule="exact"/>
              <w:rPr>
                <w:rFonts w:ascii="Arial" w:cs="Arial" w:eastAsia="Arial" w:hAnsi="Arial"/>
                <w:sz w:val="18"/>
                <w:szCs w:val="18"/>
                <w:color w:val="0000EE"/>
                <w:w w:val="86"/>
              </w:rPr>
            </w:pPr>
            <w:hyperlink r:id="rId163">
              <w:r>
                <w:rPr>
                  <w:rFonts w:ascii="Arial" w:cs="Arial" w:eastAsia="Arial" w:hAnsi="Arial"/>
                  <w:sz w:val="18"/>
                  <w:szCs w:val="18"/>
                  <w:color w:val="0000EE"/>
                  <w:w w:val="86"/>
                </w:rPr>
                <w:t>September 26, 2016.</w:t>
              </w:r>
            </w:hyperlink>
          </w:p>
        </w:tc>
        <w:tc>
          <w:tcPr>
            <w:tcW w:w="2160" w:type="dxa"/>
            <w:vAlign w:val="bottom"/>
            <w:tcBorders>
              <w:top w:val="single" w:sz="8" w:color="0000EE"/>
            </w:tcBorders>
            <w:gridSpan w:val="12"/>
          </w:tcPr>
          <w:p>
            <w:pPr>
              <w:spacing w:after="0"/>
              <w:rPr>
                <w:sz w:val="16"/>
                <w:szCs w:val="16"/>
                <w:color w:val="auto"/>
              </w:rPr>
            </w:pPr>
          </w:p>
        </w:tc>
        <w:tc>
          <w:tcPr>
            <w:tcW w:w="50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First Amendment (to Lease) by and between Wave Life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Form 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01/06/2017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0000EE"/>
              <w:bottom w:val="single" w:sz="8" w:color="0000EE"/>
            </w:tcBorders>
            <w:gridSpan w:val="20"/>
          </w:tcPr>
          <w:p>
            <w:pPr>
              <w:spacing w:after="0" w:line="195"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Sciences USA, Inc. and King 115 Hartwell LLC, dated</w:t>
              </w:r>
            </w:hyperlink>
          </w:p>
        </w:tc>
        <w:tc>
          <w:tcPr>
            <w:tcW w:w="40" w:type="dxa"/>
            <w:vAlign w:val="bottom"/>
            <w:tcBorders>
              <w:top w:val="single" w:sz="8" w:color="0000EE"/>
            </w:tcBorders>
            <w:gridSpan w:val="2"/>
          </w:tcPr>
          <w:p>
            <w:pPr>
              <w:spacing w:after="0"/>
              <w:rPr>
                <w:sz w:val="16"/>
                <w:szCs w:val="16"/>
                <w:color w:val="auto"/>
              </w:rPr>
            </w:pPr>
          </w:p>
        </w:tc>
        <w:tc>
          <w:tcPr>
            <w:tcW w:w="16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64">
              <w:r>
                <w:rPr>
                  <w:rFonts w:ascii="Arial" w:cs="Arial" w:eastAsia="Arial" w:hAnsi="Arial"/>
                  <w:sz w:val="18"/>
                  <w:szCs w:val="18"/>
                  <w:color w:val="0000EE"/>
                </w:rPr>
                <w:t>as of December 31, 2016</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0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with</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Reference herein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80" w:type="dxa"/>
            <w:vAlign w:val="bottom"/>
            <w:gridSpan w:val="25"/>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this</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from Form or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25"/>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89"/>
        </w:trPr>
        <w:tc>
          <w:tcPr>
            <w:tcW w:w="5380" w:type="dxa"/>
            <w:vAlign w:val="bottom"/>
            <w:gridSpan w:val="33"/>
          </w:tcPr>
          <w:p>
            <w:pPr>
              <w:spacing w:after="0"/>
              <w:rPr>
                <w:sz w:val="20"/>
                <w:szCs w:val="20"/>
                <w:color w:val="auto"/>
              </w:rPr>
            </w:pPr>
            <w:r>
              <w:rPr>
                <w:rFonts w:ascii="Arial" w:cs="Arial" w:eastAsia="Arial" w:hAnsi="Arial"/>
                <w:sz w:val="18"/>
                <w:szCs w:val="18"/>
                <w:b w:val="1"/>
                <w:bCs w:val="1"/>
                <w:color w:val="auto"/>
              </w:rPr>
              <w:t>Collaboration and License Agreements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240" w:type="dxa"/>
            <w:vAlign w:val="bottom"/>
            <w:gridSpan w:val="2"/>
          </w:tcPr>
          <w:p>
            <w:pPr>
              <w:spacing w:after="0"/>
              <w:rPr>
                <w:sz w:val="20"/>
                <w:szCs w:val="20"/>
                <w:color w:val="auto"/>
              </w:rPr>
            </w:pPr>
            <w:r>
              <w:rPr>
                <w:rFonts w:ascii="Arial" w:cs="Arial" w:eastAsia="Arial" w:hAnsi="Arial"/>
                <w:sz w:val="18"/>
                <w:szCs w:val="18"/>
                <w:color w:val="auto"/>
              </w:rPr>
              <w:t>10.3.1†</w:t>
            </w:r>
          </w:p>
        </w:tc>
        <w:tc>
          <w:tcPr>
            <w:tcW w:w="3900" w:type="dxa"/>
            <w:vAlign w:val="bottom"/>
            <w:tcBorders>
              <w:bottom w:val="single" w:sz="8" w:color="0000EE"/>
            </w:tcBorders>
            <w:gridSpan w:val="25"/>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Collaboration and License Agreement by and between</w:t>
              </w:r>
            </w:hyperlink>
          </w:p>
        </w:tc>
        <w:tc>
          <w:tcPr>
            <w:tcW w:w="24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Borders>
              <w:bottom w:val="single" w:sz="8" w:color="0000EE"/>
            </w:tcBorders>
            <w:gridSpan w:val="29"/>
          </w:tcPr>
          <w:p>
            <w:pPr>
              <w:spacing w:after="0" w:line="195"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Wave Life Sciences USA, Inc., Wave Life Sciences UK</w:t>
              </w:r>
            </w:hyperlink>
          </w:p>
        </w:tc>
        <w:tc>
          <w:tcPr>
            <w:tcW w:w="14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5"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Limited and Takeda Pharmaceutical Company Limited,</w:t>
              </w:r>
            </w:hyperlink>
          </w:p>
        </w:tc>
        <w:tc>
          <w:tcPr>
            <w:tcW w:w="16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bottom w:val="single" w:sz="8" w:color="0000EE"/>
            </w:tcBorders>
            <w:gridSpan w:val="8"/>
          </w:tcPr>
          <w:p>
            <w:pPr>
              <w:spacing w:after="0" w:line="195" w:lineRule="exact"/>
              <w:rPr>
                <w:rFonts w:ascii="Arial" w:cs="Arial" w:eastAsia="Arial" w:hAnsi="Arial"/>
                <w:sz w:val="18"/>
                <w:szCs w:val="18"/>
                <w:color w:val="0000EE"/>
                <w:w w:val="87"/>
              </w:rPr>
            </w:pPr>
            <w:hyperlink r:id="rId167">
              <w:r>
                <w:rPr>
                  <w:rFonts w:ascii="Arial" w:cs="Arial" w:eastAsia="Arial" w:hAnsi="Arial"/>
                  <w:sz w:val="18"/>
                  <w:szCs w:val="18"/>
                  <w:color w:val="0000EE"/>
                  <w:w w:val="87"/>
                </w:rPr>
                <w:t>dated as of February 19, 2018</w:t>
              </w:r>
            </w:hyperlink>
          </w:p>
        </w:tc>
        <w:tc>
          <w:tcPr>
            <w:tcW w:w="2000" w:type="dxa"/>
            <w:vAlign w:val="bottom"/>
            <w:gridSpan w:val="2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240" w:type="dxa"/>
            <w:vAlign w:val="bottom"/>
            <w:gridSpan w:val="2"/>
          </w:tcPr>
          <w:p>
            <w:pPr>
              <w:spacing w:after="0"/>
              <w:rPr>
                <w:sz w:val="20"/>
                <w:szCs w:val="20"/>
                <w:color w:val="auto"/>
              </w:rPr>
            </w:pPr>
            <w:r>
              <w:rPr>
                <w:rFonts w:ascii="Arial" w:cs="Arial" w:eastAsia="Arial" w:hAnsi="Arial"/>
                <w:sz w:val="18"/>
                <w:szCs w:val="18"/>
                <w:color w:val="auto"/>
              </w:rPr>
              <w:t>10.3.2††</w:t>
            </w:r>
          </w:p>
        </w:tc>
        <w:tc>
          <w:tcPr>
            <w:tcW w:w="35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56">
              <w:r>
                <w:rPr>
                  <w:rFonts w:ascii="Arial" w:cs="Arial" w:eastAsia="Arial" w:hAnsi="Arial"/>
                  <w:sz w:val="18"/>
                  <w:szCs w:val="18"/>
                  <w:color w:val="0000EE"/>
                  <w:w w:val="89"/>
                </w:rPr>
                <w:t>Second Amendment to Collaboration and License</w:t>
              </w:r>
            </w:hyperlink>
          </w:p>
        </w:tc>
        <w:tc>
          <w:tcPr>
            <w:tcW w:w="560" w:type="dxa"/>
            <w:vAlign w:val="bottom"/>
            <w:gridSpan w:val="14"/>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0000EE"/>
            </w:tcBorders>
            <w:gridSpan w:val="24"/>
          </w:tcPr>
          <w:p>
            <w:pPr>
              <w:spacing w:after="0" w:line="195"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Agreement by and between Wave Life Sciences USA,</w:t>
              </w:r>
            </w:hyperlink>
          </w:p>
        </w:tc>
        <w:tc>
          <w:tcPr>
            <w:tcW w:w="26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60" w:type="dxa"/>
            <w:vAlign w:val="bottom"/>
            <w:tcBorders>
              <w:bottom w:val="single" w:sz="8" w:color="0000EE"/>
            </w:tcBorders>
            <w:gridSpan w:val="16"/>
          </w:tcPr>
          <w:p>
            <w:pPr>
              <w:spacing w:after="0" w:line="195"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Inc., Wave Life Sciences UK Limited and Takeda</w:t>
              </w:r>
            </w:hyperlink>
          </w:p>
        </w:tc>
        <w:tc>
          <w:tcPr>
            <w:tcW w:w="580" w:type="dxa"/>
            <w:vAlign w:val="bottom"/>
            <w:gridSpan w:val="15"/>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Pharmaceutical Company Limited, dated as of October</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0000EE"/>
              <w:bottom w:val="single" w:sz="8" w:color="0000EE"/>
            </w:tcBorders>
            <w:gridSpan w:val="2"/>
          </w:tcPr>
          <w:p>
            <w:pPr>
              <w:spacing w:after="0" w:line="195" w:lineRule="exact"/>
              <w:rPr>
                <w:rFonts w:ascii="Arial" w:cs="Arial" w:eastAsia="Arial" w:hAnsi="Arial"/>
                <w:sz w:val="18"/>
                <w:szCs w:val="18"/>
                <w:color w:val="0000EE"/>
                <w:w w:val="85"/>
              </w:rPr>
            </w:pPr>
            <w:hyperlink w:anchor="page156">
              <w:r>
                <w:rPr>
                  <w:rFonts w:ascii="Arial" w:cs="Arial" w:eastAsia="Arial" w:hAnsi="Arial"/>
                  <w:sz w:val="18"/>
                  <w:szCs w:val="18"/>
                  <w:color w:val="0000EE"/>
                  <w:w w:val="85"/>
                </w:rPr>
                <w:t>15, 2021</w:t>
              </w:r>
            </w:hyperlink>
          </w:p>
        </w:tc>
        <w:tc>
          <w:tcPr>
            <w:tcW w:w="2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w w:val="98"/>
              </w:rPr>
            </w:pPr>
            <w:hyperlink r:id="rId168">
              <w:r>
                <w:rPr>
                  <w:rFonts w:ascii="Arial" w:cs="Arial" w:eastAsia="Arial" w:hAnsi="Arial"/>
                  <w:sz w:val="18"/>
                  <w:szCs w:val="18"/>
                  <w:color w:val="0000EE"/>
                  <w:w w:val="98"/>
                </w:rPr>
                <w:t>Share Purchase Agreement by and between Takeda</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w w:val="96"/>
              </w:rPr>
            </w:pPr>
            <w:hyperlink r:id="rId168">
              <w:r>
                <w:rPr>
                  <w:rFonts w:ascii="Arial" w:cs="Arial" w:eastAsia="Arial" w:hAnsi="Arial"/>
                  <w:sz w:val="18"/>
                  <w:szCs w:val="18"/>
                  <w:color w:val="0000EE"/>
                  <w:w w:val="96"/>
                </w:rPr>
                <w:t>Pharmaceutical Company Limited and the Registrant,</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Borders>
              <w:top w:val="single" w:sz="8" w:color="0000EE"/>
              <w:bottom w:val="single" w:sz="8" w:color="0000EE"/>
            </w:tcBorders>
            <w:gridSpan w:val="8"/>
          </w:tcPr>
          <w:p>
            <w:pPr>
              <w:spacing w:after="0" w:line="195" w:lineRule="exact"/>
              <w:rPr>
                <w:rFonts w:ascii="Arial" w:cs="Arial" w:eastAsia="Arial" w:hAnsi="Arial"/>
                <w:sz w:val="18"/>
                <w:szCs w:val="18"/>
                <w:color w:val="0000EE"/>
                <w:w w:val="87"/>
              </w:rPr>
            </w:pPr>
            <w:hyperlink r:id="rId168">
              <w:r>
                <w:rPr>
                  <w:rFonts w:ascii="Arial" w:cs="Arial" w:eastAsia="Arial" w:hAnsi="Arial"/>
                  <w:sz w:val="18"/>
                  <w:szCs w:val="18"/>
                  <w:color w:val="0000EE"/>
                  <w:w w:val="87"/>
                </w:rPr>
                <w:t>dated as of February 19, 2018</w:t>
              </w:r>
            </w:hyperlink>
          </w:p>
        </w:tc>
        <w:tc>
          <w:tcPr>
            <w:tcW w:w="1700" w:type="dxa"/>
            <w:vAlign w:val="bottom"/>
            <w:tcBorders>
              <w:top w:val="single" w:sz="8" w:color="0000EE"/>
            </w:tcBorders>
            <w:gridSpan w:val="14"/>
          </w:tcPr>
          <w:p>
            <w:pPr>
              <w:spacing w:after="0"/>
              <w:rPr>
                <w:sz w:val="16"/>
                <w:szCs w:val="16"/>
                <w:color w:val="auto"/>
              </w:rPr>
            </w:pPr>
          </w:p>
        </w:tc>
        <w:tc>
          <w:tcPr>
            <w:tcW w:w="30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8"/>
              </w:rPr>
            </w:pPr>
            <w:hyperlink r:id="rId169">
              <w:r>
                <w:rPr>
                  <w:rFonts w:ascii="Arial" w:cs="Arial" w:eastAsia="Arial" w:hAnsi="Arial"/>
                  <w:sz w:val="18"/>
                  <w:szCs w:val="18"/>
                  <w:color w:val="0000EE"/>
                  <w:w w:val="88"/>
                </w:rPr>
                <w:t>Investor Agreement by and between Takeda</w:t>
              </w:r>
            </w:hyperlink>
          </w:p>
        </w:tc>
        <w:tc>
          <w:tcPr>
            <w:tcW w:w="980" w:type="dxa"/>
            <w:vAlign w:val="bottom"/>
            <w:gridSpan w:val="19"/>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w w:val="96"/>
              </w:rPr>
            </w:pPr>
            <w:hyperlink r:id="rId169">
              <w:r>
                <w:rPr>
                  <w:rFonts w:ascii="Arial" w:cs="Arial" w:eastAsia="Arial" w:hAnsi="Arial"/>
                  <w:sz w:val="18"/>
                  <w:szCs w:val="18"/>
                  <w:color w:val="0000EE"/>
                  <w:w w:val="96"/>
                </w:rPr>
                <w:t>Pharmaceutical Company Limited and the Registrant,</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top w:val="single" w:sz="8" w:color="0000EE"/>
              <w:bottom w:val="single" w:sz="8" w:color="0000EE"/>
            </w:tcBorders>
            <w:gridSpan w:val="7"/>
          </w:tcPr>
          <w:p>
            <w:pPr>
              <w:spacing w:after="0" w:line="195"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dated as of April 2, 2018</w:t>
              </w:r>
            </w:hyperlink>
          </w:p>
        </w:tc>
        <w:tc>
          <w:tcPr>
            <w:tcW w:w="2060" w:type="dxa"/>
            <w:vAlign w:val="bottom"/>
            <w:tcBorders>
              <w:top w:val="single" w:sz="8" w:color="0000EE"/>
            </w:tcBorders>
            <w:gridSpan w:val="15"/>
          </w:tcPr>
          <w:p>
            <w:pPr>
              <w:spacing w:after="0"/>
              <w:rPr>
                <w:sz w:val="16"/>
                <w:szCs w:val="16"/>
                <w:color w:val="auto"/>
              </w:rPr>
            </w:pPr>
          </w:p>
        </w:tc>
        <w:tc>
          <w:tcPr>
            <w:tcW w:w="300" w:type="dxa"/>
            <w:vAlign w:val="bottom"/>
            <w:gridSpan w:val="9"/>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5380" w:type="dxa"/>
            <w:vAlign w:val="bottom"/>
            <w:gridSpan w:val="33"/>
          </w:tcPr>
          <w:p>
            <w:pPr>
              <w:spacing w:after="0"/>
              <w:rPr>
                <w:sz w:val="20"/>
                <w:szCs w:val="20"/>
                <w:color w:val="auto"/>
              </w:rPr>
            </w:pPr>
            <w:r>
              <w:rPr>
                <w:rFonts w:ascii="Arial" w:cs="Arial" w:eastAsia="Arial" w:hAnsi="Arial"/>
                <w:sz w:val="18"/>
                <w:szCs w:val="18"/>
                <w:b w:val="1"/>
                <w:bCs w:val="1"/>
                <w:color w:val="auto"/>
              </w:rPr>
              <w:t>Agreements with Executive Officers and Directors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rPr>
            </w:pPr>
            <w:hyperlink r:id="rId170">
              <w:r>
                <w:rPr>
                  <w:rFonts w:ascii="Arial" w:cs="Arial" w:eastAsia="Arial" w:hAnsi="Arial"/>
                  <w:sz w:val="18"/>
                  <w:szCs w:val="18"/>
                  <w:color w:val="0000EE"/>
                </w:rPr>
                <w:t>Form of Deed of Indemnity by and between the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60" w:type="dxa"/>
            <w:vAlign w:val="bottom"/>
            <w:tcBorders>
              <w:bottom w:val="single" w:sz="8" w:color="0000EE"/>
            </w:tcBorders>
            <w:gridSpan w:val="21"/>
          </w:tcPr>
          <w:p>
            <w:pPr>
              <w:spacing w:after="0" w:line="195"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Registrant and each of its directors and certain of its</w:t>
              </w:r>
            </w:hyperlink>
          </w:p>
        </w:tc>
        <w:tc>
          <w:tcPr>
            <w:tcW w:w="380" w:type="dxa"/>
            <w:vAlign w:val="bottom"/>
            <w:gridSpan w:val="10"/>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3"/>
              </w:rPr>
              <w:t>(Exhibit 10.11)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Borders>
              <w:bottom w:val="single" w:sz="8" w:color="0000EE"/>
            </w:tcBorders>
          </w:tcPr>
          <w:p>
            <w:pPr>
              <w:spacing w:after="0" w:line="195"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officers</w:t>
              </w:r>
            </w:hyperlink>
          </w:p>
        </w:tc>
        <w:tc>
          <w:tcPr>
            <w:tcW w:w="3600" w:type="dxa"/>
            <w:vAlign w:val="bottom"/>
            <w:gridSpan w:val="30"/>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w w:val="99"/>
              </w:rPr>
            </w:pPr>
            <w:hyperlink r:id="rId171">
              <w:r>
                <w:rPr>
                  <w:rFonts w:ascii="Arial" w:cs="Arial" w:eastAsia="Arial" w:hAnsi="Arial"/>
                  <w:sz w:val="18"/>
                  <w:szCs w:val="18"/>
                  <w:color w:val="0000EE"/>
                  <w:w w:val="99"/>
                </w:rPr>
                <w:t>Employment Agreement, as amended and restated,</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08/10/2020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w w:val="95"/>
              </w:rPr>
            </w:pPr>
            <w:hyperlink r:id="rId171">
              <w:r>
                <w:rPr>
                  <w:rFonts w:ascii="Arial" w:cs="Arial" w:eastAsia="Arial" w:hAnsi="Arial"/>
                  <w:sz w:val="18"/>
                  <w:szCs w:val="18"/>
                  <w:color w:val="0000EE"/>
                  <w:w w:val="95"/>
                </w:rPr>
                <w:t>between the Registrant and Paul B. Bolno, dated as of</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6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r:id="rId171">
              <w:r>
                <w:rPr>
                  <w:rFonts w:ascii="Arial" w:cs="Arial" w:eastAsia="Arial" w:hAnsi="Arial"/>
                  <w:sz w:val="18"/>
                  <w:szCs w:val="18"/>
                  <w:color w:val="0000EE"/>
                </w:rPr>
                <w:t>May 8, 2020</w:t>
              </w:r>
            </w:hyperlink>
          </w:p>
        </w:tc>
        <w:tc>
          <w:tcPr>
            <w:tcW w:w="280" w:type="dxa"/>
            <w:vAlign w:val="bottom"/>
            <w:gridSpan w:val="8"/>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w w:val="99"/>
              </w:rPr>
            </w:pPr>
            <w:hyperlink r:id="rId172">
              <w:r>
                <w:rPr>
                  <w:rFonts w:ascii="Arial" w:cs="Arial" w:eastAsia="Arial" w:hAnsi="Arial"/>
                  <w:sz w:val="18"/>
                  <w:szCs w:val="18"/>
                  <w:color w:val="0000EE"/>
                  <w:w w:val="99"/>
                </w:rPr>
                <w:t>Employment Agreement, as amended and restated,</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08/10/2020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5" w:lineRule="exact"/>
              <w:rPr>
                <w:rFonts w:ascii="Arial" w:cs="Arial" w:eastAsia="Arial" w:hAnsi="Arial"/>
                <w:sz w:val="18"/>
                <w:szCs w:val="18"/>
                <w:color w:val="0000EE"/>
                <w:w w:val="86"/>
              </w:rPr>
            </w:pPr>
            <w:hyperlink r:id="rId172">
              <w:r>
                <w:rPr>
                  <w:rFonts w:ascii="Arial" w:cs="Arial" w:eastAsia="Arial" w:hAnsi="Arial"/>
                  <w:sz w:val="18"/>
                  <w:szCs w:val="18"/>
                  <w:color w:val="0000EE"/>
                  <w:w w:val="86"/>
                </w:rPr>
                <w:t>between the Registrant and Chandra Vargeese, dated as</w:t>
              </w:r>
            </w:hyperlink>
          </w:p>
        </w:tc>
        <w:tc>
          <w:tcPr>
            <w:tcW w:w="18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bottom w:val="single" w:sz="8" w:color="0000EE"/>
            </w:tcBorders>
            <w:gridSpan w:val="4"/>
          </w:tcPr>
          <w:p>
            <w:pPr>
              <w:spacing w:after="0" w:line="195" w:lineRule="exact"/>
              <w:rPr>
                <w:rFonts w:ascii="Arial" w:cs="Arial" w:eastAsia="Arial" w:hAnsi="Arial"/>
                <w:sz w:val="18"/>
                <w:szCs w:val="18"/>
                <w:color w:val="0000EE"/>
                <w:w w:val="90"/>
              </w:rPr>
            </w:pPr>
            <w:hyperlink r:id="rId172">
              <w:r>
                <w:rPr>
                  <w:rFonts w:ascii="Arial" w:cs="Arial" w:eastAsia="Arial" w:hAnsi="Arial"/>
                  <w:sz w:val="18"/>
                  <w:szCs w:val="18"/>
                  <w:color w:val="0000EE"/>
                  <w:w w:val="90"/>
                </w:rPr>
                <w:t>of May 8, 2020</w:t>
              </w:r>
            </w:hyperlink>
          </w:p>
        </w:tc>
        <w:tc>
          <w:tcPr>
            <w:tcW w:w="3040" w:type="dxa"/>
            <w:vAlign w:val="bottom"/>
            <w:gridSpan w:val="2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rPr>
            </w:pPr>
            <w:hyperlink r:id="rId173">
              <w:r>
                <w:rPr>
                  <w:rFonts w:ascii="Arial" w:cs="Arial" w:eastAsia="Arial" w:hAnsi="Arial"/>
                  <w:sz w:val="18"/>
                  <w:szCs w:val="18"/>
                  <w:color w:val="0000EE"/>
                </w:rPr>
                <w:t>Offer Letter by and between the Registrant and</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Christopher Francis, Ph.D., dated as of March 10, 2014</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10.15)</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24"/>
                <w:szCs w:val="24"/>
                <w:color w:val="auto"/>
              </w:rPr>
            </w:pPr>
          </w:p>
        </w:tc>
        <w:tc>
          <w:tcPr>
            <w:tcW w:w="376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Employment Agreement between the Registrant and</w:t>
              </w:r>
            </w:hyperlink>
          </w:p>
        </w:tc>
        <w:tc>
          <w:tcPr>
            <w:tcW w:w="200" w:type="dxa"/>
            <w:vAlign w:val="bottom"/>
            <w:tcBorders>
              <w:top w:val="single" w:sz="8" w:color="0000EE"/>
            </w:tcBorders>
            <w:gridSpan w:val="6"/>
          </w:tcPr>
          <w:p>
            <w:pPr>
              <w:spacing w:after="0"/>
              <w:rPr>
                <w:sz w:val="24"/>
                <w:szCs w:val="24"/>
                <w:color w:val="auto"/>
              </w:rPr>
            </w:pPr>
          </w:p>
        </w:tc>
        <w:tc>
          <w:tcPr>
            <w:tcW w:w="18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Borders>
              <w:bottom w:val="single" w:sz="8" w:color="0000EE"/>
            </w:tcBorders>
            <w:gridSpan w:val="14"/>
          </w:tcPr>
          <w:p>
            <w:pPr>
              <w:spacing w:after="0" w:line="195"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Michael Panzara, M.D. dated as of July 11, 2016</w:t>
              </w:r>
            </w:hyperlink>
          </w:p>
        </w:tc>
        <w:tc>
          <w:tcPr>
            <w:tcW w:w="640" w:type="dxa"/>
            <w:vAlign w:val="bottom"/>
            <w:gridSpan w:val="1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10.4)</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Employment Agreement, as amended and restated,</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03/04/2021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tcBorders>
              <w:bottom w:val="single" w:sz="8" w:color="0000EE"/>
            </w:tcBorders>
            <w:gridSpan w:val="20"/>
          </w:tcPr>
          <w:p>
            <w:pPr>
              <w:spacing w:after="0" w:line="195"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between the Registrant and Kyle Moran, dated as of</w:t>
              </w:r>
            </w:hyperlink>
          </w:p>
        </w:tc>
        <w:tc>
          <w:tcPr>
            <w:tcW w:w="400" w:type="dxa"/>
            <w:vAlign w:val="bottom"/>
            <w:gridSpan w:val="11"/>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10.15)</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Borders>
              <w:bottom w:val="single" w:sz="8" w:color="0000EE"/>
            </w:tcBorders>
            <w:gridSpan w:val="5"/>
          </w:tcPr>
          <w:p>
            <w:pPr>
              <w:spacing w:after="0" w:line="195" w:lineRule="exact"/>
              <w:rPr>
                <w:rFonts w:ascii="Arial" w:cs="Arial" w:eastAsia="Arial" w:hAnsi="Arial"/>
                <w:sz w:val="18"/>
                <w:szCs w:val="18"/>
                <w:color w:val="0000EE"/>
                <w:w w:val="86"/>
              </w:rPr>
            </w:pPr>
            <w:hyperlink r:id="rId175">
              <w:r>
                <w:rPr>
                  <w:rFonts w:ascii="Arial" w:cs="Arial" w:eastAsia="Arial" w:hAnsi="Arial"/>
                  <w:sz w:val="18"/>
                  <w:szCs w:val="18"/>
                  <w:color w:val="0000EE"/>
                  <w:w w:val="86"/>
                </w:rPr>
                <w:t>January 1, 2021</w:t>
              </w:r>
            </w:hyperlink>
          </w:p>
        </w:tc>
        <w:tc>
          <w:tcPr>
            <w:tcW w:w="3000" w:type="dxa"/>
            <w:vAlign w:val="bottom"/>
            <w:gridSpan w:val="26"/>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rPr>
            </w:pPr>
            <w:hyperlink r:id="rId176">
              <w:r>
                <w:rPr>
                  <w:rFonts w:ascii="Arial" w:cs="Arial" w:eastAsia="Arial" w:hAnsi="Arial"/>
                  <w:sz w:val="18"/>
                  <w:szCs w:val="18"/>
                  <w:color w:val="0000EE"/>
                </w:rPr>
                <w:t>Non-Employee Director Compensation Policy, as</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tcBorders>
              <w:top w:val="single" w:sz="8" w:color="0000EE"/>
              <w:bottom w:val="single" w:sz="8" w:color="0000EE"/>
            </w:tcBorders>
            <w:gridSpan w:val="11"/>
          </w:tcPr>
          <w:p>
            <w:pPr>
              <w:spacing w:after="0" w:line="195"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amended, effective as of August 16, 2021</w:t>
              </w:r>
            </w:hyperlink>
          </w:p>
        </w:tc>
        <w:tc>
          <w:tcPr>
            <w:tcW w:w="560" w:type="dxa"/>
            <w:vAlign w:val="bottom"/>
            <w:tcBorders>
              <w:top w:val="single" w:sz="8" w:color="0000EE"/>
            </w:tcBorders>
            <w:gridSpan w:val="4"/>
          </w:tcPr>
          <w:p>
            <w:pPr>
              <w:spacing w:after="0"/>
              <w:rPr>
                <w:sz w:val="16"/>
                <w:szCs w:val="16"/>
                <w:color w:val="auto"/>
              </w:rPr>
            </w:pPr>
          </w:p>
        </w:tc>
        <w:tc>
          <w:tcPr>
            <w:tcW w:w="600" w:type="dxa"/>
            <w:vAlign w:val="bottom"/>
            <w:gridSpan w:val="16"/>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4"/>
                <w:szCs w:val="24"/>
                <w:color w:val="auto"/>
              </w:rPr>
            </w:pPr>
          </w:p>
        </w:tc>
        <w:tc>
          <w:tcPr>
            <w:tcW w:w="3720" w:type="dxa"/>
            <w:vAlign w:val="bottom"/>
            <w:tcBorders>
              <w:bottom w:val="single" w:sz="8" w:color="0000EE"/>
            </w:tcBorders>
            <w:gridSpan w:val="19"/>
          </w:tcPr>
          <w:p>
            <w:pPr>
              <w:spacing w:after="0"/>
              <w:rPr>
                <w:rFonts w:ascii="Arial" w:cs="Arial" w:eastAsia="Arial" w:hAnsi="Arial"/>
                <w:sz w:val="18"/>
                <w:szCs w:val="18"/>
                <w:color w:val="0000EE"/>
                <w:w w:val="90"/>
              </w:rPr>
            </w:pPr>
            <w:hyperlink r:id="rId177">
              <w:r>
                <w:rPr>
                  <w:rFonts w:ascii="Arial" w:cs="Arial" w:eastAsia="Arial" w:hAnsi="Arial"/>
                  <w:sz w:val="18"/>
                  <w:szCs w:val="18"/>
                  <w:color w:val="0000EE"/>
                  <w:w w:val="90"/>
                </w:rPr>
                <w:t>Consulting Agreement by and between Ontorii, Inc.</w:t>
              </w:r>
            </w:hyperlink>
          </w:p>
        </w:tc>
        <w:tc>
          <w:tcPr>
            <w:tcW w:w="42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Borders>
              <w:bottom w:val="single" w:sz="8" w:color="0000EE"/>
            </w:tcBorders>
            <w:gridSpan w:val="18"/>
          </w:tcPr>
          <w:p>
            <w:pPr>
              <w:spacing w:after="0" w:line="195"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(now Wave Life Sciences USA, Inc.) and Gregory</w:t>
              </w:r>
            </w:hyperlink>
          </w:p>
        </w:tc>
        <w:tc>
          <w:tcPr>
            <w:tcW w:w="500" w:type="dxa"/>
            <w:vAlign w:val="bottom"/>
            <w:gridSpan w:val="1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10.16)</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rPr>
            </w:pPr>
            <w:hyperlink r:id="rId177">
              <w:r>
                <w:rPr>
                  <w:rFonts w:ascii="Arial" w:cs="Arial" w:eastAsia="Arial" w:hAnsi="Arial"/>
                  <w:sz w:val="18"/>
                  <w:szCs w:val="18"/>
                  <w:color w:val="0000EE"/>
                </w:rPr>
                <w:t>Verdine, dated as of April 1, 2012</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24"/>
                <w:szCs w:val="24"/>
                <w:color w:val="auto"/>
              </w:rPr>
            </w:pPr>
          </w:p>
        </w:tc>
        <w:tc>
          <w:tcPr>
            <w:tcW w:w="4140" w:type="dxa"/>
            <w:vAlign w:val="bottom"/>
            <w:gridSpan w:val="31"/>
          </w:tcPr>
          <w:p>
            <w:pPr>
              <w:spacing w:after="0"/>
              <w:rPr>
                <w:rFonts w:ascii="Arial" w:cs="Arial" w:eastAsia="Arial" w:hAnsi="Arial"/>
                <w:sz w:val="18"/>
                <w:szCs w:val="18"/>
                <w:color w:val="0000EE"/>
                <w:w w:val="95"/>
              </w:rPr>
            </w:pPr>
            <w:hyperlink r:id="rId178">
              <w:r>
                <w:rPr>
                  <w:rFonts w:ascii="Arial" w:cs="Arial" w:eastAsia="Arial" w:hAnsi="Arial"/>
                  <w:sz w:val="18"/>
                  <w:szCs w:val="18"/>
                  <w:color w:val="0000EE"/>
                  <w:w w:val="95"/>
                </w:rPr>
                <w:t>Nominee Director Fee Agreement by and between the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Borders>
              <w:top w:val="single" w:sz="8" w:color="0000EE"/>
              <w:bottom w:val="single" w:sz="8" w:color="0000EE"/>
            </w:tcBorders>
            <w:gridSpan w:val="14"/>
          </w:tcPr>
          <w:p>
            <w:pPr>
              <w:spacing w:after="0" w:line="195"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Registrant and Miura &amp; Associates Management</w:t>
              </w:r>
            </w:hyperlink>
          </w:p>
        </w:tc>
        <w:tc>
          <w:tcPr>
            <w:tcW w:w="360" w:type="dxa"/>
            <w:vAlign w:val="bottom"/>
            <w:tcBorders>
              <w:top w:val="single" w:sz="8" w:color="0000EE"/>
            </w:tcBorders>
            <w:gridSpan w:val="9"/>
          </w:tcPr>
          <w:p>
            <w:pPr>
              <w:spacing w:after="0"/>
              <w:rPr>
                <w:sz w:val="16"/>
                <w:szCs w:val="16"/>
                <w:color w:val="auto"/>
              </w:rPr>
            </w:pPr>
          </w:p>
        </w:tc>
        <w:tc>
          <w:tcPr>
            <w:tcW w:w="280" w:type="dxa"/>
            <w:vAlign w:val="bottom"/>
            <w:gridSpan w:val="8"/>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4"/>
              </w:rPr>
              <w:t>(Exhibit 10.17)</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31"/>
          </w:tcPr>
          <w:p>
            <w:pPr>
              <w:spacing w:after="0" w:line="195" w:lineRule="exact"/>
              <w:rPr>
                <w:rFonts w:ascii="Arial" w:cs="Arial" w:eastAsia="Arial" w:hAnsi="Arial"/>
                <w:sz w:val="18"/>
                <w:szCs w:val="18"/>
                <w:color w:val="0000EE"/>
              </w:rPr>
            </w:pPr>
            <w:hyperlink r:id="rId178">
              <w:r>
                <w:rPr>
                  <w:rFonts w:ascii="Arial" w:cs="Arial" w:eastAsia="Arial" w:hAnsi="Arial"/>
                  <w:sz w:val="18"/>
                  <w:szCs w:val="18"/>
                  <w:color w:val="0000EE"/>
                </w:rPr>
                <w:t>Consultants Pte. Ltd., dated as of October 23, 2012</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0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with</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Reference herein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40" w:type="dxa"/>
            <w:vAlign w:val="bottom"/>
            <w:gridSpan w:val="21"/>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this</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from Form or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1"/>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89"/>
        </w:trPr>
        <w:tc>
          <w:tcPr>
            <w:tcW w:w="29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Equity and Other Compensation Plans</w:t>
            </w:r>
          </w:p>
        </w:tc>
        <w:tc>
          <w:tcPr>
            <w:tcW w:w="2400" w:type="dxa"/>
            <w:vAlign w:val="bottom"/>
            <w:gridSpan w:val="21"/>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24"/>
                <w:szCs w:val="24"/>
                <w:color w:val="auto"/>
              </w:rPr>
            </w:pPr>
          </w:p>
        </w:tc>
        <w:tc>
          <w:tcPr>
            <w:tcW w:w="4000" w:type="dxa"/>
            <w:vAlign w:val="bottom"/>
            <w:tcBorders>
              <w:bottom w:val="single" w:sz="8" w:color="0000EE"/>
            </w:tcBorders>
            <w:gridSpan w:val="22"/>
          </w:tcPr>
          <w:p>
            <w:pPr>
              <w:spacing w:after="0"/>
              <w:rPr>
                <w:rFonts w:ascii="Arial" w:cs="Arial" w:eastAsia="Arial" w:hAnsi="Arial"/>
                <w:sz w:val="18"/>
                <w:szCs w:val="18"/>
                <w:color w:val="0000EE"/>
                <w:w w:val="90"/>
              </w:rPr>
            </w:pPr>
            <w:hyperlink r:id="rId181">
              <w:r>
                <w:rPr>
                  <w:rFonts w:ascii="Arial" w:cs="Arial" w:eastAsia="Arial" w:hAnsi="Arial"/>
                  <w:sz w:val="18"/>
                  <w:szCs w:val="18"/>
                  <w:color w:val="0000EE"/>
                  <w:w w:val="90"/>
                </w:rPr>
                <w:t>Wave Life Sciences Ltd. 2014 Equity Incentive Plan, as</w:t>
              </w:r>
            </w:hyperlink>
          </w:p>
        </w:tc>
        <w:tc>
          <w:tcPr>
            <w:tcW w:w="1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tcBorders>
              <w:bottom w:val="single" w:sz="8" w:color="0000EE"/>
            </w:tcBorders>
            <w:gridSpan w:val="6"/>
          </w:tcPr>
          <w:p>
            <w:pPr>
              <w:spacing w:after="0" w:line="195"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amended (the “2014 Equity Plan”)</w:t>
              </w:r>
            </w:hyperlink>
          </w:p>
        </w:tc>
        <w:tc>
          <w:tcPr>
            <w:tcW w:w="1660" w:type="dxa"/>
            <w:vAlign w:val="bottom"/>
            <w:gridSpan w:val="18"/>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24"/>
                <w:szCs w:val="24"/>
                <w:color w:val="auto"/>
              </w:rPr>
            </w:pPr>
          </w:p>
        </w:tc>
        <w:tc>
          <w:tcPr>
            <w:tcW w:w="3780" w:type="dxa"/>
            <w:vAlign w:val="bottom"/>
            <w:tcBorders>
              <w:bottom w:val="single" w:sz="8" w:color="0000EE"/>
            </w:tcBorders>
            <w:gridSpan w:val="16"/>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Wave Life Sciences Ltd. 2021 Equity Incentive Plan</w:t>
              </w:r>
            </w:hyperlink>
          </w:p>
        </w:tc>
        <w:tc>
          <w:tcPr>
            <w:tcW w:w="3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bottom w:val="single" w:sz="8" w:color="0000EE"/>
            </w:tcBorders>
            <w:gridSpan w:val="4"/>
          </w:tcPr>
          <w:p>
            <w:pPr>
              <w:spacing w:after="0" w:line="195"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(the “2021 Equity Plan”)</w:t>
              </w:r>
            </w:hyperlink>
          </w:p>
        </w:tc>
        <w:tc>
          <w:tcPr>
            <w:tcW w:w="2360" w:type="dxa"/>
            <w:vAlign w:val="bottom"/>
            <w:gridSpan w:val="20"/>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4"/>
                <w:szCs w:val="24"/>
                <w:color w:val="auto"/>
              </w:rPr>
            </w:pPr>
          </w:p>
        </w:tc>
        <w:tc>
          <w:tcPr>
            <w:tcW w:w="3380" w:type="dxa"/>
            <w:vAlign w:val="bottom"/>
            <w:tcBorders>
              <w:bottom w:val="single" w:sz="8" w:color="0000EE"/>
            </w:tcBorders>
            <w:gridSpan w:val="8"/>
          </w:tcPr>
          <w:p>
            <w:pPr>
              <w:spacing w:after="0"/>
              <w:rPr>
                <w:rFonts w:ascii="Arial" w:cs="Arial" w:eastAsia="Arial" w:hAnsi="Arial"/>
                <w:sz w:val="18"/>
                <w:szCs w:val="18"/>
                <w:color w:val="0000EE"/>
                <w:w w:val="89"/>
              </w:rPr>
            </w:pPr>
            <w:hyperlink r:id="rId183">
              <w:r>
                <w:rPr>
                  <w:rFonts w:ascii="Arial" w:cs="Arial" w:eastAsia="Arial" w:hAnsi="Arial"/>
                  <w:sz w:val="18"/>
                  <w:szCs w:val="18"/>
                  <w:color w:val="0000EE"/>
                  <w:w w:val="89"/>
                </w:rPr>
                <w:t>Wave Life Sciences Ltd. 2019 Employee Share</w:t>
              </w:r>
            </w:hyperlink>
          </w:p>
        </w:tc>
        <w:tc>
          <w:tcPr>
            <w:tcW w:w="760" w:type="dxa"/>
            <w:vAlign w:val="bottom"/>
            <w:gridSpan w:val="16"/>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11/05/2019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tcBorders>
              <w:bottom w:val="single" w:sz="8" w:color="0000EE"/>
            </w:tcBorders>
            <w:gridSpan w:val="7"/>
          </w:tcPr>
          <w:p>
            <w:pPr>
              <w:spacing w:after="0" w:line="195"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Purchase Plan, effective as of August 15, 2019</w:t>
              </w:r>
            </w:hyperlink>
          </w:p>
        </w:tc>
        <w:tc>
          <w:tcPr>
            <w:tcW w:w="800" w:type="dxa"/>
            <w:vAlign w:val="bottom"/>
            <w:gridSpan w:val="1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10.18.1+</w:t>
            </w:r>
          </w:p>
        </w:tc>
        <w:tc>
          <w:tcPr>
            <w:tcW w:w="160" w:type="dxa"/>
            <w:vAlign w:val="bottom"/>
          </w:tcPr>
          <w:p>
            <w:pPr>
              <w:spacing w:after="0"/>
              <w:rPr>
                <w:sz w:val="24"/>
                <w:szCs w:val="24"/>
                <w:color w:val="auto"/>
              </w:rPr>
            </w:pPr>
          </w:p>
        </w:tc>
        <w:tc>
          <w:tcPr>
            <w:tcW w:w="3920" w:type="dxa"/>
            <w:vAlign w:val="bottom"/>
            <w:tcBorders>
              <w:bottom w:val="single" w:sz="8" w:color="0000EE"/>
            </w:tcBorders>
            <w:gridSpan w:val="20"/>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Form of Non-qualified Share Option Agreement under</w:t>
              </w:r>
            </w:hyperlink>
          </w:p>
        </w:tc>
        <w:tc>
          <w:tcPr>
            <w:tcW w:w="2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84">
              <w:r>
                <w:rPr>
                  <w:rFonts w:ascii="Arial" w:cs="Arial" w:eastAsia="Arial" w:hAnsi="Arial"/>
                  <w:sz w:val="18"/>
                  <w:szCs w:val="18"/>
                  <w:color w:val="0000EE"/>
                </w:rPr>
                <w:t>the 2014 Equity Plan, effective as of September 20,</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4"/>
              </w:rPr>
            </w:pPr>
            <w:hyperlink r:id="rId184">
              <w:r>
                <w:rPr>
                  <w:rFonts w:ascii="Arial" w:cs="Arial" w:eastAsia="Arial" w:hAnsi="Arial"/>
                  <w:sz w:val="18"/>
                  <w:szCs w:val="18"/>
                  <w:color w:val="0000EE"/>
                  <w:w w:val="84"/>
                </w:rPr>
                <w:t>2016</w:t>
              </w:r>
            </w:hyperlink>
          </w:p>
        </w:tc>
        <w:tc>
          <w:tcPr>
            <w:tcW w:w="10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10.18.2+</w:t>
            </w:r>
          </w:p>
        </w:tc>
        <w:tc>
          <w:tcPr>
            <w:tcW w:w="160" w:type="dxa"/>
            <w:vAlign w:val="bottom"/>
          </w:tcPr>
          <w:p>
            <w:pPr>
              <w:spacing w:after="0"/>
              <w:rPr>
                <w:sz w:val="24"/>
                <w:szCs w:val="24"/>
                <w:color w:val="auto"/>
              </w:rPr>
            </w:pPr>
          </w:p>
        </w:tc>
        <w:tc>
          <w:tcPr>
            <w:tcW w:w="3920" w:type="dxa"/>
            <w:vAlign w:val="bottom"/>
            <w:tcBorders>
              <w:bottom w:val="single" w:sz="8" w:color="0000EE"/>
            </w:tcBorders>
            <w:gridSpan w:val="20"/>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Form of Non-qualified Share Option Agreement under</w:t>
              </w:r>
            </w:hyperlink>
          </w:p>
        </w:tc>
        <w:tc>
          <w:tcPr>
            <w:tcW w:w="2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w w:val="97"/>
              </w:rPr>
            </w:pPr>
            <w:hyperlink r:id="rId185">
              <w:r>
                <w:rPr>
                  <w:rFonts w:ascii="Arial" w:cs="Arial" w:eastAsia="Arial" w:hAnsi="Arial"/>
                  <w:sz w:val="18"/>
                  <w:szCs w:val="18"/>
                  <w:color w:val="0000EE"/>
                  <w:w w:val="97"/>
                </w:rPr>
                <w:t>the 2014 Equity Plan, effective as of January 1, 2018</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10.23.3)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10.18.3+</w:t>
            </w:r>
          </w:p>
        </w:tc>
        <w:tc>
          <w:tcPr>
            <w:tcW w:w="160" w:type="dxa"/>
            <w:vAlign w:val="bottom"/>
          </w:tcPr>
          <w:p>
            <w:pPr>
              <w:spacing w:after="0"/>
              <w:rPr>
                <w:sz w:val="24"/>
                <w:szCs w:val="24"/>
                <w:color w:val="auto"/>
              </w:rPr>
            </w:pPr>
          </w:p>
        </w:tc>
        <w:tc>
          <w:tcPr>
            <w:tcW w:w="3920" w:type="dxa"/>
            <w:vAlign w:val="bottom"/>
            <w:tcBorders>
              <w:bottom w:val="single" w:sz="8" w:color="0000EE"/>
            </w:tcBorders>
            <w:gridSpan w:val="20"/>
          </w:tcPr>
          <w:p>
            <w:pPr>
              <w:spacing w:after="0"/>
              <w:rPr>
                <w:rFonts w:ascii="Arial" w:cs="Arial" w:eastAsia="Arial" w:hAnsi="Arial"/>
                <w:sz w:val="18"/>
                <w:szCs w:val="18"/>
                <w:color w:val="0000EE"/>
                <w:w w:val="91"/>
              </w:rPr>
            </w:pPr>
            <w:hyperlink r:id="rId186">
              <w:r>
                <w:rPr>
                  <w:rFonts w:ascii="Arial" w:cs="Arial" w:eastAsia="Arial" w:hAnsi="Arial"/>
                  <w:sz w:val="18"/>
                  <w:szCs w:val="18"/>
                  <w:color w:val="0000EE"/>
                  <w:w w:val="91"/>
                </w:rPr>
                <w:t>Form of Non-qualified Share Option Agreement under</w:t>
              </w:r>
            </w:hyperlink>
          </w:p>
        </w:tc>
        <w:tc>
          <w:tcPr>
            <w:tcW w:w="22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86">
              <w:r>
                <w:rPr>
                  <w:rFonts w:ascii="Arial" w:cs="Arial" w:eastAsia="Arial" w:hAnsi="Arial"/>
                  <w:sz w:val="18"/>
                  <w:szCs w:val="18"/>
                  <w:color w:val="0000EE"/>
                </w:rPr>
                <w:t>the 2021 Equity Plan, effective as August 10, 2021</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10.19.1+</w:t>
            </w:r>
          </w:p>
        </w:tc>
        <w:tc>
          <w:tcPr>
            <w:tcW w:w="160" w:type="dxa"/>
            <w:vAlign w:val="bottom"/>
          </w:tcPr>
          <w:p>
            <w:pPr>
              <w:spacing w:after="0"/>
              <w:rPr>
                <w:sz w:val="24"/>
                <w:szCs w:val="24"/>
                <w:color w:val="auto"/>
              </w:rPr>
            </w:pPr>
          </w:p>
        </w:tc>
        <w:tc>
          <w:tcPr>
            <w:tcW w:w="3860" w:type="dxa"/>
            <w:vAlign w:val="bottom"/>
            <w:tcBorders>
              <w:bottom w:val="single" w:sz="8" w:color="0000EE"/>
            </w:tcBorders>
            <w:gridSpan w:val="19"/>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Form of Incentive Share Option Agreement under the</w:t>
              </w:r>
            </w:hyperlink>
          </w:p>
        </w:tc>
        <w:tc>
          <w:tcPr>
            <w:tcW w:w="2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Form S-8</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12/17/2015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333-208598</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87">
              <w:r>
                <w:rPr>
                  <w:rFonts w:ascii="Arial" w:cs="Arial" w:eastAsia="Arial" w:hAnsi="Arial"/>
                  <w:sz w:val="18"/>
                  <w:szCs w:val="18"/>
                  <w:color w:val="0000EE"/>
                </w:rPr>
                <w:t>2014 Equity Plan, effective as of December 2014</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10.19.2+</w:t>
            </w:r>
          </w:p>
        </w:tc>
        <w:tc>
          <w:tcPr>
            <w:tcW w:w="160" w:type="dxa"/>
            <w:vAlign w:val="bottom"/>
          </w:tcPr>
          <w:p>
            <w:pPr>
              <w:spacing w:after="0"/>
              <w:rPr>
                <w:sz w:val="24"/>
                <w:szCs w:val="24"/>
                <w:color w:val="auto"/>
              </w:rPr>
            </w:pPr>
          </w:p>
        </w:tc>
        <w:tc>
          <w:tcPr>
            <w:tcW w:w="3860" w:type="dxa"/>
            <w:vAlign w:val="bottom"/>
            <w:tcBorders>
              <w:bottom w:val="single" w:sz="8" w:color="0000EE"/>
            </w:tcBorders>
            <w:gridSpan w:val="19"/>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Form of Incentive Share Option Agreement under the</w:t>
              </w:r>
            </w:hyperlink>
          </w:p>
        </w:tc>
        <w:tc>
          <w:tcPr>
            <w:tcW w:w="2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w w:val="96"/>
              </w:rPr>
            </w:pPr>
            <w:hyperlink r:id="rId188">
              <w:r>
                <w:rPr>
                  <w:rFonts w:ascii="Arial" w:cs="Arial" w:eastAsia="Arial" w:hAnsi="Arial"/>
                  <w:sz w:val="18"/>
                  <w:szCs w:val="18"/>
                  <w:color w:val="0000EE"/>
                  <w:w w:val="96"/>
                </w:rPr>
                <w:t>2014 Equity Plan, effective as of September 20, 2016</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10.20.1+</w:t>
            </w:r>
          </w:p>
        </w:tc>
        <w:tc>
          <w:tcPr>
            <w:tcW w:w="160" w:type="dxa"/>
            <w:vAlign w:val="bottom"/>
          </w:tcPr>
          <w:p>
            <w:pPr>
              <w:spacing w:after="0"/>
              <w:rPr>
                <w:sz w:val="24"/>
                <w:szCs w:val="24"/>
                <w:color w:val="auto"/>
              </w:rPr>
            </w:pPr>
          </w:p>
        </w:tc>
        <w:tc>
          <w:tcPr>
            <w:tcW w:w="37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Form of Restricted Share Unit Agreement under the</w:t>
              </w:r>
            </w:hyperlink>
          </w:p>
        </w:tc>
        <w:tc>
          <w:tcPr>
            <w:tcW w:w="80" w:type="dxa"/>
            <w:vAlign w:val="bottom"/>
            <w:tcBorders>
              <w:top w:val="single" w:sz="8" w:color="0000EE"/>
            </w:tcBorders>
            <w:gridSpan w:val="2"/>
          </w:tcPr>
          <w:p>
            <w:pPr>
              <w:spacing w:after="0"/>
              <w:rPr>
                <w:sz w:val="24"/>
                <w:szCs w:val="24"/>
                <w:color w:val="auto"/>
              </w:rPr>
            </w:pPr>
          </w:p>
        </w:tc>
        <w:tc>
          <w:tcPr>
            <w:tcW w:w="32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89">
              <w:r>
                <w:rPr>
                  <w:rFonts w:ascii="Arial" w:cs="Arial" w:eastAsia="Arial" w:hAnsi="Arial"/>
                  <w:sz w:val="18"/>
                  <w:szCs w:val="18"/>
                  <w:color w:val="0000EE"/>
                </w:rPr>
                <w:t>2014 Equity Plan, effective as of June 16, 2016</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10.4)</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10.20.2+</w:t>
            </w:r>
          </w:p>
        </w:tc>
        <w:tc>
          <w:tcPr>
            <w:tcW w:w="16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Form of Restricted Share Unit Agreement under the</w:t>
              </w:r>
            </w:hyperlink>
          </w:p>
        </w:tc>
        <w:tc>
          <w:tcPr>
            <w:tcW w:w="40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90">
              <w:r>
                <w:rPr>
                  <w:rFonts w:ascii="Arial" w:cs="Arial" w:eastAsia="Arial" w:hAnsi="Arial"/>
                  <w:sz w:val="18"/>
                  <w:szCs w:val="18"/>
                  <w:color w:val="0000EE"/>
                </w:rPr>
                <w:t>2014 Equity Plan, effective as of January 1, 2018</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10.25.2)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10.20.3+</w:t>
            </w:r>
          </w:p>
        </w:tc>
        <w:tc>
          <w:tcPr>
            <w:tcW w:w="160" w:type="dxa"/>
            <w:vAlign w:val="bottom"/>
          </w:tcPr>
          <w:p>
            <w:pPr>
              <w:spacing w:after="0"/>
              <w:rPr>
                <w:sz w:val="24"/>
                <w:szCs w:val="24"/>
                <w:color w:val="auto"/>
              </w:rPr>
            </w:pPr>
          </w:p>
        </w:tc>
        <w:tc>
          <w:tcPr>
            <w:tcW w:w="3780" w:type="dxa"/>
            <w:vAlign w:val="bottom"/>
            <w:tcBorders>
              <w:bottom w:val="single" w:sz="8" w:color="0000EE"/>
            </w:tcBorders>
            <w:gridSpan w:val="16"/>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Form of Restricted Share Unit Agreement under the</w:t>
              </w:r>
            </w:hyperlink>
          </w:p>
        </w:tc>
        <w:tc>
          <w:tcPr>
            <w:tcW w:w="36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05/10/2019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w w:val="97"/>
              </w:rPr>
            </w:pPr>
            <w:hyperlink r:id="rId191">
              <w:r>
                <w:rPr>
                  <w:rFonts w:ascii="Arial" w:cs="Arial" w:eastAsia="Arial" w:hAnsi="Arial"/>
                  <w:sz w:val="18"/>
                  <w:szCs w:val="18"/>
                  <w:color w:val="0000EE"/>
                  <w:w w:val="97"/>
                </w:rPr>
                <w:t>2014 Equity Incentive Plan, effective as of January 1,</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10.1)</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4"/>
              </w:rPr>
            </w:pPr>
            <w:hyperlink r:id="rId191">
              <w:r>
                <w:rPr>
                  <w:rFonts w:ascii="Arial" w:cs="Arial" w:eastAsia="Arial" w:hAnsi="Arial"/>
                  <w:sz w:val="18"/>
                  <w:szCs w:val="18"/>
                  <w:color w:val="0000EE"/>
                  <w:w w:val="84"/>
                </w:rPr>
                <w:t>2019</w:t>
              </w:r>
            </w:hyperlink>
          </w:p>
        </w:tc>
        <w:tc>
          <w:tcPr>
            <w:tcW w:w="10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10.20.4+</w:t>
            </w:r>
          </w:p>
        </w:tc>
        <w:tc>
          <w:tcPr>
            <w:tcW w:w="16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Form of Restricted Share Unit Agreement under the</w:t>
              </w:r>
            </w:hyperlink>
          </w:p>
        </w:tc>
        <w:tc>
          <w:tcPr>
            <w:tcW w:w="40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Borders>
              <w:bottom w:val="single" w:sz="8" w:color="0000EE"/>
            </w:tcBorders>
            <w:gridSpan w:val="10"/>
          </w:tcPr>
          <w:p>
            <w:pPr>
              <w:spacing w:after="0" w:line="195"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2021 Equity Plan, effective as of August 10, 2021</w:t>
              </w:r>
            </w:hyperlink>
          </w:p>
        </w:tc>
        <w:tc>
          <w:tcPr>
            <w:tcW w:w="500" w:type="dxa"/>
            <w:vAlign w:val="bottom"/>
            <w:gridSpan w:val="1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10.4)</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10.20.5+</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w w:val="99"/>
              </w:rPr>
            </w:pPr>
            <w:hyperlink r:id="rId193">
              <w:r>
                <w:rPr>
                  <w:rFonts w:ascii="Arial" w:cs="Arial" w:eastAsia="Arial" w:hAnsi="Arial"/>
                  <w:sz w:val="18"/>
                  <w:szCs w:val="18"/>
                  <w:color w:val="0000EE"/>
                  <w:w w:val="99"/>
                </w:rPr>
                <w:t>Form of Amended and Restated 2019 Performance-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05/13/2021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80" w:type="dxa"/>
            <w:vAlign w:val="bottom"/>
            <w:tcBorders>
              <w:bottom w:val="single" w:sz="8" w:color="0000EE"/>
            </w:tcBorders>
            <w:gridSpan w:val="21"/>
          </w:tcPr>
          <w:p>
            <w:pPr>
              <w:spacing w:after="0" w:line="195" w:lineRule="exact"/>
              <w:rPr>
                <w:rFonts w:ascii="Arial" w:cs="Arial" w:eastAsia="Arial" w:hAnsi="Arial"/>
                <w:sz w:val="18"/>
                <w:szCs w:val="18"/>
                <w:color w:val="0000EE"/>
                <w:w w:val="88"/>
              </w:rPr>
            </w:pPr>
            <w:hyperlink r:id="rId193">
              <w:r>
                <w:rPr>
                  <w:rFonts w:ascii="Arial" w:cs="Arial" w:eastAsia="Arial" w:hAnsi="Arial"/>
                  <w:sz w:val="18"/>
                  <w:szCs w:val="18"/>
                  <w:color w:val="0000EE"/>
                  <w:w w:val="88"/>
                </w:rPr>
                <w:t>Based Restricted Share Unit Agreement under the 2014</w:t>
              </w:r>
            </w:hyperlink>
          </w:p>
        </w:tc>
        <w:tc>
          <w:tcPr>
            <w:tcW w:w="16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40" w:type="dxa"/>
            <w:vAlign w:val="bottom"/>
            <w:tcBorders>
              <w:bottom w:val="single" w:sz="8" w:color="0000EE"/>
            </w:tcBorders>
            <w:gridSpan w:val="18"/>
          </w:tcPr>
          <w:p>
            <w:pPr>
              <w:spacing w:after="0" w:line="195"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Equity Incentive Plan, effective as of March 17, 2021</w:t>
              </w:r>
            </w:hyperlink>
          </w:p>
        </w:tc>
        <w:tc>
          <w:tcPr>
            <w:tcW w:w="30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10.20.6+</w:t>
            </w:r>
          </w:p>
        </w:tc>
        <w:tc>
          <w:tcPr>
            <w:tcW w:w="160" w:type="dxa"/>
            <w:vAlign w:val="bottom"/>
          </w:tcPr>
          <w:p>
            <w:pPr>
              <w:spacing w:after="0"/>
              <w:rPr>
                <w:sz w:val="24"/>
                <w:szCs w:val="24"/>
                <w:color w:val="auto"/>
              </w:rPr>
            </w:pPr>
          </w:p>
        </w:tc>
        <w:tc>
          <w:tcPr>
            <w:tcW w:w="4140" w:type="dxa"/>
            <w:vAlign w:val="bottom"/>
            <w:gridSpan w:val="24"/>
          </w:tcPr>
          <w:p>
            <w:pPr>
              <w:spacing w:after="0"/>
              <w:rPr>
                <w:rFonts w:ascii="Arial" w:cs="Arial" w:eastAsia="Arial" w:hAnsi="Arial"/>
                <w:sz w:val="18"/>
                <w:szCs w:val="18"/>
                <w:color w:val="0000EE"/>
              </w:rPr>
            </w:pPr>
            <w:hyperlink r:id="rId194">
              <w:r>
                <w:rPr>
                  <w:rFonts w:ascii="Arial" w:cs="Arial" w:eastAsia="Arial" w:hAnsi="Arial"/>
                  <w:sz w:val="18"/>
                  <w:szCs w:val="18"/>
                  <w:color w:val="0000EE"/>
                </w:rPr>
                <w:t>Form of 2021 Performance-Based Restricted Share</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05/13/2021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2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194">
              <w:r>
                <w:rPr>
                  <w:rFonts w:ascii="Arial" w:cs="Arial" w:eastAsia="Arial" w:hAnsi="Arial"/>
                  <w:sz w:val="18"/>
                  <w:szCs w:val="18"/>
                  <w:color w:val="0000EE"/>
                  <w:w w:val="90"/>
                </w:rPr>
                <w:t>Unit Agreement under the 2014 Equity Incentive Plan,</w:t>
              </w:r>
            </w:hyperlink>
          </w:p>
        </w:tc>
        <w:tc>
          <w:tcPr>
            <w:tcW w:w="22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rPr>
            </w:pPr>
            <w:hyperlink r:id="rId194">
              <w:r>
                <w:rPr>
                  <w:rFonts w:ascii="Arial" w:cs="Arial" w:eastAsia="Arial" w:hAnsi="Arial"/>
                  <w:sz w:val="18"/>
                  <w:szCs w:val="18"/>
                  <w:color w:val="0000EE"/>
                </w:rPr>
                <w:t>effective as of March 17, 2021</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10.21.1+</w:t>
            </w:r>
          </w:p>
        </w:tc>
        <w:tc>
          <w:tcPr>
            <w:tcW w:w="16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Form of Non-qualified Share Option Agreement for</w:t>
              </w:r>
            </w:hyperlink>
          </w:p>
        </w:tc>
        <w:tc>
          <w:tcPr>
            <w:tcW w:w="42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4"/>
          </w:tcPr>
          <w:p>
            <w:pPr>
              <w:spacing w:after="0" w:line="195" w:lineRule="exact"/>
              <w:rPr>
                <w:rFonts w:ascii="Arial" w:cs="Arial" w:eastAsia="Arial" w:hAnsi="Arial"/>
                <w:sz w:val="18"/>
                <w:szCs w:val="18"/>
                <w:color w:val="0000EE"/>
                <w:w w:val="97"/>
              </w:rPr>
            </w:pPr>
            <w:hyperlink r:id="rId195">
              <w:r>
                <w:rPr>
                  <w:rFonts w:ascii="Arial" w:cs="Arial" w:eastAsia="Arial" w:hAnsi="Arial"/>
                  <w:sz w:val="18"/>
                  <w:szCs w:val="18"/>
                  <w:color w:val="0000EE"/>
                  <w:w w:val="97"/>
                </w:rPr>
                <w:t>UK Participants under the 2014 Equity Plan, effective</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10.5)</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6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r:id="rId195">
              <w:r>
                <w:rPr>
                  <w:rFonts w:ascii="Arial" w:cs="Arial" w:eastAsia="Arial" w:hAnsi="Arial"/>
                  <w:sz w:val="18"/>
                  <w:szCs w:val="18"/>
                  <w:color w:val="0000EE"/>
                </w:rPr>
                <w:t>as of June 21, 2017</w:t>
              </w:r>
            </w:hyperlink>
          </w:p>
        </w:tc>
        <w:tc>
          <w:tcPr>
            <w:tcW w:w="28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2"/>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05"/>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with</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Reference herein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21"/>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this</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from Form or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20" w:type="dxa"/>
            <w:vAlign w:val="bottom"/>
            <w:vMerge w:val="restart"/>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21"/>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89"/>
        </w:trPr>
        <w:tc>
          <w:tcPr>
            <w:tcW w:w="1080" w:type="dxa"/>
            <w:vAlign w:val="bottom"/>
          </w:tcPr>
          <w:p>
            <w:pPr>
              <w:spacing w:after="0"/>
              <w:rPr>
                <w:sz w:val="20"/>
                <w:szCs w:val="20"/>
                <w:color w:val="auto"/>
              </w:rPr>
            </w:pPr>
            <w:r>
              <w:rPr>
                <w:rFonts w:ascii="Arial" w:cs="Arial" w:eastAsia="Arial" w:hAnsi="Arial"/>
                <w:sz w:val="18"/>
                <w:szCs w:val="18"/>
                <w:color w:val="auto"/>
              </w:rPr>
              <w:t>10.21.2+</w:t>
            </w:r>
          </w:p>
        </w:tc>
        <w:tc>
          <w:tcPr>
            <w:tcW w:w="160" w:type="dxa"/>
            <w:vAlign w:val="bottom"/>
          </w:tcPr>
          <w:p>
            <w:pPr>
              <w:spacing w:after="0"/>
              <w:rPr>
                <w:sz w:val="24"/>
                <w:szCs w:val="24"/>
                <w:color w:val="auto"/>
              </w:rPr>
            </w:pPr>
          </w:p>
        </w:tc>
        <w:tc>
          <w:tcPr>
            <w:tcW w:w="3720" w:type="dxa"/>
            <w:vAlign w:val="bottom"/>
            <w:tcBorders>
              <w:bottom w:val="single" w:sz="8" w:color="0000EE"/>
            </w:tcBorders>
            <w:gridSpan w:val="16"/>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Non-qualified Share Option Agreement for</w:t>
              </w:r>
            </w:hyperlink>
          </w:p>
        </w:tc>
        <w:tc>
          <w:tcPr>
            <w:tcW w:w="42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03/01/2019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UK Participants under the 2014 Equity Plan, effective</w:t>
              </w:r>
            </w:hyperlink>
          </w:p>
        </w:tc>
        <w:tc>
          <w:tcPr>
            <w:tcW w:w="26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(Exhibit 10.26.2)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7"/>
          </w:tcPr>
          <w:p>
            <w:pPr>
              <w:spacing w:after="0" w:line="195" w:lineRule="exact"/>
              <w:rPr>
                <w:rFonts w:ascii="Arial" w:cs="Arial" w:eastAsia="Arial" w:hAnsi="Arial"/>
                <w:sz w:val="18"/>
                <w:szCs w:val="18"/>
                <w:color w:val="0000EE"/>
              </w:rPr>
            </w:pPr>
            <w:hyperlink r:id="rId198">
              <w:r>
                <w:rPr>
                  <w:rFonts w:ascii="Arial" w:cs="Arial" w:eastAsia="Arial" w:hAnsi="Arial"/>
                  <w:sz w:val="18"/>
                  <w:szCs w:val="18"/>
                  <w:color w:val="0000EE"/>
                </w:rPr>
                <w:t>as of January 1, 2018</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10.21.3+</w:t>
            </w:r>
          </w:p>
        </w:tc>
        <w:tc>
          <w:tcPr>
            <w:tcW w:w="160" w:type="dxa"/>
            <w:vAlign w:val="bottom"/>
          </w:tcPr>
          <w:p>
            <w:pPr>
              <w:spacing w:after="0"/>
              <w:rPr>
                <w:sz w:val="24"/>
                <w:szCs w:val="24"/>
                <w:color w:val="auto"/>
              </w:rPr>
            </w:pPr>
          </w:p>
        </w:tc>
        <w:tc>
          <w:tcPr>
            <w:tcW w:w="3720" w:type="dxa"/>
            <w:vAlign w:val="bottom"/>
            <w:tcBorders>
              <w:bottom w:val="single" w:sz="8" w:color="0000EE"/>
            </w:tcBorders>
            <w:gridSpan w:val="16"/>
          </w:tcPr>
          <w:p>
            <w:pPr>
              <w:spacing w:after="0"/>
              <w:rPr>
                <w:rFonts w:ascii="Arial" w:cs="Arial" w:eastAsia="Arial" w:hAnsi="Arial"/>
                <w:sz w:val="18"/>
                <w:szCs w:val="18"/>
                <w:color w:val="0000EE"/>
                <w:w w:val="91"/>
              </w:rPr>
            </w:pPr>
            <w:hyperlink r:id="rId199">
              <w:r>
                <w:rPr>
                  <w:rFonts w:ascii="Arial" w:cs="Arial" w:eastAsia="Arial" w:hAnsi="Arial"/>
                  <w:sz w:val="18"/>
                  <w:szCs w:val="18"/>
                  <w:color w:val="0000EE"/>
                  <w:w w:val="91"/>
                </w:rPr>
                <w:t>Form of Non-qualified Share Option Agreement for</w:t>
              </w:r>
            </w:hyperlink>
          </w:p>
        </w:tc>
        <w:tc>
          <w:tcPr>
            <w:tcW w:w="42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bottom w:val="single" w:sz="8" w:color="0000EE"/>
            </w:tcBorders>
            <w:gridSpan w:val="20"/>
          </w:tcPr>
          <w:p>
            <w:pPr>
              <w:spacing w:after="0" w:line="195"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UK Participants under the 2021 Equity Plan, effective</w:t>
              </w:r>
            </w:hyperlink>
          </w:p>
        </w:tc>
        <w:tc>
          <w:tcPr>
            <w:tcW w:w="260" w:type="dxa"/>
            <w:vAlign w:val="bottom"/>
            <w:gridSpan w:val="7"/>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10.5)</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Borders>
              <w:bottom w:val="single" w:sz="8" w:color="0000EE"/>
            </w:tcBorders>
            <w:gridSpan w:val="7"/>
          </w:tcPr>
          <w:p>
            <w:pPr>
              <w:spacing w:after="0" w:line="195"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as of August 10, 2021</w:t>
              </w:r>
            </w:hyperlink>
          </w:p>
        </w:tc>
        <w:tc>
          <w:tcPr>
            <w:tcW w:w="2560" w:type="dxa"/>
            <w:vAlign w:val="bottom"/>
            <w:gridSpan w:val="20"/>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10.21.4+</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rPr>
            </w:pPr>
            <w:hyperlink r:id="rId200">
              <w:r>
                <w:rPr>
                  <w:rFonts w:ascii="Arial" w:cs="Arial" w:eastAsia="Arial" w:hAnsi="Arial"/>
                  <w:sz w:val="18"/>
                  <w:szCs w:val="18"/>
                  <w:color w:val="0000EE"/>
                </w:rPr>
                <w:t>Form of Restricted Share Unit Agreement for UK</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7"/>
          </w:tcPr>
          <w:p>
            <w:pPr>
              <w:spacing w:after="0" w:line="195" w:lineRule="exact"/>
              <w:rPr>
                <w:rFonts w:ascii="Arial" w:cs="Arial" w:eastAsia="Arial" w:hAnsi="Arial"/>
                <w:sz w:val="18"/>
                <w:szCs w:val="18"/>
                <w:color w:val="0000EE"/>
                <w:w w:val="94"/>
              </w:rPr>
            </w:pPr>
            <w:hyperlink r:id="rId200">
              <w:r>
                <w:rPr>
                  <w:rFonts w:ascii="Arial" w:cs="Arial" w:eastAsia="Arial" w:hAnsi="Arial"/>
                  <w:sz w:val="18"/>
                  <w:szCs w:val="18"/>
                  <w:color w:val="0000EE"/>
                  <w:w w:val="94"/>
                </w:rPr>
                <w:t>Participants under the 2021 Equity Plan, effective as of</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10.6)</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0000EE"/>
            </w:tcBorders>
            <w:gridSpan w:val="22"/>
          </w:tcPr>
          <w:p>
            <w:pPr>
              <w:spacing w:after="0" w:line="195" w:lineRule="exact"/>
              <w:rPr>
                <w:rFonts w:ascii="Arial" w:cs="Arial" w:eastAsia="Arial" w:hAnsi="Arial"/>
                <w:sz w:val="18"/>
                <w:szCs w:val="18"/>
                <w:color w:val="0000EE"/>
              </w:rPr>
            </w:pPr>
            <w:hyperlink r:id="rId200">
              <w:r>
                <w:rPr>
                  <w:rFonts w:ascii="Arial" w:cs="Arial" w:eastAsia="Arial" w:hAnsi="Arial"/>
                  <w:sz w:val="18"/>
                  <w:szCs w:val="18"/>
                  <w:color w:val="0000EE"/>
                </w:rPr>
                <w:t>August 10, 2021</w:t>
              </w:r>
            </w:hyperlink>
          </w:p>
        </w:tc>
        <w:tc>
          <w:tcPr>
            <w:tcW w:w="20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10.22.1</w:t>
            </w:r>
          </w:p>
        </w:tc>
        <w:tc>
          <w:tcPr>
            <w:tcW w:w="160" w:type="dxa"/>
            <w:vAlign w:val="bottom"/>
          </w:tcPr>
          <w:p>
            <w:pPr>
              <w:spacing w:after="0"/>
              <w:rPr>
                <w:sz w:val="24"/>
                <w:szCs w:val="24"/>
                <w:color w:val="auto"/>
              </w:rPr>
            </w:pPr>
          </w:p>
        </w:tc>
        <w:tc>
          <w:tcPr>
            <w:tcW w:w="3560" w:type="dxa"/>
            <w:vAlign w:val="bottom"/>
            <w:tcBorders>
              <w:bottom w:val="single" w:sz="8" w:color="0000EE"/>
            </w:tcBorders>
            <w:gridSpan w:val="14"/>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Form of Inducement Non-qualified Share Option</w:t>
              </w:r>
            </w:hyperlink>
          </w:p>
        </w:tc>
        <w:tc>
          <w:tcPr>
            <w:tcW w:w="58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08/10/2020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7"/>
          </w:tcPr>
          <w:p>
            <w:pPr>
              <w:spacing w:after="0" w:line="195" w:lineRule="exact"/>
              <w:rPr>
                <w:rFonts w:ascii="Arial" w:cs="Arial" w:eastAsia="Arial" w:hAnsi="Arial"/>
                <w:sz w:val="18"/>
                <w:szCs w:val="18"/>
                <w:color w:val="0000EE"/>
              </w:rPr>
            </w:pPr>
            <w:hyperlink r:id="rId201">
              <w:r>
                <w:rPr>
                  <w:rFonts w:ascii="Arial" w:cs="Arial" w:eastAsia="Arial" w:hAnsi="Arial"/>
                  <w:sz w:val="18"/>
                  <w:szCs w:val="18"/>
                  <w:color w:val="0000EE"/>
                </w:rPr>
                <w:t>Agreement</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4"/>
              </w:rPr>
              <w:t>(Exhibit 10.3)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10.22.2</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w w:val="95"/>
              </w:rPr>
            </w:pPr>
            <w:hyperlink r:id="rId202">
              <w:r>
                <w:rPr>
                  <w:rFonts w:ascii="Arial" w:cs="Arial" w:eastAsia="Arial" w:hAnsi="Arial"/>
                  <w:sz w:val="18"/>
                  <w:szCs w:val="18"/>
                  <w:color w:val="0000EE"/>
                  <w:w w:val="95"/>
                </w:rPr>
                <w:t>Form of Inducement Restricted Share Unit Agreement</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Form 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11/10/2021</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10.7)</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8"/>
                <w:szCs w:val="18"/>
                <w:color w:val="auto"/>
              </w:rPr>
              <w:t>10.23.1</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rPr>
            </w:pPr>
            <w:hyperlink r:id="rId203">
              <w:r>
                <w:rPr>
                  <w:rFonts w:ascii="Arial" w:cs="Arial" w:eastAsia="Arial" w:hAnsi="Arial"/>
                  <w:sz w:val="18"/>
                  <w:szCs w:val="18"/>
                  <w:color w:val="0000EE"/>
                </w:rPr>
                <w:t>Open Market Sale Agreement, dated as of May 10,</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Form S-3ASR</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05/10/2019</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333-231382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Borders>
              <w:bottom w:val="single" w:sz="8" w:color="0000EE"/>
            </w:tcBorders>
            <w:gridSpan w:val="25"/>
          </w:tcPr>
          <w:p>
            <w:pPr>
              <w:spacing w:after="0" w:line="195" w:lineRule="exact"/>
              <w:rPr>
                <w:rFonts w:ascii="Arial" w:cs="Arial" w:eastAsia="Arial" w:hAnsi="Arial"/>
                <w:sz w:val="18"/>
                <w:szCs w:val="18"/>
                <w:color w:val="0000EE"/>
                <w:w w:val="89"/>
              </w:rPr>
            </w:pPr>
            <w:hyperlink r:id="rId203">
              <w:r>
                <w:rPr>
                  <w:rFonts w:ascii="Arial" w:cs="Arial" w:eastAsia="Arial" w:hAnsi="Arial"/>
                  <w:sz w:val="18"/>
                  <w:szCs w:val="18"/>
                  <w:color w:val="0000EE"/>
                  <w:w w:val="89"/>
                </w:rPr>
                <w:t>2019, by and between the Registrant and Jefferies LLC.</w:t>
              </w:r>
            </w:hyperlink>
          </w:p>
        </w:tc>
        <w:tc>
          <w:tcPr>
            <w:tcW w:w="14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5"/>
              </w:rPr>
              <w:t>(Exhibit 1.2)</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10.23.2</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w w:val="99"/>
              </w:rPr>
            </w:pPr>
            <w:hyperlink r:id="rId204">
              <w:r>
                <w:rPr>
                  <w:rFonts w:ascii="Arial" w:cs="Arial" w:eastAsia="Arial" w:hAnsi="Arial"/>
                  <w:sz w:val="18"/>
                  <w:szCs w:val="18"/>
                  <w:color w:val="0000EE"/>
                  <w:w w:val="99"/>
                </w:rPr>
                <w:t>Amendment No. 1 to Open Market Sale Agreement,</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POSASR</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03/02/2020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333-231382</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tcBorders>
              <w:top w:val="single" w:sz="8" w:color="0000EE"/>
            </w:tcBorders>
            <w:gridSpan w:val="17"/>
          </w:tcPr>
          <w:p>
            <w:pPr>
              <w:spacing w:after="0" w:line="195" w:lineRule="exact"/>
              <w:rPr>
                <w:rFonts w:ascii="Arial" w:cs="Arial" w:eastAsia="Arial" w:hAnsi="Arial"/>
                <w:sz w:val="18"/>
                <w:szCs w:val="18"/>
                <w:color w:val="0000EE"/>
                <w:w w:val="98"/>
              </w:rPr>
            </w:pPr>
            <w:hyperlink r:id="rId204">
              <w:r>
                <w:rPr>
                  <w:rFonts w:ascii="Arial" w:cs="Arial" w:eastAsia="Arial" w:hAnsi="Arial"/>
                  <w:sz w:val="18"/>
                  <w:szCs w:val="18"/>
                  <w:color w:val="0000EE"/>
                  <w:w w:val="98"/>
                </w:rPr>
                <w:t>dated as of March 2, 2020, by and between the</w:t>
              </w:r>
            </w:hyperlink>
          </w:p>
        </w:tc>
        <w:tc>
          <w:tcPr>
            <w:tcW w:w="400" w:type="dxa"/>
            <w:vAlign w:val="bottom"/>
            <w:gridSpan w:val="10"/>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95"/>
              </w:rPr>
              <w:t>(Exhibit 1.3)</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tcBorders>
              <w:top w:val="single" w:sz="8" w:color="0000EE"/>
            </w:tcBorders>
            <w:gridSpan w:val="12"/>
          </w:tcPr>
          <w:p>
            <w:pPr>
              <w:spacing w:after="0" w:line="195" w:lineRule="exact"/>
              <w:rPr>
                <w:rFonts w:ascii="Arial" w:cs="Arial" w:eastAsia="Arial" w:hAnsi="Arial"/>
                <w:sz w:val="18"/>
                <w:szCs w:val="18"/>
                <w:color w:val="0000EE"/>
              </w:rPr>
            </w:pPr>
            <w:hyperlink r:id="rId204">
              <w:r>
                <w:rPr>
                  <w:rFonts w:ascii="Arial" w:cs="Arial" w:eastAsia="Arial" w:hAnsi="Arial"/>
                  <w:sz w:val="18"/>
                  <w:szCs w:val="18"/>
                  <w:color w:val="0000EE"/>
                </w:rPr>
                <w:t>Registrant and Jefferies LLC</w:t>
              </w:r>
            </w:hyperlink>
          </w:p>
        </w:tc>
        <w:tc>
          <w:tcPr>
            <w:tcW w:w="800" w:type="dxa"/>
            <w:vAlign w:val="bottom"/>
            <w:gridSpan w:val="15"/>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rPr>
            </w:pPr>
            <w:hyperlink r:id="rId205">
              <w:r>
                <w:rPr>
                  <w:rFonts w:ascii="Arial" w:cs="Arial" w:eastAsia="Arial" w:hAnsi="Arial"/>
                  <w:sz w:val="18"/>
                  <w:szCs w:val="18"/>
                  <w:color w:val="0000EE"/>
                </w:rPr>
                <w:t>List of Subsidiaries of the Registrant</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Form 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(Exhibit 21.1)</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w w:val="95"/>
              </w:rPr>
            </w:pPr>
            <w:hyperlink w:anchor="page165">
              <w:r>
                <w:rPr>
                  <w:rFonts w:ascii="Arial" w:cs="Arial" w:eastAsia="Arial" w:hAnsi="Arial"/>
                  <w:sz w:val="18"/>
                  <w:szCs w:val="18"/>
                  <w:color w:val="0000EE"/>
                  <w:w w:val="95"/>
                </w:rPr>
                <w:t>Consent of Independent Registered Public Accounting</w:t>
              </w:r>
            </w:hyperlink>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w:anchor="page165">
              <w:r>
                <w:rPr>
                  <w:rFonts w:ascii="Arial" w:cs="Arial" w:eastAsia="Arial" w:hAnsi="Arial"/>
                  <w:sz w:val="18"/>
                  <w:szCs w:val="18"/>
                  <w:color w:val="0000EE"/>
                </w:rPr>
                <w:t>Firm</w:t>
              </w:r>
            </w:hyperlink>
          </w:p>
        </w:tc>
        <w:tc>
          <w:tcPr>
            <w:tcW w:w="240" w:type="dxa"/>
            <w:vAlign w:val="bottom"/>
            <w:gridSpan w:val="6"/>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4"/>
                <w:szCs w:val="24"/>
                <w:color w:val="auto"/>
              </w:rPr>
            </w:pPr>
          </w:p>
        </w:tc>
        <w:tc>
          <w:tcPr>
            <w:tcW w:w="38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Power of Attorney (included on signature page to this</w:t>
              </w:r>
            </w:hyperlink>
          </w:p>
        </w:tc>
        <w:tc>
          <w:tcPr>
            <w:tcW w:w="280" w:type="dxa"/>
            <w:vAlign w:val="bottom"/>
            <w:gridSpan w:val="8"/>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7"/>
          </w:tcPr>
          <w:p>
            <w:pPr>
              <w:spacing w:after="0" w:line="195" w:lineRule="exact"/>
              <w:rPr>
                <w:rFonts w:ascii="Arial" w:cs="Arial" w:eastAsia="Arial" w:hAnsi="Arial"/>
                <w:sz w:val="18"/>
                <w:szCs w:val="18"/>
                <w:color w:val="0000EE"/>
              </w:rPr>
            </w:pPr>
            <w:hyperlink w:anchor="page110">
              <w:r>
                <w:rPr>
                  <w:rFonts w:ascii="Arial" w:cs="Arial" w:eastAsia="Arial" w:hAnsi="Arial"/>
                  <w:sz w:val="18"/>
                  <w:szCs w:val="18"/>
                  <w:color w:val="0000EE"/>
                </w:rPr>
                <w:t>Annual Report on Form 10-K)</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384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66">
              <w:r>
                <w:rPr>
                  <w:rFonts w:ascii="Arial" w:cs="Arial" w:eastAsia="Arial" w:hAnsi="Arial"/>
                  <w:sz w:val="18"/>
                  <w:szCs w:val="18"/>
                  <w:color w:val="0000EE"/>
                  <w:w w:val="92"/>
                </w:rPr>
                <w:t>Certifications of Principal Executive Officer pursuant</w:t>
              </w:r>
            </w:hyperlink>
          </w:p>
        </w:tc>
        <w:tc>
          <w:tcPr>
            <w:tcW w:w="300" w:type="dxa"/>
            <w:vAlign w:val="bottom"/>
            <w:gridSpan w:val="9"/>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0000EE"/>
            </w:tcBorders>
            <w:gridSpan w:val="5"/>
          </w:tcPr>
          <w:p>
            <w:pPr>
              <w:spacing w:after="0" w:line="195"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to Rule 13a-14(a)</w:t>
              </w:r>
            </w:hyperlink>
          </w:p>
        </w:tc>
        <w:tc>
          <w:tcPr>
            <w:tcW w:w="2880" w:type="dxa"/>
            <w:vAlign w:val="bottom"/>
            <w:gridSpan w:val="22"/>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398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67">
              <w:r>
                <w:rPr>
                  <w:rFonts w:ascii="Arial" w:cs="Arial" w:eastAsia="Arial" w:hAnsi="Arial"/>
                  <w:sz w:val="18"/>
                  <w:szCs w:val="18"/>
                  <w:color w:val="0000EE"/>
                  <w:w w:val="92"/>
                </w:rPr>
                <w:t>Certifications of Principal Financial Officer pursuant to</w:t>
              </w:r>
            </w:hyperlink>
          </w:p>
        </w:tc>
        <w:tc>
          <w:tcPr>
            <w:tcW w:w="160" w:type="dxa"/>
            <w:vAlign w:val="bottom"/>
            <w:gridSpan w:val="3"/>
          </w:tcPr>
          <w:p>
            <w:pPr>
              <w:spacing w:after="0"/>
              <w:rPr>
                <w:sz w:val="24"/>
                <w:szCs w:val="2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0000EE"/>
            </w:tcBorders>
            <w:gridSpan w:val="3"/>
          </w:tcPr>
          <w:p>
            <w:pPr>
              <w:spacing w:after="0" w:line="195" w:lineRule="exact"/>
              <w:rPr>
                <w:rFonts w:ascii="Arial" w:cs="Arial" w:eastAsia="Arial" w:hAnsi="Arial"/>
                <w:sz w:val="18"/>
                <w:szCs w:val="18"/>
                <w:color w:val="0000EE"/>
                <w:w w:val="88"/>
              </w:rPr>
            </w:pPr>
            <w:hyperlink w:anchor="page167">
              <w:r>
                <w:rPr>
                  <w:rFonts w:ascii="Arial" w:cs="Arial" w:eastAsia="Arial" w:hAnsi="Arial"/>
                  <w:sz w:val="18"/>
                  <w:szCs w:val="18"/>
                  <w:color w:val="0000EE"/>
                  <w:w w:val="88"/>
                </w:rPr>
                <w:t>Rule 13a-14(a)</w:t>
              </w:r>
            </w:hyperlink>
          </w:p>
        </w:tc>
        <w:tc>
          <w:tcPr>
            <w:tcW w:w="3060" w:type="dxa"/>
            <w:vAlign w:val="bottom"/>
            <w:gridSpan w:val="2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140" w:type="dxa"/>
            <w:vAlign w:val="bottom"/>
            <w:gridSpan w:val="27"/>
          </w:tcPr>
          <w:p>
            <w:pPr>
              <w:spacing w:after="0"/>
              <w:rPr>
                <w:rFonts w:ascii="Arial" w:cs="Arial" w:eastAsia="Arial" w:hAnsi="Arial"/>
                <w:sz w:val="18"/>
                <w:szCs w:val="18"/>
                <w:color w:val="0000EE"/>
                <w:w w:val="99"/>
              </w:rPr>
            </w:pPr>
            <w:hyperlink w:anchor="page168">
              <w:r>
                <w:rPr>
                  <w:rFonts w:ascii="Arial" w:cs="Arial" w:eastAsia="Arial" w:hAnsi="Arial"/>
                  <w:sz w:val="18"/>
                  <w:szCs w:val="18"/>
                  <w:color w:val="0000EE"/>
                  <w:w w:val="99"/>
                </w:rPr>
                <w:t>Certification pursuant to 18 U.S.C. Section 1350, as</w:t>
              </w:r>
            </w:hyperlink>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tcBorders>
              <w:bottom w:val="single" w:sz="8" w:color="0000EE"/>
            </w:tcBorders>
            <w:gridSpan w:val="23"/>
          </w:tcPr>
          <w:p>
            <w:pPr>
              <w:spacing w:after="0" w:line="195"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adopted pursuant to Section 906 of the Sarbanes-Oxley</w:t>
              </w:r>
            </w:hyperlink>
          </w:p>
        </w:tc>
        <w:tc>
          <w:tcPr>
            <w:tcW w:w="180" w:type="dxa"/>
            <w:vAlign w:val="bottom"/>
            <w:gridSpan w:val="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Borders>
              <w:bottom w:val="single" w:sz="8" w:color="0000EE"/>
            </w:tcBorders>
            <w:gridSpan w:val="13"/>
          </w:tcPr>
          <w:p>
            <w:pPr>
              <w:spacing w:after="0" w:line="195" w:lineRule="exact"/>
              <w:rPr>
                <w:rFonts w:ascii="Arial" w:cs="Arial" w:eastAsia="Arial" w:hAnsi="Arial"/>
                <w:sz w:val="18"/>
                <w:szCs w:val="18"/>
                <w:color w:val="0000EE"/>
                <w:w w:val="92"/>
              </w:rPr>
            </w:pPr>
            <w:hyperlink w:anchor="page168">
              <w:r>
                <w:rPr>
                  <w:rFonts w:ascii="Arial" w:cs="Arial" w:eastAsia="Arial" w:hAnsi="Arial"/>
                  <w:sz w:val="18"/>
                  <w:szCs w:val="18"/>
                  <w:color w:val="0000EE"/>
                  <w:w w:val="92"/>
                </w:rPr>
                <w:t>Act of 2002, by Principal Executive Officer and</w:t>
              </w:r>
            </w:hyperlink>
          </w:p>
        </w:tc>
        <w:tc>
          <w:tcPr>
            <w:tcW w:w="700" w:type="dxa"/>
            <w:vAlign w:val="bottom"/>
            <w:gridSpan w:val="14"/>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40" w:type="dxa"/>
            <w:vAlign w:val="bottom"/>
            <w:gridSpan w:val="27"/>
          </w:tcPr>
          <w:p>
            <w:pPr>
              <w:spacing w:after="0" w:line="195" w:lineRule="exact"/>
              <w:rPr>
                <w:rFonts w:ascii="Arial" w:cs="Arial" w:eastAsia="Arial" w:hAnsi="Arial"/>
                <w:sz w:val="18"/>
                <w:szCs w:val="18"/>
                <w:color w:val="0000EE"/>
              </w:rPr>
            </w:pPr>
            <w:hyperlink w:anchor="page168">
              <w:r>
                <w:rPr>
                  <w:rFonts w:ascii="Arial" w:cs="Arial" w:eastAsia="Arial" w:hAnsi="Arial"/>
                  <w:sz w:val="18"/>
                  <w:szCs w:val="18"/>
                  <w:color w:val="0000EE"/>
                </w:rPr>
                <w:t>Principal Financial Officer.</w:t>
              </w:r>
            </w:hyperlink>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220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140" w:type="dxa"/>
            <w:vAlign w:val="bottom"/>
            <w:gridSpan w:val="27"/>
          </w:tcPr>
          <w:p>
            <w:pPr>
              <w:spacing w:after="0"/>
              <w:rPr>
                <w:sz w:val="20"/>
                <w:szCs w:val="20"/>
                <w:color w:val="auto"/>
              </w:rPr>
            </w:pPr>
            <w:r>
              <w:rPr>
                <w:rFonts w:ascii="Arial" w:cs="Arial" w:eastAsia="Arial" w:hAnsi="Arial"/>
                <w:sz w:val="18"/>
                <w:szCs w:val="18"/>
                <w:color w:val="auto"/>
                <w:w w:val="98"/>
              </w:rPr>
              <w:t>XBRL Instance Document – T</w:t>
            </w:r>
            <w:r>
              <w:rPr>
                <w:rFonts w:ascii="Arial" w:cs="Arial" w:eastAsia="Arial" w:hAnsi="Arial"/>
                <w:sz w:val="18"/>
                <w:szCs w:val="18"/>
                <w:color w:val="212529"/>
                <w:w w:val="98"/>
              </w:rPr>
              <w:t>he Instance Document</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212529"/>
                <w:w w:val="93"/>
              </w:rPr>
              <w:t>does not appear in the Interactive Data File because its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212529"/>
              </w:rPr>
              <w:t>XBRL tags are embedded within the Inline XBRL</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212529"/>
              </w:rPr>
              <w:t>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140" w:type="dxa"/>
            <w:vAlign w:val="bottom"/>
            <w:gridSpan w:val="27"/>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14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auto"/>
              </w:rPr>
              <w:t>Linkbase 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140" w:type="dxa"/>
            <w:vAlign w:val="bottom"/>
            <w:gridSpan w:val="27"/>
          </w:tcPr>
          <w:p>
            <w:pPr>
              <w:spacing w:after="0"/>
              <w:rPr>
                <w:sz w:val="20"/>
                <w:szCs w:val="20"/>
                <w:color w:val="auto"/>
              </w:rPr>
            </w:pPr>
            <w:r>
              <w:rPr>
                <w:rFonts w:ascii="Arial" w:cs="Arial" w:eastAsia="Arial" w:hAnsi="Arial"/>
                <w:sz w:val="18"/>
                <w:szCs w:val="18"/>
                <w:color w:val="auto"/>
                <w:w w:val="96"/>
              </w:rPr>
              <w:t>Inline XBRL Taxonomy Extension Definition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14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95"/>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2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with</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1"/>
              </w:rPr>
              <w:t>Reference herein</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402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this</w:t>
            </w:r>
          </w:p>
        </w:tc>
        <w:tc>
          <w:tcPr>
            <w:tcW w:w="22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5"/>
              </w:rPr>
              <w:t>from Form or</w:t>
            </w:r>
          </w:p>
        </w:tc>
        <w:tc>
          <w:tcPr>
            <w:tcW w:w="13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120" w:type="dxa"/>
            <w:vAlign w:val="bottom"/>
            <w:vMerge w:val="restart"/>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40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1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436"/>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1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Linkbase Document</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98"/>
              </w:rPr>
              <w:t>The cover page for this Annual Report on Form 10-K</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w w:val="95"/>
              </w:rPr>
              <w:t>for the year ended December 31, 2021 is contained in</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Exhibit 101 and has been formatted in Inline XBRL.</w:t>
            </w: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right="60" w:hanging="492"/>
        <w:spacing w:after="0" w:line="258"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 attached as Exhibit 32 that accompanies this Annual Report on Form 10-K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this Form 10-K, irrespective of any general incorporation language contained in such filing.</w:t>
      </w:r>
    </w:p>
    <w:p>
      <w:pPr>
        <w:spacing w:after="0" w:line="79"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6" w:lineRule="exact"/>
        <w:rPr>
          <w:sz w:val="20"/>
          <w:szCs w:val="20"/>
          <w:color w:val="auto"/>
        </w:rPr>
      </w:pPr>
    </w:p>
    <w:p>
      <w:pPr>
        <w:ind w:left="500" w:right="720" w:hanging="492"/>
        <w:spacing w:after="0" w:line="275"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64" w:lineRule="exact"/>
        <w:rPr>
          <w:sz w:val="20"/>
          <w:szCs w:val="20"/>
          <w:color w:val="auto"/>
        </w:rPr>
      </w:pPr>
    </w:p>
    <w:p>
      <w:pPr>
        <w:ind w:left="500" w:right="720" w:hanging="492"/>
        <w:spacing w:after="0" w:line="275"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brackets (“[***]”) because the identified confidential portions (i) are not material and (ii) would be competitively harmful if publicly disclosed.</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8180" w:type="dxa"/>
            <w:vAlign w:val="bottom"/>
            <w:gridSpan w:val="2"/>
          </w:tcPr>
          <w:p>
            <w:pPr>
              <w:ind w:left="2700"/>
              <w:spacing w:after="0"/>
              <w:rPr>
                <w:sz w:val="20"/>
                <w:szCs w:val="20"/>
                <w:color w:val="auto"/>
              </w:rPr>
            </w:pPr>
            <w:r>
              <w:rPr>
                <w:rFonts w:ascii="Arial" w:cs="Arial" w:eastAsia="Arial" w:hAnsi="Arial"/>
                <w:sz w:val="18"/>
                <w:szCs w:val="18"/>
                <w:color w:val="auto"/>
              </w:rPr>
              <w:t>Wave Life Sciences Ltd.</w:t>
            </w:r>
          </w:p>
        </w:tc>
      </w:tr>
      <w:tr>
        <w:trPr>
          <w:trHeight w:val="457"/>
        </w:trPr>
        <w:tc>
          <w:tcPr>
            <w:tcW w:w="3060" w:type="dxa"/>
            <w:vAlign w:val="bottom"/>
          </w:tcPr>
          <w:p>
            <w:pPr>
              <w:spacing w:after="0"/>
              <w:rPr>
                <w:sz w:val="20"/>
                <w:szCs w:val="20"/>
                <w:color w:val="auto"/>
              </w:rPr>
            </w:pPr>
            <w:r>
              <w:rPr>
                <w:rFonts w:ascii="Arial" w:cs="Arial" w:eastAsia="Arial" w:hAnsi="Arial"/>
                <w:sz w:val="18"/>
                <w:szCs w:val="18"/>
                <w:color w:val="auto"/>
              </w:rPr>
              <w:t>Date: March 3, 2022</w:t>
            </w:r>
          </w:p>
        </w:tc>
        <w:tc>
          <w:tcPr>
            <w:tcW w:w="8180" w:type="dxa"/>
            <w:vAlign w:val="bottom"/>
            <w:gridSpan w:val="2"/>
          </w:tcPr>
          <w:p>
            <w:pPr>
              <w:ind w:left="2700"/>
              <w:spacing w:after="0"/>
              <w:rPr>
                <w:sz w:val="20"/>
                <w:szCs w:val="20"/>
                <w:color w:val="auto"/>
              </w:rPr>
            </w:pPr>
            <w:r>
              <w:rPr>
                <w:rFonts w:ascii="Arial" w:cs="Arial" w:eastAsia="Arial" w:hAnsi="Arial"/>
                <w:sz w:val="18"/>
                <w:szCs w:val="18"/>
                <w:color w:val="auto"/>
              </w:rPr>
              <w:t>By:   /s/ Paul B. Bolno, M.D.</w:t>
            </w:r>
          </w:p>
        </w:tc>
      </w:tr>
      <w:tr>
        <w:trPr>
          <w:trHeight w:val="194"/>
        </w:trPr>
        <w:tc>
          <w:tcPr>
            <w:tcW w:w="30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B. Bolno, M.D.</w:t>
            </w:r>
          </w:p>
        </w:tc>
      </w:tr>
      <w:tr>
        <w:trPr>
          <w:trHeight w:val="230"/>
        </w:trPr>
        <w:tc>
          <w:tcPr>
            <w:tcW w:w="30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7"/>
        </w:trPr>
        <w:tc>
          <w:tcPr>
            <w:tcW w:w="3060" w:type="dxa"/>
            <w:vAlign w:val="bottom"/>
          </w:tcPr>
          <w:p>
            <w:pPr>
              <w:spacing w:after="0"/>
              <w:rPr>
                <w:sz w:val="24"/>
                <w:szCs w:val="24"/>
                <w:color w:val="auto"/>
              </w:rPr>
            </w:pPr>
          </w:p>
        </w:tc>
        <w:tc>
          <w:tcPr>
            <w:tcW w:w="8180" w:type="dxa"/>
            <w:vAlign w:val="bottom"/>
            <w:gridSpan w:val="2"/>
          </w:tcPr>
          <w:p>
            <w:pPr>
              <w:ind w:left="1560"/>
              <w:spacing w:after="0"/>
              <w:rPr>
                <w:sz w:val="20"/>
                <w:szCs w:val="20"/>
                <w:color w:val="auto"/>
              </w:rPr>
            </w:pPr>
            <w:r>
              <w:rPr>
                <w:rFonts w:ascii="Arial" w:cs="Arial" w:eastAsia="Arial" w:hAnsi="Arial"/>
                <w:sz w:val="18"/>
                <w:szCs w:val="18"/>
                <w:b w:val="1"/>
                <w:bCs w:val="1"/>
                <w:color w:val="auto"/>
              </w:rPr>
              <w:t>POWER OF ATTORNEY</w:t>
            </w:r>
          </w:p>
        </w:tc>
      </w:tr>
    </w:tbl>
    <w:p>
      <w:pPr>
        <w:spacing w:after="0" w:line="20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Each person whose individual signature appears below hereby authorizes and appoints Paul B. Bolno, M.D. with full power of substitution and resubstitution and full power to act,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ratifying and confirming all that said attorney-in-fact and agent or his substitute or substitutes may lawfully do or cause to be done by virtue thereof.</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Signature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4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Date</w:t>
            </w:r>
          </w:p>
        </w:tc>
      </w:tr>
      <w:tr>
        <w:trPr>
          <w:trHeight w:val="424"/>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B. Bolno, M.D.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Paul B. Bolno, M.D.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Kyle Moran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195"/>
        </w:trPr>
        <w:tc>
          <w:tcPr>
            <w:tcW w:w="3500" w:type="dxa"/>
            <w:vAlign w:val="bottom"/>
          </w:tcPr>
          <w:p>
            <w:pPr>
              <w:ind w:left="100"/>
              <w:spacing w:after="0" w:line="195" w:lineRule="exact"/>
              <w:rPr>
                <w:sz w:val="20"/>
                <w:szCs w:val="20"/>
                <w:color w:val="auto"/>
              </w:rPr>
            </w:pPr>
            <w:r>
              <w:rPr>
                <w:rFonts w:ascii="Arial" w:cs="Arial" w:eastAsia="Arial" w:hAnsi="Arial"/>
                <w:sz w:val="18"/>
                <w:szCs w:val="18"/>
                <w:color w:val="auto"/>
              </w:rPr>
              <w:t>Kyle Moran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4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w:t>
            </w:r>
          </w:p>
        </w:tc>
        <w:tc>
          <w:tcPr>
            <w:tcW w:w="2440" w:type="dxa"/>
            <w:vAlign w:val="bottom"/>
          </w:tcPr>
          <w:p>
            <w:pPr>
              <w:spacing w:after="0"/>
              <w:rPr>
                <w:sz w:val="16"/>
                <w:szCs w:val="16"/>
                <w:color w:val="auto"/>
              </w:rPr>
            </w:pPr>
          </w:p>
        </w:tc>
      </w:tr>
      <w:tr>
        <w:trPr>
          <w:trHeight w:val="230"/>
        </w:trPr>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2440" w:type="dxa"/>
            <w:vAlign w:val="bottom"/>
          </w:tcPr>
          <w:p>
            <w:pPr>
              <w:spacing w:after="0"/>
              <w:rPr>
                <w:sz w:val="19"/>
                <w:szCs w:val="19"/>
                <w:color w:val="auto"/>
              </w:rPr>
            </w:pPr>
          </w:p>
        </w:tc>
      </w:tr>
      <w:tr>
        <w:trPr>
          <w:trHeight w:val="322"/>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Christian Henry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Christian Henry</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L. Verdine, Ph.D.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Gregory L. Verdine, Ph.D.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Kolchinsky, Ph.D.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Peter Kolchinsky, Ph.D.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Aik-Na Tan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80"/>
              <w:spacing w:after="0"/>
              <w:rPr>
                <w:sz w:val="20"/>
                <w:szCs w:val="20"/>
                <w:color w:val="auto"/>
              </w:rPr>
            </w:pPr>
            <w:r>
              <w:rPr>
                <w:rFonts w:ascii="Arial" w:cs="Arial" w:eastAsia="Arial" w:hAnsi="Arial"/>
                <w:sz w:val="18"/>
                <w:szCs w:val="18"/>
                <w:color w:val="auto"/>
              </w:rPr>
              <w:t>Aik-Na Tan</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Adrian Rawcliffe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80"/>
              <w:spacing w:after="0"/>
              <w:rPr>
                <w:sz w:val="20"/>
                <w:szCs w:val="20"/>
                <w:color w:val="auto"/>
              </w:rPr>
            </w:pPr>
            <w:r>
              <w:rPr>
                <w:rFonts w:ascii="Arial" w:cs="Arial" w:eastAsia="Arial" w:hAnsi="Arial"/>
                <w:sz w:val="18"/>
                <w:szCs w:val="18"/>
                <w:color w:val="auto"/>
              </w:rPr>
              <w:t>Adrian Rawcliffe</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 Takanashi</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Ken Takanashi</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H. N. Corrigan, M.D.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Mark H. N. Corrigan, M.D.</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33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Heidi L. Wagner</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1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March 3, 2022</w:t>
            </w:r>
          </w:p>
        </w:tc>
      </w:tr>
      <w:tr>
        <w:trPr>
          <w:trHeight w:val="249"/>
        </w:trPr>
        <w:tc>
          <w:tcPr>
            <w:tcW w:w="3500" w:type="dxa"/>
            <w:vAlign w:val="bottom"/>
          </w:tcPr>
          <w:p>
            <w:pPr>
              <w:ind w:left="100"/>
              <w:spacing w:after="0"/>
              <w:rPr>
                <w:sz w:val="20"/>
                <w:szCs w:val="20"/>
                <w:color w:val="auto"/>
              </w:rPr>
            </w:pPr>
            <w:r>
              <w:rPr>
                <w:rFonts w:ascii="Arial" w:cs="Arial" w:eastAsia="Arial" w:hAnsi="Arial"/>
                <w:sz w:val="18"/>
                <w:szCs w:val="18"/>
                <w:color w:val="auto"/>
              </w:rPr>
              <w:t>Heidi L. Wagner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Pr>
          <w:p>
            <w:pPr>
              <w:spacing w:after="0"/>
              <w:rPr>
                <w:sz w:val="21"/>
                <w:szCs w:val="21"/>
                <w:color w:val="auto"/>
              </w:rPr>
            </w:pPr>
          </w:p>
        </w:tc>
      </w:tr>
      <w:tr>
        <w:trPr>
          <w:trHeight w:val="646"/>
        </w:trPr>
        <w:tc>
          <w:tcPr>
            <w:tcW w:w="3500" w:type="dxa"/>
            <w:vAlign w:val="bottom"/>
          </w:tcPr>
          <w:p>
            <w:pPr>
              <w:spacing w:after="0"/>
              <w:rPr>
                <w:sz w:val="24"/>
                <w:szCs w:val="24"/>
                <w:color w:val="auto"/>
              </w:rPr>
            </w:pPr>
          </w:p>
        </w:tc>
        <w:tc>
          <w:tcPr>
            <w:tcW w:w="5140" w:type="dxa"/>
            <w:vAlign w:val="bottom"/>
            <w:gridSpan w:val="3"/>
          </w:tcPr>
          <w:p>
            <w:pPr>
              <w:jc w:val="right"/>
              <w:ind w:right="2792"/>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14"/>
        </w:trPr>
        <w:tc>
          <w:tcPr>
            <w:tcW w:w="3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40" w:type="dxa"/>
            <w:vAlign w:val="bottom"/>
            <w:gridSpan w:val="4"/>
          </w:tcPr>
          <w:p>
            <w:pPr>
              <w:ind w:left="140"/>
              <w:spacing w:after="0"/>
              <w:rPr>
                <w:sz w:val="20"/>
                <w:szCs w:val="20"/>
                <w:color w:val="auto"/>
              </w:rPr>
            </w:pPr>
            <w:r>
              <w:rPr>
                <w:rFonts w:ascii="Arial" w:cs="Arial" w:eastAsia="Arial" w:hAnsi="Arial"/>
                <w:sz w:val="18"/>
                <w:szCs w:val="18"/>
                <w:b w:val="1"/>
                <w:bCs w:val="1"/>
                <w:color w:val="auto"/>
              </w:rPr>
              <w:t>INDEX TO CONSOLIDATED FINANCIAL STATEMENTS</w:t>
            </w:r>
          </w:p>
        </w:tc>
        <w:tc>
          <w:tcPr>
            <w:tcW w:w="1760" w:type="dxa"/>
            <w:vAlign w:val="bottom"/>
          </w:tcPr>
          <w:p>
            <w:pPr>
              <w:spacing w:after="0"/>
              <w:rPr>
                <w:sz w:val="20"/>
                <w:szCs w:val="20"/>
                <w:color w:val="auto"/>
              </w:rPr>
            </w:pPr>
          </w:p>
        </w:tc>
      </w:tr>
      <w:tr>
        <w:trPr>
          <w:trHeight w:val="390"/>
        </w:trPr>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2">
              <w:r>
                <w:rPr>
                  <w:rFonts w:ascii="Arial" w:cs="Arial" w:eastAsia="Arial" w:hAnsi="Arial"/>
                  <w:sz w:val="18"/>
                  <w:szCs w:val="18"/>
                  <w:color w:val="0000EE"/>
                  <w:w w:val="91"/>
                </w:rPr>
                <w:t>Report of Independent Registered Public Accounting Firm</w:t>
              </w:r>
            </w:hyperlink>
          </w:p>
        </w:tc>
        <w:tc>
          <w:tcPr>
            <w:tcW w:w="5260" w:type="dxa"/>
            <w:vAlign w:val="bottom"/>
            <w:gridSpan w:val="3"/>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w w:val="81"/>
              </w:rPr>
              <w:t>F-1</w:t>
            </w:r>
          </w:p>
        </w:tc>
      </w:tr>
      <w:tr>
        <w:trPr>
          <w:trHeight w:val="195"/>
        </w:trPr>
        <w:tc>
          <w:tcPr>
            <w:tcW w:w="9480" w:type="dxa"/>
            <w:vAlign w:val="bottom"/>
            <w:gridSpan w:val="7"/>
          </w:tcPr>
          <w:p>
            <w:pPr>
              <w:spacing w:after="0" w:line="195" w:lineRule="exact"/>
              <w:rPr>
                <w:rFonts w:ascii="Arial" w:cs="Arial" w:eastAsia="Arial" w:hAnsi="Arial"/>
                <w:sz w:val="18"/>
                <w:szCs w:val="18"/>
                <w:color w:val="0000EE"/>
              </w:rPr>
            </w:pPr>
            <w:hyperlink w:anchor="page114">
              <w:r>
                <w:rPr>
                  <w:rFonts w:ascii="Arial" w:cs="Arial" w:eastAsia="Arial" w:hAnsi="Arial"/>
                  <w:sz w:val="18"/>
                  <w:szCs w:val="18"/>
                  <w:color w:val="0000EE"/>
                </w:rPr>
                <w:t>Consolidated Balance Sheets</w:t>
              </w:r>
            </w:hyperlink>
          </w:p>
        </w:tc>
        <w:tc>
          <w:tcPr>
            <w:tcW w:w="1760" w:type="dxa"/>
            <w:vAlign w:val="bottom"/>
          </w:tcPr>
          <w:p>
            <w:pPr>
              <w:ind w:left="1520"/>
              <w:spacing w:after="0" w:line="195" w:lineRule="exact"/>
              <w:rPr>
                <w:sz w:val="20"/>
                <w:szCs w:val="20"/>
                <w:color w:val="auto"/>
              </w:rPr>
            </w:pPr>
            <w:r>
              <w:rPr>
                <w:rFonts w:ascii="Arial" w:cs="Arial" w:eastAsia="Arial" w:hAnsi="Arial"/>
                <w:sz w:val="18"/>
                <w:szCs w:val="18"/>
                <w:color w:val="auto"/>
                <w:w w:val="81"/>
              </w:rPr>
              <w:t>F-3</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5"/>
        </w:trPr>
        <w:tc>
          <w:tcPr>
            <w:tcW w:w="9480" w:type="dxa"/>
            <w:vAlign w:val="bottom"/>
            <w:gridSpan w:val="7"/>
          </w:tcPr>
          <w:p>
            <w:pPr>
              <w:spacing w:after="0" w:line="195"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Operations and Comprehensive Loss</w:t>
              </w:r>
            </w:hyperlink>
          </w:p>
        </w:tc>
        <w:tc>
          <w:tcPr>
            <w:tcW w:w="1760" w:type="dxa"/>
            <w:vAlign w:val="bottom"/>
          </w:tcPr>
          <w:p>
            <w:pPr>
              <w:ind w:left="1520"/>
              <w:spacing w:after="0" w:line="195" w:lineRule="exact"/>
              <w:rPr>
                <w:sz w:val="20"/>
                <w:szCs w:val="20"/>
                <w:color w:val="auto"/>
              </w:rPr>
            </w:pPr>
            <w:r>
              <w:rPr>
                <w:rFonts w:ascii="Arial" w:cs="Arial" w:eastAsia="Arial" w:hAnsi="Arial"/>
                <w:sz w:val="18"/>
                <w:szCs w:val="18"/>
                <w:color w:val="auto"/>
                <w:w w:val="81"/>
              </w:rPr>
              <w:t>F-4</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5"/>
        </w:trPr>
        <w:tc>
          <w:tcPr>
            <w:tcW w:w="5740" w:type="dxa"/>
            <w:vAlign w:val="bottom"/>
            <w:tcBorders>
              <w:bottom w:val="single" w:sz="8" w:color="0000EE"/>
            </w:tcBorders>
            <w:gridSpan w:val="6"/>
          </w:tcPr>
          <w:p>
            <w:pPr>
              <w:spacing w:after="0" w:line="195"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Consolidated Statements of Series A Preferred Shares and Shareholders’ Equity</w:t>
              </w:r>
            </w:hyperlink>
          </w:p>
        </w:tc>
        <w:tc>
          <w:tcPr>
            <w:tcW w:w="3740" w:type="dxa"/>
            <w:vAlign w:val="bottom"/>
          </w:tcPr>
          <w:p>
            <w:pPr>
              <w:spacing w:after="0"/>
              <w:rPr>
                <w:sz w:val="16"/>
                <w:szCs w:val="16"/>
                <w:color w:val="auto"/>
              </w:rPr>
            </w:pPr>
          </w:p>
        </w:tc>
        <w:tc>
          <w:tcPr>
            <w:tcW w:w="1760" w:type="dxa"/>
            <w:vAlign w:val="bottom"/>
          </w:tcPr>
          <w:p>
            <w:pPr>
              <w:ind w:left="1520"/>
              <w:spacing w:after="0" w:line="195" w:lineRule="exact"/>
              <w:rPr>
                <w:sz w:val="20"/>
                <w:szCs w:val="20"/>
                <w:color w:val="auto"/>
              </w:rPr>
            </w:pPr>
            <w:r>
              <w:rPr>
                <w:rFonts w:ascii="Arial" w:cs="Arial" w:eastAsia="Arial" w:hAnsi="Arial"/>
                <w:sz w:val="18"/>
                <w:szCs w:val="18"/>
                <w:color w:val="auto"/>
                <w:w w:val="81"/>
              </w:rPr>
              <w:t>F-5</w:t>
            </w:r>
          </w:p>
        </w:tc>
      </w:tr>
      <w:tr>
        <w:trPr>
          <w:trHeight w:val="195"/>
        </w:trPr>
        <w:tc>
          <w:tcPr>
            <w:tcW w:w="9480" w:type="dxa"/>
            <w:vAlign w:val="bottom"/>
            <w:gridSpan w:val="7"/>
          </w:tcPr>
          <w:p>
            <w:pPr>
              <w:spacing w:after="0" w:line="195"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Cash Flows</w:t>
              </w:r>
            </w:hyperlink>
          </w:p>
        </w:tc>
        <w:tc>
          <w:tcPr>
            <w:tcW w:w="1760" w:type="dxa"/>
            <w:vAlign w:val="bottom"/>
          </w:tcPr>
          <w:p>
            <w:pPr>
              <w:ind w:left="1520"/>
              <w:spacing w:after="0" w:line="195" w:lineRule="exact"/>
              <w:rPr>
                <w:sz w:val="20"/>
                <w:szCs w:val="20"/>
                <w:color w:val="auto"/>
              </w:rPr>
            </w:pPr>
            <w:r>
              <w:rPr>
                <w:rFonts w:ascii="Arial" w:cs="Arial" w:eastAsia="Arial" w:hAnsi="Arial"/>
                <w:sz w:val="18"/>
                <w:szCs w:val="18"/>
                <w:color w:val="auto"/>
                <w:w w:val="81"/>
              </w:rPr>
              <w:t>F-6</w:t>
            </w: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5"/>
        </w:trPr>
        <w:tc>
          <w:tcPr>
            <w:tcW w:w="9480" w:type="dxa"/>
            <w:vAlign w:val="bottom"/>
            <w:gridSpan w:val="7"/>
          </w:tcPr>
          <w:p>
            <w:pPr>
              <w:spacing w:after="0" w:line="195" w:lineRule="exact"/>
              <w:rPr>
                <w:rFonts w:ascii="Arial" w:cs="Arial" w:eastAsia="Arial" w:hAnsi="Arial"/>
                <w:sz w:val="18"/>
                <w:szCs w:val="18"/>
                <w:color w:val="0000EE"/>
              </w:rPr>
            </w:pPr>
            <w:hyperlink w:anchor="page118">
              <w:r>
                <w:rPr>
                  <w:rFonts w:ascii="Arial" w:cs="Arial" w:eastAsia="Arial" w:hAnsi="Arial"/>
                  <w:sz w:val="18"/>
                  <w:szCs w:val="18"/>
                  <w:color w:val="0000EE"/>
                </w:rPr>
                <w:t>Notes to Consolidated Financial Statements</w:t>
              </w:r>
            </w:hyperlink>
          </w:p>
        </w:tc>
        <w:tc>
          <w:tcPr>
            <w:tcW w:w="1760" w:type="dxa"/>
            <w:vAlign w:val="bottom"/>
          </w:tcPr>
          <w:p>
            <w:pPr>
              <w:ind w:left="1520"/>
              <w:spacing w:after="0" w:line="195" w:lineRule="exact"/>
              <w:rPr>
                <w:sz w:val="20"/>
                <w:szCs w:val="20"/>
                <w:color w:val="auto"/>
              </w:rPr>
            </w:pPr>
            <w:r>
              <w:rPr>
                <w:rFonts w:ascii="Arial" w:cs="Arial" w:eastAsia="Arial" w:hAnsi="Arial"/>
                <w:sz w:val="18"/>
                <w:szCs w:val="18"/>
                <w:color w:val="auto"/>
                <w:w w:val="81"/>
              </w:rPr>
              <w:t>F-7</w:t>
            </w: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3"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We have audited the accompanying consolidated balance sheets of Wave Life Sciences Ltd. and subsidiaries (the Company) as of December 31, 2021 and 2020, the related consolidated statements of operations and comprehensive loss, Series A preferred shares and shareholders’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Critical Audit Matter</w:t>
      </w:r>
    </w:p>
    <w:p>
      <w:pPr>
        <w:spacing w:after="0" w:line="223"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Evaluation of revenue recognition for certain research and development services</w:t>
      </w:r>
    </w:p>
    <w:p>
      <w:pPr>
        <w:spacing w:after="0" w:line="223" w:lineRule="exact"/>
        <w:rPr>
          <w:sz w:val="20"/>
          <w:szCs w:val="20"/>
          <w:color w:val="auto"/>
        </w:rPr>
      </w:pPr>
    </w:p>
    <w:p>
      <w:pPr>
        <w:ind w:left="380" w:right="20"/>
        <w:spacing w:after="0" w:line="295" w:lineRule="auto"/>
        <w:rPr>
          <w:sz w:val="20"/>
          <w:szCs w:val="20"/>
          <w:color w:val="auto"/>
        </w:rPr>
      </w:pPr>
      <w:r>
        <w:rPr>
          <w:rFonts w:ascii="Arial" w:cs="Arial" w:eastAsia="Arial" w:hAnsi="Arial"/>
          <w:sz w:val="16"/>
          <w:szCs w:val="16"/>
          <w:color w:val="auto"/>
        </w:rPr>
        <w:t>As discussed in Notes 2 and 5 to the consolidated financial statements, the Company is party to a collaboration agreement which has various obligations, including the requirement to provide research and development (R&amp;D) services. The Company recognizes R&amp;D services revenue over time based on a measure of proportional performance using estimated costs. Amounts received by the Company in advance of performance are recorded as deferred revenue. For the year ended December 31, 2021, the Company recognized revenue of $40,964 thousand, which related to R&amp;D services performed. In addition, as of December 31, 2021, a portion of the Company’s current and long-term deferred revenue relates to R&amp;D services.</w:t>
      </w:r>
    </w:p>
    <w:p>
      <w:pPr>
        <w:spacing w:after="0" w:line="161" w:lineRule="exact"/>
        <w:rPr>
          <w:sz w:val="20"/>
          <w:szCs w:val="20"/>
          <w:color w:val="auto"/>
        </w:rPr>
      </w:pPr>
    </w:p>
    <w:p>
      <w:pPr>
        <w:ind w:left="380" w:right="40"/>
        <w:spacing w:after="0" w:line="258" w:lineRule="auto"/>
        <w:rPr>
          <w:sz w:val="20"/>
          <w:szCs w:val="20"/>
          <w:color w:val="auto"/>
        </w:rPr>
      </w:pPr>
      <w:r>
        <w:rPr>
          <w:rFonts w:ascii="Arial" w:cs="Arial" w:eastAsia="Arial" w:hAnsi="Arial"/>
          <w:sz w:val="18"/>
          <w:szCs w:val="18"/>
          <w:color w:val="auto"/>
        </w:rPr>
        <w:t>We identified the evaluation of revenue recognition for certain R&amp;D services as a critical audit matter. Specifically, the estimate of costs to be incurred in satisfying R&amp;D performance obligations was subjective and required significant auditor judgment. Evaluating the estimated effort required to complete R&amp;D services, including the assessment of the nature and complexity of the work to be performed, involved a high degree of auditor judgment.</w:t>
      </w:r>
    </w:p>
    <w:p>
      <w:pPr>
        <w:spacing w:after="0" w:line="186" w:lineRule="exact"/>
        <w:rPr>
          <w:sz w:val="20"/>
          <w:szCs w:val="20"/>
          <w:color w:val="auto"/>
        </w:rPr>
      </w:pPr>
    </w:p>
    <w:p>
      <w:pPr>
        <w:ind w:left="380"/>
        <w:spacing w:after="0" w:line="254" w:lineRule="auto"/>
        <w:rPr>
          <w:sz w:val="20"/>
          <w:szCs w:val="20"/>
          <w:color w:val="auto"/>
        </w:rPr>
      </w:pPr>
      <w:r>
        <w:rPr>
          <w:rFonts w:ascii="Arial" w:cs="Arial" w:eastAsia="Arial" w:hAnsi="Arial"/>
          <w:sz w:val="18"/>
          <w:szCs w:val="18"/>
          <w:color w:val="auto"/>
        </w:rPr>
        <w:t>The following are the primary procedures we performed to address this critical audit matter. We selected certain R&amp;D performance obligations and read the underlying contract with the customer, evaluated the determination of the method for measuring progress, and tested the Company’s estimate of total contract costs to be incurred by (1) comparing the Company’s prior period estimates to actual costs incurred to assess the Company’s ability to estimate accurately, (2) inspecting underlying documentation and third party evidence and comparing them to management’s assumptions and inputs, and (3) inquiring of R&amp;D personnel of the Company to evaluate factors impacting the total contract costs to be incurred, including progress to date and the estimate of remaining contract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r>
      <w:tr>
        <w:trPr>
          <w:trHeight w:val="222"/>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150,564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accounts receivable</w:t>
            </w:r>
          </w:p>
        </w:tc>
        <w:tc>
          <w:tcPr>
            <w:tcW w:w="1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w:t>
            </w:r>
          </w:p>
        </w:tc>
        <w:tc>
          <w:tcPr>
            <w:tcW w:w="120" w:type="dxa"/>
            <w:vAlign w:val="bottom"/>
            <w:tcBorders>
              <w:bottom w:val="single" w:sz="8" w:color="CFF0FC"/>
            </w:tcBorders>
          </w:tcPr>
          <w:p>
            <w:pPr>
              <w:spacing w:after="0"/>
              <w:rPr>
                <w:sz w:val="19"/>
                <w:szCs w:val="19"/>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230,042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29,198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FF0FC"/>
            </w:tcBorders>
          </w:tcPr>
          <w:p>
            <w:pPr>
              <w:spacing w:after="0"/>
              <w:rPr>
                <w:sz w:val="19"/>
                <w:szCs w:val="19"/>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49,196</w:t>
            </w:r>
          </w:p>
        </w:tc>
        <w:tc>
          <w:tcPr>
            <w:tcW w:w="120" w:type="dxa"/>
            <w:vAlign w:val="bottom"/>
            <w:shd w:val="clear" w:color="auto" w:fill="CFF0FC"/>
          </w:tcPr>
          <w:p>
            <w:pPr>
              <w:spacing w:after="0"/>
              <w:rPr>
                <w:sz w:val="19"/>
                <w:szCs w:val="19"/>
                <w:color w:val="auto"/>
              </w:rPr>
            </w:pPr>
          </w:p>
        </w:tc>
      </w:tr>
      <w:tr>
        <w:trPr>
          <w:trHeight w:val="262"/>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207,007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279,238</w:t>
            </w:r>
          </w:p>
        </w:tc>
        <w:tc>
          <w:tcPr>
            <w:tcW w:w="120" w:type="dxa"/>
            <w:vAlign w:val="bottom"/>
            <w:tcBorders>
              <w:bottom w:val="single" w:sz="8" w:color="CFF0FC"/>
            </w:tcBorders>
          </w:tcPr>
          <w:p>
            <w:pPr>
              <w:spacing w:after="0"/>
              <w:rPr>
                <w:sz w:val="22"/>
                <w:szCs w:val="22"/>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Series A preferred shares and shareholders’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7,281</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11,971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FF0FC"/>
            </w:tcBorders>
          </w:tcPr>
          <w:p>
            <w:pPr>
              <w:spacing w:after="0"/>
              <w:rPr>
                <w:sz w:val="19"/>
                <w:szCs w:val="19"/>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121,040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25,591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FF0FC"/>
          </w:tcPr>
          <w:p>
            <w:pPr>
              <w:spacing w:after="0"/>
              <w:rPr>
                <w:sz w:val="19"/>
                <w:szCs w:val="19"/>
                <w:color w:val="auto"/>
              </w:rPr>
            </w:pPr>
          </w:p>
        </w:tc>
      </w:tr>
      <w:tr>
        <w:trPr>
          <w:trHeight w:val="222"/>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67,546</w:t>
            </w:r>
          </w:p>
        </w:tc>
        <w:tc>
          <w:tcPr>
            <w:tcW w:w="120" w:type="dxa"/>
            <w:vAlign w:val="bottom"/>
            <w:tcBorders>
              <w:bottom w:val="single" w:sz="8" w:color="CFF0FC"/>
            </w:tcBorders>
          </w:tcPr>
          <w:p>
            <w:pPr>
              <w:spacing w:after="0"/>
              <w:rPr>
                <w:sz w:val="19"/>
                <w:szCs w:val="19"/>
                <w:color w:val="auto"/>
              </w:rPr>
            </w:pPr>
          </w:p>
        </w:tc>
      </w:tr>
      <w:tr>
        <w:trPr>
          <w:trHeight w:val="22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188,586</w:t>
            </w:r>
          </w:p>
        </w:tc>
        <w:tc>
          <w:tcPr>
            <w:tcW w:w="120" w:type="dxa"/>
            <w:vAlign w:val="bottom"/>
            <w:shd w:val="clear" w:color="auto" w:fill="CFF0FC"/>
          </w:tcPr>
          <w:p>
            <w:pPr>
              <w:spacing w:after="0"/>
              <w:rPr>
                <w:sz w:val="19"/>
                <w:szCs w:val="19"/>
                <w:color w:val="auto"/>
              </w:rPr>
            </w:pPr>
          </w:p>
        </w:tc>
      </w:tr>
      <w:tr>
        <w:trPr>
          <w:trHeight w:val="208"/>
        </w:trPr>
        <w:tc>
          <w:tcPr>
            <w:tcW w:w="7720" w:type="dxa"/>
            <w:vAlign w:val="bottom"/>
          </w:tcPr>
          <w:p>
            <w:pPr>
              <w:spacing w:after="0"/>
              <w:rPr>
                <w:sz w:val="20"/>
                <w:szCs w:val="20"/>
                <w:color w:val="auto"/>
              </w:rPr>
            </w:pPr>
            <w:r>
              <w:rPr>
                <w:rFonts w:ascii="Arial" w:cs="Arial" w:eastAsia="Arial" w:hAnsi="Arial"/>
                <w:sz w:val="18"/>
                <w:szCs w:val="18"/>
                <w:color w:val="auto"/>
              </w:rPr>
              <w:t>Series A preferred shares, no par value; 3,901,348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and outstanding at December 31, 2021 and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7,874</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7,874</w:t>
            </w:r>
          </w:p>
        </w:tc>
        <w:tc>
          <w:tcPr>
            <w:tcW w:w="120" w:type="dxa"/>
            <w:vAlign w:val="bottom"/>
          </w:tcPr>
          <w:p>
            <w:pPr>
              <w:spacing w:after="0"/>
              <w:rPr>
                <w:sz w:val="19"/>
                <w:szCs w:val="19"/>
                <w:color w:val="auto"/>
              </w:rPr>
            </w:pPr>
          </w:p>
        </w:tc>
      </w:tr>
      <w:tr>
        <w:trPr>
          <w:trHeight w:val="222"/>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4"/>
        </w:trPr>
        <w:tc>
          <w:tcPr>
            <w:tcW w:w="7720" w:type="dxa"/>
            <w:vAlign w:val="bottom"/>
          </w:tcPr>
          <w:p>
            <w:pPr>
              <w:ind w:left="260"/>
              <w:spacing w:after="0"/>
              <w:rPr>
                <w:sz w:val="20"/>
                <w:szCs w:val="20"/>
                <w:color w:val="auto"/>
              </w:rPr>
            </w:pPr>
            <w:r>
              <w:rPr>
                <w:rFonts w:ascii="Arial" w:cs="Arial" w:eastAsia="Arial" w:hAnsi="Arial"/>
                <w:sz w:val="18"/>
                <w:szCs w:val="18"/>
                <w:color w:val="auto"/>
              </w:rPr>
              <w:t>Ordinary shares, no par value; 59,841,116 and 48,778,678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outstanding at December 31, 2021 and 2020, respectively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749,851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694,085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(805,514)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(683,269)</w:t>
            </w:r>
          </w:p>
        </w:tc>
      </w:tr>
      <w:tr>
        <w:trPr>
          <w:trHeight w:val="222"/>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82,778</w:t>
            </w:r>
          </w:p>
        </w:tc>
        <w:tc>
          <w:tcPr>
            <w:tcW w:w="120" w:type="dxa"/>
            <w:vAlign w:val="bottom"/>
            <w:tcBorders>
              <w:bottom w:val="single" w:sz="8" w:color="CFF0FC"/>
            </w:tcBorders>
          </w:tcPr>
          <w:p>
            <w:pPr>
              <w:spacing w:after="0"/>
              <w:rPr>
                <w:sz w:val="19"/>
                <w:szCs w:val="19"/>
                <w:color w:val="auto"/>
              </w:rPr>
            </w:pPr>
          </w:p>
        </w:tc>
      </w:tr>
      <w:tr>
        <w:trPr>
          <w:trHeight w:val="222"/>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Series A preferred shares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207,007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279,238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18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8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167,980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(127,016)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Dividend income and interest income, net</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18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8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(122,449)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(150,751)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8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(149,910)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ordinary</w:t>
            </w: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80" w:type="dxa"/>
            <w:vAlign w:val="bottom"/>
            <w:gridSpan w:val="2"/>
            <w:vMerge w:val="continue"/>
          </w:tcPr>
          <w:p>
            <w:pPr>
              <w:spacing w:after="0"/>
              <w:rPr>
                <w:sz w:val="16"/>
                <w:szCs w:val="16"/>
                <w:color w:val="auto"/>
              </w:rPr>
            </w:pPr>
          </w:p>
        </w:tc>
        <w:tc>
          <w:tcPr>
            <w:tcW w:w="1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shareholders—basic and diluted</w:t>
            </w:r>
          </w:p>
        </w:tc>
        <w:tc>
          <w:tcPr>
            <w:tcW w:w="22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ordinary shares used in computing</w:t>
            </w:r>
          </w:p>
        </w:tc>
        <w:tc>
          <w:tcPr>
            <w:tcW w:w="18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attributable to ordinary</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shareholders—basic and diluted</w:t>
            </w:r>
          </w:p>
        </w:tc>
        <w:tc>
          <w:tcPr>
            <w:tcW w:w="18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51,825,566</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39,227,618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(122,245)</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(149,910)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w:t>
            </w: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8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SERIES A PREFERRED SHARES AND SHAREHOLDERS’ EQUITY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220" w:type="dxa"/>
            <w:vAlign w:val="bottom"/>
            <w:gridSpan w:val="4"/>
          </w:tcPr>
          <w:p>
            <w:pPr>
              <w:jc w:val="center"/>
              <w:ind w:left="621"/>
              <w:spacing w:after="0"/>
              <w:rPr>
                <w:sz w:val="20"/>
                <w:szCs w:val="20"/>
                <w:color w:val="auto"/>
              </w:rPr>
            </w:pPr>
            <w:r>
              <w:rPr>
                <w:rFonts w:ascii="Arial" w:cs="Arial" w:eastAsia="Arial" w:hAnsi="Arial"/>
                <w:sz w:val="13"/>
                <w:szCs w:val="13"/>
                <w:b w:val="1"/>
                <w:bCs w:val="1"/>
                <w:color w:val="auto"/>
                <w:w w:val="92"/>
              </w:rPr>
              <w:t>Series A</w:t>
            </w:r>
          </w:p>
        </w:tc>
        <w:tc>
          <w:tcPr>
            <w:tcW w:w="7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2180" w:type="dxa"/>
            <w:vAlign w:val="bottom"/>
            <w:tcBorders>
              <w:right w:val="single" w:sz="8" w:color="auto"/>
            </w:tcBorders>
            <w:gridSpan w:val="6"/>
          </w:tcPr>
          <w:p>
            <w:pPr>
              <w:jc w:val="center"/>
              <w:ind w:right="280"/>
              <w:spacing w:after="0"/>
              <w:rPr>
                <w:sz w:val="20"/>
                <w:szCs w:val="20"/>
                <w:color w:val="auto"/>
              </w:rPr>
            </w:pPr>
            <w:r>
              <w:rPr>
                <w:rFonts w:ascii="Arial" w:cs="Arial" w:eastAsia="Arial" w:hAnsi="Arial"/>
                <w:sz w:val="13"/>
                <w:szCs w:val="13"/>
                <w:b w:val="1"/>
                <w:bCs w:val="1"/>
                <w:color w:val="auto"/>
                <w:w w:val="93"/>
              </w:rPr>
              <w:t>Preferred Shares</w:t>
            </w:r>
          </w:p>
        </w:tc>
        <w:tc>
          <w:tcPr>
            <w:tcW w:w="100" w:type="dxa"/>
            <w:vAlign w:val="bottom"/>
          </w:tcPr>
          <w:p>
            <w:pPr>
              <w:spacing w:after="0"/>
              <w:rPr>
                <w:sz w:val="13"/>
                <w:szCs w:val="13"/>
                <w:color w:val="auto"/>
              </w:rPr>
            </w:pPr>
          </w:p>
        </w:tc>
        <w:tc>
          <w:tcPr>
            <w:tcW w:w="2220" w:type="dxa"/>
            <w:vAlign w:val="bottom"/>
            <w:gridSpan w:val="5"/>
          </w:tcPr>
          <w:p>
            <w:pPr>
              <w:ind w:left="500"/>
              <w:spacing w:after="0"/>
              <w:rPr>
                <w:sz w:val="20"/>
                <w:szCs w:val="20"/>
                <w:color w:val="auto"/>
              </w:rPr>
            </w:pPr>
            <w:r>
              <w:rPr>
                <w:rFonts w:ascii="Arial" w:cs="Arial" w:eastAsia="Arial" w:hAnsi="Arial"/>
                <w:sz w:val="13"/>
                <w:szCs w:val="13"/>
                <w:b w:val="1"/>
                <w:bCs w:val="1"/>
                <w:color w:val="auto"/>
              </w:rPr>
              <w:t>Ordinary Shares</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1100" w:type="dxa"/>
            <w:vAlign w:val="bottom"/>
            <w:gridSpan w:val="3"/>
          </w:tcPr>
          <w:p>
            <w:pPr>
              <w:jc w:val="right"/>
              <w:ind w:right="300"/>
              <w:spacing w:after="0" w:line="143" w:lineRule="exact"/>
              <w:rPr>
                <w:sz w:val="20"/>
                <w:szCs w:val="20"/>
                <w:color w:val="auto"/>
              </w:rPr>
            </w:pPr>
            <w:r>
              <w:rPr>
                <w:rFonts w:ascii="Arial" w:cs="Arial" w:eastAsia="Arial" w:hAnsi="Arial"/>
                <w:sz w:val="13"/>
                <w:szCs w:val="13"/>
                <w:b w:val="1"/>
                <w:bCs w:val="1"/>
                <w:color w:val="auto"/>
                <w:w w:val="95"/>
              </w:rPr>
              <w:t>Accumulated</w:t>
            </w:r>
          </w:p>
        </w:tc>
        <w:tc>
          <w:tcPr>
            <w:tcW w:w="1000" w:type="dxa"/>
            <w:vAlign w:val="bottom"/>
            <w:gridSpan w:val="3"/>
          </w:tcPr>
          <w:p>
            <w:pPr>
              <w:jc w:val="center"/>
              <w:ind w:right="140"/>
              <w:spacing w:after="0" w:line="143"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1080" w:type="dxa"/>
            <w:vAlign w:val="bottom"/>
            <w:gridSpan w:val="3"/>
          </w:tcPr>
          <w:p>
            <w:pPr>
              <w:ind w:left="2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9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Capital</w:t>
            </w:r>
          </w:p>
        </w:tc>
        <w:tc>
          <w:tcPr>
            <w:tcW w:w="10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9"/>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3,901,348</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7,874</w:t>
            </w: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34,340,690</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539,547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57,277</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(533,359)</w:t>
            </w:r>
          </w:p>
        </w:tc>
        <w:tc>
          <w:tcPr>
            <w:tcW w:w="160" w:type="dxa"/>
            <w:vAlign w:val="bottom"/>
            <w:tcBorders>
              <w:top w:val="single" w:sz="8" w:color="CFF0FC"/>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63,732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400" w:type="dxa"/>
            <w:vAlign w:val="bottom"/>
          </w:tcPr>
          <w:p>
            <w:pPr>
              <w:spacing w:after="0"/>
              <w:rPr>
                <w:sz w:val="20"/>
                <w:szCs w:val="20"/>
                <w:color w:val="auto"/>
              </w:rPr>
            </w:pPr>
            <w:r>
              <w:rPr>
                <w:rFonts w:ascii="Arial" w:cs="Arial" w:eastAsia="Arial" w:hAnsi="Arial"/>
                <w:sz w:val="16"/>
                <w:szCs w:val="16"/>
                <w:color w:val="auto"/>
              </w:rPr>
              <w:t>Issuance of ordinary shares,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00" w:type="dxa"/>
            <w:vAlign w:val="bottom"/>
          </w:tcPr>
          <w:p>
            <w:pPr>
              <w:ind w:left="120"/>
              <w:spacing w:after="0"/>
              <w:rPr>
                <w:sz w:val="20"/>
                <w:szCs w:val="20"/>
                <w:color w:val="auto"/>
              </w:rPr>
            </w:pPr>
            <w:r>
              <w:rPr>
                <w:rFonts w:ascii="Arial" w:cs="Arial" w:eastAsia="Arial" w:hAnsi="Arial"/>
                <w:sz w:val="16"/>
                <w:szCs w:val="16"/>
                <w:color w:val="auto"/>
              </w:rPr>
              <w:t>net of offering costs</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8,333,334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93,744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Issuance of ordinary shares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pursuant to the at-the-market</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program, net</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5,583,022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59,882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Vesting of RSUs</w:t>
            </w: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208,123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Option exercises</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288,270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Issuance of ordinary shares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under the ESPP</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25,239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(149,910)</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(149,910)</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40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3,901,348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7,874</w:t>
            </w:r>
          </w:p>
        </w:tc>
        <w:tc>
          <w:tcPr>
            <w:tcW w:w="26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48,778,678</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694,085</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71,573</w:t>
            </w:r>
          </w:p>
        </w:tc>
        <w:tc>
          <w:tcPr>
            <w:tcW w:w="2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(683,269)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82,778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ordinary shares</w:t>
            </w: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right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pursuant to the at-the-market</w:t>
            </w: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program, net</w:t>
            </w: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10,740,915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54,908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Vesting of RSUs</w:t>
            </w: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177,279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Option exercises</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51,957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Issuance of ordinary shares</w:t>
            </w: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under the ESPP</w:t>
            </w: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9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8"/>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(122,245)</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(122,245)</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2021</w:t>
            </w: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40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3,901,348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7,874</w:t>
            </w:r>
          </w:p>
        </w:tc>
        <w:tc>
          <w:tcPr>
            <w:tcW w:w="2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59,841,116</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749,851</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87,980</w:t>
            </w:r>
          </w:p>
        </w:tc>
        <w:tc>
          <w:tcPr>
            <w:tcW w:w="2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(805,514)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32,498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205"/>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right"/>
              <w:ind w:right="25"/>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Net loss</w:t>
            </w:r>
          </w:p>
        </w:tc>
        <w:tc>
          <w:tcPr>
            <w:tcW w:w="2380" w:type="dxa"/>
            <w:vAlign w:val="bottom"/>
            <w:gridSpan w:val="2"/>
          </w:tcPr>
          <w:p>
            <w:pPr>
              <w:jc w:val="right"/>
              <w:ind w:right="987"/>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(122,245)</w:t>
            </w:r>
          </w:p>
        </w:tc>
        <w:tc>
          <w:tcPr>
            <w:tcW w:w="1340" w:type="dxa"/>
            <w:vAlign w:val="bottom"/>
            <w:gridSpan w:val="2"/>
          </w:tcPr>
          <w:p>
            <w:pPr>
              <w:jc w:val="right"/>
              <w:ind w:right="100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(149,910)</w:t>
            </w:r>
          </w:p>
        </w:tc>
        <w:tc>
          <w:tcPr>
            <w:tcW w:w="0" w:type="dxa"/>
            <w:vAlign w:val="bottom"/>
          </w:tcPr>
          <w:p>
            <w:pPr>
              <w:spacing w:after="0"/>
              <w:rPr>
                <w:sz w:val="1"/>
                <w:szCs w:val="1"/>
                <w:color w:val="auto"/>
              </w:rPr>
            </w:pPr>
          </w:p>
        </w:tc>
      </w:tr>
      <w:tr>
        <w:trPr>
          <w:trHeight w:val="197"/>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w:t>
            </w:r>
          </w:p>
        </w:tc>
        <w:tc>
          <w:tcPr>
            <w:tcW w:w="1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used in operating activities:</w:t>
            </w:r>
          </w:p>
        </w:tc>
        <w:tc>
          <w:tcPr>
            <w:tcW w:w="1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60"/>
              <w:spacing w:after="0"/>
              <w:rPr>
                <w:sz w:val="20"/>
                <w:szCs w:val="20"/>
                <w:color w:val="auto"/>
              </w:rPr>
            </w:pPr>
            <w:r>
              <w:rPr>
                <w:rFonts w:ascii="Arial" w:cs="Arial" w:eastAsia="Arial" w:hAnsi="Arial"/>
                <w:sz w:val="17"/>
                <w:szCs w:val="17"/>
                <w:color w:val="auto"/>
              </w:rPr>
              <w:t>Amortization of right-of-use assets</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2,352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of property and equipment</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60"/>
              <w:spacing w:after="0"/>
              <w:rPr>
                <w:sz w:val="20"/>
                <w:szCs w:val="20"/>
                <w:color w:val="auto"/>
              </w:rPr>
            </w:pPr>
            <w:r>
              <w:rPr>
                <w:rFonts w:ascii="Arial" w:cs="Arial" w:eastAsia="Arial" w:hAnsi="Arial"/>
                <w:sz w:val="17"/>
                <w:szCs w:val="17"/>
                <w:color w:val="auto"/>
              </w:rPr>
              <w:t>Share-based compensation expense</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14,296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215"/>
        </w:trPr>
        <w:tc>
          <w:tcPr>
            <w:tcW w:w="5880" w:type="dxa"/>
            <w:vAlign w:val="bottom"/>
          </w:tcPr>
          <w:p>
            <w:pPr>
              <w:ind w:left="500"/>
              <w:spacing w:after="0"/>
              <w:rPr>
                <w:sz w:val="20"/>
                <w:szCs w:val="20"/>
                <w:color w:val="auto"/>
              </w:rPr>
            </w:pPr>
            <w:r>
              <w:rPr>
                <w:rFonts w:ascii="Arial" w:cs="Arial" w:eastAsia="Arial" w:hAnsi="Arial"/>
                <w:sz w:val="17"/>
                <w:szCs w:val="17"/>
                <w:color w:val="auto"/>
              </w:rPr>
              <w:t>Other assets</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(338)</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(6,567)</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500"/>
              <w:spacing w:after="0"/>
              <w:rPr>
                <w:sz w:val="20"/>
                <w:szCs w:val="20"/>
                <w:color w:val="auto"/>
              </w:rPr>
            </w:pPr>
            <w:r>
              <w:rPr>
                <w:rFonts w:ascii="Arial" w:cs="Arial" w:eastAsia="Arial" w:hAnsi="Arial"/>
                <w:sz w:val="17"/>
                <w:szCs w:val="17"/>
                <w:color w:val="auto"/>
              </w:rPr>
              <w:t>Accrued expenses and other current liabilities</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(4,214)</w:t>
            </w: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(18,464)</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(20,077)</w:t>
            </w:r>
          </w:p>
        </w:tc>
        <w:tc>
          <w:tcPr>
            <w:tcW w:w="0" w:type="dxa"/>
            <w:vAlign w:val="bottom"/>
          </w:tcPr>
          <w:p>
            <w:pPr>
              <w:spacing w:after="0"/>
              <w:rPr>
                <w:sz w:val="1"/>
                <w:szCs w:val="1"/>
                <w:color w:val="auto"/>
              </w:rPr>
            </w:pPr>
          </w:p>
        </w:tc>
      </w:tr>
      <w:tr>
        <w:trPr>
          <w:trHeight w:val="215"/>
        </w:trPr>
        <w:tc>
          <w:tcPr>
            <w:tcW w:w="5880" w:type="dxa"/>
            <w:vAlign w:val="bottom"/>
          </w:tcPr>
          <w:p>
            <w:pPr>
              <w:ind w:left="500"/>
              <w:spacing w:after="0"/>
              <w:rPr>
                <w:sz w:val="20"/>
                <w:szCs w:val="20"/>
                <w:color w:val="auto"/>
              </w:rPr>
            </w:pPr>
            <w:r>
              <w:rPr>
                <w:rFonts w:ascii="Arial" w:cs="Arial" w:eastAsia="Arial" w:hAnsi="Arial"/>
                <w:sz w:val="17"/>
                <w:szCs w:val="17"/>
                <w:color w:val="auto"/>
              </w:rPr>
              <w:t>Operating lease liabilities</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(3,887)</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15"/>
        </w:trPr>
        <w:tc>
          <w:tcPr>
            <w:tcW w:w="588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liabilities</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(474)</w:t>
            </w: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09"/>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used in operating activities</w:t>
            </w:r>
          </w:p>
        </w:tc>
        <w:tc>
          <w:tcPr>
            <w:tcW w:w="1240" w:type="dxa"/>
            <w:vAlign w:val="bottom"/>
            <w:tcBorders>
              <w:bottom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(88,993)</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(115,982)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(560)</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209"/>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1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(560)</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ordinary shares, net of offering costs</w:t>
            </w:r>
          </w:p>
        </w:tc>
        <w:tc>
          <w:tcPr>
            <w:tcW w:w="1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80" w:type="dxa"/>
            <w:vAlign w:val="bottom"/>
          </w:tcPr>
          <w:p>
            <w:pPr>
              <w:spacing w:after="0"/>
              <w:rPr>
                <w:sz w:val="20"/>
                <w:szCs w:val="20"/>
                <w:color w:val="auto"/>
              </w:rPr>
            </w:pPr>
            <w:r>
              <w:rPr>
                <w:rFonts w:ascii="Arial" w:cs="Arial" w:eastAsia="Arial" w:hAnsi="Arial"/>
                <w:sz w:val="17"/>
                <w:szCs w:val="17"/>
                <w:color w:val="auto"/>
              </w:rPr>
              <w:t>Proceeds from issuance of ordinary shares pursuant to the</w:t>
            </w: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40"/>
              <w:spacing w:after="0"/>
              <w:rPr>
                <w:sz w:val="20"/>
                <w:szCs w:val="20"/>
                <w:color w:val="auto"/>
              </w:rPr>
            </w:pPr>
            <w:r>
              <w:rPr>
                <w:rFonts w:ascii="Arial" w:cs="Arial" w:eastAsia="Arial" w:hAnsi="Arial"/>
                <w:sz w:val="17"/>
                <w:szCs w:val="17"/>
                <w:color w:val="auto"/>
              </w:rPr>
              <w:t>at-the-market equity program, net</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54,970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59,882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Proceeds from the exercise of share options</w:t>
            </w:r>
          </w:p>
        </w:tc>
        <w:tc>
          <w:tcPr>
            <w:tcW w:w="1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Proceeds from the ESPP</w:t>
            </w:r>
          </w:p>
        </w:tc>
        <w:tc>
          <w:tcPr>
            <w:tcW w:w="1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24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55,828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154,538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Effect of foreign exchange rates on cash</w:t>
            </w:r>
          </w:p>
        </w:tc>
        <w:tc>
          <w:tcPr>
            <w:tcW w:w="1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(33,933)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37,340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1240" w:type="dxa"/>
            <w:vAlign w:val="bottom"/>
            <w:tcBorders>
              <w:bottom w:val="single" w:sz="8" w:color="CFF0FC"/>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188,148</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150,808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1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154,215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188,148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8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80" w:type="dxa"/>
            <w:vAlign w:val="bottom"/>
            <w:shd w:val="clear" w:color="auto" w:fill="CFF0FC"/>
          </w:tcPr>
          <w:p>
            <w:pPr>
              <w:spacing w:after="0"/>
              <w:rPr>
                <w:sz w:val="20"/>
                <w:szCs w:val="20"/>
                <w:color w:val="auto"/>
              </w:rPr>
            </w:pPr>
            <w:r>
              <w:rPr>
                <w:rFonts w:ascii="Arial" w:cs="Arial" w:eastAsia="Arial" w:hAnsi="Arial"/>
                <w:sz w:val="17"/>
                <w:szCs w:val="17"/>
                <w:color w:val="auto"/>
              </w:rPr>
              <w:t>Increase in operating lease right-of-use assets and</w:t>
            </w:r>
          </w:p>
        </w:tc>
        <w:tc>
          <w:tcPr>
            <w:tcW w:w="1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lease liabilities related to new lease</w:t>
            </w:r>
          </w:p>
        </w:tc>
        <w:tc>
          <w:tcPr>
            <w:tcW w:w="2380" w:type="dxa"/>
            <w:vAlign w:val="bottom"/>
            <w:gridSpan w:val="2"/>
            <w:shd w:val="clear" w:color="auto" w:fill="CFF0FC"/>
          </w:tcPr>
          <w:p>
            <w:pPr>
              <w:jc w:val="right"/>
              <w:ind w:right="987"/>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4,498</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Wave Life Sciences Ltd.</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Wave Life Sciences Ltd. (together with its subsidiaries, “Wave” or the “Company”) is a clinical-stage genetic medicines company committed to delivering life-changing treatments for people battling devastating diseases. Using PRISM, Wave’s proprietary discovery and drug development platform that enables the precise design, optimization and production of novel stereopure oligonucleotides. Wave has built a genetic toolkit comprised of multiple therapeutic modalities, including RNase-H mediated silencing, RNAi, splicing, and RNA base editing, all of which leverage learnings and optimizations from the PRISM platform and allows Wave to design built-for-purpose molecules to optimally address disease biology.</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Arial" w:cs="Arial" w:eastAsia="Arial" w:hAnsi="Arial"/>
          <w:sz w:val="18"/>
          <w:szCs w:val="18"/>
          <w:b w:val="1"/>
          <w:bCs w:val="1"/>
          <w:color w:val="auto"/>
        </w:rPr>
        <w:t>-</w:t>
      </w:r>
      <w:r>
        <w:rPr>
          <w:rFonts w:ascii="Arial" w:cs="Arial" w:eastAsia="Arial" w:hAnsi="Arial"/>
          <w:sz w:val="18"/>
          <w:szCs w:val="18"/>
          <w:color w:val="auto"/>
        </w:rPr>
        <w:t>owned subsidiary of Wave Life Sciences Ltd. On April 3, 2017, Wave Life Sciences UK Limited (“Wave UK”) was formed as a wholly</w:t>
      </w:r>
      <w:r>
        <w:rPr>
          <w:rFonts w:ascii="Arial" w:cs="Arial" w:eastAsia="Arial" w:hAnsi="Arial"/>
          <w:sz w:val="18"/>
          <w:szCs w:val="18"/>
          <w:b w:val="1"/>
          <w:bCs w:val="1"/>
          <w:color w:val="auto"/>
        </w:rPr>
        <w:t>-</w:t>
      </w:r>
      <w:r>
        <w:rPr>
          <w:rFonts w:ascii="Arial" w:cs="Arial" w:eastAsia="Arial" w:hAnsi="Arial"/>
          <w:sz w:val="18"/>
          <w:szCs w:val="18"/>
          <w:color w:val="auto"/>
        </w:rPr>
        <w:t>owned subsidiary of Wave Life Sciences Ltd.</w:t>
      </w:r>
    </w:p>
    <w:p>
      <w:pPr>
        <w:spacing w:after="0" w:line="8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Company’s primary activities since inception have been developing and evolving PRISM to design, develop and commercialize oligonucleotide therapeutics, advancing the Company’s differentiated neurology portfolio, as well as exploring other therapeutic areas of interest, building the Company’s research, development and manufacturing capabilities, advancing programs into the clinic, furthering clinical development of such clinical-stage programs, building the Company’s intellectual property, and assuring adequate capital to support these activities.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its inception, the Company has not generated any product revenue and has incurred recurring net losses. To date, the Company has primarily funded its operations through private placements of debt and equity securities, public offerings of its ordinary shares and collaborations with third parties. Until the Company can generate significant revenue from product sales, if ever, the Company expects to continue to finance operations through a combination of public or private equity or debt financings or other sources, which may include collaborations with third parties. Adequate additional financing may not be available to the Company on acceptable terms, or at all. The inability to raise capital as and when needed would have a negative impact on the Company’s financial condition and ability to pursue its business strategy.</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2021, the Company had cash and cash equivalents of $150.6 million. The Company expects that its existing cash and cash equivalents will be sufficient to fund its operations for at least the next twelve months. The Company has based this expectation on assumptions that may prove to be incorrect, and the Company may use its available capital resources sooner than it currently expects. If the Company’s anticipated operating results are not achieved in future periods, planned expenditures may need to be further reduced in order to extend the time period over which the then-available resources would be able to fund the Company’s operations. In addition, the Company may elect to raise additional funds before it needs them if the conditions for raising capital are favorable due to market conditions or strategic considerations, even if the Company expects it has sufficient funds for its current or future operating plans.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maintaining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Company has prepared the accompanying consolidated financial statements in conformity with generally accepted accounting principles in the United States (“U.S. GAAP”) and in U.S.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securities with original final maturities of three months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comprised of funds in money market accounts.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6"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the assumptions used to determine the fair value of share-based awards, the Company’s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the evaluation of progress to completion of external research and development costs which can result in prepaid or accrued expenses related to the Company’s contract research organizations (“CROs”) and contract manufacturing organizations (“CMOs”), the valuation allowance required for the Company’s deferred tax assets, determining uncertain tax positions and the related liabilities, and estimating refundable tax credits. Estimates are periodically reviewed in light of changes in circumstances, facts and experience. Actual results could differ from the Company’s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its proprietary discovery and drug development platform, PRISM, to develop and commercialize a broad pipeline of nucleic acid-based therapeutics, or oligonucleotides.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At each reporting period, the Company evaluates whether there are conditions or events that raise substantial doubt about the Company’s ability to continue as a going concern within one year after the date that the financial statements are issued. The Company is required to make certain additional disclosures if it concludes substantial doubt exists and it is not alleviated by the Company’s plans or when its plans alleviate substantial doubt about the Company’s ability to continue as a going concern. The Company’s evaluation entails analyzing prospective operating budgets and forecasts for expectations of the Company’s cash needs and comparing those needs to the current cash and cash equivalent balance.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of Wave Japan are translated at average exchange rates for the period. Net unrealized gains and losses from foreign currency translation are reflected as other comprehensive income (loss) within the consolidated statements of Series A preferred shares and shareholders’ equity and the consolidated statements of operations and comprehensive loss. Gains and losses on foreign currency transactions are included in the consolidated statements of operations and comprehensive loss within other income, net.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bookmarkStart w:id="119" w:name="page120"/>
    <w:bookmarkEnd w:id="119"/>
    <w:p>
      <w:pPr>
        <w:ind w:right="260"/>
        <w:spacing w:after="0" w:line="256" w:lineRule="auto"/>
        <w:rPr>
          <w:sz w:val="20"/>
          <w:szCs w:val="20"/>
          <w:color w:val="auto"/>
        </w:rPr>
      </w:pPr>
      <w:r>
        <w:rPr>
          <w:rFonts w:ascii="Arial" w:cs="Arial" w:eastAsia="Arial" w:hAnsi="Arial"/>
          <w:sz w:val="18"/>
          <w:szCs w:val="18"/>
          <w:color w:val="auto"/>
        </w:rPr>
        <w:t>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1—Unadjusted quoted prices in active markets that are accessible at the measurement date of identical, unrestricted assets.</w:t>
      </w:r>
    </w:p>
    <w:p>
      <w:pPr>
        <w:spacing w:after="0" w:line="116" w:lineRule="exact"/>
        <w:rPr>
          <w:sz w:val="20"/>
          <w:szCs w:val="20"/>
          <w:color w:val="auto"/>
        </w:rPr>
      </w:pPr>
    </w:p>
    <w:p>
      <w:pPr>
        <w:ind w:left="380" w:right="160"/>
        <w:spacing w:after="0" w:line="262" w:lineRule="auto"/>
        <w:rPr>
          <w:sz w:val="20"/>
          <w:szCs w:val="20"/>
          <w:color w:val="auto"/>
        </w:rPr>
      </w:pPr>
      <w:r>
        <w:rPr>
          <w:rFonts w:ascii="Arial" w:cs="Arial" w:eastAsia="Arial" w:hAnsi="Arial"/>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75" w:lineRule="exact"/>
        <w:rPr>
          <w:sz w:val="20"/>
          <w:szCs w:val="20"/>
          <w:color w:val="auto"/>
        </w:rPr>
      </w:pPr>
    </w:p>
    <w:p>
      <w:pPr>
        <w:ind w:left="380" w:right="80"/>
        <w:spacing w:after="0" w:line="306"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Cash, cash equivalents and restricted cash are Level 1 assets which are comprised of funds held in checking and money market accounts. Cash, cash equivalents and restricted cash were recorded at fair value as of December 31, 2021 and 2020, totaling $154.2 million and $188.1 million, respectively. The carrying amounts of accounts payable and accrued expenses approximate their fair values due to their short-term maturities. Accounts receivable relate to the Company’s collaboration agreements.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are financial instruments that potentially subject the Company to concentration of credit risk. The Company uses several financial institutions to maintain its cash and cash equivalents,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6"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color w:val="auto"/>
        </w:rPr>
        <w:t>Restricted cash consists primarily of cash placed in separate restricted bank accounts as required under the terms of the Company’s lease agreements for its Cambridge, Massachusetts and Lexington, Massachusetts facilities (refer to Note 8). As of December 31, 2021 and 2020, the Company had $3.7 million of restricted cash, of which $1.0 million related to the Cambridge facility and the remainder related to the Lexington facility.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6" w:lineRule="exact"/>
        <w:rPr>
          <w:sz w:val="20"/>
          <w:szCs w:val="20"/>
          <w:color w:val="auto"/>
        </w:rPr>
      </w:pPr>
    </w:p>
    <w:p>
      <w:pPr>
        <w:ind w:right="600"/>
        <w:spacing w:after="0" w:line="306" w:lineRule="auto"/>
        <w:rPr>
          <w:sz w:val="20"/>
          <w:szCs w:val="20"/>
          <w:color w:val="auto"/>
        </w:rPr>
      </w:pPr>
      <w:r>
        <w:rPr>
          <w:rFonts w:ascii="Arial" w:cs="Arial" w:eastAsia="Arial" w:hAnsi="Arial"/>
          <w:sz w:val="17"/>
          <w:szCs w:val="17"/>
          <w:color w:val="auto"/>
        </w:rPr>
        <w:t>Property and equipment, which consists primarily of equipment, furniture, software and leasehold improvements, are stated at cost less accumulated depreciation. Depreciation is calculated on a straight-line basis over the following estimated useful lives of the assets:</w:t>
      </w:r>
    </w:p>
    <w:p>
      <w:pPr>
        <w:sectPr>
          <w:pgSz w:w="11900" w:h="16838" w:orient="portrait"/>
          <w:cols w:equalWidth="0" w:num="1">
            <w:col w:w="11240"/>
          </w:cols>
          <w:pgMar w:left="320" w:top="233" w:right="3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Equipment, Furniture and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 life or lease term</w:t>
      </w:r>
    </w:p>
    <w:p>
      <w:pPr>
        <w:spacing w:after="0" w:line="222" w:lineRule="exact"/>
        <w:rPr>
          <w:sz w:val="20"/>
          <w:szCs w:val="20"/>
          <w:color w:val="auto"/>
        </w:rPr>
      </w:pPr>
    </w:p>
    <w:p>
      <w:pPr>
        <w:sectPr>
          <w:pgSz w:w="11900" w:h="16838" w:orient="portrait"/>
          <w:cols w:equalWidth="0" w:num="2">
            <w:col w:w="5040" w:space="720"/>
            <w:col w:w="5480"/>
          </w:cols>
          <w:pgMar w:left="320" w:top="233" w:right="339" w:bottom="1440" w:gutter="0" w:footer="0" w:header="0"/>
          <w:type w:val="continuous"/>
        </w:sectPr>
      </w:pPr>
    </w:p>
    <w:p>
      <w:pPr>
        <w:spacing w:after="0" w:line="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Depreciation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6"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8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Company recognizes revenue in accordance with Accounting Standards Codification (“ASC”) Topic 606, Revenue from Contracts with Customers (“ASC 606”).</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2"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pacing w:after="0" w:line="17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w:t>
      </w:r>
    </w:p>
    <w:p>
      <w:pPr>
        <w:spacing w:after="0" w:line="4" w:lineRule="exact"/>
        <w:rPr>
          <w:sz w:val="20"/>
          <w:szCs w:val="20"/>
          <w:color w:val="auto"/>
        </w:rPr>
      </w:pPr>
    </w:p>
    <w:p>
      <w:pPr>
        <w:ind w:right="100" w:firstLine="8"/>
        <w:spacing w:after="0" w:line="272" w:lineRule="auto"/>
        <w:tabs>
          <w:tab w:leader="none" w:pos="2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Amounts received prior to being recognized as revenue are recorded as deferred revenue. Amounts expected to be recognized as revenue within the</w:t>
      </w:r>
    </w:p>
    <w:p>
      <w:pPr>
        <w:spacing w:after="0" w:line="3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In assessing whether a promise or performance obligation is distinct from the other promises, the Company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i w:val="1"/>
          <w:iCs w:val="1"/>
          <w:color w:val="auto"/>
        </w:rPr>
        <w:t>Research and development services</w:t>
      </w:r>
      <w:r>
        <w:rPr>
          <w:rFonts w:ascii="Arial" w:cs="Arial" w:eastAsia="Arial" w:hAnsi="Arial"/>
          <w:sz w:val="15"/>
          <w:szCs w:val="15"/>
          <w:color w:val="auto"/>
        </w:rPr>
        <w:t>: If an arrangement is determined to contain a promise or obligation for the Company to perform research and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21" w:name="page122"/>
    <w:bookmarkEnd w:id="121"/>
    <w:p>
      <w:pPr>
        <w:jc w:val="both"/>
        <w:ind w:right="280"/>
        <w:spacing w:after="0" w:line="262" w:lineRule="auto"/>
        <w:rPr>
          <w:sz w:val="20"/>
          <w:szCs w:val="20"/>
          <w:color w:val="auto"/>
        </w:rPr>
      </w:pPr>
      <w:r>
        <w:rPr>
          <w:rFonts w:ascii="Arial" w:cs="Arial" w:eastAsia="Arial" w:hAnsi="Arial"/>
          <w:sz w:val="18"/>
          <w:szCs w:val="18"/>
          <w:color w:val="auto"/>
        </w:rPr>
        <w:t>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 additional goods or services, the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As a practical alternative to estimating the standalone selling price when the goods or services are both (i) similar to the original goods and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not recognized as revenue until the option is exercised and the performance obligation is satisfied.</w:t>
      </w:r>
    </w:p>
    <w:p>
      <w:pPr>
        <w:spacing w:after="0" w:line="16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milestone payments, the Company evaluates whether a significant reversal of</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9"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Contract costs</w:t>
      </w:r>
      <w:r>
        <w:rPr>
          <w:rFonts w:ascii="Arial" w:cs="Arial" w:eastAsia="Arial" w:hAnsi="Arial"/>
          <w:sz w:val="18"/>
          <w:szCs w:val="18"/>
          <w:color w:val="auto"/>
        </w:rPr>
        <w:t>: The Company recognizes as an asset the incremental costs of obtaining a contract with a customer if the costs are expected to be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6" w:lineRule="exact"/>
        <w:rPr>
          <w:sz w:val="20"/>
          <w:szCs w:val="20"/>
          <w:color w:val="auto"/>
        </w:rPr>
      </w:pPr>
    </w:p>
    <w:p>
      <w:pPr>
        <w:ind w:right="180"/>
        <w:spacing w:after="0" w:line="285" w:lineRule="auto"/>
        <w:rPr>
          <w:sz w:val="20"/>
          <w:szCs w:val="20"/>
          <w:color w:val="auto"/>
        </w:rPr>
      </w:pPr>
      <w:r>
        <w:rPr>
          <w:rFonts w:ascii="Arial" w:cs="Arial" w:eastAsia="Arial" w:hAnsi="Arial"/>
          <w:sz w:val="17"/>
          <w:szCs w:val="17"/>
          <w:color w:val="auto"/>
        </w:rPr>
        <w:t>Research and development expenses are expensed as incurred. External development costs are recognized based on an evaluation of the progress to completion of specific tasks. Payments for these activities are based on the terms of the individual agreements, which may differ from the pattern of costs incurred, and are reflected in the accompanying consolidated balance sheets as prepaid or accrued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and Patent Costs</w:t>
      </w:r>
    </w:p>
    <w:p>
      <w:pPr>
        <w:spacing w:after="0" w:line="11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Costs associated with licenses of technology and patent costs are expensed as incurred and are generally included in research and development expense in the consolidated statements of operations and comprehensive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Refundable Tax Credits</w:t>
      </w:r>
    </w:p>
    <w:p>
      <w:pPr>
        <w:spacing w:after="0" w:line="1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Company is eligible for refundable tax credits with tax authorities for certain qualified operating expenses. The Company recognizes refundable tax credits when there is reasonable assurance that the Company will comply with the requirements of the refundable tax credit and that the refundable tax credit will be received. Refundable tax credits are recorded as income and classified in other income, net in the consolidated statements of operations and comprehensive loss.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88"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6"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Company measures and recognizes share-based compensation expense, for both employee and director option awards, based on the grant date fair value of the awards. The Company calculates the fair value of restricted share unit awards based on the grant date fair value of the underlying ordinary shares. The Company recognizes share-based compensation expense on a straight-line basis over the requisite service period of the awards, which is generally the vesting period. The Company accounts for forfeitures as they occur.</w:t>
      </w:r>
    </w:p>
    <w:p>
      <w:pPr>
        <w:spacing w:after="0" w:line="18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The Company determines the fair value of share-based awards granted to non-employees as either the fair value of the consideration received or the fair value of the equity instruments issued, whichever is more reliably measurable. All equity instruments issued to non-employees as consideration for goods or services received by the Company are accounted for based on the fair value of the equity instruments issued. These awards are recorded in expense and additional paid-in capital in shareholders’ equity over the applicable service periods based on the fair value of the options at the end of each period. The Company accounts for the expense from share-based awards to non-employees by re-measuring the awards at fair value over the vesting period.</w:t>
      </w:r>
    </w:p>
    <w:p>
      <w:pPr>
        <w:spacing w:after="0" w:line="161" w:lineRule="exact"/>
        <w:rPr>
          <w:sz w:val="20"/>
          <w:szCs w:val="20"/>
          <w:color w:val="auto"/>
        </w:rPr>
      </w:pPr>
    </w:p>
    <w:p>
      <w:pPr>
        <w:ind w:right="440"/>
        <w:spacing w:after="0" w:line="306" w:lineRule="auto"/>
        <w:rPr>
          <w:sz w:val="20"/>
          <w:szCs w:val="20"/>
          <w:color w:val="auto"/>
        </w:rPr>
      </w:pPr>
      <w:r>
        <w:rPr>
          <w:rFonts w:ascii="Arial" w:cs="Arial" w:eastAsia="Arial" w:hAnsi="Arial"/>
          <w:sz w:val="17"/>
          <w:szCs w:val="17"/>
          <w:color w:val="auto"/>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14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fair value of each share option grant was determined using the methods and assumptions discussed below. These inputs are generally subjective and require significant judgment and estimation by management.</w:t>
      </w:r>
    </w:p>
    <w:p>
      <w:pPr>
        <w:spacing w:after="0" w:line="64" w:lineRule="exact"/>
        <w:rPr>
          <w:sz w:val="20"/>
          <w:szCs w:val="20"/>
          <w:color w:val="auto"/>
        </w:rPr>
      </w:pPr>
    </w:p>
    <w:p>
      <w:pPr>
        <w:ind w:left="760" w:right="180" w:hanging="376"/>
        <w:spacing w:after="0" w:line="275"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Ordinary Shares </w:t>
      </w:r>
      <w:r>
        <w:rPr>
          <w:rFonts w:ascii="Arial" w:cs="Arial" w:eastAsia="Arial" w:hAnsi="Arial"/>
          <w:sz w:val="18"/>
          <w:szCs w:val="18"/>
          <w:color w:val="auto"/>
        </w:rPr>
        <w:t>The fair value of the ordinary shares underlying the Company’s share-based awards is based on the closing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ordinary shares as reported by the Nasdaq Global Market on the date of grant.</w:t>
      </w:r>
    </w:p>
    <w:p>
      <w:pPr>
        <w:spacing w:after="0" w:line="63" w:lineRule="exact"/>
        <w:rPr>
          <w:rFonts w:ascii="Arial" w:cs="Arial" w:eastAsia="Arial" w:hAnsi="Arial"/>
          <w:sz w:val="18"/>
          <w:szCs w:val="18"/>
          <w:color w:val="auto"/>
        </w:rPr>
      </w:pPr>
    </w:p>
    <w:p>
      <w:pPr>
        <w:ind w:left="760" w:right="280" w:hanging="376"/>
        <w:spacing w:after="0" w:line="262"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share options represents the weighted-average period that the share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estimated the expected term using the simplified method, which is an average of the contractual term of the option and the vesting period.</w:t>
      </w:r>
    </w:p>
    <w:p>
      <w:pPr>
        <w:spacing w:after="0" w:line="75" w:lineRule="exact"/>
        <w:rPr>
          <w:rFonts w:ascii="Arial" w:cs="Arial" w:eastAsia="Arial" w:hAnsi="Arial"/>
          <w:sz w:val="18"/>
          <w:szCs w:val="18"/>
          <w:color w:val="auto"/>
        </w:rPr>
      </w:pPr>
    </w:p>
    <w:p>
      <w:pPr>
        <w:ind w:left="760" w:right="240" w:hanging="376"/>
        <w:spacing w:after="0" w:line="274"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was limited historical data for the Company’s ordinary shares and limited company-specific historical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third quarter of 2021, the Company determined the share price volatility for options granted based on an analysis of the volatility used by a peer group of publicly traded companies. In evaluating similarity, the Company considers factors such as industry, stage of life cycle and size. Beginning in the fourth quarter of 2021, the Company had sufficient historical volatility data for its ordinary shares and as such no longer relies on an analysis of the volatility from a peer group to calculate expected volatility.</w:t>
      </w:r>
    </w:p>
    <w:p>
      <w:pPr>
        <w:spacing w:after="0" w:line="67" w:lineRule="exact"/>
        <w:rPr>
          <w:rFonts w:ascii="Arial" w:cs="Arial" w:eastAsia="Arial" w:hAnsi="Arial"/>
          <w:sz w:val="17"/>
          <w:szCs w:val="17"/>
          <w:color w:val="auto"/>
        </w:rPr>
      </w:pPr>
    </w:p>
    <w:p>
      <w:pPr>
        <w:ind w:left="760" w:right="600" w:hanging="376"/>
        <w:spacing w:after="0" w:line="275"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the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remaining terms similar to the expected term of the options.</w:t>
      </w:r>
    </w:p>
    <w:p>
      <w:pPr>
        <w:spacing w:after="0" w:line="63" w:lineRule="exact"/>
        <w:rPr>
          <w:rFonts w:ascii="Arial" w:cs="Arial" w:eastAsia="Arial" w:hAnsi="Arial"/>
          <w:sz w:val="18"/>
          <w:szCs w:val="18"/>
          <w:color w:val="auto"/>
        </w:rPr>
      </w:pPr>
    </w:p>
    <w:p>
      <w:pPr>
        <w:ind w:left="760" w:hanging="376"/>
        <w:spacing w:after="0"/>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was assumed to be zero as the Company has never paid dividends and has no current plans to do so.</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uncertain tax positions in the income tax provision on the consolidated statements of operations and comprehensive loss.</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as the related ongoing results of the comparable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 xml:space="preserve">The Company accounts for leases in accordance with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typically only includes an initial lease term in its assessment of a lease arrangement. Options to renew a lease are not included in the Company’s assessment unless there is reasonable certainty that the Company will renew the lease. The Company monitors its plans to renew its leases on a quarterly basis.</w:t>
      </w:r>
    </w:p>
    <w:p>
      <w:pPr>
        <w:spacing w:after="0" w:line="5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lease agreements include rental payments that are adjusted periodically for inflation or other variables. In addition to rent, the leases may require the Company to pay additional amounts for taxes, insurance, maintenance, or other expenses, which are generally referred to as non-lease components. Such adjustments to rental payments and variable non-lease components are treated as variable lease payments and recognized in the period in which the obligation for these payments are incurred. Variable lease components and variable non-lease components are not measured as part of the right-of-use asset and lease liability. Only when lease components and their associated non-lease components are fixed are they accounted for as a single lease component and are recognized as part of a right-of-use asset and lease liability. Total contract consideration is allocated to the combined fixed lease and non-lease component. This policy election applies consistently to all asset classes under lease agreements.</w:t>
      </w:r>
    </w:p>
    <w:p>
      <w:pPr>
        <w:spacing w:after="0" w:line="58"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December 2019, the Financial Accounting Standards Board finalized Accounting Standards Update No. 2019-12, Income Taxes (Topic 740): </w:t>
      </w:r>
      <w:r>
        <w:rPr>
          <w:rFonts w:ascii="Arial" w:cs="Arial" w:eastAsia="Arial" w:hAnsi="Arial"/>
          <w:sz w:val="18"/>
          <w:szCs w:val="18"/>
          <w:i w:val="1"/>
          <w:iCs w:val="1"/>
          <w:color w:val="auto"/>
        </w:rPr>
        <w:t>Simplifying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Accounting for Income Taxes </w:t>
      </w:r>
      <w:r>
        <w:rPr>
          <w:rFonts w:ascii="Arial" w:cs="Arial" w:eastAsia="Arial" w:hAnsi="Arial"/>
          <w:sz w:val="18"/>
          <w:szCs w:val="18"/>
          <w:color w:val="auto"/>
        </w:rPr>
        <w:t>(“ASU 2019-12”). ASU 2019-12 eliminates certain exceptions in Accounting Standards Codification (“ASC”) 740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simplifies existing guidance. The new guidance is effective for fiscal years beginning after December 15, 2020, including interim periods within those fiscal years, but may be adopted earlier by entities. The Company adopted ASU 2019-12 as of January 1, 2021 and it did not have an impact on the Company’s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3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8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25,418</w:t>
            </w:r>
          </w:p>
        </w:tc>
        <w:tc>
          <w:tcPr>
            <w:tcW w:w="8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Software</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9"/>
                <w:szCs w:val="19"/>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27,912</w:t>
            </w:r>
          </w:p>
        </w:tc>
        <w:tc>
          <w:tcPr>
            <w:tcW w:w="80" w:type="dxa"/>
            <w:vAlign w:val="bottom"/>
            <w:shd w:val="clear" w:color="auto" w:fill="CFF0FC"/>
          </w:tcPr>
          <w:p>
            <w:pPr>
              <w:spacing w:after="0"/>
              <w:rPr>
                <w:sz w:val="19"/>
                <w:szCs w:val="19"/>
                <w:color w:val="auto"/>
              </w:rPr>
            </w:pPr>
          </w:p>
        </w:tc>
      </w:tr>
      <w:tr>
        <w:trPr>
          <w:trHeight w:val="229"/>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assets in progress</w:t>
            </w: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FF0FC"/>
            </w:tcBorders>
          </w:tcPr>
          <w:p>
            <w:pPr>
              <w:spacing w:after="0"/>
              <w:rPr>
                <w:sz w:val="19"/>
                <w:szCs w:val="19"/>
                <w:color w:val="auto"/>
              </w:rPr>
            </w:pPr>
          </w:p>
        </w:tc>
      </w:tr>
      <w:tr>
        <w:trPr>
          <w:trHeight w:val="222"/>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54,092</w:t>
            </w:r>
          </w:p>
        </w:tc>
        <w:tc>
          <w:tcPr>
            <w:tcW w:w="80" w:type="dxa"/>
            <w:vAlign w:val="bottom"/>
            <w:shd w:val="clear" w:color="auto" w:fill="CFF0FC"/>
          </w:tcPr>
          <w:p>
            <w:pPr>
              <w:spacing w:after="0"/>
              <w:rPr>
                <w:sz w:val="19"/>
                <w:szCs w:val="19"/>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(24,894)</w:t>
            </w:r>
          </w:p>
        </w:tc>
      </w:tr>
      <w:tr>
        <w:trPr>
          <w:trHeight w:val="222"/>
        </w:trPr>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were located in the United States as of December 31, 2021 and 2020.</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$7.5 million and $8.1 million for the years ended December 31, 2021 and 2020,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5"/>
        </w:trPr>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r>
      <w:tr>
        <w:trPr>
          <w:trHeight w:val="155"/>
        </w:trPr>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1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9,003</w:t>
            </w:r>
          </w:p>
        </w:tc>
        <w:tc>
          <w:tcPr>
            <w:tcW w:w="6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Accrued expenses related to CROs and CMOs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FF0FC"/>
          </w:tcPr>
          <w:p>
            <w:pPr>
              <w:spacing w:after="0"/>
              <w:rPr>
                <w:sz w:val="19"/>
                <w:szCs w:val="19"/>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8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11,971</w:t>
            </w:r>
          </w:p>
        </w:tc>
        <w:tc>
          <w:tcPr>
            <w:tcW w:w="6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COLLABORATION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Collaboration and Equity Agreements</w:t>
      </w:r>
    </w:p>
    <w:p>
      <w:pPr>
        <w:spacing w:after="0" w:line="11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May 2016, the Company entered into a Research, License and Option Agreement (as amended in November 2017, the “Pfizer Collaboration Agreement”) with Pfizer Inc. (“Pfizer”). The research term for the Pfizer Collaboration Agreement commenced in May 2016 and ended by its original terms in May 2020. Pursuant to the terms of the Pfizer Collaboration Agreement, the Company and Pfizer agreed to collaborate on the discovery, development and commercialization of stereopure oligonucleotide therapeutics for up to five programs, each directed at a genetically-defined hepatic target selected by Pfizer (the “Pfizer Collaboration”). The Company received $10.0 million as an upfront license fee under the Pfizer Collaboration Agreement. Subject to option exercises by Pfizer, the Company was entitled to earn potential research, development and commercial milestone payments.</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Simultaneously with the entry into the Pfizer Collaboration Agreement, the Company entered into a Share Purchase Agreement (the “Pfizer Equity Agreement,” and together with the Pfizer Collaboration Agreement, the “Pfizer Agreements”) with C.P. Pharmaceuticals International C.V., an affiliate of Pfizer (the “Pfizer Affiliate”). Pursuant to the terms of the Pfizer Equity Agreement, the Pfizer Affiliate purchased 1,875,000 of the Company’s ordinary shares (the “Shares”) at a purchase price of $16.00 per share, for an aggregate purchase price of $30.0 million. The Company did not incur any material costs in connection with the issuance of the Shares.</w:t>
      </w:r>
    </w:p>
    <w:p>
      <w:pPr>
        <w:spacing w:after="0" w:line="188"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Under the Pfizer Collaboration Agreement, the parties agreed to collaborate during a four-year research term, which ended by its original terms in May 2020. During the research term, the Company was responsible to use its commercially reasonable efforts to advance up to five programs through to the selection of clinical candidates. Pfizer nominated two hepatic targets upon entry into the Pfizer Collaboration in May 2016. The Pfizer Collaboration Agreement provided Pfizer with options to nominate up to three additional programs by making nomination milestone payments. Pfizer nominated the third, fourth and fifth hepatic targets in August 2016, March 2018 and April 2018,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498" w:right="359" w:bottom="1440" w:gutter="0" w:footer="0" w:header="0"/>
        </w:sectPr>
      </w:pPr>
    </w:p>
    <w:bookmarkStart w:id="125" w:name="page126"/>
    <w:bookmarkEnd w:id="125"/>
    <w:p>
      <w:pPr>
        <w:spacing w:after="0" w:line="310" w:lineRule="auto"/>
        <w:rPr>
          <w:sz w:val="20"/>
          <w:szCs w:val="20"/>
          <w:color w:val="auto"/>
        </w:rPr>
      </w:pPr>
      <w:r>
        <w:rPr>
          <w:rFonts w:ascii="Arial" w:cs="Arial" w:eastAsia="Arial" w:hAnsi="Arial"/>
          <w:sz w:val="16"/>
          <w:szCs w:val="16"/>
          <w:color w:val="auto"/>
        </w:rPr>
        <w:t>During the research term that ran from May 2016 to May 2020, the Company recognized revenue of $18.5 million under the Pfizer Collaboration Agreement. During the year ended December 31, 2020, the Company recognized revenue of $1.5 million under the Pfizer Collaboration Agreement. During the year ended December 31, 2021, no revenue was recognized under the Pfizer Collaboration Agreement, as it ended by its original terms in May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Collaboration and Equity Agreements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February 2018, Wave USA and Wave UK entered into a global strategic collaboration (the “Takeda Collaboration”) with Takeda Pharmaceutical Company Limited (“Takeda”), pursuant to which Wave USA, Wave UK and Takeda agreed to collaborate on the research, development and commercialization of oligonucleotide therapeutics for disorders of the Central Nervous System (“CNS”). The Takeda Collaboration provides the Company with at least $230.0 million in committed cash and Takeda with the option to co-develop and co-commercialize the Company’s CNS development programs in (1) Huntington’s disease (“HD”); (2) amyotrophic lateral sclerosis (“ALS”) and frontotemporal dementia (“FTD”); and (3) the Company’s discovery-stage program targeting </w:t>
      </w:r>
      <w:r>
        <w:rPr>
          <w:rFonts w:ascii="Arial" w:cs="Arial" w:eastAsia="Arial" w:hAnsi="Arial"/>
          <w:sz w:val="17"/>
          <w:szCs w:val="17"/>
          <w:i w:val="1"/>
          <w:iCs w:val="1"/>
          <w:color w:val="auto"/>
        </w:rPr>
        <w:t>ATXN3</w:t>
      </w:r>
      <w:r>
        <w:rPr>
          <w:rFonts w:ascii="Arial" w:cs="Arial" w:eastAsia="Arial" w:hAnsi="Arial"/>
          <w:sz w:val="17"/>
          <w:szCs w:val="17"/>
          <w:color w:val="auto"/>
        </w:rPr>
        <w:t xml:space="preserve"> for the treatment of spinocerebellar ataxia 3 (“SCA3”) (collectively, “Category 1 Programs”). In addition, Takeda Collaboration provided Takeda the right to exclusively license multiple preclinical programs for CNS disorders, including Alzheimer’s disease and Parkinson’s disease (collectively, “Category 2 Programs”). In April 2018, the Takeda Collaboration became effective and Takeda paid the Company $110.0 million as an upfront payment. Takeda also agreed to fund the Company’s research and preclinical activities in the amount of $60.0 million during the four-year research term and to reimburse the Company for any collaboration-budgeted research and preclinical expenses incurred by Wave that exceed that amount.</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Simultaneously with Wave USA and Wave UK’s entry into the collaboration and license agreement with Takeda (the “Takeda Collaboration Agreement”), the Company entered into a share purchase agreement with Takeda (the “Takeda Equity Agreement,” and together with the Takeda Collaboration Agreement, the “Takeda Agreements”) pursuant to which it agreed to sell to Takeda 1,096,892 of its ordinary shares at a purchase price of $54.70 per share. In April 2018, the Company closed the Takeda Equity Agreement and received aggregate cash proceeds of $60.0 million. The Company did not incur any material costs in connection with the issuance of shares.</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With respect to Category 1 Programs, the Company will be responsible for researching and developing products and companion diagnostics for Category 1 Programs through completion of the first proof of mechanism study for such products. Takeda will have an exclusive option for each target and all associated products and companion diagnostics for such target, which it may exercise at any time through completion of the proof of mechanism study. If Takeda exercises this option, the Company will receive an opt-in payment and will lead manufacturing and joint clinical co-development activities and Takeda will lead joint co-commercial activities in the United States and all commercial activities outside of the United States. Global costs and potential profits will be shared 50:50 and the Company will be eligible to receive development and commercial milestone payments. In addition to its 50% profit share, the Company is eligible to receive option exercise fees and development and commercial milestone payments for each of the Category 1 Programs.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With respect to Category 2 Programs, the Company granted Takeda the right to exclusively license multiple preclinical programs during a four-year research term (subject to limited extension for programs that were initiated prior to the expiration of the research term, in accordance with the Takeda Collaboration Agreement) (“Category 2 Research Term”). During that term, the Takeda Collaboration provided that the parties may collaborate on preclinical programs for up to six targets at any one time. The Company was responsible for researching and preclinically developing products and companion diagnostics directed to the agreed upon targets through completion of Investigational New Drug application (“IND”)-enabling studies in the first major market country. Thereafter, Takeda would have an exclusive worldwide license to develop and commercialize products and companion diagnostics directed to such targets, subject to the Company’s retained rights to lead manufacturing activities for products directed to such targets. Takeda agreed to fund the Company’s research and preclinical activities in the amount of $60.0 million during the research term and reimburse the Company for any collaboration-budgeted research and preclinical expenses incurred by the Company that exceeded that amount. The Company was also eligible to receive tiered high single-digit to mid-teen royalties on Takeda’s global commercial sales of products from each Category 2 Program.</w:t>
      </w:r>
    </w:p>
    <w:p>
      <w:pPr>
        <w:spacing w:after="0" w:line="18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Under the Takeda Collaboration Agreement, each party granted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8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term of the Takeda Collaboration Agreement commenced on April 2, 2018 and, unless terminated earlier, will continue until the date on which: (i) with respect to each Category 1 Program target for which Takeda does not exercise its option, the expiration or termination of the development program with respect to such target; (ii) with respect to each Category 1 Program target for which Takeda exercises its option, the date on which neither party is researching, developing or manufacturing any products or companion diagnostics directed to such target; or (iii) with respect to each Category 2 Program target, the date on which royalties are no longer payable with respect to products directed to such target.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26" w:name="page127"/>
    <w:bookmarkEnd w:id="126"/>
    <w:p>
      <w:pPr>
        <w:ind w:right="20"/>
        <w:spacing w:after="0" w:line="284" w:lineRule="auto"/>
        <w:rPr>
          <w:sz w:val="20"/>
          <w:szCs w:val="20"/>
          <w:color w:val="auto"/>
        </w:rPr>
      </w:pPr>
      <w:r>
        <w:rPr>
          <w:rFonts w:ascii="Arial" w:cs="Arial" w:eastAsia="Arial" w:hAnsi="Arial"/>
          <w:sz w:val="16"/>
          <w:szCs w:val="16"/>
          <w:color w:val="auto"/>
        </w:rPr>
        <w:t>Takeda may terminate the Takeda Collaboration Agreement for convenience on 180 days’ notice, in its entirety or on a target-by-target basis. Subject to certain exceptions, each party has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is subject to the Takeda Collaboration Agreement. In the event of any material breach of the Takeda Collaboration Agreement by a party, subject to cure rights, the other party may terminate the Takeda Collaboration Agreement in its entirety if the breach relates to all targets or on</w:t>
      </w:r>
    </w:p>
    <w:p>
      <w:pPr>
        <w:spacing w:after="0" w:line="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a target-by-target basis if the breach relates to a specific target. In the event that Takeda and its affiliates cease development, manufacturing and commercialization activities with respect to compounds or products subject to the Takeda Collaboration Agreement and directed to a particular target, the Company may terminate the Takeda Collaboration Agreement with respect to such target. Either party may terminate the Takeda Collaboration Agreement for the other party’s insolvency. In certain termination circumstances, the Company would receive a license from Takeda to continue researching, developing and manufacturing certain products, and companion diagnostics.</w:t>
      </w:r>
    </w:p>
    <w:p>
      <w:pPr>
        <w:spacing w:after="0" w:line="195" w:lineRule="exact"/>
        <w:rPr>
          <w:sz w:val="20"/>
          <w:szCs w:val="20"/>
          <w:color w:val="auto"/>
        </w:rPr>
      </w:pPr>
    </w:p>
    <w:p>
      <w:pPr>
        <w:ind w:right="280"/>
        <w:spacing w:after="0" w:line="340" w:lineRule="auto"/>
        <w:rPr>
          <w:sz w:val="20"/>
          <w:szCs w:val="20"/>
          <w:color w:val="auto"/>
        </w:rPr>
      </w:pPr>
      <w:r>
        <w:rPr>
          <w:rFonts w:ascii="Arial" w:cs="Arial" w:eastAsia="Arial" w:hAnsi="Arial"/>
          <w:sz w:val="16"/>
          <w:szCs w:val="16"/>
          <w:color w:val="auto"/>
        </w:rPr>
        <w:t>The Takeda Collaboration is managed by a joint steering committee in which both parties are represented equally. The joint steering committee is tasked with overseeing the scientific progression of each Category 1 Program and, prior to the Amendment (discussed below), the Category 2 Programs.</w:t>
      </w:r>
    </w:p>
    <w:p>
      <w:pPr>
        <w:spacing w:after="0" w:line="12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Takeda, is a customer for Category 1 Programs prior to Takeda exercising its option, and for Category 2 Programs during the Category 2 Research Term. The Company identified the following material promises under the arrangement: (1) the non-exclusive, royalty-free research and development license for each Category 1 Program; (2) the research and development services for each Category 1 Program through completion of the first proof of mechanism study; (3) the exclusive option to license, co-develop and co-commercialize each Category 1 Program; (4) the right to exclusively license the Category 2 Programs; and (5) the research and preclinical development services of the Category 2 Programs through completion of IND-enabling studies. The research and development services for each Category 1 Program were determined to not be distinct from the research and development license and should therefore be combined into a single performance obligation for each Category 1 Program. The research and preclinical development services for the Category 2 Programs were determined to not be distinct from the exclusive licenses for the Category 2 Programs and should therefore were combined into a single performance obligation.</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the Company determined that the exclusive option for each Category 1 Program was priced at a discount and, as such, provide material rights to Takeda, representing three separate performance obligations. Based on these assessments, the Company identified seven performance obligations in the Takeda Collaboration Agreement: (1) research and development services through completion of the first proof of mechanism and non-exclusive research and development license for HD; (2) research and development services through completion of the first proof of mechanism and non-exclusive research and development license for ALS and FTD; (3) research and development services through completion of the first proof of mechanism and non-exclusive research and development license for SCA3; (4) the material right provided for the exclusive option to license, co-develop and co-commercialize HD; (5) the material right provided for the exclusive option to license, co-develop and co-commercialize ALS and FTD; (6) the material right provided for the exclusive option to license, co-develop and co-commercialize SCA3; and (7) the research and preclinical development services and right to exclusively license the Category 2 Programs.</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the outset of the arrangement, the transaction price included the $110.0 million upfront consideration received and the $60.0 million of committed research and preclinical funding for the Category 2 Programs. The Company determined that the Takeda Collaboration Agreement did not contain a significant financing component. The option exercise fees to license, co-develop and co-commercialize each Category 1 Program that may be received are excluded from the transaction price until each customer option is exercised. The potential milestone payments were excluded from the transaction price, as all milestone amounts were fully constrained at the inception of the Takeda Collaboration Agreement. The Company will reevaluate the transaction price at the end of each reporting period and, as uncertain events are resolved or other changes in circumstances occur, if necessary, will adjust its estimate of the transaction price.</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allocated the transaction price to the performance obligations on a relative standalone selling price basis. For the performance obligations associated with the research and development services through completion of the first proof of mechanism and non-exclusive research and development license for HD; the research and development services through completion of the first proof of mechanism and non-exclusive research and development license for ALS and FTD; the research and development services through completion of the first proof of mechanism and non-exclusive research and development license for SCA3; and the research and preclinical development services and right to exclusively license the Category 2 Programs, the Company determined the standalone selling price using estimates of the costs to perform the research and development services, including expected internal and external costs for services and supplies, adjusted to reflect a profit margin. The total estimated cost of the research and development services reflected the nature of the services to be performed and the Company’s best estimate of the length of time required to perform the services. For the performance obligations associated with the material right provided for the exclusive option to license, co-develop and co-commercialize HD; the material right provided for the exclusive option to license, co-develop and co-commercialize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27" w:name="page128"/>
    <w:bookmarkEnd w:id="127"/>
    <w:p>
      <w:pPr>
        <w:ind w:right="340"/>
        <w:spacing w:after="0" w:line="310" w:lineRule="auto"/>
        <w:rPr>
          <w:sz w:val="20"/>
          <w:szCs w:val="20"/>
          <w:color w:val="auto"/>
        </w:rPr>
      </w:pPr>
      <w:r>
        <w:rPr>
          <w:rFonts w:ascii="Arial" w:cs="Arial" w:eastAsia="Arial" w:hAnsi="Arial"/>
          <w:sz w:val="16"/>
          <w:szCs w:val="16"/>
          <w:color w:val="auto"/>
        </w:rPr>
        <w:t>ALS and FTD; and the material right provided for the exclusive option to license, co-develop and co-commercialize SCA3, the Company estimated the standalone fair value of the option to license each Category 1 Program utilizing an adjusted market assessment approach, and determined that any standalone fair value in excess of the amounts to be paid by Takeda associated with each option represented a material right.</w:t>
      </w:r>
    </w:p>
    <w:p>
      <w:pPr>
        <w:spacing w:after="0" w:line="1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associated with the research and development services for each Category 1 Program performance obligation is being recognized as the research and development services are provided using an input method, according to the costs incurred on each Category 1 Program and the total costs expected to be incurred to satisfy each Category 1 Program performance obligation. Prior to the Amendment described below, revenue associated with the research and preclinical development services for the Category 2 Programs performance obligation was recognized as the research and preclinical development services that were provided using an input method, according to the costs incurred on Category 2 Programs and the total costs expected to be incurred to satisfy the performance obligation. The amount allocated to the material right for each Category 1 Program option will be recognized on the date that Takeda exercises each respective option, or immediately as each option expires unexercised. The amounts received that have not yet been recognized as revenue are recorded in deferred revenue on the Company’s consolidated balance sheet.</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October 15, 2021, Wave USA, Wave UK and Takeda entered into the Second Amendment to the Takeda Collaboration Agreement (the “Amendment”), which discontinued the Category 2 component of the Takeda Collaboration. The Category 1 Programs under the Collaboration Agreement remain in effect and are unchanged by the Amendment. Pursuant to the Amendment, Takeda agreed to pay the Company an additional $22.5 million as full payment for reimbursable Category 2 Programs collaboration-budgeted research and preclinical expenses. The Company received this payment from Takeda related to the Category 2 component and recognized the full amount as collaboration revenue in the current year. During the year ended December 31, 2021, in addition to the revenue recognized related to the Amendment, the Company recognized another $18.5 million of collaboration revenue related to services pertaining to the Category 1 Programs and Category 2 Programs.</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During the years ended December 31, 2021 and 2020, the Company recognized revenue of $41.0 million and $18.6 million, respectively, under the Takeda Collaboration Agreement in the Company’s consolidated statements of operations and comprehensive loss. Through December 31, 2021, the Company had recognized revenue of $77.9 million under the Takeda Collaboration Agreement as collaboration revenue in the Company’s consolidated statements of operations and comprehensive loss.</w:t>
      </w:r>
    </w:p>
    <w:p>
      <w:pPr>
        <w:spacing w:after="0" w:line="18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aggregate amount of the transaction price allocated to the Company’s unsatisfied and partially unsatisfied performance obligations and recorded in deferred revenue as of December 31, 2021 and 2020, was $114.6 million and $133.0 million, respectively. The amounts included in current liabilities as of December 31, 2021 and 2020, were $37.1 million and $91.6 million, respectively. The amounts included in long-term liabilities as of December 31, 2021 and 2020, were $77.5 million and approximately $41.5 million, respectively. The increase in the long-term portion of deferred revenue was due to an increase in the period over which certain Category 1 Program performance obligations are expected to be satisfied, this led to a corresponding decrease to the current portion of deferred revenue as of December 31, 2021. Additionally, the current portion of deferred revenue decreased from December 31, 2020 to December 31, 2021 due to revenue recognized during the year ended December 31, 2021. The Company expects to recognize revenue for the portion of the deferred revenue that relates to the research and development services for each Category 1 Program as costs are incurred over the remaining research term. The Company expects to recognize revenue for the portion of the deferred revenue that relates to the material right for each Category 1 Program option upon Takeda’s exercise of such option, or immediately as each option expires unexercised.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Company’s financing transactions during the years ended December 31, 2021 and 2020:</w:t>
      </w:r>
    </w:p>
    <w:p>
      <w:pPr>
        <w:spacing w:after="0" w:line="116" w:lineRule="exact"/>
        <w:rPr>
          <w:sz w:val="20"/>
          <w:szCs w:val="20"/>
          <w:color w:val="auto"/>
        </w:rPr>
      </w:pPr>
    </w:p>
    <w:p>
      <w:pPr>
        <w:ind w:left="540" w:right="160" w:hanging="263"/>
        <w:spacing w:after="0" w:line="255"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September 2020, the Company closed a follow-on underwritten public offering of 8,333,334 ordinary shares at a purchase price of $12.00 per share for gross proceeds of $100.0 million (the “September 2020 Offering”). The net proceeds to the Company from the September 2020 Offering were $93.7 million, after deducting underwriting discounts and commissions and offering expenses.</w:t>
      </w:r>
    </w:p>
    <w:p>
      <w:pPr>
        <w:ind w:left="540" w:hanging="263"/>
        <w:spacing w:after="0" w:line="251"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entered into an open market sales agreement with Jefferies LLC in May 2019, as amended in March 2020, for its at-the-market equity program. During the year ended December 31, 2020, the Company sold 5,583,022 ordinary shares under its at-the-market equity program for aggregate net proceeds of $59.9 million, after deducting commissions and offering expenses. During the year ended December 31, 2021, the Company sold 10,740,915 ordinary shares under its at-the-market equity program for aggregate net proceeds of $54.9 million after deducting commissions and offering expenses.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of the Series A Preferred Shares and Ordinary Shares</w:t>
      </w:r>
    </w:p>
    <w:p>
      <w:pPr>
        <w:spacing w:after="0" w:line="11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Series A preferred shares and ordinary shares have no par value and there is no concept of authorized share capital under Singapore law. The Series A preferred shares are not redeemable and have no entitlement to dividends.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Voting</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holders of Series A preferred shares are not entitled to vote on any of the matters proposed to shareholders, other than as specified in the Company's Constitution. The holders of ordinary shares are entitled to one vote for each ordinary share held at all meetings of shareholders and written actions in lieu of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6" w:lineRule="exact"/>
        <w:rPr>
          <w:sz w:val="20"/>
          <w:szCs w:val="20"/>
          <w:color w:val="auto"/>
        </w:rPr>
      </w:pPr>
    </w:p>
    <w:p>
      <w:pPr>
        <w:ind w:right="60"/>
        <w:spacing w:after="0" w:line="340" w:lineRule="auto"/>
        <w:rPr>
          <w:sz w:val="20"/>
          <w:szCs w:val="20"/>
          <w:color w:val="auto"/>
        </w:rPr>
      </w:pPr>
      <w:r>
        <w:rPr>
          <w:rFonts w:ascii="Arial" w:cs="Arial" w:eastAsia="Arial" w:hAnsi="Arial"/>
          <w:sz w:val="16"/>
          <w:szCs w:val="16"/>
          <w:color w:val="auto"/>
        </w:rPr>
        <w:t>All dividends, if any, shall be declared and paid pro rata according to the number of ordinary shares held by each member entitled to receive dividends. The Company’s board of directors may deduct from any dividend all sums of money presently payable by the member to the Company on account of calls.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6" w:lineRule="exact"/>
        <w:rPr>
          <w:sz w:val="20"/>
          <w:szCs w:val="20"/>
          <w:color w:val="auto"/>
        </w:rPr>
      </w:pPr>
    </w:p>
    <w:p>
      <w:pPr>
        <w:ind w:right="360"/>
        <w:spacing w:after="0" w:line="340" w:lineRule="auto"/>
        <w:rPr>
          <w:sz w:val="20"/>
          <w:szCs w:val="20"/>
          <w:color w:val="auto"/>
        </w:rPr>
      </w:pPr>
      <w:r>
        <w:rPr>
          <w:rFonts w:ascii="Arial" w:cs="Arial" w:eastAsia="Arial" w:hAnsi="Arial"/>
          <w:sz w:val="16"/>
          <w:szCs w:val="16"/>
          <w:color w:val="auto"/>
        </w:rPr>
        <w:t>In the event of a liquidation, dissolution or winding up of, or a return of capital by the Company, the ordinary shares will rank equally with the Series A preferred shares after the payment of the liquidation preference of an aggregate of approximately $10 thousand for Series A preferred shares.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6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Wave Life Sciences Ltd. 2021 Equity Incentive Plan (the “2021 Plan”) was approved by the Company’s shareholders and went into effect on August 10, 2021. The 2021 Plan serves as the successor to the Wave Life Sciences Ltd. 2014 Equity Incentive Plan, as amended (the “2014 Plan”), such that outstanding awards granted under the 2014 Plan continue to be governed by the terms of the 2014 Plan, but no awards may be made under the 2014 Plan after August 10, 2021. The aggregate number of ordinary shares authorized for issuance of awards under the 2021 Plan is 5,450,000 ordinary shares, plus the number of ordinary shares underlying any awards under the 2014 Plan that are forfeited, cancelled or otherwise terminated (other than by exercise or withheld by the Company to satisfy any tax withholding obligation) on or after August 10, 2021.</w:t>
      </w:r>
    </w:p>
    <w:p>
      <w:pPr>
        <w:spacing w:after="0" w:line="70"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color w:val="auto"/>
        </w:rPr>
        <w:t>The 2021 Plan authorizes (and the 2014 Plan previously authorized) the board of directors or a committee of the board of directors to, among other things, grant non-qualified share options, restricted awards, which include restricted shares and restricted share units (“RSUs”), and performance awards to eligible employees and directors of the Company. The Company accounts for grants to its board of directors as grants to employees.</w:t>
      </w:r>
    </w:p>
    <w:p>
      <w:pPr>
        <w:spacing w:after="0" w:line="16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As of December 31, 2021, 3,132,882 ordinary shares remained available for future grant under the 2021 Plan. In accordance with Nasdaq Listing Rule 5635(c)(4), the board of directors or a committee of the board may also issue inducement grants outside of the 2021 Plan, material to an individual's entering into employment with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 option activity is summarized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3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40" w:type="dxa"/>
            <w:vAlign w:val="bottom"/>
          </w:tcPr>
          <w:p>
            <w:pPr>
              <w:jc w:val="center"/>
              <w:ind w:right="159"/>
              <w:spacing w:after="0" w:line="148"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 (in years)</w:t>
            </w:r>
          </w:p>
        </w:tc>
        <w:tc>
          <w:tcPr>
            <w:tcW w:w="1260" w:type="dxa"/>
            <w:vAlign w:val="bottom"/>
            <w:gridSpan w:val="2"/>
          </w:tcPr>
          <w:p>
            <w:pPr>
              <w:jc w:val="center"/>
              <w:ind w:right="39"/>
              <w:spacing w:after="0"/>
              <w:rPr>
                <w:sz w:val="20"/>
                <w:szCs w:val="20"/>
                <w:color w:val="auto"/>
              </w:rPr>
            </w:pPr>
            <w:r>
              <w:rPr>
                <w:rFonts w:ascii="Arial" w:cs="Arial" w:eastAsia="Arial" w:hAnsi="Arial"/>
                <w:sz w:val="14"/>
                <w:szCs w:val="14"/>
                <w:b w:val="1"/>
                <w:bCs w:val="1"/>
                <w:color w:val="auto"/>
                <w:w w:val="91"/>
              </w:rPr>
              <w:t>(in thousands)</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3,873,395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3,674,016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(51,957)</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00"/>
              <w:spacing w:after="0"/>
              <w:rPr>
                <w:sz w:val="20"/>
                <w:szCs w:val="20"/>
                <w:color w:val="auto"/>
              </w:rPr>
            </w:pPr>
            <w:r>
              <w:rPr>
                <w:rFonts w:ascii="Arial" w:cs="Arial" w:eastAsia="Arial" w:hAnsi="Arial"/>
                <w:sz w:val="18"/>
                <w:szCs w:val="18"/>
                <w:color w:val="auto"/>
              </w:rPr>
              <w:t>Forfeited or cancelled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(537,294)</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6,958,160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8"/>
                <w:szCs w:val="18"/>
                <w:color w:val="auto"/>
              </w:rPr>
              <w:t>7.03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2021</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15.60</w:t>
            </w:r>
          </w:p>
        </w:tc>
        <w:tc>
          <w:tcPr>
            <w:tcW w:w="240" w:type="dxa"/>
            <w:vAlign w:val="bottom"/>
          </w:tcPr>
          <w:p>
            <w:pPr>
              <w:spacing w:after="0" w:line="20" w:lineRule="exact"/>
              <w:rPr>
                <w:sz w:val="1"/>
                <w:szCs w:val="1"/>
                <w:color w:val="auto"/>
              </w:rPr>
            </w:pPr>
          </w:p>
        </w:tc>
        <w:tc>
          <w:tcPr>
            <w:tcW w:w="1260" w:type="dxa"/>
            <w:vAlign w:val="bottom"/>
            <w:vMerge w:val="restart"/>
          </w:tcPr>
          <w:p>
            <w:pPr>
              <w:jc w:val="right"/>
              <w:ind w:right="43"/>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ind w:right="39"/>
              <w:spacing w:after="0"/>
              <w:rPr>
                <w:sz w:val="20"/>
                <w:szCs w:val="20"/>
                <w:color w:val="auto"/>
              </w:rPr>
            </w:pPr>
            <w:r>
              <w:rPr>
                <w:rFonts w:ascii="Arial" w:cs="Arial" w:eastAsia="Arial" w:hAnsi="Arial"/>
                <w:sz w:val="18"/>
                <w:szCs w:val="18"/>
                <w:color w:val="auto"/>
              </w:rPr>
              <w:t>677</w:t>
            </w:r>
          </w:p>
        </w:tc>
        <w:tc>
          <w:tcPr>
            <w:tcW w:w="0" w:type="dxa"/>
            <w:vAlign w:val="bottom"/>
          </w:tcPr>
          <w:p>
            <w:pPr>
              <w:spacing w:after="0" w:line="20" w:lineRule="exact"/>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3,052,144</w:t>
            </w: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80" w:right="140" w:hanging="372"/>
        <w:spacing w:after="0" w:line="340"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2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Options generally vest over periods of one to four years, and options that are forfeited or cancelled are available to be granted again. The contractual life of options is generally five or ten years from the grant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29" w:name="page130"/>
    <w:bookmarkEnd w:id="129"/>
    <w:p>
      <w:pPr>
        <w:spacing w:after="0" w:line="275"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employees during the period were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For the Year Ended December 31,</w:t>
            </w:r>
          </w:p>
        </w:tc>
      </w:tr>
      <w:tr>
        <w:trPr>
          <w:trHeight w:val="155"/>
        </w:trPr>
        <w:tc>
          <w:tcPr>
            <w:tcW w:w="4940" w:type="dxa"/>
            <w:vAlign w:val="bottom"/>
            <w:tcBorders>
              <w:bottom w:val="single" w:sz="8" w:color="CFF0FC"/>
            </w:tcBorders>
          </w:tcPr>
          <w:p>
            <w:pPr>
              <w:spacing w:after="0"/>
              <w:rPr>
                <w:sz w:val="13"/>
                <w:szCs w:val="13"/>
                <w:color w:val="auto"/>
              </w:rPr>
            </w:pPr>
          </w:p>
        </w:tc>
        <w:tc>
          <w:tcPr>
            <w:tcW w:w="1940" w:type="dxa"/>
            <w:vAlign w:val="bottom"/>
            <w:tcBorders>
              <w:bottom w:val="single" w:sz="8" w:color="auto"/>
            </w:tcBorders>
            <w:gridSpan w:val="2"/>
          </w:tcPr>
          <w:p>
            <w:pPr>
              <w:jc w:val="right"/>
              <w:ind w:right="7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940" w:type="dxa"/>
            <w:vAlign w:val="bottom"/>
            <w:tcBorders>
              <w:bottom w:val="single" w:sz="8" w:color="auto"/>
            </w:tcBorders>
            <w:gridSpan w:val="2"/>
          </w:tcPr>
          <w:p>
            <w:pPr>
              <w:jc w:val="right"/>
              <w:ind w:right="750"/>
              <w:spacing w:after="0" w:line="155" w:lineRule="exact"/>
              <w:rPr>
                <w:sz w:val="20"/>
                <w:szCs w:val="20"/>
                <w:color w:val="auto"/>
              </w:rPr>
            </w:pPr>
            <w:r>
              <w:rPr>
                <w:rFonts w:ascii="Arial" w:cs="Arial" w:eastAsia="Arial" w:hAnsi="Arial"/>
                <w:sz w:val="14"/>
                <w:szCs w:val="14"/>
                <w:b w:val="1"/>
                <w:bCs w:val="1"/>
                <w:color w:val="auto"/>
              </w:rPr>
              <w:t>2020</w:t>
            </w:r>
          </w:p>
        </w:tc>
      </w:tr>
      <w:tr>
        <w:trPr>
          <w:trHeight w:val="222"/>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0.84%</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 6.1</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060" w:type="dxa"/>
            <w:vAlign w:val="bottom"/>
          </w:tcPr>
          <w:p>
            <w:pPr>
              <w:ind w:left="40"/>
              <w:spacing w:after="0"/>
              <w:rPr>
                <w:sz w:val="20"/>
                <w:szCs w:val="20"/>
                <w:color w:val="auto"/>
              </w:rPr>
            </w:pPr>
            <w:r>
              <w:rPr>
                <w:rFonts w:ascii="Arial" w:cs="Arial" w:eastAsia="Arial" w:hAnsi="Arial"/>
                <w:sz w:val="18"/>
                <w:szCs w:val="18"/>
                <w:color w:val="auto"/>
              </w:rPr>
              <w:t>– 6.1</w:t>
            </w: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 86%</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74%</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40" w:type="dxa"/>
            <w:vAlign w:val="bottom"/>
            <w:gridSpan w:val="2"/>
          </w:tcPr>
          <w:p>
            <w:pPr>
              <w:jc w:val="right"/>
              <w:ind w:right="775"/>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1940" w:type="dxa"/>
            <w:vAlign w:val="bottom"/>
            <w:gridSpan w:val="2"/>
          </w:tcPr>
          <w:p>
            <w:pPr>
              <w:jc w:val="right"/>
              <w:ind w:right="77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to non-employees during the years ended December 31, 2021 and 2020.</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activity for the year ended December 31, 2021 is summarized as follows: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dollars per</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22"/>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1,180,215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8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1,140,434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(177,279)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8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at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1,875,350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RSUs can be time-based or performance-based. Vesting of the performance-based RSUs is contingent on the occurrence of certain regulatory or commercial milestones. In March 2021, the Compensation Committee approved an amendment and restatement of the Company’s outstanding 2019 performance-based RSUs to add an additional milestone to the existing milestones. In 2021, the Company also granted performance-based RSUs with the same terms to certain employees who did not receive the 2019 performance-based RSUs. The Company did not recognize expense in 2021 or 2020 related to the performance-based RSUs as the related milestones were not considered probable of achievement.</w:t>
      </w:r>
    </w:p>
    <w:p>
      <w:pPr>
        <w:spacing w:after="0" w:line="6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RSUs that are forfeited are available to be granted again. Of the RSUs granted during the year ended December 31, 2021, 969,534 were time-based RSUs and 170,900 were performance-based RSUs. Of the RSUs outstanding at December 31, 2021, 1,072,357 are time-based RSUs and 802,993 are performance-based RSUs. Time-based RSUs generally vest over periods of one to four years.</w:t>
      </w:r>
    </w:p>
    <w:p>
      <w:pPr>
        <w:spacing w:after="0" w:line="7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of December 31, 2021, the unrecognized compensation cost related to outstanding options was $10.6 million. The unrecognized compensation cost related to outstanding options is expected to be recognized over a weighted-average period of approximately 2.4 years. For the years ended December 31, 2021 and 2020, the weighted-average grant date fair value per granted option was $3.48 and $5.07, respectively. The aggregate fair value of options that vested during the years ended December 31, 2021 and 2020 was $5.7 million and $9.6 million, respectively. The unrecognized compensation costs related to outstanding time-based RSUs was $9.0 million as of December 31, 2021, and is expected to be recognized over a weighted-average period of approximately 1.4 years. The total fair value of RSUs vested during the years ended December 31, 2021 and 2020 was $1.7 million and $1.6 million,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Share Purchase Plan</w:t>
      </w:r>
    </w:p>
    <w:p>
      <w:pPr>
        <w:spacing w:after="0" w:line="11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Wave Life Sciences Ltd. Employee Share Purchase Plan (“ESPP”) allows all full-time and certain part-time employees to purchase the Company’s ordinary shares at a discount to fair market value. Eligible employees may enroll in a six-month offering period beginning every January 15</w:t>
      </w:r>
      <w:r>
        <w:rPr>
          <w:rFonts w:ascii="Arial" w:cs="Arial" w:eastAsia="Arial" w:hAnsi="Arial"/>
          <w:sz w:val="14"/>
          <w:szCs w:val="14"/>
          <w:color w:val="auto"/>
        </w:rPr>
        <w:t>th</w:t>
      </w:r>
      <w:r>
        <w:rPr>
          <w:rFonts w:ascii="Arial" w:cs="Arial" w:eastAsia="Arial" w:hAnsi="Arial"/>
          <w:sz w:val="17"/>
          <w:szCs w:val="17"/>
          <w:color w:val="auto"/>
        </w:rPr>
        <w:t xml:space="preserve"> and July 15</w:t>
      </w:r>
      <w:r>
        <w:rPr>
          <w:rFonts w:ascii="Arial" w:cs="Arial" w:eastAsia="Arial" w:hAnsi="Arial"/>
          <w:sz w:val="14"/>
          <w:szCs w:val="14"/>
          <w:color w:val="auto"/>
        </w:rPr>
        <w:t>th</w:t>
      </w:r>
      <w:r>
        <w:rPr>
          <w:rFonts w:ascii="Arial" w:cs="Arial" w:eastAsia="Arial" w:hAnsi="Arial"/>
          <w:sz w:val="17"/>
          <w:szCs w:val="17"/>
          <w:color w:val="auto"/>
        </w:rPr>
        <w:t>. Shares are purchased at a price equal to 85% of the lower of the fair market value of the Company’s ordinary shares on the first business day or the last business day of an offering period. Eligible employees who elected to participate in the ESPP were able to participate in the ESPP for the first time beginning on January 15, 2020. During the year ended December 31, 2021, 92,287 ordinary shares were issued under the ESPP. As of December 31, 2021, there were 882,474 ordinary shares available for issuance under the ESPP.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0" w:name="page131"/>
    <w:bookmarkEnd w:id="130"/>
    <w:p>
      <w:pPr>
        <w:ind w:right="140"/>
        <w:spacing w:after="0" w:line="275" w:lineRule="auto"/>
        <w:rPr>
          <w:sz w:val="20"/>
          <w:szCs w:val="20"/>
          <w:color w:val="auto"/>
        </w:rPr>
      </w:pPr>
      <w:r>
        <w:rPr>
          <w:rFonts w:ascii="Arial" w:cs="Arial" w:eastAsia="Arial" w:hAnsi="Arial"/>
          <w:sz w:val="18"/>
          <w:szCs w:val="18"/>
          <w:color w:val="auto"/>
        </w:rPr>
        <w:t>Share-based compensation expense for the years ended December 31, 2021 and 2020 is classified as operating expenses in the consolidated statements of operations and comprehensive loss as follows:</w:t>
      </w:r>
    </w:p>
    <w:p>
      <w:pPr>
        <w:spacing w:after="0" w:line="27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342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920" w:type="dxa"/>
            <w:vAlign w:val="bottom"/>
          </w:tcPr>
          <w:p>
            <w:pPr>
              <w:spacing w:after="0"/>
              <w:rPr>
                <w:sz w:val="13"/>
                <w:szCs w:val="13"/>
                <w:color w:val="auto"/>
              </w:rPr>
            </w:pPr>
          </w:p>
        </w:tc>
        <w:tc>
          <w:tcPr>
            <w:tcW w:w="124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180" w:type="dxa"/>
            <w:vAlign w:val="bottom"/>
            <w:gridSpan w:val="3"/>
          </w:tcPr>
          <w:p>
            <w:pPr>
              <w:jc w:val="right"/>
              <w:ind w:right="908"/>
              <w:spacing w:after="0" w:line="155"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FF0FC"/>
          </w:tcPr>
          <w:p>
            <w:pPr>
              <w:spacing w:after="0"/>
              <w:rPr>
                <w:sz w:val="19"/>
                <w:szCs w:val="19"/>
                <w:color w:val="auto"/>
              </w:rPr>
            </w:pP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9,140</w:t>
            </w: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FF0FC"/>
            </w:tcBorders>
          </w:tcPr>
          <w:p>
            <w:pPr>
              <w:spacing w:after="0"/>
              <w:rPr>
                <w:sz w:val="19"/>
                <w:szCs w:val="19"/>
                <w:color w:val="auto"/>
              </w:rPr>
            </w:pPr>
          </w:p>
        </w:tc>
      </w:tr>
      <w:tr>
        <w:trPr>
          <w:trHeight w:val="222"/>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Arrangements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lease arrangements for its facilities. A summary of the arrangements is as follows: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September 26, 2016, and as amended on December 31, 2016, the Company entered into a 10 year and 9-month lease, which includes two successive five-year renewal options, for its facility in Lexington, Massachusetts, which the Company uses primarily for its current good manufacturing practices (“cGMP”) manufacturing, as well as for additional laboratory and office space.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approximately $2.7 million in a separate bank account as of December 31, 2021 and 2020.</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April 2015, the Company entered into a lease agreement for an office and laboratory facility in Cambridge, Massachusetts (the “Cambridge Lease”), which commenced in October 2015 with a term of 7.5 years with a five-year renewal option to extend the lease.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$1.0 million in a separate bank account as of December 31, 2021 and 2020.</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December 2020, the Company exercised its option under the Cambridge Lease to lease the additional office and laboratory space at the existing facility. The combined space constitutes the entire building. The lease for the additional space commenced on October 1, 2021, with a term of five years and is considered a separate lease from the Cambridge Lease. On the commencement date, the Company utilized the operating lease classification and recorded a right-of-use asset and corresponding operating lease liability of $4.5 million and began recognizing straight-line rent expense under ASC 842. Throughout the term of the lease, the Company is responsible for paying certain costs and expenses, in addition to the rent, as specified in the lease, including a proportionate share of applicable taxes, operating expenses and utilities.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40" w:right="419" w:bottom="1440" w:gutter="0" w:footer="0" w:header="0"/>
        </w:sectPr>
      </w:pPr>
    </w:p>
    <w:bookmarkStart w:id="131" w:name="page132"/>
    <w:bookmarkEnd w:id="131"/>
    <w:p>
      <w:pPr>
        <w:ind w:right="200"/>
        <w:spacing w:after="0" w:line="275"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years ended December 31, 2021 and 2020:</w:t>
      </w:r>
    </w:p>
    <w:p>
      <w:pPr>
        <w:spacing w:after="0" w:line="244"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4"/>
          </w:tcPr>
          <w:p>
            <w:pPr>
              <w:jc w:val="right"/>
              <w:ind w:right="87"/>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Operating lease cost</w:t>
            </w:r>
          </w:p>
        </w:tc>
        <w:tc>
          <w:tcPr>
            <w:tcW w:w="9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4,742</w:t>
            </w:r>
          </w:p>
        </w:tc>
        <w:tc>
          <w:tcPr>
            <w:tcW w:w="280" w:type="dxa"/>
            <w:vAlign w:val="bottom"/>
          </w:tcPr>
          <w:p>
            <w:pPr>
              <w:spacing w:after="0"/>
              <w:rPr>
                <w:sz w:val="19"/>
                <w:szCs w:val="19"/>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6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Total lease cost</w:t>
            </w:r>
          </w:p>
        </w:tc>
        <w:tc>
          <w:tcPr>
            <w:tcW w:w="680" w:type="dxa"/>
            <w:vAlign w:val="bottom"/>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6,892</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used for operating leases</w:t>
            </w:r>
          </w:p>
        </w:tc>
        <w:tc>
          <w:tcPr>
            <w:tcW w:w="9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6,275</w:t>
            </w:r>
          </w:p>
        </w:tc>
        <w:tc>
          <w:tcPr>
            <w:tcW w:w="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Increase in operating right-of-use assets</w:t>
            </w:r>
          </w:p>
        </w:tc>
        <w:tc>
          <w:tcPr>
            <w:tcW w:w="9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4,498</w:t>
            </w:r>
          </w:p>
        </w:tc>
        <w:tc>
          <w:tcPr>
            <w:tcW w:w="280" w:type="dxa"/>
            <w:vAlign w:val="bottom"/>
          </w:tcPr>
          <w:p>
            <w:pPr>
              <w:spacing w:after="0"/>
              <w:rPr>
                <w:sz w:val="19"/>
                <w:szCs w:val="19"/>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obtaining right-of-use assets</w:t>
            </w:r>
          </w:p>
        </w:tc>
        <w:tc>
          <w:tcPr>
            <w:tcW w:w="9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leases as of December 31, 2021, are as follows:</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2"/>
              </w:rPr>
              <w:t>As of December 31, 2021</w:t>
            </w:r>
          </w:p>
        </w:tc>
        <w:tc>
          <w:tcPr>
            <w:tcW w:w="80" w:type="dxa"/>
            <w:vAlign w:val="bottom"/>
          </w:tcPr>
          <w:p>
            <w:pPr>
              <w:spacing w:after="0"/>
              <w:rPr>
                <w:sz w:val="14"/>
                <w:szCs w:val="14"/>
                <w:color w:val="auto"/>
              </w:rPr>
            </w:pPr>
          </w:p>
        </w:tc>
      </w:tr>
      <w:tr>
        <w:trPr>
          <w:trHeight w:val="222"/>
        </w:trPr>
        <w:tc>
          <w:tcPr>
            <w:tcW w:w="5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color w:val="auto"/>
              </w:rPr>
              <w:t>(in thousands)</w:t>
            </w: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6,292</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6,089</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6,272</w:t>
            </w:r>
          </w:p>
        </w:tc>
        <w:tc>
          <w:tcPr>
            <w:tcW w:w="8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80" w:type="dxa"/>
            <w:vAlign w:val="bottom"/>
            <w:tcBorders>
              <w:bottom w:val="single" w:sz="8" w:color="CFF0FC"/>
            </w:tcBorders>
          </w:tcPr>
          <w:p>
            <w:pPr>
              <w:spacing w:after="0"/>
              <w:rPr>
                <w:sz w:val="19"/>
                <w:szCs w:val="19"/>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37,510</w:t>
            </w:r>
          </w:p>
        </w:tc>
        <w:tc>
          <w:tcPr>
            <w:tcW w:w="8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(7,594)</w:t>
            </w:r>
          </w:p>
        </w:tc>
      </w:tr>
      <w:tr>
        <w:trPr>
          <w:trHeight w:val="222"/>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5" w:lineRule="exact"/>
        <w:rPr>
          <w:sz w:val="20"/>
          <w:szCs w:val="20"/>
          <w:color w:val="auto"/>
        </w:rPr>
      </w:pPr>
    </w:p>
    <w:p>
      <w:pPr>
        <w:ind w:right="7620" w:firstLine="8"/>
        <w:spacing w:after="0" w:line="376" w:lineRule="auto"/>
        <w:tabs>
          <w:tab w:leader="none" w:pos="179"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Unasserted Claims</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ORDINARY SHARE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Basic loss per share is computed by dividing net loss attributable to ordinary shareholders by the weighted-average number of ordinary shares outstanding:</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720" w:type="dxa"/>
            <w:vAlign w:val="bottom"/>
            <w:gridSpan w:val="6"/>
          </w:tcPr>
          <w:p>
            <w:pPr>
              <w:jc w:val="right"/>
              <w:spacing w:after="0" w:line="155" w:lineRule="exact"/>
              <w:rPr>
                <w:sz w:val="20"/>
                <w:szCs w:val="20"/>
                <w:color w:val="auto"/>
              </w:rPr>
            </w:pPr>
            <w:r>
              <w:rPr>
                <w:rFonts w:ascii="Arial" w:cs="Arial" w:eastAsia="Arial" w:hAnsi="Arial"/>
                <w:sz w:val="14"/>
                <w:szCs w:val="14"/>
                <w:color w:val="auto"/>
                <w:w w:val="90"/>
              </w:rPr>
              <w:t>(in thousands except share and per share data)</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69"/>
        </w:trPr>
        <w:tc>
          <w:tcPr>
            <w:tcW w:w="1140" w:type="dxa"/>
            <w:vAlign w:val="bottom"/>
          </w:tcPr>
          <w:p>
            <w:pPr>
              <w:spacing w:after="0"/>
              <w:rPr>
                <w:sz w:val="23"/>
                <w:szCs w:val="23"/>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Net loss attributable to ordinary shareholders</w:t>
            </w:r>
          </w:p>
        </w:tc>
        <w:tc>
          <w:tcPr>
            <w:tcW w:w="2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(122,245)</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(149,910)</w:t>
            </w:r>
          </w:p>
        </w:tc>
        <w:tc>
          <w:tcPr>
            <w:tcW w:w="1120" w:type="dxa"/>
            <w:vAlign w:val="bottom"/>
          </w:tcPr>
          <w:p>
            <w:pPr>
              <w:spacing w:after="0"/>
              <w:rPr>
                <w:sz w:val="23"/>
                <w:szCs w:val="23"/>
                <w:color w:val="auto"/>
              </w:rPr>
            </w:pPr>
          </w:p>
        </w:tc>
      </w:tr>
      <w:tr>
        <w:trPr>
          <w:trHeight w:val="209"/>
        </w:trPr>
        <w:tc>
          <w:tcPr>
            <w:tcW w:w="1140" w:type="dxa"/>
            <w:vAlign w:val="bottom"/>
          </w:tcPr>
          <w:p>
            <w:pPr>
              <w:spacing w:after="0"/>
              <w:rPr>
                <w:sz w:val="18"/>
                <w:szCs w:val="18"/>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69"/>
        </w:trPr>
        <w:tc>
          <w:tcPr>
            <w:tcW w:w="1140" w:type="dxa"/>
            <w:vAlign w:val="bottom"/>
          </w:tcPr>
          <w:p>
            <w:pPr>
              <w:spacing w:after="0"/>
              <w:rPr>
                <w:sz w:val="23"/>
                <w:szCs w:val="23"/>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8"/>
              </w:rPr>
              <w:t>Weighted-average ordinary shares outstanding</w:t>
            </w:r>
          </w:p>
        </w:tc>
        <w:tc>
          <w:tcPr>
            <w:tcW w:w="2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51,825,566</w:t>
            </w:r>
          </w:p>
        </w:tc>
        <w:tc>
          <w:tcPr>
            <w:tcW w:w="12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39,227,618</w:t>
            </w:r>
          </w:p>
        </w:tc>
        <w:tc>
          <w:tcPr>
            <w:tcW w:w="80" w:type="dxa"/>
            <w:vAlign w:val="bottom"/>
            <w:tcBorders>
              <w:bottom w:val="single" w:sz="8" w:color="CFF0FC"/>
            </w:tcBorders>
          </w:tcPr>
          <w:p>
            <w:pPr>
              <w:spacing w:after="0"/>
              <w:rPr>
                <w:sz w:val="23"/>
                <w:szCs w:val="23"/>
                <w:color w:val="auto"/>
              </w:rPr>
            </w:pPr>
          </w:p>
        </w:tc>
        <w:tc>
          <w:tcPr>
            <w:tcW w:w="1120" w:type="dxa"/>
            <w:vAlign w:val="bottom"/>
          </w:tcPr>
          <w:p>
            <w:pPr>
              <w:spacing w:after="0"/>
              <w:rPr>
                <w:sz w:val="23"/>
                <w:szCs w:val="23"/>
                <w:color w:val="auto"/>
              </w:rPr>
            </w:pPr>
          </w:p>
        </w:tc>
      </w:tr>
      <w:tr>
        <w:trPr>
          <w:trHeight w:val="209"/>
        </w:trPr>
        <w:tc>
          <w:tcPr>
            <w:tcW w:w="114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6"/>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00" w:type="dxa"/>
            <w:vAlign w:val="bottom"/>
            <w:gridSpan w:val="2"/>
          </w:tcPr>
          <w:p>
            <w:pPr>
              <w:jc w:val="right"/>
              <w:ind w:right="1708"/>
              <w:spacing w:after="0"/>
              <w:rPr>
                <w:sz w:val="20"/>
                <w:szCs w:val="20"/>
                <w:color w:val="auto"/>
              </w:rPr>
            </w:pPr>
            <w:r>
              <w:rPr>
                <w:rFonts w:ascii="Arial" w:cs="Arial" w:eastAsia="Arial" w:hAnsi="Arial"/>
                <w:sz w:val="18"/>
                <w:szCs w:val="18"/>
                <w:color w:val="auto"/>
              </w:rPr>
              <w:t>F-21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2" w:name="page133"/>
    <w:bookmarkEnd w:id="132"/>
    <w:p>
      <w:pPr>
        <w:ind w:right="60"/>
        <w:spacing w:after="0" w:line="306"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and restricted share units, are considered to be ordinary share equivalents and are only included in the calculation of diluted net loss per share when their effect is dilutive.</w:t>
      </w:r>
    </w:p>
    <w:p>
      <w:pPr>
        <w:spacing w:after="0" w:line="147" w:lineRule="exact"/>
        <w:rPr>
          <w:sz w:val="20"/>
          <w:szCs w:val="20"/>
          <w:color w:val="auto"/>
        </w:rPr>
      </w:pPr>
    </w:p>
    <w:p>
      <w:pPr>
        <w:ind w:right="100"/>
        <w:spacing w:after="0" w:line="306"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2"/>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6,958,160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89"/>
              </w:rPr>
              <w:t>3,873,395</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RSUs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1,875,350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w w:val="89"/>
              </w:rPr>
              <w:t>1,180,215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3,901,348</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ind w:left="60"/>
              <w:spacing w:after="0"/>
              <w:rPr>
                <w:sz w:val="20"/>
                <w:szCs w:val="20"/>
                <w:color w:val="auto"/>
              </w:rPr>
            </w:pPr>
            <w:r>
              <w:rPr>
                <w:rFonts w:ascii="Arial" w:cs="Arial" w:eastAsia="Arial" w:hAnsi="Arial"/>
                <w:sz w:val="18"/>
                <w:szCs w:val="18"/>
                <w:color w:val="auto"/>
                <w:w w:val="89"/>
              </w:rPr>
              <w:t>3,901,348</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19"/>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11. INCOME TAXES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7120" w:type="dxa"/>
            <w:vAlign w:val="bottom"/>
            <w:gridSpan w:val="3"/>
          </w:tcPr>
          <w:p>
            <w:pPr>
              <w:spacing w:after="0"/>
              <w:rPr>
                <w:sz w:val="20"/>
                <w:szCs w:val="20"/>
                <w:color w:val="auto"/>
              </w:rPr>
            </w:pPr>
            <w:r>
              <w:rPr>
                <w:rFonts w:ascii="Arial" w:cs="Arial" w:eastAsia="Arial" w:hAnsi="Arial"/>
                <w:sz w:val="18"/>
                <w:szCs w:val="18"/>
                <w:color w:val="auto"/>
              </w:rPr>
              <w:t>The components of loss before income taxes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55"/>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gridSpan w:val="5"/>
          </w:tcPr>
          <w:p>
            <w:pPr>
              <w:jc w:val="center"/>
              <w:spacing w:after="0" w:line="155" w:lineRule="exact"/>
              <w:rPr>
                <w:sz w:val="20"/>
                <w:szCs w:val="20"/>
                <w:color w:val="auto"/>
              </w:rPr>
            </w:pPr>
            <w:r>
              <w:rPr>
                <w:rFonts w:ascii="Arial" w:cs="Arial" w:eastAsia="Arial" w:hAnsi="Arial"/>
                <w:sz w:val="14"/>
                <w:szCs w:val="14"/>
                <w:color w:val="auto"/>
                <w:w w:val="92"/>
              </w:rPr>
              <w:t>(in thousands)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Singapore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(10,842)</w:t>
            </w:r>
          </w:p>
        </w:tc>
        <w:tc>
          <w:tcPr>
            <w:tcW w:w="4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(9,931)</w:t>
            </w:r>
          </w:p>
        </w:tc>
      </w:tr>
      <w:tr>
        <w:trPr>
          <w:trHeight w:val="229"/>
        </w:trPr>
        <w:tc>
          <w:tcPr>
            <w:tcW w:w="114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(111,607)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(140,820)</w:t>
            </w:r>
          </w:p>
        </w:tc>
      </w:tr>
      <w:tr>
        <w:trPr>
          <w:trHeight w:val="222"/>
        </w:trPr>
        <w:tc>
          <w:tcPr>
            <w:tcW w:w="1140" w:type="dxa"/>
            <w:vAlign w:val="bottom"/>
          </w:tcPr>
          <w:p>
            <w:pPr>
              <w:spacing w:after="0"/>
              <w:rPr>
                <w:sz w:val="19"/>
                <w:szCs w:val="19"/>
                <w:color w:val="auto"/>
              </w:rPr>
            </w:pPr>
          </w:p>
        </w:tc>
        <w:tc>
          <w:tcPr>
            <w:tcW w:w="59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(122,449)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(150,751)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80"/>
        <w:spacing w:after="0" w:line="306" w:lineRule="auto"/>
        <w:rPr>
          <w:sz w:val="20"/>
          <w:szCs w:val="20"/>
          <w:color w:val="auto"/>
        </w:rPr>
      </w:pPr>
      <w:r>
        <w:rPr>
          <w:rFonts w:ascii="Arial" w:cs="Arial" w:eastAsia="Arial" w:hAnsi="Arial"/>
          <w:sz w:val="17"/>
          <w:szCs w:val="17"/>
          <w:color w:val="auto"/>
        </w:rPr>
        <w:t>During the years ended December 31, 2021 and 2020, the Company recorded an income tax benefit of $0.2 million and $0.8 million, respectively, which was primarily due to the release of a portion of the Company’s uncertain tax positions as a result of a lapse in the statute of limitations.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benefit for income taxes were as follows:</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6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gridSpan w:val="3"/>
          </w:tcPr>
          <w:p>
            <w:pPr>
              <w:jc w:val="right"/>
              <w:ind w:right="507"/>
              <w:spacing w:after="0" w:line="155"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Current benefit, net for income taxes:</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23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15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22"/>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benefit, net for income taxes</w:t>
            </w:r>
          </w:p>
        </w:tc>
        <w:tc>
          <w:tcPr>
            <w:tcW w:w="15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7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FF0FC"/>
            </w:tcBorders>
          </w:tcPr>
          <w:p>
            <w:pPr>
              <w:spacing w:after="0"/>
              <w:rPr>
                <w:sz w:val="19"/>
                <w:szCs w:val="19"/>
                <w:color w:val="auto"/>
              </w:rPr>
            </w:pPr>
          </w:p>
        </w:tc>
      </w:tr>
      <w:tr>
        <w:trPr>
          <w:trHeight w:val="222"/>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Deferred benefit, net for income taxes:</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238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benefit, net for income taxes</w:t>
            </w:r>
          </w:p>
        </w:tc>
        <w:tc>
          <w:tcPr>
            <w:tcW w:w="15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2"/>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benefit, net for income taxes</w:t>
            </w:r>
          </w:p>
        </w:tc>
        <w:tc>
          <w:tcPr>
            <w:tcW w:w="15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Singapore statutory income tax rate to the Company’s effective income tax rate is as follows:</w:t>
      </w:r>
    </w:p>
    <w:p>
      <w:pPr>
        <w:spacing w:after="0" w:line="296"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Pr>
          <w:p>
            <w:pPr>
              <w:spacing w:after="0"/>
              <w:rPr>
                <w:sz w:val="13"/>
                <w:szCs w:val="13"/>
                <w:color w:val="auto"/>
              </w:rPr>
            </w:pPr>
          </w:p>
        </w:tc>
        <w:tc>
          <w:tcPr>
            <w:tcW w:w="608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Singapore statutory income tax rate</w:t>
            </w:r>
          </w:p>
        </w:tc>
        <w:tc>
          <w:tcPr>
            <w:tcW w:w="7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Federal and state tax credits</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Permanent differences</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Changes in reserves for uncertain tax positions</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 rate differential</w:t>
            </w:r>
          </w:p>
        </w:tc>
        <w:tc>
          <w:tcPr>
            <w:tcW w:w="6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tcPr>
          <w:p>
            <w:pPr>
              <w:ind w:left="240"/>
              <w:spacing w:after="0"/>
              <w:rPr>
                <w:sz w:val="20"/>
                <w:szCs w:val="20"/>
                <w:color w:val="auto"/>
              </w:rPr>
            </w:pPr>
            <w:r>
              <w:rPr>
                <w:rFonts w:ascii="Arial" w:cs="Arial" w:eastAsia="Arial" w:hAnsi="Arial"/>
                <w:sz w:val="18"/>
                <w:szCs w:val="18"/>
                <w:color w:val="auto"/>
              </w:rPr>
              <w:t>Tax rate change</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080" w:type="dxa"/>
            <w:vAlign w:val="bottom"/>
          </w:tcPr>
          <w:p>
            <w:pPr>
              <w:ind w:left="240"/>
              <w:spacing w:after="0"/>
              <w:rPr>
                <w:sz w:val="20"/>
                <w:szCs w:val="20"/>
                <w:color w:val="auto"/>
              </w:rPr>
            </w:pPr>
            <w:r>
              <w:rPr>
                <w:rFonts w:ascii="Arial" w:cs="Arial" w:eastAsia="Arial" w:hAnsi="Arial"/>
                <w:sz w:val="18"/>
                <w:szCs w:val="18"/>
                <w:color w:val="auto"/>
              </w:rPr>
              <w:t>Change in deferred tax asset valuation allowance</w:t>
            </w:r>
          </w:p>
        </w:tc>
        <w:tc>
          <w:tcPr>
            <w:tcW w:w="7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w w:val="97"/>
              </w:rPr>
              <w:t>(34.9)</w:t>
            </w:r>
          </w:p>
        </w:tc>
        <w:tc>
          <w:tcPr>
            <w:tcW w:w="1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40" w:type="dxa"/>
            <w:vAlign w:val="bottom"/>
          </w:tcPr>
          <w:p>
            <w:pPr>
              <w:spacing w:after="0"/>
              <w:rPr>
                <w:sz w:val="19"/>
                <w:szCs w:val="19"/>
                <w:color w:val="auto"/>
              </w:rPr>
            </w:pPr>
          </w:p>
        </w:tc>
        <w:tc>
          <w:tcPr>
            <w:tcW w:w="608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1140" w:type="dxa"/>
            <w:vAlign w:val="bottom"/>
          </w:tcPr>
          <w:p>
            <w:pPr>
              <w:spacing w:after="0"/>
              <w:rPr>
                <w:sz w:val="24"/>
                <w:szCs w:val="24"/>
                <w:color w:val="auto"/>
              </w:rPr>
            </w:pPr>
          </w:p>
        </w:tc>
        <w:tc>
          <w:tcPr>
            <w:tcW w:w="6840" w:type="dxa"/>
            <w:vAlign w:val="bottom"/>
            <w:gridSpan w:val="2"/>
          </w:tcPr>
          <w:p>
            <w:pPr>
              <w:ind w:left="432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60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The components of the Company’s deferred tax assets and liabilities as of December 31, 2021 and 2020 are as follows:</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40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170,997</w:t>
            </w:r>
          </w:p>
        </w:tc>
        <w:tc>
          <w:tcPr>
            <w:tcW w:w="120" w:type="dxa"/>
            <w:vAlign w:val="bottom"/>
          </w:tcPr>
          <w:p>
            <w:pPr>
              <w:spacing w:after="0"/>
              <w:rPr>
                <w:sz w:val="19"/>
                <w:szCs w:val="19"/>
                <w:color w:val="auto"/>
              </w:rPr>
            </w:pPr>
          </w:p>
        </w:tc>
        <w:tc>
          <w:tcPr>
            <w:tcW w:w="4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133,841</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and state tax credits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36,151</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5,880</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amortization</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8,006</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13,956</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Borders>
              <w:bottom w:val="single" w:sz="8" w:color="CFF0FC"/>
            </w:tcBorders>
          </w:tcPr>
          <w:p>
            <w:pPr>
              <w:spacing w:after="0"/>
              <w:rPr>
                <w:sz w:val="19"/>
                <w:szCs w:val="19"/>
                <w:color w:val="auto"/>
              </w:rPr>
            </w:pPr>
          </w:p>
        </w:tc>
      </w:tr>
      <w:tr>
        <w:trPr>
          <w:trHeight w:val="222"/>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199,942</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(238,170)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(195,381)</w:t>
            </w:r>
          </w:p>
        </w:tc>
      </w:tr>
      <w:tr>
        <w:trPr>
          <w:trHeight w:val="222"/>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right-of-use assets</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(5,021)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(4,435)</w:t>
            </w: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Accumulated depreciation</w:t>
            </w: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29"/>
        </w:trPr>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2"/>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3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(4,561)</w:t>
            </w:r>
          </w:p>
        </w:tc>
        <w:tc>
          <w:tcPr>
            <w:tcW w:w="80" w:type="dxa"/>
            <w:vAlign w:val="bottom"/>
            <w:tcBorders>
              <w:bottom w:val="single" w:sz="8" w:color="CFF0FC"/>
            </w:tcBorders>
          </w:tcPr>
          <w:p>
            <w:pPr>
              <w:spacing w:after="0"/>
              <w:rPr>
                <w:sz w:val="19"/>
                <w:szCs w:val="19"/>
                <w:color w:val="auto"/>
              </w:rPr>
            </w:pPr>
          </w:p>
        </w:tc>
      </w:tr>
      <w:tr>
        <w:trPr>
          <w:trHeight w:val="222"/>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1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valuation allowance for the years ended December 31, 2021 and 2020 is as follows:</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ind w:left="560"/>
              <w:spacing w:after="0" w:line="155" w:lineRule="exact"/>
              <w:rPr>
                <w:sz w:val="20"/>
                <w:szCs w:val="20"/>
                <w:color w:val="auto"/>
              </w:rPr>
            </w:pPr>
            <w:r>
              <w:rPr>
                <w:rFonts w:ascii="Arial" w:cs="Arial" w:eastAsia="Arial" w:hAnsi="Arial"/>
                <w:sz w:val="14"/>
                <w:szCs w:val="14"/>
                <w:color w:val="auto"/>
                <w:w w:val="94"/>
              </w:rPr>
              <w:t>(in thousands)</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195,381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156,680</w:t>
            </w:r>
          </w:p>
        </w:tc>
        <w:tc>
          <w:tcPr>
            <w:tcW w:w="6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38,653</w:t>
            </w:r>
          </w:p>
        </w:tc>
        <w:tc>
          <w:tcPr>
            <w:tcW w:w="6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translation</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9"/>
                <w:szCs w:val="19"/>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238,170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195,381</w:t>
            </w:r>
          </w:p>
        </w:tc>
        <w:tc>
          <w:tcPr>
            <w:tcW w:w="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December 31, 2021, the Company had federal net operating loss carryforwards in the United States of $275.0 million, $274.2 million of which may be available to offset future income tax liabilities indefinitely, while $0.8 million of carryforwards that were in existence as of December 31, 2017 may offset future income tax liabilities up through 2037. As of December 31, 2021, the Company had state net operating loss carryforwards of $266.4 million that will begin to expire in 2038. As of December 31, 2021 and 2020, the Company had U.S. federal research and development tax credit carryforwards of approximately $12.8 million and $10.3 million, respectively, available to offset future U.S. federal income taxes and will begin to expire in 2031. As of December 31, 2021 and 2020, the Company had state research and development tax credit carryforwards of approximately $9.1 million and $7.4 million, respectively, available to offset future state income taxes and will begin to expire in 2032, and state investment tax credit carryforwards of $0.2 million and $0.7 million, respectively, that will begin to expire in 2022. As of December 31, 2021, the Company had a U.S. orphan drug credit carryforward of $20.1 million that will begin to expire in 2037.</w:t>
      </w:r>
    </w:p>
    <w:p>
      <w:pPr>
        <w:spacing w:after="0" w:line="18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As of December 31, 2021 and 2020, the Company had net operating loss carryforwards in Japan of $2.7 million and $3.0 million, respectively, which may be available to offset future income tax liabilities and begin to expire in 2023.</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As of December 31, 2021 and 2020, the Company had net operating loss carryforwards in Singapore of $189.2 million and $179.3 million, respectively, which may be available to offset future income tax liabilities and can be carried forward indefinitely.</w:t>
      </w:r>
    </w:p>
    <w:p>
      <w:pPr>
        <w:spacing w:after="0" w:line="171"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As of December 31, 2021 and 2020, the Company had net operating loss carryforwards in the United Kingdom of $254.3 million and $233.3 million, respectively, which may be available to offset future income tax liabilities and can be carried forward indefinitely.</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As of December 31, 2021,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all jurisdictions. Accordingly, a full valuation allowance has been established against those deferred tax assets as of December 31, 2021.</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134" w:name="page135"/>
    <w:bookmarkEnd w:id="134"/>
    <w:p>
      <w:pPr>
        <w:ind w:right="60"/>
        <w:spacing w:after="0" w:line="258" w:lineRule="auto"/>
        <w:rPr>
          <w:sz w:val="20"/>
          <w:szCs w:val="20"/>
          <w:color w:val="auto"/>
        </w:rPr>
      </w:pPr>
      <w:r>
        <w:rPr>
          <w:rFonts w:ascii="Arial" w:cs="Arial" w:eastAsia="Arial" w:hAnsi="Arial"/>
          <w:sz w:val="18"/>
          <w:szCs w:val="18"/>
          <w:color w:val="auto"/>
        </w:rPr>
        <w:t>The valuation allowance increased by approximately $42.8 million in 2021 and $38.7 million in 2020 primarily as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18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Company’s unrecognized tax benefits is as follows:</w:t>
      </w: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27"/>
              <w:spacing w:after="0" w:line="155"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 at the beginning of the year</w:t>
            </w:r>
          </w:p>
        </w:tc>
        <w:tc>
          <w:tcPr>
            <w:tcW w:w="1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18,416</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16,682</w:t>
            </w:r>
          </w:p>
        </w:tc>
        <w:tc>
          <w:tcPr>
            <w:tcW w:w="8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Tax positions related to prior years</w:t>
            </w: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Tax positions related to statute lapse</w:t>
            </w: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w:t>
            </w:r>
          </w:p>
        </w:tc>
      </w:tr>
      <w:tr>
        <w:trPr>
          <w:trHeight w:val="22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Tax positions related to the current year</w:t>
            </w:r>
          </w:p>
        </w:tc>
        <w:tc>
          <w:tcPr>
            <w:tcW w:w="1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Borders>
              <w:bottom w:val="single" w:sz="8" w:color="CFF0FC"/>
            </w:tcBorders>
          </w:tcPr>
          <w:p>
            <w:pPr>
              <w:spacing w:after="0"/>
              <w:rPr>
                <w:sz w:val="19"/>
                <w:szCs w:val="19"/>
                <w:color w:val="auto"/>
              </w:rPr>
            </w:pPr>
          </w:p>
        </w:tc>
      </w:tr>
      <w:tr>
        <w:trPr>
          <w:trHeight w:val="222"/>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 at the end of the year</w:t>
            </w:r>
          </w:p>
        </w:tc>
        <w:tc>
          <w:tcPr>
            <w:tcW w:w="1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19,864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80"/>
        <w:spacing w:after="0" w:line="379" w:lineRule="auto"/>
        <w:rPr>
          <w:sz w:val="20"/>
          <w:szCs w:val="20"/>
          <w:color w:val="auto"/>
        </w:rPr>
      </w:pPr>
      <w:r>
        <w:rPr>
          <w:rFonts w:ascii="Arial" w:cs="Arial" w:eastAsia="Arial" w:hAnsi="Arial"/>
          <w:sz w:val="15"/>
          <w:szCs w:val="15"/>
          <w:color w:val="auto"/>
        </w:rPr>
        <w:t>As of December 31, 2021 and 2020, the total amount of gross unrecognized tax benefits, which excludes interest and penalties, was $19.9 million and $18.4 million, respectively. At December 31, 2021, none of the net unrecognized tax benefits would affect the Company’s annual effective tax rate if recognized.</w:t>
      </w:r>
    </w:p>
    <w:p>
      <w:pPr>
        <w:spacing w:after="0" w:line="10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files income tax returns as prescribed by the tax laws of the jurisdictions in which it operates. In the normal course of business, the Company is subject to examination by various tax authorities in the United States, Japan, Singapore and the United Kingdom. Tax years from 2018 to the present are still open to examination in the United States, from 2016 to the present in Japan, from 2016 to the present in Singapore and from 2020 to the present in the United Kingdom. To the extent that the Company has tax attribute carryforwards, the tax years in which the attribute was generated may still be adjusted upon examination by the tax authorities to the extent utilized in a future period.</w:t>
      </w:r>
    </w:p>
    <w:p>
      <w:pPr>
        <w:spacing w:after="0" w:line="17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As of December 31, 2021 and 2020, $21.1 million and $61.0 million,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in the United States may be subject to a substantial annual limitation under Section 382 of the Internal Revenue Code of 1986, as amended (the “Code”),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In 2018 and 2020, the Company completed studies to assess whether an ownership change had occurred or whether there have been multiple ownership changes since its formation. The results of the 2018 study indicated that the Company experienced an ownership change as defined by Section 382 of the Code. Based on the results of the 2018 study, management had determined that the limitations will not have a material impact on the Company’s ability to utilize its net operating losses and research and development credit carryforwards to offset future tax liabilities. The results of the 2020 study indicated that the Company did not experience an ownership change since the 2018 study. Should an ownership change have occurred after December 31, 2020 or occur in the future, the Company’s ability to utilize its net operating losses and research and development credit carryforwards may be limited.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12. EMPLOYEE BENEFIT PLANS</w:t>
      </w:r>
    </w:p>
    <w:p>
      <w:pPr>
        <w:spacing w:after="0" w:line="12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 has a 401(k) retirement and savings plan (the “401(k) Plan”) covering employees of Wave USA. The 401(k) Plan allows employees to make contributions up to the maximum allowable amount set by the Internal Revenue Service. Under the 401(k) Plan, the Company may make discretionary contributions as approved by the board of directors. The Company made contributions of $1.0 million and $0.9 million in the years ended December 31, 2021 and 2020, respectively.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related party transactions for the periods presented in the accompanying consolidated financial statements:</w:t>
      </w:r>
    </w:p>
    <w:p>
      <w:pPr>
        <w:spacing w:after="0" w:line="116" w:lineRule="exact"/>
        <w:rPr>
          <w:sz w:val="20"/>
          <w:szCs w:val="20"/>
          <w:color w:val="auto"/>
        </w:rPr>
      </w:pPr>
    </w:p>
    <w:p>
      <w:pPr>
        <w:ind w:left="760" w:hanging="376"/>
        <w:spacing w:after="0" w:line="258" w:lineRule="auto"/>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2012, the Company entered into a consulting agreement for scientific advisory services with Dr. Gregory L. Verdine, one of the Company’s founders and a member of the Company’s board of directors. The consulting agreement does not have a specific term and may be terminated by either party upon 14 days’ prior written notice. Pursuant to the consulting agreement, the Company pays Dr. Verdine approximately $13 thousand per month, plus reimbursement for certain expenses.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04" w:right="3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u w:val="single" w:color="auto"/>
          <w:color w:val="auto"/>
        </w:rPr>
        <w:t>Exhibit 4.2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200" w:lineRule="exact"/>
        <w:rPr>
          <w:sz w:val="20"/>
          <w:szCs w:val="20"/>
          <w:color w:val="auto"/>
        </w:rPr>
      </w:pPr>
    </w:p>
    <w:p>
      <w:pPr>
        <w:spacing w:after="0" w:line="224" w:lineRule="exact"/>
        <w:rPr>
          <w:sz w:val="20"/>
          <w:szCs w:val="20"/>
          <w:color w:val="auto"/>
        </w:rPr>
      </w:pPr>
    </w:p>
    <w:p>
      <w:pPr>
        <w:ind w:right="20" w:firstLine="510"/>
        <w:spacing w:after="0" w:line="275" w:lineRule="auto"/>
        <w:rPr>
          <w:sz w:val="20"/>
          <w:szCs w:val="20"/>
          <w:color w:val="auto"/>
        </w:rPr>
      </w:pPr>
      <w:r>
        <w:rPr>
          <w:rFonts w:ascii="Arial" w:cs="Arial" w:eastAsia="Arial" w:hAnsi="Arial"/>
          <w:sz w:val="18"/>
          <w:szCs w:val="18"/>
          <w:color w:val="auto"/>
        </w:rPr>
        <w:t>Wave Life Sciences Ltd. (the “Company,” “we,” “us” or “our”) has one class of securities registered under Section 12 of the Securities Exchange Act of 1934, as amended (the “Exchange Act”): our ordinary shares, no par value.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0" w:lineRule="exact"/>
        <w:rPr>
          <w:sz w:val="20"/>
          <w:szCs w:val="20"/>
          <w:color w:val="auto"/>
        </w:rPr>
      </w:pPr>
    </w:p>
    <w:p>
      <w:pPr>
        <w:ind w:right="160" w:firstLine="510"/>
        <w:spacing w:after="0" w:line="310" w:lineRule="auto"/>
        <w:rPr>
          <w:sz w:val="20"/>
          <w:szCs w:val="20"/>
          <w:color w:val="auto"/>
        </w:rPr>
      </w:pPr>
      <w:r>
        <w:rPr>
          <w:rFonts w:ascii="Arial" w:cs="Arial" w:eastAsia="Arial" w:hAnsi="Arial"/>
          <w:sz w:val="16"/>
          <w:szCs w:val="16"/>
          <w:color w:val="auto"/>
        </w:rPr>
        <w:t>The following description of our share capital and provisions of our constitution (formerly known as our memorandum and articles of association) are summaries and are qualified by reference to the Companies Act 1967 of Singapore ("Singapore Companies Act") and our constitution. A copy of our constitution has been filed with the Securities and Exchange Commission as an exhibit to our Annual Report on Form 10-K of which this Exhibit is a part.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0" w:lineRule="exact"/>
        <w:rPr>
          <w:sz w:val="20"/>
          <w:szCs w:val="20"/>
          <w:color w:val="auto"/>
        </w:rPr>
      </w:pPr>
    </w:p>
    <w:p>
      <w:pPr>
        <w:ind w:right="40" w:firstLine="510"/>
        <w:spacing w:after="0" w:line="300" w:lineRule="auto"/>
        <w:rPr>
          <w:sz w:val="20"/>
          <w:szCs w:val="20"/>
          <w:color w:val="auto"/>
        </w:rPr>
      </w:pPr>
      <w:r>
        <w:rPr>
          <w:rFonts w:ascii="Arial" w:cs="Arial" w:eastAsia="Arial" w:hAnsi="Arial"/>
          <w:sz w:val="16"/>
          <w:szCs w:val="16"/>
          <w:color w:val="auto"/>
        </w:rPr>
        <w:t>As of December 31, 2021, our issued and paid-up ordinary share capital consists of 59,841,116 ordinary shares. We currently have only one class of issued ordinary shares, which have identical rights in all respects and rank equally with one another. Our ordinary shares have no par value and there is no authorized share capital under Singapore law. There is a provision in our constitution which provides that we may issue shares with such preferred, deferred or other special rights or such restrictions, whether in regard to dividend, voting, return of capital or otherwise as our board of directors may determine.</w:t>
      </w:r>
    </w:p>
    <w:p>
      <w:pPr>
        <w:spacing w:after="0" w:line="15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All of our shares presently issued are fully paid-up, and existing shareholders are not subject to any calls on these shares. Although Singapore law does not recognize the concept of “non-assessability” with respect to newly-issued shares, we note that any purchaser of our shares who has fully paid up all amounts due with respect to such shares will not be subject under Singapore law to any personal liability to contribute to the assets or liabilities of our company in such purchaser’s capacity solely as a holder of such shares. We believe that this interpretation is substantively consistent with the concept of “non-assessability” under most, if not all, U.S. state corporations laws. All of our shares are in registered form. We cannot, except in the circumstances permitted by the Singapore Companies Act, grant any financial assistance for the acquisition or proposed acquisition of our own shares. Except as described below under “—Takeovers,” there are no limitations imposed by the Singapore Companies Act or by our constitution on the right of shareholders not resident in Singapore to hold or vote ordinary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transfer agent and registrar for our ordinary shares is Computershare Trust Company, N.A.</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ordinary shares are listed for quotation on The Nasdaq Global Market under the symbol “WVE.”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Shares</w:t>
      </w:r>
    </w:p>
    <w:p>
      <w:pPr>
        <w:spacing w:after="0" w:line="120" w:lineRule="exact"/>
        <w:rPr>
          <w:sz w:val="20"/>
          <w:szCs w:val="20"/>
          <w:color w:val="auto"/>
        </w:rPr>
      </w:pPr>
    </w:p>
    <w:p>
      <w:pPr>
        <w:ind w:right="500" w:firstLine="510"/>
        <w:spacing w:after="0" w:line="340" w:lineRule="auto"/>
        <w:rPr>
          <w:sz w:val="20"/>
          <w:szCs w:val="20"/>
          <w:color w:val="auto"/>
        </w:rPr>
      </w:pPr>
      <w:r>
        <w:rPr>
          <w:rFonts w:ascii="Arial" w:cs="Arial" w:eastAsia="Arial" w:hAnsi="Arial"/>
          <w:sz w:val="16"/>
          <w:szCs w:val="16"/>
          <w:color w:val="auto"/>
        </w:rPr>
        <w:t>Under the Singapore Companies Act, new shares may be issued only with the prior approval of our shareholders in a general meeting. General approval may be sought from our shareholders in a general meeting for the issue of shares. Approval, if granted, will lapse at the earlier of:</w:t>
      </w:r>
    </w:p>
    <w:p>
      <w:pPr>
        <w:spacing w:after="0" w:line="17" w:lineRule="exact"/>
        <w:rPr>
          <w:sz w:val="20"/>
          <w:szCs w:val="20"/>
          <w:color w:val="auto"/>
        </w:rPr>
      </w:pPr>
    </w:p>
    <w:p>
      <w:pPr>
        <w:ind w:left="1140" w:hanging="379"/>
        <w:spacing w:after="0"/>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conclusion of the next annual general meeting; or</w:t>
      </w:r>
    </w:p>
    <w:p>
      <w:pPr>
        <w:spacing w:after="0" w:line="115" w:lineRule="exact"/>
        <w:rPr>
          <w:rFonts w:ascii="Arial" w:cs="Arial" w:eastAsia="Arial" w:hAnsi="Arial"/>
          <w:sz w:val="18"/>
          <w:szCs w:val="18"/>
          <w:color w:val="auto"/>
        </w:rPr>
      </w:pPr>
    </w:p>
    <w:p>
      <w:pPr>
        <w:ind w:left="1140" w:right="100" w:hanging="379"/>
        <w:spacing w:after="0" w:line="275" w:lineRule="auto"/>
        <w:tabs>
          <w:tab w:leader="none" w:pos="1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expiration of the period within which the next annual general meeting is required by law to be held (i.e., within six months after the end of each financial year),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but any approval may be revoked or varied by the company in a general meeting.</w:t>
      </w:r>
    </w:p>
    <w:p>
      <w:pPr>
        <w:spacing w:after="0" w:line="223" w:lineRule="exact"/>
        <w:rPr>
          <w:sz w:val="20"/>
          <w:szCs w:val="20"/>
          <w:color w:val="auto"/>
        </w:rPr>
      </w:pPr>
    </w:p>
    <w:p>
      <w:pPr>
        <w:ind w:right="40" w:firstLine="510"/>
        <w:spacing w:after="0" w:line="262" w:lineRule="auto"/>
        <w:rPr>
          <w:sz w:val="20"/>
          <w:szCs w:val="20"/>
          <w:color w:val="auto"/>
        </w:rPr>
      </w:pPr>
      <w:r>
        <w:rPr>
          <w:rFonts w:ascii="Arial" w:cs="Arial" w:eastAsia="Arial" w:hAnsi="Arial"/>
          <w:sz w:val="18"/>
          <w:szCs w:val="18"/>
          <w:color w:val="auto"/>
        </w:rPr>
        <w:t>Our shareholders have provided such general authority to issue new ordinary shares until the conclusion of our 2022 annual general meeting. Such approval will lapse in accordance with the preceding paragraph if our shareholders do not grant a new approval at our 2022 annual general meeting. Subject to this and the provisions of the Singapore Companies Act and our constitution,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7550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line="275" w:lineRule="auto"/>
        <w:rPr>
          <w:sz w:val="20"/>
          <w:szCs w:val="20"/>
          <w:color w:val="auto"/>
        </w:rPr>
      </w:pPr>
      <w:r>
        <w:rPr>
          <w:rFonts w:ascii="Arial" w:cs="Arial" w:eastAsia="Arial" w:hAnsi="Arial"/>
          <w:sz w:val="18"/>
          <w:szCs w:val="18"/>
          <w:color w:val="auto"/>
        </w:rPr>
        <w:t>of directors may allot and issue or grant options over or otherwise dispose of new ordinary shares to such persons on such terms and conditions and with the rights and restrictions as they may think fit to impose.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116"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As of December 31, 2021, we have 3,901,348 Series A preferred shares outstanding. These shares are currently held by one of our largest shareholders, Shin Nippon Biomedical Laboratories, Ltd. The terms of the Series A preferred shares as set out in our constitution include (1) no voting rights at any general meeting other than in limited circumstances, (2) a liquidation preference equal to $0.002 per Series A preferred share, (3) no entitlement to dividends and (4) the right to convert the Series A preferred shares at any time on a one-for-one basis into ordinary shares at the discretion of the holder in accordance with the constitution.</w:t>
      </w:r>
    </w:p>
    <w:p>
      <w:pPr>
        <w:spacing w:after="0" w:line="188" w:lineRule="exact"/>
        <w:rPr>
          <w:sz w:val="20"/>
          <w:szCs w:val="20"/>
          <w:color w:val="auto"/>
        </w:rPr>
      </w:pPr>
    </w:p>
    <w:p>
      <w:pPr>
        <w:jc w:val="both"/>
        <w:ind w:right="160" w:firstLine="510"/>
        <w:spacing w:after="0" w:line="258" w:lineRule="auto"/>
        <w:rPr>
          <w:sz w:val="20"/>
          <w:szCs w:val="20"/>
          <w:color w:val="auto"/>
        </w:rPr>
      </w:pPr>
      <w:r>
        <w:rPr>
          <w:rFonts w:ascii="Arial" w:cs="Arial" w:eastAsia="Arial" w:hAnsi="Arial"/>
          <w:sz w:val="18"/>
          <w:szCs w:val="18"/>
          <w:color w:val="auto"/>
        </w:rPr>
        <w:t>The holders of the Series A preferred shares are not entitled to vote at any general meeting. The only instances in which the holders of the Series A preferred shares are able to vote at a general meeting would be if (but only if) the matters to be discussed at the meeting relate to or there is intent to pass resolutions on (i) abrogating or changing the rights attached to the Series A preferred shares; and (ii) for the winding up of the Company. Such resolutions would require the unanimous approval of the holders of the Series A preferred shares.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Preferred Shares</w:t>
      </w:r>
    </w:p>
    <w:p>
      <w:pPr>
        <w:spacing w:after="0" w:line="11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Under the Singapore Companies Act, different classes of shares in a public company may be issued only if (a) the issue of the class or classes of shares is provided for in the constitution of the public company and (b) the constitution of the public company sets out in respect of each class of shares the rights attached to that class of shares. Our constitution provides that we may issue shares of a different class with preferred, deferred or other special rights, or such restrictions, whether in regard to dividend, voting, return of capital or otherwise as our board of directors may determine. Under Singapore law, our preferred shareholders will have the right to attend any general meeting and in a poll at such general meeting, to have at least one vote for every preferred share held:</w:t>
      </w:r>
    </w:p>
    <w:p>
      <w:pPr>
        <w:spacing w:after="0" w:line="85" w:lineRule="exact"/>
        <w:rPr>
          <w:sz w:val="20"/>
          <w:szCs w:val="20"/>
          <w:color w:val="auto"/>
        </w:rPr>
      </w:pPr>
    </w:p>
    <w:p>
      <w:pPr>
        <w:ind w:left="1140" w:right="780" w:hanging="379"/>
        <w:spacing w:after="0" w:line="275"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any resolution concerning the voluntary winding-up of our company under Section 160 of the Insolvency, Restructuring and Dissolution Act 2018;</w:t>
      </w:r>
    </w:p>
    <w:p>
      <w:pPr>
        <w:spacing w:after="0" w:line="63" w:lineRule="exact"/>
        <w:rPr>
          <w:rFonts w:ascii="Arial" w:cs="Arial" w:eastAsia="Arial" w:hAnsi="Arial"/>
          <w:sz w:val="18"/>
          <w:szCs w:val="18"/>
          <w:color w:val="auto"/>
        </w:rPr>
      </w:pPr>
    </w:p>
    <w:p>
      <w:pPr>
        <w:ind w:left="1140" w:hanging="379"/>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any resolution which varies the rights attached to such preferred shares; or</w:t>
      </w:r>
    </w:p>
    <w:p>
      <w:pPr>
        <w:spacing w:after="0" w:line="115" w:lineRule="exact"/>
        <w:rPr>
          <w:rFonts w:ascii="Arial" w:cs="Arial" w:eastAsia="Arial" w:hAnsi="Arial"/>
          <w:sz w:val="18"/>
          <w:szCs w:val="18"/>
          <w:color w:val="auto"/>
        </w:rPr>
      </w:pPr>
    </w:p>
    <w:p>
      <w:pPr>
        <w:ind w:left="1140" w:right="120" w:hanging="379"/>
        <w:spacing w:after="0" w:line="262"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case of preferred shares issued after August 15, 1984, but before the commencement of Section 96 of the Companies (Amendment) Act 2014, when the dividends to be paid on our preferred shares or any part thereof are more than twelve months in arrears and unpaid, for the period they remain in arrears and unpaid.</w:t>
      </w:r>
    </w:p>
    <w:p>
      <w:pPr>
        <w:spacing w:after="0" w:line="183" w:lineRule="exact"/>
        <w:rPr>
          <w:sz w:val="20"/>
          <w:szCs w:val="20"/>
          <w:color w:val="auto"/>
        </w:rPr>
      </w:pPr>
    </w:p>
    <w:p>
      <w:pPr>
        <w:ind w:right="160" w:firstLine="510"/>
        <w:spacing w:after="0" w:line="306" w:lineRule="auto"/>
        <w:rPr>
          <w:sz w:val="20"/>
          <w:szCs w:val="20"/>
          <w:color w:val="auto"/>
        </w:rPr>
      </w:pPr>
      <w:r>
        <w:rPr>
          <w:rFonts w:ascii="Arial" w:cs="Arial" w:eastAsia="Arial" w:hAnsi="Arial"/>
          <w:sz w:val="17"/>
          <w:szCs w:val="17"/>
          <w:color w:val="auto"/>
        </w:rPr>
        <w:t>We may, subject to the Singapore Companies Act and the prior approval in a general meeting of our shareholders, issue preferred shares which are, or at our option or are to be, subject to redemption provided that such preferred shares may not be redeemed out of capital unless:</w:t>
      </w:r>
    </w:p>
    <w:p>
      <w:pPr>
        <w:spacing w:after="0" w:line="40" w:lineRule="exact"/>
        <w:rPr>
          <w:sz w:val="20"/>
          <w:szCs w:val="20"/>
          <w:color w:val="auto"/>
        </w:rPr>
      </w:pPr>
    </w:p>
    <w:p>
      <w:pPr>
        <w:ind w:left="1140" w:hanging="379"/>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the directors have made a solvency statement in relation to such redemption; and</w:t>
      </w:r>
    </w:p>
    <w:p>
      <w:pPr>
        <w:spacing w:after="0" w:line="115" w:lineRule="exact"/>
        <w:rPr>
          <w:rFonts w:ascii="Arial" w:cs="Arial" w:eastAsia="Arial" w:hAnsi="Arial"/>
          <w:sz w:val="18"/>
          <w:szCs w:val="18"/>
          <w:color w:val="auto"/>
        </w:rPr>
      </w:pPr>
    </w:p>
    <w:p>
      <w:pPr>
        <w:ind w:left="1140" w:hanging="379"/>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lodged a copy of the statement with the Accounting and Corporate Regulatory Authority of Singapore.</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Further, such shares must be fully paid-up before they are redeemed.</w:t>
      </w:r>
    </w:p>
    <w:p>
      <w:pPr>
        <w:spacing w:after="0" w:line="223" w:lineRule="exact"/>
        <w:rPr>
          <w:sz w:val="20"/>
          <w:szCs w:val="20"/>
          <w:color w:val="auto"/>
        </w:rPr>
      </w:pPr>
    </w:p>
    <w:p>
      <w:pPr>
        <w:ind w:right="40" w:firstLine="510"/>
        <w:spacing w:after="0" w:line="275" w:lineRule="auto"/>
        <w:rPr>
          <w:sz w:val="20"/>
          <w:szCs w:val="20"/>
          <w:color w:val="auto"/>
        </w:rPr>
      </w:pPr>
      <w:r>
        <w:rPr>
          <w:rFonts w:ascii="Arial" w:cs="Arial" w:eastAsia="Arial" w:hAnsi="Arial"/>
          <w:sz w:val="18"/>
          <w:szCs w:val="18"/>
          <w:color w:val="auto"/>
        </w:rPr>
        <w:t>As of December 31, 2021, we have no preferred shares outstanding other than the Series A preferred shares described above. At present, we have no plans to issue additional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under our Share Purchase Agreement with Pfizer</w:t>
      </w:r>
    </w:p>
    <w:p>
      <w:pPr>
        <w:spacing w:after="0" w:line="120"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color w:val="auto"/>
        </w:rPr>
        <w:t>Under the terms of our Share Purchase Agreement dated as of May 5, 2016 with an affiliate of Pfizer Inc., or the Pfizer Affiliate, under which the Pfizer Affiliate purchased 1,875,000 ordinary shares from, or the Pfizer Shares, subject to certain conditions and limitations, we agreed to provide certain demand registration rights to the Pfizer Affiliate in order to register all or a portion of the Pfizer Shares purchased by the Pfizer Affiliate. We also provided the Pfizer Affiliate with certain “piggyback” registration rights for a certain period of time, subject to certain conditions and limitations, such that when we propose to register our ordinary shares for our account, the Pfizer Affiliate will have the right to include some or all of the Pfizer Shares in such registration. The Share Purchase Agreement also contains other customary terms and conditions of the parties with respect to the registration of the Pfizer Shares.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Registration Rights under our Share Purchase Agreement with Takeda</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February 19, 2018, we entered into a Share Purchase Agreement with Takeda Pharmaceutical Company Limited (“Takeda”), pursuant to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Takeda purchased 1,096,892 of our ordinary shares (the “Takeda Shares”). In connection with the Share Purchase Agreement, Takeda and we agreed upon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certain rights and restrictions as set forth in the Investor Agreement, dated as of April 2, 2018 (the “Investor Agreement”). The Takeda Shares are subject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 lock-up restriction, such that Takeda will not, and will also cause its affiliates not to, without our prior approval, sell, transfer or otherwise dispose of the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Takeda Shares until certain specified periods of time after the effective date of the Investor Agreement. For a certain period following the expiration of</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lock-up period, subject to certain conditions and limitations, we agreed to provide certain demand registration rights to Takeda in order to register all or a portion of the Takeda Shares purchased by Takeda. We also provided Takeda with certain “piggyback” registration rights for a certain period following the expiration of the lock-up period, subject to certain conditions and limitations, such that when we propose to register our ordinary shares for our account, Takeda will have the right to include some or all of the Takeda Shares in such registration. The Investor Agreement also contains other customary terms and conditions of the parties with respect to the registration of Takeda Shares.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Ordinary Shares</w:t>
      </w:r>
    </w:p>
    <w:p>
      <w:pPr>
        <w:spacing w:after="0" w:line="12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Subject to applicable securities laws in relevant jurisdictions and our constitution, our ordinary shares are freely transferable. Our constitution provides that shares may be transferred by a duly signed instrument of transfer in any usual or common form or in a form approved by the directors and The Nasdaq Stock Market. The directors may decline to register any transfer unless, among other things, evidence of payment of any stamp duty payable with respect to the transfer is provided together with other evidence of ownership and title as the directors may reasonably require to show the right of the transferor to make the transfer. We will replace lost or destroyed certificates for shares upon notice to us and upon, among other things, the applicant furnishing evidence and indemnity as the directors may require and the payment of all applicable fees.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Re-election of Directors</w:t>
      </w:r>
    </w:p>
    <w:p>
      <w:pPr>
        <w:spacing w:after="0" w:line="120" w:lineRule="exact"/>
        <w:rPr>
          <w:sz w:val="20"/>
          <w:szCs w:val="20"/>
          <w:color w:val="auto"/>
        </w:rPr>
      </w:pPr>
    </w:p>
    <w:p>
      <w:pPr>
        <w:ind w:right="40" w:firstLine="510"/>
        <w:spacing w:after="0" w:line="262" w:lineRule="auto"/>
        <w:rPr>
          <w:sz w:val="20"/>
          <w:szCs w:val="20"/>
          <w:color w:val="auto"/>
        </w:rPr>
      </w:pPr>
      <w:r>
        <w:rPr>
          <w:rFonts w:ascii="Arial" w:cs="Arial" w:eastAsia="Arial" w:hAnsi="Arial"/>
          <w:sz w:val="18"/>
          <w:szCs w:val="18"/>
          <w:color w:val="auto"/>
        </w:rPr>
        <w:t>We may, by ordinary resolution, remove any director before the expiration of his or her period of office, notwithstanding anything in our constitution or in any agreement between us and such director. We may also, by an ordinary resolution, appoint another person in place of a director removed from office pursuant to the foregoing.</w:t>
      </w:r>
    </w:p>
    <w:p>
      <w:pPr>
        <w:spacing w:after="0" w:line="183" w:lineRule="exact"/>
        <w:rPr>
          <w:sz w:val="20"/>
          <w:szCs w:val="20"/>
          <w:color w:val="auto"/>
        </w:rPr>
      </w:pPr>
    </w:p>
    <w:p>
      <w:pPr>
        <w:ind w:right="20" w:firstLine="510"/>
        <w:spacing w:after="0" w:line="275" w:lineRule="auto"/>
        <w:rPr>
          <w:sz w:val="20"/>
          <w:szCs w:val="20"/>
          <w:color w:val="auto"/>
        </w:rPr>
      </w:pPr>
      <w:r>
        <w:rPr>
          <w:rFonts w:ascii="Arial" w:cs="Arial" w:eastAsia="Arial" w:hAnsi="Arial"/>
          <w:sz w:val="18"/>
          <w:szCs w:val="18"/>
          <w:color w:val="auto"/>
        </w:rPr>
        <w:t>Under our constitution, subject to the Singapore Companies Act, any director shall retire at the next annual general meeting and shall then be eligible for re-election at that meeting.</w:t>
      </w:r>
    </w:p>
    <w:p>
      <w:pPr>
        <w:spacing w:after="0" w:line="171" w:lineRule="exact"/>
        <w:rPr>
          <w:sz w:val="20"/>
          <w:szCs w:val="20"/>
          <w:color w:val="auto"/>
        </w:rPr>
      </w:pPr>
    </w:p>
    <w:p>
      <w:pPr>
        <w:ind w:right="20" w:firstLine="510"/>
        <w:spacing w:after="0" w:line="262" w:lineRule="auto"/>
        <w:rPr>
          <w:sz w:val="20"/>
          <w:szCs w:val="20"/>
          <w:color w:val="auto"/>
        </w:rPr>
      </w:pPr>
      <w:r>
        <w:rPr>
          <w:rFonts w:ascii="Arial" w:cs="Arial" w:eastAsia="Arial" w:hAnsi="Arial"/>
          <w:sz w:val="18"/>
          <w:szCs w:val="18"/>
          <w:color w:val="auto"/>
        </w:rPr>
        <w:t>Our board of directors shall have the power, at any time and from time to time, to appoint any person to be a director either to fill a casual vacancy or as an additional director so long as the total number of directors shall not at any time exceed the maximum number (if any) fixed by or in accordance with our constitution.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120" w:lineRule="exact"/>
        <w:rPr>
          <w:sz w:val="20"/>
          <w:szCs w:val="20"/>
          <w:color w:val="auto"/>
        </w:rPr>
      </w:pPr>
    </w:p>
    <w:p>
      <w:pPr>
        <w:ind w:right="180" w:firstLine="510"/>
        <w:spacing w:after="0" w:line="300" w:lineRule="auto"/>
        <w:rPr>
          <w:sz w:val="20"/>
          <w:szCs w:val="20"/>
          <w:color w:val="auto"/>
        </w:rPr>
      </w:pPr>
      <w:r>
        <w:rPr>
          <w:rFonts w:ascii="Arial" w:cs="Arial" w:eastAsia="Arial" w:hAnsi="Arial"/>
          <w:sz w:val="16"/>
          <w:szCs w:val="16"/>
          <w:color w:val="auto"/>
        </w:rPr>
        <w:t>We are required to hold an annual general meeting each calendar year and within six months after the end of each financial year. The directors may convene an extraordinary general meeting whenever they think fit and they must do so upon the written request of shareholders holding not less than 10% of the total number of paid-up shares as of the date of deposit of the requisition carrying the right to vote at a general meeting. In addition, two or more shareholders holding not less than 10% of our total number of issued shares (excluding our treasury shares) may call a meeting of our shareholders.</w:t>
      </w:r>
    </w:p>
    <w:p>
      <w:pPr>
        <w:spacing w:after="0" w:line="156" w:lineRule="exact"/>
        <w:rPr>
          <w:sz w:val="20"/>
          <w:szCs w:val="20"/>
          <w:color w:val="auto"/>
        </w:rPr>
      </w:pPr>
    </w:p>
    <w:p>
      <w:pPr>
        <w:ind w:right="40" w:firstLine="510"/>
        <w:spacing w:after="0" w:line="282" w:lineRule="auto"/>
        <w:rPr>
          <w:sz w:val="20"/>
          <w:szCs w:val="20"/>
          <w:color w:val="auto"/>
        </w:rPr>
      </w:pPr>
      <w:r>
        <w:rPr>
          <w:rFonts w:ascii="Arial" w:cs="Arial" w:eastAsia="Arial" w:hAnsi="Arial"/>
          <w:sz w:val="16"/>
          <w:szCs w:val="16"/>
          <w:color w:val="auto"/>
        </w:rPr>
        <w:t>The Singapore Companies Act provides that a shareholder is entitled to attend any general meeting and speak on any resolution put before the general meeting. Unless otherwise required by law or by our constitution, resolutions put forth at general meetings may be decided by ordinary resolution, requiring the affirmative vote of a majority of the shareholders present in person or represented by proxy at the meeting and entitled to vote on the resolution. An ordinary resolution suffices, for example, for appointments of directors. A special resolution, requiring an affirmative vote of not less than three-fourths of the shareholders present in person or represented by proxy at the meeting and entitled to vote on the resolution, is necessary for certain matters under Singapore law, such as an alteration of our constitution. A shareholder entitled to attend and vote at a meeting of the company, or at a meeting of any class of shareholders of the company, is entitled to appoint another person or persons, whether a shareholder of the company or not, as the shareholder's proxy to attend and vote instead of the shareholder at the meeting. Under the Singapore Companies Act, a proxy appointed to attend and vote instead of the shareholder also has the same right as the shareholder to speak at the meeting, but unless the constitution of the company otherwise provides,</w:t>
      </w:r>
    </w:p>
    <w:p>
      <w:pPr>
        <w:spacing w:after="0" w:line="6" w:lineRule="exact"/>
        <w:rPr>
          <w:sz w:val="20"/>
          <w:szCs w:val="20"/>
          <w:color w:val="auto"/>
        </w:rPr>
      </w:pPr>
    </w:p>
    <w:p>
      <w:pPr>
        <w:ind w:firstLine="8"/>
        <w:spacing w:after="0" w:line="254" w:lineRule="auto"/>
        <w:tabs>
          <w:tab w:leader="none" w:pos="21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proxy is not entitled to vote except on a poll, (ii) a shareholder is not entitled to appoint more than two proxies to attend and vote at the same meeting and (iii) where a shareholder appoints two proxies the appointments are invalid unless the shareholder specifies the proportions of the shareholder's holdings to be represented by each proxy.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39" w:name="page140"/>
    <w:bookmarkEnd w:id="139"/>
    <w:p>
      <w:pPr>
        <w:ind w:right="60" w:firstLine="510"/>
        <w:spacing w:after="0" w:line="271" w:lineRule="auto"/>
        <w:rPr>
          <w:sz w:val="20"/>
          <w:szCs w:val="20"/>
          <w:color w:val="auto"/>
        </w:rPr>
      </w:pPr>
      <w:r>
        <w:rPr>
          <w:rFonts w:ascii="Arial" w:cs="Arial" w:eastAsia="Arial" w:hAnsi="Arial"/>
          <w:sz w:val="17"/>
          <w:szCs w:val="17"/>
          <w:color w:val="auto"/>
        </w:rPr>
        <w:t>Notwithstanding the foregoing, a registered shareholder entitled to attend and vote at a meeting of the company held pursuant to an order of court under Section 210(1) of the Singapore Companies Act, or at any adjourned meeting under Section 210(3) of the Singapore Companies Act, is, unless the court orders otherwise, entitled to appoint only one proxy to attend and vote at the same meeting, and except where the aforementioned applies, a registered shareholder having a share capital who is a relevant intermediary (as defined under the Singapore Companies Act) may appoint more than two proxies in relation to a meeting to exercise all or any of the shareholder's rights to attend and to speak and vote at the meeting, but each proxy must be appointed to exercise the rights attached to a different share or shares held by the shareholder (which number and class of shares shall be specified), and at such meeting, the proxy has the right to vote on a show of hands.</w:t>
      </w:r>
    </w:p>
    <w:p>
      <w:pPr>
        <w:spacing w:after="0" w:line="177" w:lineRule="exact"/>
        <w:rPr>
          <w:sz w:val="20"/>
          <w:szCs w:val="20"/>
          <w:color w:val="auto"/>
        </w:rPr>
      </w:pPr>
    </w:p>
    <w:p>
      <w:pPr>
        <w:jc w:val="both"/>
        <w:ind w:right="160" w:firstLine="510"/>
        <w:spacing w:after="0" w:line="278" w:lineRule="auto"/>
        <w:rPr>
          <w:sz w:val="20"/>
          <w:szCs w:val="20"/>
          <w:color w:val="auto"/>
        </w:rPr>
      </w:pPr>
      <w:r>
        <w:rPr>
          <w:rFonts w:ascii="Arial" w:cs="Arial" w:eastAsia="Arial" w:hAnsi="Arial"/>
          <w:sz w:val="17"/>
          <w:szCs w:val="17"/>
          <w:color w:val="auto"/>
        </w:rPr>
        <w:t>Only registered shareholders of our company, and their proxies, will be entitled to attend, speak and vote at any meeting of shareholders. Under the Singapore Companies Act, public companies may issue non-voting shares and shares that confer special, limited or conditional voting rights, such that the holder of a share may vote on a resolution before a general meeting of the company if, in accordance with the provisions of Section 64A of the Singapore Companies Act, the share confers on the holder a right to vote on that resolution.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0"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color w:val="auto"/>
        </w:rPr>
        <w:t>As provided under our constitution and the Singapore Companies Act, voting at any meeting of shareholders is by show of hands unless a poll has been demanded prior to the declaration of the result of the show of hands by, among others, (i) the chairman or (ii) at least one shareholder present in person or by proxy or by attorney or, in the case of a corporation, by a representative entitled to vote thereat, in each case representing in the aggregate not less than 5% of the total voting rights of all shareholders having the right to vote at the general meeting, provided that no poll shall be demanded in respect of an election of a chairman or relating to any adjournment of such meeting. On a poll every shareholder who is present in person or by proxy or by attorney, or in the case of a corporation, by a representative, has one vote for every share held by such shareholder. Proxies need not be shareholders.</w:t>
      </w:r>
    </w:p>
    <w:p>
      <w:pPr>
        <w:spacing w:after="0" w:line="164" w:lineRule="exact"/>
        <w:rPr>
          <w:sz w:val="20"/>
          <w:szCs w:val="20"/>
          <w:color w:val="auto"/>
        </w:rPr>
      </w:pPr>
    </w:p>
    <w:p>
      <w:pPr>
        <w:ind w:right="140" w:firstLine="510"/>
        <w:spacing w:after="0" w:line="253" w:lineRule="auto"/>
        <w:rPr>
          <w:sz w:val="20"/>
          <w:szCs w:val="20"/>
          <w:color w:val="auto"/>
        </w:rPr>
      </w:pPr>
      <w:r>
        <w:rPr>
          <w:rFonts w:ascii="Arial" w:cs="Arial" w:eastAsia="Arial" w:hAnsi="Arial"/>
          <w:sz w:val="18"/>
          <w:szCs w:val="18"/>
          <w:color w:val="auto"/>
        </w:rPr>
        <w:t>Only those shareholders who are registered in our register of members as holders of ordinary shares will be entitled to vote at any meeting of shareholders. Therefore, DTC, or its nominee, will grant an omnibus proxy to DTC participants holding our shares in book-entry form through a broker, bank, nominee, or other institution that is a direct or indirect participant in the DTC. Such shareholders will have the right to instruct their broker, bank, nominee or other institution holding these shares on how to vote such shares by completing the voting instruction form provided by the applicable broker, bank, nominee, or other institution. Whether voting is by a show of hands or by a poll, DTC’s vote will be voted by the chairman of the meeting according to the results of the DTC’s participants’ votes (which results will reflect the instructions received from shareholders that own our shares electronically in book-entry form).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Rights</w:t>
      </w:r>
    </w:p>
    <w:p>
      <w:pPr>
        <w:spacing w:after="0" w:line="120" w:lineRule="exact"/>
        <w:rPr>
          <w:sz w:val="20"/>
          <w:szCs w:val="20"/>
          <w:color w:val="auto"/>
        </w:rPr>
      </w:pPr>
    </w:p>
    <w:p>
      <w:pPr>
        <w:jc w:val="both"/>
        <w:ind w:right="140" w:firstLine="510"/>
        <w:spacing w:after="0" w:line="262" w:lineRule="auto"/>
        <w:rPr>
          <w:sz w:val="20"/>
          <w:szCs w:val="20"/>
          <w:color w:val="auto"/>
        </w:rPr>
      </w:pPr>
      <w:r>
        <w:rPr>
          <w:rFonts w:ascii="Arial" w:cs="Arial" w:eastAsia="Arial" w:hAnsi="Arial"/>
          <w:sz w:val="18"/>
          <w:szCs w:val="18"/>
          <w:color w:val="auto"/>
        </w:rPr>
        <w:t>The rights of minority shareholders of Singapore companies are protected, among other things, under Section 216 of the Singapore Companies Act, which gives the Singapore courts a general power to make any order, upon application by any shareholder of a company, as they think fit to remedy any of the following situations:</w:t>
      </w:r>
    </w:p>
    <w:p>
      <w:pPr>
        <w:spacing w:after="0" w:line="75" w:lineRule="exact"/>
        <w:rPr>
          <w:sz w:val="20"/>
          <w:szCs w:val="20"/>
          <w:color w:val="auto"/>
        </w:rPr>
      </w:pPr>
    </w:p>
    <w:p>
      <w:pPr>
        <w:ind w:left="1140" w:right="340" w:hanging="379"/>
        <w:spacing w:after="0" w:line="275"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63" w:lineRule="exact"/>
        <w:rPr>
          <w:rFonts w:ascii="Arial" w:cs="Arial" w:eastAsia="Arial" w:hAnsi="Arial"/>
          <w:sz w:val="18"/>
          <w:szCs w:val="18"/>
          <w:color w:val="auto"/>
        </w:rPr>
      </w:pPr>
    </w:p>
    <w:p>
      <w:pPr>
        <w:ind w:left="1140" w:right="560" w:hanging="379"/>
        <w:spacing w:after="0" w:line="340"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124" w:lineRule="exact"/>
        <w:rPr>
          <w:sz w:val="20"/>
          <w:szCs w:val="20"/>
          <w:color w:val="auto"/>
        </w:rPr>
      </w:pPr>
    </w:p>
    <w:p>
      <w:pPr>
        <w:ind w:right="580" w:firstLine="510"/>
        <w:spacing w:after="0" w:line="306" w:lineRule="auto"/>
        <w:rPr>
          <w:sz w:val="20"/>
          <w:szCs w:val="20"/>
          <w:color w:val="auto"/>
        </w:rPr>
      </w:pPr>
      <w:r>
        <w:rPr>
          <w:rFonts w:ascii="Arial" w:cs="Arial" w:eastAsia="Arial" w:hAnsi="Arial"/>
          <w:sz w:val="17"/>
          <w:szCs w:val="17"/>
          <w:color w:val="auto"/>
        </w:rPr>
        <w:t>Singapore courts have wide discretion as to the remedy they may grant, and the remedies listed in the Singapore Companies Act itself are not exclusive. In general, Singapore courts may, with a view to bringing to an end or remedying the matters complained of:</w:t>
      </w:r>
    </w:p>
    <w:p>
      <w:pPr>
        <w:spacing w:after="0" w:line="40" w:lineRule="exact"/>
        <w:rPr>
          <w:sz w:val="20"/>
          <w:szCs w:val="20"/>
          <w:color w:val="auto"/>
        </w:rPr>
      </w:pPr>
    </w:p>
    <w:p>
      <w:pPr>
        <w:ind w:left="1140" w:hanging="37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 or prohibit any act or cancel or modify any transaction or resolution;</w:t>
      </w:r>
    </w:p>
    <w:p>
      <w:pPr>
        <w:spacing w:after="0" w:line="115" w:lineRule="exact"/>
        <w:rPr>
          <w:rFonts w:ascii="Arial" w:cs="Arial" w:eastAsia="Arial" w:hAnsi="Arial"/>
          <w:sz w:val="18"/>
          <w:szCs w:val="18"/>
          <w:color w:val="auto"/>
        </w:rPr>
      </w:pPr>
    </w:p>
    <w:p>
      <w:pPr>
        <w:ind w:left="1140" w:hanging="37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regulate the conduct of the affairs of the company in the future;</w:t>
      </w:r>
    </w:p>
    <w:p>
      <w:pPr>
        <w:spacing w:after="0" w:line="115" w:lineRule="exact"/>
        <w:rPr>
          <w:rFonts w:ascii="Arial" w:cs="Arial" w:eastAsia="Arial" w:hAnsi="Arial"/>
          <w:sz w:val="18"/>
          <w:szCs w:val="18"/>
          <w:color w:val="auto"/>
        </w:rPr>
      </w:pPr>
    </w:p>
    <w:p>
      <w:pPr>
        <w:ind w:left="1140" w:right="40" w:hanging="379"/>
        <w:spacing w:after="0" w:line="275"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authorize civil proceedings to be brought in the name of, or on behalf of, the company by a person or persons and on such terms as the court may direct;</w:t>
      </w:r>
    </w:p>
    <w:p>
      <w:pPr>
        <w:spacing w:after="0" w:line="63" w:lineRule="exact"/>
        <w:rPr>
          <w:rFonts w:ascii="Arial" w:cs="Arial" w:eastAsia="Arial" w:hAnsi="Arial"/>
          <w:sz w:val="18"/>
          <w:szCs w:val="18"/>
          <w:color w:val="auto"/>
        </w:rPr>
      </w:pPr>
    </w:p>
    <w:p>
      <w:pPr>
        <w:ind w:left="1140" w:hanging="37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for the purchase of a minority shareholder’s shares by the other shareholders or by the company itself;</w:t>
      </w:r>
    </w:p>
    <w:p>
      <w:pPr>
        <w:spacing w:after="0" w:line="115" w:lineRule="exact"/>
        <w:rPr>
          <w:rFonts w:ascii="Arial" w:cs="Arial" w:eastAsia="Arial" w:hAnsi="Arial"/>
          <w:sz w:val="18"/>
          <w:szCs w:val="18"/>
          <w:color w:val="auto"/>
        </w:rPr>
      </w:pPr>
    </w:p>
    <w:p>
      <w:pPr>
        <w:ind w:left="1140" w:hanging="37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 purchase of shares by the company provide for a reduction accordingly of the company’s capital; or</w:t>
      </w:r>
    </w:p>
    <w:p>
      <w:pPr>
        <w:spacing w:after="0" w:line="115" w:lineRule="exact"/>
        <w:rPr>
          <w:rFonts w:ascii="Arial" w:cs="Arial" w:eastAsia="Arial" w:hAnsi="Arial"/>
          <w:sz w:val="18"/>
          <w:szCs w:val="18"/>
          <w:color w:val="auto"/>
        </w:rPr>
      </w:pPr>
    </w:p>
    <w:p>
      <w:pPr>
        <w:ind w:left="1140" w:hanging="379"/>
        <w:spacing w:after="0"/>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that the company be wound up.</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Dividends</w:t>
      </w:r>
    </w:p>
    <w:p>
      <w:pPr>
        <w:spacing w:after="0" w:line="120" w:lineRule="exact"/>
        <w:rPr>
          <w:sz w:val="20"/>
          <w:szCs w:val="20"/>
          <w:color w:val="auto"/>
        </w:rPr>
      </w:pPr>
    </w:p>
    <w:p>
      <w:pPr>
        <w:ind w:right="60" w:firstLine="510"/>
        <w:spacing w:after="0" w:line="274" w:lineRule="auto"/>
        <w:rPr>
          <w:sz w:val="20"/>
          <w:szCs w:val="20"/>
          <w:color w:val="auto"/>
        </w:rPr>
      </w:pPr>
      <w:r>
        <w:rPr>
          <w:rFonts w:ascii="Arial" w:cs="Arial" w:eastAsia="Arial" w:hAnsi="Arial"/>
          <w:sz w:val="17"/>
          <w:szCs w:val="17"/>
          <w:color w:val="auto"/>
        </w:rPr>
        <w:t>Subject to any preferential rights of holders of any outstanding preferred shares, holders of our ordinary shares will be entitled to receive dividends and other distributions in cash, shares or property as may be declared by our company from time to time. We may, by ordinary resolution, declare dividends at a general meeting of shareholders, but we are restricted from paying dividends in excess of the amount recommended by our board of directors. Pursuant to Singapore law and our constitution, no dividend may be paid except out of our profits. To date, we have not declared any cash dividends on our ordinary shares and have no current plans to pay cash dividends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Rights Issues</w:t>
      </w:r>
    </w:p>
    <w:p>
      <w:pPr>
        <w:spacing w:after="0" w:line="120" w:lineRule="exact"/>
        <w:rPr>
          <w:sz w:val="20"/>
          <w:szCs w:val="20"/>
          <w:color w:val="auto"/>
        </w:rPr>
      </w:pPr>
    </w:p>
    <w:p>
      <w:pPr>
        <w:ind w:right="20" w:firstLine="510"/>
        <w:spacing w:after="0" w:line="275" w:lineRule="auto"/>
        <w:rPr>
          <w:sz w:val="20"/>
          <w:szCs w:val="20"/>
          <w:color w:val="auto"/>
        </w:rPr>
      </w:pPr>
      <w:r>
        <w:rPr>
          <w:rFonts w:ascii="Arial" w:cs="Arial" w:eastAsia="Arial" w:hAnsi="Arial"/>
          <w:sz w:val="18"/>
          <w:szCs w:val="18"/>
          <w:color w:val="auto"/>
        </w:rPr>
        <w:t>In a general meeting, our shareholders may, upon the recommendation of the directors, capitalize any reserves or profits and distribute them as bonus shares, credited as paid-up, to the shareholders in proportion to their shareholdings.</w:t>
      </w:r>
    </w:p>
    <w:p>
      <w:pPr>
        <w:spacing w:after="0" w:line="279" w:lineRule="exact"/>
        <w:rPr>
          <w:sz w:val="20"/>
          <w:szCs w:val="20"/>
          <w:color w:val="auto"/>
        </w:rPr>
      </w:pPr>
    </w:p>
    <w:p>
      <w:pPr>
        <w:ind w:right="120" w:firstLine="510"/>
        <w:spacing w:after="0" w:line="285" w:lineRule="auto"/>
        <w:rPr>
          <w:sz w:val="20"/>
          <w:szCs w:val="20"/>
          <w:color w:val="auto"/>
        </w:rPr>
      </w:pPr>
      <w:r>
        <w:rPr>
          <w:rFonts w:ascii="Arial" w:cs="Arial" w:eastAsia="Arial" w:hAnsi="Arial"/>
          <w:sz w:val="17"/>
          <w:szCs w:val="17"/>
          <w:color w:val="auto"/>
        </w:rPr>
        <w:t>Subject to the provisions of the Singapore Companies Act and our constitution, our directors may also issue rights to take up additional ordinary shares to our shareholders in proportion to their respective ownership. Such rights are subject to any condition attached to such issue and the regulations of any stock exchange on which our shares are listed, as well as U.S. federal and blue sky securities laws applicable to such issue.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Takeovers</w:t>
      </w:r>
    </w:p>
    <w:p>
      <w:pPr>
        <w:spacing w:after="0" w:line="12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Singapore Code on Take-overs and Mergers applies to, among other things, the acquisition of voting shares of Singapore-incorporated listed public companies or unlisted public companies with more than 50 shareholders and net tangible assets of S$5 million or more. Any person acquiring, whether by a series of transactions over a period of time or not, either on his or her own or together with parties acting in concert with such person, 30% or more of our voting shares, or, if such person holds, either on his or her own or together with parties acting in concert with such person, between 30% and 50% (both amounts inclusive) of our voting shares, and if such person (or parties acting in concert with such person) acquires additional voting shares representing more than 1% of our voting shares in any six-month period, must, except with the consent of the Securities Industry Council in Singapore, extend a mandatory takeover offer for the remaining voting shares in accordance with the provisions of the Singapore Code on Take-overs and Mergers. Responsibility for ensuring compliance with the Singapore Code on Take-overs and Mergers rests with parties (including company directors) to a take-over or merger and their advisors.</w:t>
      </w:r>
    </w:p>
    <w:p>
      <w:pPr>
        <w:spacing w:after="0" w:line="181" w:lineRule="exact"/>
        <w:rPr>
          <w:sz w:val="20"/>
          <w:szCs w:val="20"/>
          <w:color w:val="auto"/>
        </w:rPr>
      </w:pPr>
    </w:p>
    <w:p>
      <w:pPr>
        <w:ind w:right="320" w:firstLine="510"/>
        <w:spacing w:after="0" w:line="285" w:lineRule="auto"/>
        <w:rPr>
          <w:sz w:val="20"/>
          <w:szCs w:val="20"/>
          <w:color w:val="auto"/>
        </w:rPr>
      </w:pPr>
      <w:r>
        <w:rPr>
          <w:rFonts w:ascii="Arial" w:cs="Arial" w:eastAsia="Arial" w:hAnsi="Arial"/>
          <w:sz w:val="17"/>
          <w:szCs w:val="17"/>
          <w:color w:val="auto"/>
        </w:rPr>
        <w:t>“Parties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57" w:lineRule="exact"/>
        <w:rPr>
          <w:sz w:val="20"/>
          <w:szCs w:val="20"/>
          <w:color w:val="auto"/>
        </w:rPr>
      </w:pPr>
    </w:p>
    <w:p>
      <w:pPr>
        <w:ind w:left="1140" w:right="320" w:hanging="379"/>
        <w:spacing w:after="0" w:line="258"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company, its parent company, subsidiaries and fellow subsidiaries, the associated companies of any of the company and its related companies, subsidiaries and fellow subsidiaries, companies whose associated companies include any of these companies and any person who has provided financial assistance (other than a bank in the ordinary course of business) to any of the foregoing for the purchase of voting rights;</w:t>
      </w:r>
    </w:p>
    <w:p>
      <w:pPr>
        <w:spacing w:after="0" w:line="78" w:lineRule="exact"/>
        <w:rPr>
          <w:rFonts w:ascii="Arial" w:cs="Arial" w:eastAsia="Arial" w:hAnsi="Arial"/>
          <w:sz w:val="18"/>
          <w:szCs w:val="18"/>
          <w:color w:val="auto"/>
        </w:rPr>
      </w:pPr>
    </w:p>
    <w:p>
      <w:pPr>
        <w:ind w:left="1140" w:right="100" w:hanging="379"/>
        <w:spacing w:after="0" w:line="27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company with any of its directors (together with their close relatives, related trusts and companies controlled by any of the directors, their close relatives and related trusts);</w:t>
      </w:r>
    </w:p>
    <w:p>
      <w:pPr>
        <w:spacing w:after="0" w:line="63" w:lineRule="exact"/>
        <w:rPr>
          <w:rFonts w:ascii="Arial" w:cs="Arial" w:eastAsia="Arial" w:hAnsi="Arial"/>
          <w:sz w:val="18"/>
          <w:szCs w:val="18"/>
          <w:color w:val="auto"/>
        </w:rPr>
      </w:pPr>
    </w:p>
    <w:p>
      <w:pPr>
        <w:ind w:left="1140" w:hanging="379"/>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company with any of its pension funds and employee share schemes;</w:t>
      </w:r>
    </w:p>
    <w:p>
      <w:pPr>
        <w:spacing w:after="0" w:line="115" w:lineRule="exact"/>
        <w:rPr>
          <w:rFonts w:ascii="Arial" w:cs="Arial" w:eastAsia="Arial" w:hAnsi="Arial"/>
          <w:sz w:val="18"/>
          <w:szCs w:val="18"/>
          <w:color w:val="auto"/>
        </w:rPr>
      </w:pPr>
    </w:p>
    <w:p>
      <w:pPr>
        <w:ind w:left="1140" w:right="100" w:hanging="379"/>
        <w:spacing w:after="0" w:line="27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63" w:lineRule="exact"/>
        <w:rPr>
          <w:rFonts w:ascii="Arial" w:cs="Arial" w:eastAsia="Arial" w:hAnsi="Arial"/>
          <w:sz w:val="18"/>
          <w:szCs w:val="18"/>
          <w:color w:val="auto"/>
        </w:rPr>
      </w:pPr>
    </w:p>
    <w:p>
      <w:pPr>
        <w:ind w:left="1140" w:right="260" w:hanging="379"/>
        <w:spacing w:after="0" w:line="27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financial or other professional advisor, including a stockbroker, with its client in respect of the shareholdings of the advisor and persons controlling, controlled by or under the same control as the advisor;</w:t>
      </w:r>
    </w:p>
    <w:p>
      <w:pPr>
        <w:spacing w:after="0" w:line="63" w:lineRule="exact"/>
        <w:rPr>
          <w:rFonts w:ascii="Arial" w:cs="Arial" w:eastAsia="Arial" w:hAnsi="Arial"/>
          <w:sz w:val="18"/>
          <w:szCs w:val="18"/>
          <w:color w:val="auto"/>
        </w:rPr>
      </w:pPr>
    </w:p>
    <w:p>
      <w:pPr>
        <w:ind w:left="1140" w:hanging="379"/>
        <w:spacing w:after="0" w:line="262"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their company may be imminent;</w:t>
      </w:r>
    </w:p>
    <w:p>
      <w:pPr>
        <w:spacing w:after="0" w:line="75" w:lineRule="exact"/>
        <w:rPr>
          <w:rFonts w:ascii="Arial" w:cs="Arial" w:eastAsia="Arial" w:hAnsi="Arial"/>
          <w:sz w:val="18"/>
          <w:szCs w:val="18"/>
          <w:color w:val="auto"/>
        </w:rPr>
      </w:pPr>
    </w:p>
    <w:p>
      <w:pPr>
        <w:ind w:left="1140" w:hanging="379"/>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partners; and</w:t>
      </w:r>
    </w:p>
    <w:p>
      <w:pPr>
        <w:spacing w:after="0" w:line="115" w:lineRule="exact"/>
        <w:rPr>
          <w:rFonts w:ascii="Arial" w:cs="Arial" w:eastAsia="Arial" w:hAnsi="Arial"/>
          <w:sz w:val="18"/>
          <w:szCs w:val="18"/>
          <w:color w:val="auto"/>
        </w:rPr>
      </w:pPr>
    </w:p>
    <w:p>
      <w:pPr>
        <w:ind w:left="1140" w:right="20" w:hanging="379"/>
        <w:spacing w:after="0" w:line="262"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related trusts or any person who is accustomed to act in accordance with such person’s instructions and (v) 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1" w:name="page142"/>
    <w:bookmarkEnd w:id="141"/>
    <w:p>
      <w:pPr>
        <w:ind w:left="1140" w:right="80"/>
        <w:spacing w:after="0" w:line="275" w:lineRule="auto"/>
        <w:rPr>
          <w:sz w:val="20"/>
          <w:szCs w:val="20"/>
          <w:color w:val="auto"/>
        </w:rPr>
      </w:pPr>
      <w:r>
        <w:rPr>
          <w:rFonts w:ascii="Arial" w:cs="Arial" w:eastAsia="Arial" w:hAnsi="Arial"/>
          <w:sz w:val="18"/>
          <w:szCs w:val="18"/>
          <w:color w:val="auto"/>
        </w:rPr>
        <w:t>person who has provided financial assistance (other than a bank in the ordinary course of business) to any of the foregoing for the purchase of voting rights.</w:t>
      </w:r>
    </w:p>
    <w:p>
      <w:pPr>
        <w:spacing w:after="0" w:line="171" w:lineRule="exact"/>
        <w:rPr>
          <w:sz w:val="20"/>
          <w:szCs w:val="20"/>
          <w:color w:val="auto"/>
        </w:rPr>
      </w:pPr>
    </w:p>
    <w:p>
      <w:pPr>
        <w:ind w:firstLine="510"/>
        <w:spacing w:after="0" w:line="306" w:lineRule="auto"/>
        <w:rPr>
          <w:sz w:val="20"/>
          <w:szCs w:val="20"/>
          <w:color w:val="auto"/>
        </w:rPr>
      </w:pPr>
      <w:r>
        <w:rPr>
          <w:rFonts w:ascii="Arial" w:cs="Arial" w:eastAsia="Arial" w:hAnsi="Arial"/>
          <w:sz w:val="17"/>
          <w:szCs w:val="17"/>
          <w:color w:val="auto"/>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spacing w:after="0" w:line="147" w:lineRule="exact"/>
        <w:rPr>
          <w:sz w:val="20"/>
          <w:szCs w:val="20"/>
          <w:color w:val="auto"/>
        </w:rPr>
      </w:pPr>
    </w:p>
    <w:p>
      <w:pPr>
        <w:ind w:right="60" w:firstLine="510"/>
        <w:spacing w:after="0" w:line="300" w:lineRule="auto"/>
        <w:rPr>
          <w:sz w:val="20"/>
          <w:szCs w:val="20"/>
          <w:color w:val="auto"/>
        </w:rPr>
      </w:pPr>
      <w:r>
        <w:rPr>
          <w:rFonts w:ascii="Arial" w:cs="Arial" w:eastAsia="Arial" w:hAnsi="Arial"/>
          <w:sz w:val="16"/>
          <w:szCs w:val="16"/>
          <w:color w:val="auto"/>
        </w:rPr>
        <w:t>Under the Singapore Code on Take-overs and Mergers,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consider and decide on the offer. These legal requirements may impede or delay a takeover of our company by a third-party.</w:t>
      </w:r>
    </w:p>
    <w:p>
      <w:pPr>
        <w:spacing w:after="0" w:line="156" w:lineRule="exact"/>
        <w:rPr>
          <w:sz w:val="20"/>
          <w:szCs w:val="20"/>
          <w:color w:val="auto"/>
        </w:rPr>
      </w:pPr>
    </w:p>
    <w:p>
      <w:pPr>
        <w:ind w:right="120" w:firstLine="510"/>
        <w:spacing w:after="0" w:line="285" w:lineRule="auto"/>
        <w:rPr>
          <w:sz w:val="20"/>
          <w:szCs w:val="20"/>
          <w:color w:val="auto"/>
        </w:rPr>
      </w:pPr>
      <w:r>
        <w:rPr>
          <w:rFonts w:ascii="Arial" w:cs="Arial" w:eastAsia="Arial" w:hAnsi="Arial"/>
          <w:sz w:val="17"/>
          <w:szCs w:val="17"/>
          <w:color w:val="auto"/>
        </w:rPr>
        <w:t>We may submit an application to the Securities Industry Council of Singapore for a waiver from the Singapore Code on Take-overs and Mergers so that the Singapore Code on Take-overs and Mergers will not apply to our company for so long as we are not listed on a securities exchange in Singapore. We will make an appropriate announcement if we submit the application and when the result of the application is known.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or Other Return of Capital</w:t>
      </w:r>
    </w:p>
    <w:p>
      <w:pPr>
        <w:spacing w:after="0" w:line="120" w:lineRule="exact"/>
        <w:rPr>
          <w:sz w:val="20"/>
          <w:szCs w:val="20"/>
          <w:color w:val="auto"/>
        </w:rPr>
      </w:pPr>
    </w:p>
    <w:p>
      <w:pPr>
        <w:ind w:right="360" w:firstLine="510"/>
        <w:spacing w:after="0" w:line="275" w:lineRule="auto"/>
        <w:rPr>
          <w:sz w:val="20"/>
          <w:szCs w:val="20"/>
          <w:color w:val="auto"/>
        </w:rPr>
      </w:pPr>
      <w:r>
        <w:rPr>
          <w:rFonts w:ascii="Arial" w:cs="Arial" w:eastAsia="Arial" w:hAnsi="Arial"/>
          <w:sz w:val="18"/>
          <w:szCs w:val="18"/>
          <w:color w:val="auto"/>
        </w:rPr>
        <w:t>On a winding-up or other return of capital, subject to any special rights attaching to the Series A preferred shares or to any other class of shares, holders of ordinary shares will be entitled to participate in any surplus assets in proportion to their shareholdings.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00"/>
          </w:cols>
          <w:pgMar w:left="320" w:top="690" w:right="37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COMPARISON OF SHAREHOLDER RIGHTS</w:t>
      </w:r>
    </w:p>
    <w:p>
      <w:pPr>
        <w:spacing w:after="0" w:line="227" w:lineRule="exact"/>
        <w:rPr>
          <w:sz w:val="20"/>
          <w:szCs w:val="20"/>
          <w:color w:val="auto"/>
        </w:rPr>
      </w:pPr>
    </w:p>
    <w:p>
      <w:pPr>
        <w:jc w:val="both"/>
        <w:ind w:right="340" w:firstLine="510"/>
        <w:spacing w:after="0" w:line="262" w:lineRule="auto"/>
        <w:rPr>
          <w:sz w:val="20"/>
          <w:szCs w:val="20"/>
          <w:color w:val="auto"/>
        </w:rPr>
      </w:pPr>
      <w:r>
        <w:rPr>
          <w:rFonts w:ascii="Arial" w:cs="Arial" w:eastAsia="Arial" w:hAnsi="Arial"/>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83" w:lineRule="exact"/>
        <w:rPr>
          <w:sz w:val="20"/>
          <w:szCs w:val="20"/>
          <w:color w:val="auto"/>
        </w:rPr>
      </w:pPr>
    </w:p>
    <w:p>
      <w:pPr>
        <w:ind w:right="60" w:firstLine="510"/>
        <w:spacing w:after="0" w:line="262" w:lineRule="auto"/>
        <w:rPr>
          <w:sz w:val="20"/>
          <w:szCs w:val="20"/>
          <w:color w:val="auto"/>
        </w:rPr>
      </w:pPr>
      <w:r>
        <w:rPr>
          <w:rFonts w:ascii="Arial" w:cs="Arial" w:eastAsia="Arial" w:hAnsi="Arial"/>
          <w:sz w:val="18"/>
          <w:szCs w:val="18"/>
          <w:color w:val="auto"/>
        </w:rPr>
        <w:t>This discussion does not purport to be a complete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ectPr>
          <w:pgSz w:w="11900" w:h="16838" w:orient="portrait"/>
          <w:cols w:equalWidth="0" w:num="1">
            <w:col w:w="11240"/>
          </w:cols>
          <w:pgMar w:left="320" w:top="579"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20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typical certificate of incorporation and bylaws provides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Personal Liability of Directors</w:t>
      </w:r>
    </w:p>
    <w:p>
      <w:pPr>
        <w:spacing w:after="0" w:line="13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also provides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4937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
        <w:spacing w:after="0" w:line="253" w:lineRule="auto"/>
        <w:rPr>
          <w:sz w:val="20"/>
          <w:szCs w:val="20"/>
          <w:color w:val="auto"/>
        </w:rPr>
      </w:pPr>
      <w:r>
        <w:rPr>
          <w:rFonts w:ascii="Arial" w:cs="Arial" w:eastAsia="Arial" w:hAnsi="Arial"/>
          <w:sz w:val="18"/>
          <w:szCs w:val="18"/>
          <w:color w:val="auto"/>
        </w:rPr>
        <w:t>The constitution of companies will typically state the minimum and maximum number of directors as well as provide that the number of directors may be increased or reduced by shareholders via ordinary resolution passed at a general meeting, provided that the number of directors following such increase or reduction is within the maximum (if any) and minimum number of directors provided in our constitution and the Singapore Companies Act,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 w:right="20"/>
        <w:spacing w:after="0" w:line="283" w:lineRule="auto"/>
        <w:rPr>
          <w:sz w:val="20"/>
          <w:szCs w:val="20"/>
          <w:color w:val="auto"/>
        </w:rPr>
      </w:pPr>
      <w:r>
        <w:rPr>
          <w:rFonts w:ascii="Arial" w:cs="Arial" w:eastAsia="Arial" w:hAnsi="Arial"/>
          <w:sz w:val="16"/>
          <w:szCs w:val="16"/>
          <w:color w:val="auto"/>
        </w:rPr>
        <w:t>Pursuant to the Singapore Companies Act, any provision (whether in the constitution, a contract with the company or otherwise) exempting or indemnifying a director against any liability which by law would otherwise attach to him or her in respect of any negligence, default, breach of duty or breach of trust of which such director may be guilty in relation to the company is void. However, a company is not prohibited from (a) purchasing and maintaining for any such director insurance against any such liability, or</w:t>
      </w:r>
    </w:p>
    <w:p>
      <w:pPr>
        <w:spacing w:after="0" w:line="3" w:lineRule="exact"/>
        <w:rPr>
          <w:sz w:val="20"/>
          <w:szCs w:val="20"/>
          <w:color w:val="auto"/>
        </w:rPr>
      </w:pPr>
    </w:p>
    <w:p>
      <w:pPr>
        <w:ind w:left="2" w:hanging="2"/>
        <w:spacing w:after="0" w:line="266" w:lineRule="auto"/>
        <w:tabs>
          <w:tab w:leader="none" w:pos="2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indemnifying such director against any liability incurred by him or her to a person other than the company except when the indemnity is against any liability (i) of the director to pay a fine in criminal proceedings, (ii) of the director to pay a penalty in respect of non-compliance with any regulatory requirements,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 Nevertheless, a director can be released by the shareholders of a company for breaches of duty to a company except in the case of fraud, illegality, insolvency of the company and oppression or disregard of minority interests.</w:t>
      </w:r>
    </w:p>
    <w:p>
      <w:pPr>
        <w:spacing w:after="0" w:line="181" w:lineRule="exact"/>
        <w:rPr>
          <w:sz w:val="20"/>
          <w:szCs w:val="20"/>
          <w:color w:val="auto"/>
        </w:rPr>
      </w:pPr>
    </w:p>
    <w:p>
      <w:pPr>
        <w:sectPr>
          <w:pgSz w:w="11900" w:h="16838" w:orient="portrait"/>
          <w:cols w:equalWidth="0" w:num="2">
            <w:col w:w="5520" w:space="218"/>
            <w:col w:w="5502"/>
          </w:cols>
          <w:pgMar w:left="320" w:top="579" w:right="33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7550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020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Shareholders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937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and affecting the Company, we may indemnify our directors against costs, charges, fees, and other expenses that may be incurred by any of them in defending any proceedings (whether civil or criminal) relating to anything done or omitted or alleged to be done or omitted by such person acting in his or her capacity as a director of our company, in which judgment is given in his or her favor, or in which he or she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may be guilty in relation to our company, or which would otherwise result in such indemnity being voided under applicable Singapore laws.</w:t>
      </w:r>
    </w:p>
    <w:p>
      <w:pPr>
        <w:spacing w:after="0" w:line="200" w:lineRule="exact"/>
        <w:rPr>
          <w:sz w:val="20"/>
          <w:szCs w:val="20"/>
          <w:color w:val="auto"/>
        </w:rPr>
      </w:pPr>
    </w:p>
    <w:p>
      <w:pPr>
        <w:spacing w:after="0" w:line="33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There are no comparable provisions under the Singapore Companies Act with respect to public companies which are not listed on the Singapore Exchange Securities Trading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Singapore Companies Act, directors of a public company may be removed before expiration of their term of office, despite anything in its constitution or in any agreement between the public company and such directors, by ordinary resolution (i.e., a resolution which is passed by a simple majority of those shareholders present and voting in person or by proxy). Notice of the intention to move such a resolution has to be given to the company not less than 28 days before the meeting at which it is moved. The company must then give notice of such resolution to its shareholders not less than 14 days before the meeting. Where any director removed in this manner was appointed to represent the interests of any particular class of shareholders or debenture holders, the resolution to remove the director does not take effect until the director’s successor has been appointed.</w:t>
      </w:r>
    </w:p>
    <w:p>
      <w:pPr>
        <w:spacing w:after="0" w:line="167" w:lineRule="exact"/>
        <w:rPr>
          <w:sz w:val="20"/>
          <w:szCs w:val="20"/>
          <w:color w:val="auto"/>
        </w:rPr>
      </w:pPr>
    </w:p>
    <w:p>
      <w:pPr>
        <w:sectPr>
          <w:pgSz w:w="11900" w:h="16838" w:orient="portrait"/>
          <w:cols w:equalWidth="0" w:num="2">
            <w:col w:w="5520" w:space="220"/>
            <w:col w:w="5460"/>
          </w:cols>
          <w:pgMar w:left="320" w:top="574" w:right="379" w:bottom="1440" w:gutter="0" w:footer="0" w:header="0"/>
        </w:sect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7550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type w:val="continuous"/>
        </w:sectPr>
      </w:pPr>
    </w:p>
    <w:bookmarkStart w:id="144" w:name="page145"/>
    <w:bookmarkEnd w:id="144"/>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Filling Vacancies on the Board of Directors</w:t>
      </w:r>
    </w:p>
    <w:p>
      <w:pPr>
        <w:spacing w:after="0" w:line="13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Governing Documents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Delaware General Corporation Law, amendments to a corporation’s certificate of incorporation require the approval of stockholders holding a majority of the outstanding shares entitled to vote on the amendment. 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w:t>
      </w:r>
    </w:p>
    <w:p>
      <w:pPr>
        <w:spacing w:after="0" w:line="192"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Under the Delaware General Corporation Law, the board of directors may amend bylaws if so authorized in the charter. The stockholders of a Delaware corporation also have the power to amend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 w:right="60"/>
        <w:spacing w:after="0" w:line="268" w:lineRule="auto"/>
        <w:rPr>
          <w:sz w:val="20"/>
          <w:szCs w:val="20"/>
          <w:color w:val="auto"/>
        </w:rPr>
      </w:pPr>
      <w:r>
        <w:rPr>
          <w:rFonts w:ascii="Arial" w:cs="Arial" w:eastAsia="Arial" w:hAnsi="Arial"/>
          <w:sz w:val="17"/>
          <w:szCs w:val="17"/>
          <w:color w:val="auto"/>
        </w:rPr>
        <w:t>The constitution of a Singapore company typically provides that the directors have the power to appoint any person to be a director, either to fill a vacancy or as an addition to the existing directors, but so that the total number of directors shall not at any time exceed the maximum number (if any) fixed by or in accordance with the constitution. Any director so appointed shall hold office until the next following annual general meeting, where such director will then be eligible for re-election. Our constitution provides that the directors may appoint any person to be a director either to fill a casual vacancy or as an additional director but so that the total number of Directors shall not at any time exceed the maximum number fixed by or in accordance with the constitution.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 w:right="320"/>
        <w:spacing w:after="0" w:line="256" w:lineRule="auto"/>
        <w:rPr>
          <w:sz w:val="20"/>
          <w:szCs w:val="20"/>
          <w:color w:val="auto"/>
        </w:rPr>
      </w:pPr>
      <w:r>
        <w:rPr>
          <w:rFonts w:ascii="Arial" w:cs="Arial" w:eastAsia="Arial" w:hAnsi="Arial"/>
          <w:sz w:val="18"/>
          <w:szCs w:val="18"/>
          <w:color w:val="auto"/>
        </w:rPr>
        <w:t>Our constitution may be altered by special resolution (i.e., a resolution passed by at least a three-fourths majority of the shareholders entitled to vote, present in person or by proxy at a meeting for which not less than 21 days’ written notice is given). The board of directors has no right to amend the constitution.</w:t>
      </w:r>
    </w:p>
    <w:p>
      <w:pPr>
        <w:spacing w:after="0" w:line="188" w:lineRule="exact"/>
        <w:rPr>
          <w:sz w:val="20"/>
          <w:szCs w:val="20"/>
          <w:color w:val="auto"/>
        </w:rPr>
      </w:pPr>
    </w:p>
    <w:p>
      <w:pPr>
        <w:ind w:left="2"/>
        <w:spacing w:after="0" w:line="282" w:lineRule="auto"/>
        <w:rPr>
          <w:sz w:val="20"/>
          <w:szCs w:val="20"/>
          <w:color w:val="auto"/>
        </w:rPr>
      </w:pPr>
      <w:r>
        <w:rPr>
          <w:rFonts w:ascii="Arial" w:cs="Arial" w:eastAsia="Arial" w:hAnsi="Arial"/>
          <w:sz w:val="16"/>
          <w:szCs w:val="16"/>
          <w:color w:val="auto"/>
        </w:rPr>
        <w:t>Under the Singapore Companies Act, an entrenching provision may be included in the constitution with which a company is formed and may at any time be inserted into the constitution of a company only if all the shareholders of the company agree. An entrenching provision is a provision of the constitution of a company to the effect that other specified provisions of the constitution may not be altered in the manner provided by the Singapore Companies Act or may not be so altered except (i) by a resolution passed by a specified majority greater than 75% (the minimum majority required by the Singapore Companies Act for a special resolution) or</w:t>
      </w:r>
    </w:p>
    <w:p>
      <w:pPr>
        <w:spacing w:after="0" w:line="6" w:lineRule="exact"/>
        <w:rPr>
          <w:sz w:val="20"/>
          <w:szCs w:val="20"/>
          <w:color w:val="auto"/>
        </w:rPr>
      </w:pPr>
    </w:p>
    <w:p>
      <w:pPr>
        <w:ind w:left="2" w:right="20" w:hanging="2"/>
        <w:spacing w:after="0" w:line="254" w:lineRule="auto"/>
        <w:tabs>
          <w:tab w:leader="none" w:pos="26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where other specified conditions are met. The Singapore Companies Act provides that such entrenching provision may be removed or altered only if all the members of the company agree.</w:t>
      </w:r>
    </w:p>
    <w:p>
      <w:pPr>
        <w:spacing w:after="0" w:line="200" w:lineRule="exact"/>
        <w:rPr>
          <w:sz w:val="20"/>
          <w:szCs w:val="20"/>
          <w:color w:val="auto"/>
        </w:rPr>
      </w:pPr>
    </w:p>
    <w:p>
      <w:pPr>
        <w:sectPr>
          <w:pgSz w:w="11900" w:h="16838" w:orient="portrait"/>
          <w:cols w:equalWidth="0" w:num="2">
            <w:col w:w="5500" w:space="238"/>
            <w:col w:w="5502"/>
          </w:cols>
          <w:pgMar w:left="320" w:top="574"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and Special Meetings</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Typical bylaws provide that annual meetings of stockholders are to be held on a date and at a time fixed by the board of directors. 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All companies are required to hold an annual general meeting after the end of each financial year within either 4 months (in the case of a public company that is listed on an exchange in Singapore approved by the Monetary Authority of Singapore) or 6 months (in the case of any other company).</w:t>
      </w:r>
    </w:p>
    <w:p>
      <w:pPr>
        <w:spacing w:after="0" w:line="211" w:lineRule="exact"/>
        <w:rPr>
          <w:sz w:val="20"/>
          <w:szCs w:val="20"/>
          <w:color w:val="auto"/>
        </w:rPr>
      </w:pPr>
    </w:p>
    <w:p>
      <w:pPr>
        <w:sectPr>
          <w:pgSz w:w="11900" w:h="16838" w:orient="portrait"/>
          <w:cols w:equalWidth="0" w:num="2">
            <w:col w:w="5380" w:space="360"/>
            <w:col w:w="5500"/>
          </w:cols>
          <w:pgMar w:left="320" w:top="574" w:right="3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7550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145" w:name="page146"/>
    <w:bookmarkEnd w:id="145"/>
    <w:p>
      <w:pPr>
        <w:spacing w:after="0"/>
        <w:tabs>
          <w:tab w:leader="none" w:pos="572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9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10" w:lineRule="exact"/>
        <w:rPr>
          <w:sz w:val="20"/>
          <w:szCs w:val="20"/>
          <w:color w:val="auto"/>
        </w:rPr>
      </w:pPr>
    </w:p>
    <w:p>
      <w:pPr>
        <w:jc w:val="right"/>
        <w:ind w:right="3120"/>
        <w:spacing w:after="0"/>
        <w:rPr>
          <w:sz w:val="20"/>
          <w:szCs w:val="20"/>
          <w:color w:val="auto"/>
        </w:rPr>
      </w:pPr>
      <w:r>
        <w:rPr>
          <w:rFonts w:ascii="Arial" w:cs="Arial" w:eastAsia="Arial" w:hAnsi="Arial"/>
          <w:sz w:val="18"/>
          <w:szCs w:val="18"/>
          <w:i w:val="1"/>
          <w:iCs w:val="1"/>
          <w:color w:val="auto"/>
        </w:rPr>
        <w:t>Extraordinary General Meetings</w:t>
      </w:r>
    </w:p>
    <w:p>
      <w:pPr>
        <w:sectPr>
          <w:pgSz w:w="11900" w:h="16838" w:orient="portrait"/>
          <w:cols w:equalWidth="0" w:num="1">
            <w:col w:w="11220"/>
          </w:cols>
          <w:pgMar w:left="320" w:top="5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Any general meeting other than the annual general meeting is called an “extraordinary general meeting.” Despite anything in the constitution, directors of a company must convene an extraordinary general meeting if required to do so by requisition (i.e. written notice, requiring that a meeting be called, given to the directors) by shareholder(s) holding not less than</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10% of the total number of paid-up shares as at the date of the deposit of the requisition carrying the right of voting at general meetings of the company. In addition, the constitution usually also provides that general meetings may be convened in accordance with the Singapore Companies Act by the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Quorum Requirements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constitution provides that any two shareholders present in person or by proxy or by attorney or, in the case of a corporation, by a representative and entitled to vote thereat; in each case representing in aggregate not less than a majority of the total voting rights of all shareholders having the right to vote at a general meeting, shall constitute a quorum. In the event a quorum is not present, the meeting if not convened on the requisition of shareholders may be adjourned for one week. When reconvened, the quorum for the meeting will be the same and if at such adjourned meeting a quorum is not present, the meeting will be dissolved.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Shareholders’ Rights at Meetings</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Singapore Companies Act provides that every member has, despite any provision in the constitution, a right to attend any general meeting of the company and to speak on any resolution before the meeting. The company’s constitution may provide that a member shall not be entitled to vote unless all calls or other sums personally payable by the member in respect of shares in the company have been paid.</w:t>
      </w:r>
    </w:p>
    <w:p>
      <w:pPr>
        <w:spacing w:after="0" w:line="70"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Public companies may issue non-voting shares and shares that confer special, limited and conditional voting rights, such that the holder of a share may vote on a resolution before a general meeting if, in accordance with the provisions of Section 64A of the Singapore Companies Act, the share confers on the holder a right to vote on the resolution.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Circulation of Shareholders’ Resolutions</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Under the Singapore Companies Act, (a) any number of shareholders representing not less than 5% of the total voting rights of all the shareholders having at the date of requisition a right to vote at a meeting to which the requisition relates or (b) not less than 100 shareholders holding shares on which there has been paid up an average sum, per shareholder, of not less than S$500, may requisition the company to give to shareholders notice of any resolution which may properly be moved and is intended to be moved at the next annual general meeting, and circulate to shareholders any statement of not more than 1,000 words with respect to the matter referred to in any proposed resolution or the business to be dealt with at that meeting.</w:t>
      </w:r>
    </w:p>
    <w:p>
      <w:pPr>
        <w:spacing w:after="0" w:line="182" w:lineRule="exact"/>
        <w:rPr>
          <w:sz w:val="20"/>
          <w:szCs w:val="20"/>
          <w:color w:val="auto"/>
        </w:rPr>
      </w:pPr>
    </w:p>
    <w:p>
      <w:pPr>
        <w:sectPr>
          <w:pgSz w:w="11900" w:h="16838" w:orient="portrait"/>
          <w:cols w:equalWidth="0" w:num="2">
            <w:col w:w="5440" w:space="300"/>
            <w:col w:w="5480"/>
          </w:cols>
          <w:pgMar w:left="320" w:top="574"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146" w:name="page147"/>
    <w:bookmarkEnd w:id="146"/>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Officers, Directors and Employees</w:t>
      </w:r>
    </w:p>
    <w:p>
      <w:pPr>
        <w:sectPr>
          <w:pgSz w:w="11900" w:h="16838" w:orient="portrait"/>
          <w:cols w:equalWidth="0" w:num="1">
            <w:col w:w="11240"/>
          </w:cols>
          <w:pgMar w:left="320" w:top="574" w:right="339" w:bottom="1440" w:gutter="0" w:footer="0" w:header="0"/>
        </w:sectPr>
      </w:pPr>
    </w:p>
    <w:p>
      <w:pPr>
        <w:spacing w:after="0" w:line="133"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71" w:lineRule="exact"/>
        <w:rPr>
          <w:sz w:val="20"/>
          <w:szCs w:val="20"/>
          <w:color w:val="auto"/>
        </w:rPr>
      </w:pPr>
    </w:p>
    <w:p>
      <w:pPr>
        <w:ind w:left="860" w:right="220" w:hanging="314"/>
        <w:spacing w:after="0" w:line="258" w:lineRule="auto"/>
        <w:tabs>
          <w:tab w:leader="none" w:pos="8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78" w:lineRule="exact"/>
        <w:rPr>
          <w:rFonts w:ascii="Arial" w:cs="Arial" w:eastAsia="Arial" w:hAnsi="Arial"/>
          <w:sz w:val="18"/>
          <w:szCs w:val="18"/>
          <w:color w:val="auto"/>
        </w:rPr>
      </w:pPr>
    </w:p>
    <w:p>
      <w:pPr>
        <w:ind w:left="860" w:right="260" w:hanging="314"/>
        <w:spacing w:after="0" w:line="275" w:lineRule="auto"/>
        <w:tabs>
          <w:tab w:leader="none" w:pos="86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 criminal proceeding, had no reasonable cause to believe his or her conduct was unlawful.</w:t>
      </w:r>
    </w:p>
    <w:p>
      <w:pPr>
        <w:spacing w:after="0" w:line="171" w:lineRule="exact"/>
        <w:rPr>
          <w:sz w:val="20"/>
          <w:szCs w:val="20"/>
          <w:color w:val="auto"/>
        </w:rPr>
      </w:pPr>
    </w:p>
    <w:p>
      <w:pPr>
        <w:ind w:right="280"/>
        <w:spacing w:after="0" w:line="288" w:lineRule="auto"/>
        <w:rPr>
          <w:sz w:val="20"/>
          <w:szCs w:val="20"/>
          <w:color w:val="auto"/>
        </w:rPr>
      </w:pPr>
      <w:r>
        <w:rPr>
          <w:rFonts w:ascii="Arial" w:cs="Arial" w:eastAsia="Arial" w:hAnsi="Arial"/>
          <w:sz w:val="16"/>
          <w:szCs w:val="16"/>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165"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that person is not entitled to be so indemnified.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Section 172 of the Singapore Companies Act, any provision exempting or indemnifying the officers of a company (including directors) against liability, which by law would otherwise attach to them in connection with any negligence, default, breach of duty or breach of trust in relation to the company is void.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However, the Singapore Companies Act allows a company to:</w:t>
      </w:r>
    </w:p>
    <w:p>
      <w:pPr>
        <w:spacing w:after="0" w:line="116" w:lineRule="exact"/>
        <w:rPr>
          <w:sz w:val="20"/>
          <w:szCs w:val="20"/>
          <w:color w:val="auto"/>
        </w:rPr>
      </w:pPr>
    </w:p>
    <w:p>
      <w:pPr>
        <w:ind w:left="860" w:right="100" w:hanging="324"/>
        <w:spacing w:after="0" w:line="258" w:lineRule="auto"/>
        <w:tabs>
          <w:tab w:leader="none" w:pos="8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purchase and maintain for any officer insurance against any liability which by law would otherwise attach to such officer in connection with any negligence, default, breach of duty or breach of trust in relation to the company;</w:t>
      </w:r>
    </w:p>
    <w:p>
      <w:pPr>
        <w:spacing w:after="0" w:line="78" w:lineRule="exact"/>
        <w:rPr>
          <w:rFonts w:ascii="Arial" w:cs="Arial" w:eastAsia="Arial" w:hAnsi="Arial"/>
          <w:sz w:val="18"/>
          <w:szCs w:val="18"/>
          <w:color w:val="auto"/>
        </w:rPr>
      </w:pPr>
    </w:p>
    <w:p>
      <w:pPr>
        <w:ind w:left="860" w:right="160" w:hanging="324"/>
        <w:spacing w:after="0" w:line="284" w:lineRule="auto"/>
        <w:tabs>
          <w:tab w:leader="none" w:pos="8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indemnify such officer against any liability incurred by him or her to a person other than the company except when the indemnity is against any liability (i) of the officer to pay a fine in criminal proceedings, (ii) of the officer to pay a penalty in respect of non-compliance with any regulatory requirements,</w:t>
      </w:r>
    </w:p>
    <w:p>
      <w:pPr>
        <w:spacing w:after="0" w:line="2" w:lineRule="exact"/>
        <w:rPr>
          <w:rFonts w:ascii="Arial" w:cs="Arial" w:eastAsia="Arial" w:hAnsi="Arial"/>
          <w:sz w:val="16"/>
          <w:szCs w:val="16"/>
          <w:color w:val="auto"/>
        </w:rPr>
      </w:pPr>
    </w:p>
    <w:p>
      <w:pPr>
        <w:ind w:left="860" w:hanging="1"/>
        <w:spacing w:after="0" w:line="280" w:lineRule="auto"/>
        <w:tabs>
          <w:tab w:leader="none" w:pos="1174"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incurred by the officer in defending criminal proceedings in which he or she is convicted, (iv) incurred by the officer in defending civil proceedings brought by the company or a related company in which judgment is given against him or her, or</w:t>
      </w:r>
    </w:p>
    <w:p>
      <w:pPr>
        <w:spacing w:after="0" w:line="2" w:lineRule="exact"/>
        <w:rPr>
          <w:rFonts w:ascii="Arial" w:cs="Arial" w:eastAsia="Arial" w:hAnsi="Arial"/>
          <w:sz w:val="16"/>
          <w:szCs w:val="16"/>
          <w:color w:val="auto"/>
        </w:rPr>
      </w:pPr>
    </w:p>
    <w:p>
      <w:pPr>
        <w:ind w:left="860" w:right="100" w:hanging="1"/>
        <w:spacing w:after="0" w:line="252" w:lineRule="auto"/>
        <w:tabs>
          <w:tab w:leader="none" w:pos="111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incurred by the officer in connection with an application for relief under Section 76A(13) or Section 391 of the Singapore Companies Act in which the court refuses to grant him or her relief.</w:t>
      </w:r>
    </w:p>
    <w:p>
      <w:pPr>
        <w:spacing w:after="0" w:line="19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cases where a director is sued by the company, the Singapore Companies Act gives the court the power to relieve directors either wholly or partially from their liability for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 However, Singapore case law has indicated that such relief will not be granted to a director who has benefited as a result of his or her breach of trust.</w:t>
      </w:r>
    </w:p>
    <w:p>
      <w:pPr>
        <w:sectPr>
          <w:pgSz w:w="11900" w:h="16838" w:orient="portrait"/>
          <w:cols w:equalWidth="0" w:num="2">
            <w:col w:w="5720" w:space="20"/>
            <w:col w:w="5500"/>
          </w:cols>
          <w:pgMar w:left="320" w:top="574" w:right="339" w:bottom="1440" w:gutter="0" w:footer="0" w:header="0"/>
          <w:type w:val="continuous"/>
        </w:sectPr>
      </w:pPr>
    </w:p>
    <w:bookmarkStart w:id="147" w:name="page148"/>
    <w:bookmarkEnd w:id="147"/>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 of Issuances of Shares</w:t>
      </w:r>
    </w:p>
    <w:p>
      <w:pPr>
        <w:spacing w:after="0" w:line="13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Delaware law, the board of directors has the authority to issue, from time to time, capital stock in its sole discretion, as long the number the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(i) for any amendment to the corporation’s certificate of incorporation to increase the authorized capital and (ii) for the issuance of stock in a direct merger transaction where the number of shares exceeds 20% of the corporation’s shares outstanding prior to the transaction, regardless of whether there is sufficient authorized capital.</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constitution provides that subject to the provisions of the Singapore Companies Act and every other applicable statute for the time being in force concerning companies and affecting the company, the directors and officers are entitled to be indemnified against costs, charges, fees and other expenses that may be incurred by such person in defending any proceedings, whether civil or criminal, which relates to anything done or omitted or alleged to be done or omitted by such person as a director, officer or employee of the company and in which judgment is given in his or her favor or in which such person is acquitted or in which the courts have granted relief pursuant to the provisions of the Singapore Companies Act, provided that such indemnity shall not extend to any liability which by law would otherwise attach to him or her in respect of any negligence, default, breach of duty or breach of trust of which he or she may be guilty in relation to the company, or which would otherwise result in such indemnity being voided under applicable Singapore laws.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161 of the Singapore Companies Act provides that despite anything in the company’s constitution, the directors must not exercise any power to issue shares without prior approval of Company’s shareholders in a general meeting. The affirmative vote of shareholders holding at least a majority of the ordinary shares held by the shareholders present in person or represented by proxy at the annual general meeting and entitled to vote is required for this authorization. Once this shareholders’ approval is obtained, unless previously revoked or varied by the company in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general meeting. Notwithstanding this general authorization to allot and issue our ordinary shares, Wave will be required to seek shareholder approval with respect to future issuances of ordinary shares, where required under The Nasdaq Stock Market rules, such as if we were to propose an issuance of ordinary shares that would result in a change in control of Wave or in connection with a transaction involving the issuance of ordinary shares representing 20% or more of our outstanding ordinary shares.</w:t>
      </w:r>
    </w:p>
    <w:p>
      <w:pPr>
        <w:spacing w:after="0" w:line="200" w:lineRule="exact"/>
        <w:rPr>
          <w:sz w:val="20"/>
          <w:szCs w:val="20"/>
          <w:color w:val="auto"/>
        </w:rPr>
      </w:pPr>
    </w:p>
    <w:p>
      <w:pPr>
        <w:sectPr>
          <w:pgSz w:w="11900" w:h="16838" w:orient="portrait"/>
          <w:cols w:equalWidth="0" w:num="2">
            <w:col w:w="5480" w:space="260"/>
            <w:col w:w="5480"/>
          </w:cols>
          <w:pgMar w:left="320" w:top="574" w:right="35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Approval of Business Combinations</w:t>
      </w:r>
    </w:p>
    <w:p>
      <w:pPr>
        <w:sectPr>
          <w:pgSz w:w="11900" w:h="16838" w:orient="portrait"/>
          <w:cols w:equalWidth="0" w:num="1">
            <w:col w:w="11220"/>
          </w:cols>
          <w:pgMar w:left="320" w:top="574" w:right="359" w:bottom="1440" w:gutter="0" w:footer="0" w:header="0"/>
          <w:type w:val="continuous"/>
        </w:sectPr>
      </w:pPr>
    </w:p>
    <w:p>
      <w:pPr>
        <w:spacing w:after="0" w:line="15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200" w:right="400"/>
        <w:spacing w:after="0" w:line="285" w:lineRule="auto"/>
        <w:rPr>
          <w:sz w:val="20"/>
          <w:szCs w:val="20"/>
          <w:color w:val="auto"/>
        </w:rPr>
      </w:pPr>
      <w:r>
        <w:rPr>
          <w:rFonts w:ascii="Arial" w:cs="Arial" w:eastAsia="Arial" w:hAnsi="Arial"/>
          <w:sz w:val="17"/>
          <w:szCs w:val="17"/>
          <w:color w:val="auto"/>
        </w:rPr>
        <w:t>The Singapore Companies Act and the Insolvency, Restructuring and Dissolution Act 2018 mandates that specified corporate actions require approval by the shareholders in a general meeting, notably:</w:t>
      </w:r>
    </w:p>
    <w:p>
      <w:pPr>
        <w:spacing w:after="0" w:line="57" w:lineRule="exact"/>
        <w:rPr>
          <w:sz w:val="20"/>
          <w:szCs w:val="20"/>
          <w:color w:val="auto"/>
        </w:rPr>
      </w:pPr>
    </w:p>
    <w:p>
      <w:pPr>
        <w:ind w:left="1060" w:right="40" w:hanging="324"/>
        <w:spacing w:after="0" w:line="256" w:lineRule="auto"/>
        <w:tabs>
          <w:tab w:leader="none" w:pos="10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despite anything in the company’s constitution, directors must not carry into effect any proposals for disposing of the whole or substantially the whole of the company’s undertaking or property unless those proposals have been approved by shareholders in a general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69850</wp:posOffset>
            </wp:positionV>
            <wp:extent cx="717550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2">
            <w:col w:w="5460" w:space="80"/>
            <w:col w:w="5680"/>
          </w:cols>
          <w:pgMar w:left="320" w:top="574" w:right="359" w:bottom="1440" w:gutter="0" w:footer="0" w:header="0"/>
          <w:type w:val="continuous"/>
        </w:sectPr>
      </w:pPr>
    </w:p>
    <w:bookmarkStart w:id="148" w:name="page149"/>
    <w:bookmarkEnd w:id="148"/>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260" w:lineRule="exact"/>
        <w:rPr>
          <w:sz w:val="20"/>
          <w:szCs w:val="20"/>
          <w:color w:val="auto"/>
        </w:rPr>
      </w:pPr>
    </w:p>
    <w:p>
      <w:pPr>
        <w:ind w:right="96"/>
        <w:spacing w:after="0" w:line="258" w:lineRule="auto"/>
        <w:rPr>
          <w:sz w:val="20"/>
          <w:szCs w:val="20"/>
          <w:color w:val="auto"/>
        </w:rPr>
      </w:pPr>
      <w:r>
        <w:rPr>
          <w:rFonts w:ascii="Arial" w:cs="Arial" w:eastAsia="Arial" w:hAnsi="Arial"/>
          <w:sz w:val="18"/>
          <w:szCs w:val="18"/>
          <w:color w:val="auto"/>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324" w:right="60" w:hanging="324"/>
        <w:spacing w:after="0" w:line="275" w:lineRule="auto"/>
        <w:tabs>
          <w:tab w:leader="none" w:pos="3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may by special resolution resolve that it be wound up voluntarily;</w:t>
      </w:r>
    </w:p>
    <w:p>
      <w:pPr>
        <w:spacing w:after="0" w:line="63" w:lineRule="exact"/>
        <w:rPr>
          <w:rFonts w:ascii="Arial" w:cs="Arial" w:eastAsia="Arial" w:hAnsi="Arial"/>
          <w:sz w:val="18"/>
          <w:szCs w:val="18"/>
          <w:color w:val="auto"/>
        </w:rPr>
      </w:pPr>
    </w:p>
    <w:p>
      <w:pPr>
        <w:ind w:left="324" w:right="20" w:hanging="324"/>
        <w:spacing w:after="0" w:line="258" w:lineRule="auto"/>
        <w:tabs>
          <w:tab w:leader="none" w:pos="33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the constitution of each amalgamating company, an amalgamation proposal must be approved by the shareholders of each amalgamating company via special resolution at a general meeting;</w:t>
      </w:r>
    </w:p>
    <w:p>
      <w:pPr>
        <w:spacing w:after="0" w:line="186" w:lineRule="exact"/>
        <w:rPr>
          <w:sz w:val="20"/>
          <w:szCs w:val="20"/>
          <w:color w:val="auto"/>
        </w:rPr>
      </w:pPr>
    </w:p>
    <w:p>
      <w:pPr>
        <w:sectPr>
          <w:pgSz w:w="11900" w:h="16838" w:orient="portrait"/>
          <w:cols w:equalWidth="0" w:num="2">
            <w:col w:w="5556" w:space="720"/>
            <w:col w:w="4964"/>
          </w:cols>
          <w:pgMar w:left="320" w:top="574" w:right="339" w:bottom="1440" w:gutter="0" w:footer="0" w:header="0"/>
          <w:type w:val="continuous"/>
        </w:sectPr>
      </w:pPr>
    </w:p>
    <w:p>
      <w:pPr>
        <w:ind w:left="6280"/>
        <w:spacing w:after="0"/>
        <w:tabs>
          <w:tab w:leader="none" w:pos="65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 compromise or arrangement proposed between a company and</w:t>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its shareholders, or any class of them, must, among other things,</w:t>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be approved by a majority in number representing three-fourths</w:t>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in value of the shareholders or class of shareholders present and</w:t>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voting either in person or by proxy at the meeting ordered by the</w:t>
      </w:r>
    </w:p>
    <w:p>
      <w:pPr>
        <w:spacing w:after="0" w:line="3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court; and</w:t>
      </w:r>
    </w:p>
    <w:p>
      <w:pPr>
        <w:spacing w:after="0" w:line="209" w:lineRule="exact"/>
        <w:rPr>
          <w:sz w:val="20"/>
          <w:szCs w:val="20"/>
          <w:color w:val="auto"/>
        </w:rPr>
      </w:pPr>
    </w:p>
    <w:p>
      <w:pPr>
        <w:ind w:left="6280"/>
        <w:spacing w:after="0"/>
        <w:tabs>
          <w:tab w:leader="none" w:pos="6580" w:val="left"/>
        </w:tabs>
        <w:rPr>
          <w:sz w:val="20"/>
          <w:szCs w:val="20"/>
          <w:color w:val="auto"/>
        </w:rPr>
      </w:pPr>
      <w:r>
        <w:rPr>
          <w:rFonts w:ascii="Arial" w:cs="Arial" w:eastAsia="Arial" w:hAnsi="Arial"/>
          <w:sz w:val="17"/>
          <w:szCs w:val="17"/>
          <w:color w:val="auto"/>
        </w:rPr>
        <w:t>•</w:t>
        <w:tab/>
        <w:t>despite anything in the company’s constitution, the directors</w:t>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must not, without the prior approval of shareholders, issue</w:t>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shares, including shares being issued in connection with</w:t>
      </w:r>
    </w:p>
    <w:p>
      <w:pPr>
        <w:spacing w:after="0" w:line="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corporate 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Action Without A Meeting</w:t>
      </w:r>
    </w:p>
    <w:p>
      <w:pPr>
        <w:sectPr>
          <w:pgSz w:w="11900" w:h="16838" w:orient="portrait"/>
          <w:cols w:equalWidth="0" w:num="1">
            <w:col w:w="11240"/>
          </w:cols>
          <w:pgMar w:left="320" w:top="574" w:right="339" w:bottom="1440" w:gutter="0" w:footer="0" w:header="0"/>
          <w:type w:val="continuous"/>
        </w:sectPr>
      </w:pPr>
    </w:p>
    <w:p>
      <w:pPr>
        <w:spacing w:after="0" w:line="13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Suits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There are no equivalent provisions under the Singapore Companies Act in respect of public companies which are listed on a securities exchange, like our company.</w:t>
      </w:r>
    </w:p>
    <w:p>
      <w:pPr>
        <w:spacing w:after="0" w:line="1393" w:lineRule="exact"/>
        <w:rPr>
          <w:sz w:val="20"/>
          <w:szCs w:val="20"/>
          <w:color w:val="auto"/>
        </w:rPr>
      </w:pPr>
    </w:p>
    <w:p>
      <w:pPr>
        <w:sectPr>
          <w:pgSz w:w="11900" w:h="16838" w:orient="portrait"/>
          <w:cols w:equalWidth="0" w:num="2">
            <w:col w:w="5480" w:space="260"/>
            <w:col w:w="5500"/>
          </w:cols>
          <w:pgMar w:left="320" w:top="574" w:right="339" w:bottom="1440" w:gutter="0" w:footer="0" w:header="0"/>
          <w:type w:val="continuous"/>
        </w:sectPr>
      </w:pPr>
    </w:p>
    <w:p>
      <w:pPr>
        <w:ind w:right="220"/>
        <w:spacing w:after="0" w:line="285" w:lineRule="auto"/>
        <w:rPr>
          <w:sz w:val="20"/>
          <w:szCs w:val="20"/>
          <w:color w:val="auto"/>
        </w:rPr>
      </w:pPr>
      <w:r>
        <w:rPr>
          <w:rFonts w:ascii="Arial" w:cs="Arial" w:eastAsia="Arial" w:hAnsi="Arial"/>
          <w:sz w:val="16"/>
          <w:szCs w:val="16"/>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7550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i w:val="1"/>
          <w:iCs w:val="1"/>
          <w:color w:val="auto"/>
        </w:rPr>
        <w:t>Standing</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Only registered shareholders of our company reflected in our register of members are recognized under Singapore law as shareholders of our company. As a result, only registered shareholders have legal standing to institute shareholder actions against us or otherwise seek to enforce their rights as shareholders. Holders of book-entry interests in our shares will be required to exchange their book-entry interests for certificated shares and to be registered as shareholders in our shareholder register in order to institute or enforce any legal proceedings or claims against us, our directors or our executive officers relating to shareholder rights. A holder of book-entry interests may become a registered shareholder of our company by exchanging its interest in our shares for certificated shares and being registered in our shareholder register.</w:t>
      </w:r>
    </w:p>
    <w:p>
      <w:pPr>
        <w:sectPr>
          <w:pgSz w:w="11900" w:h="16838" w:orient="portrait"/>
          <w:cols w:equalWidth="0" w:num="2">
            <w:col w:w="5720" w:space="20"/>
            <w:col w:w="5500"/>
          </w:cols>
          <w:pgMar w:left="320" w:top="574" w:right="339" w:bottom="1440" w:gutter="0" w:footer="0" w:header="0"/>
          <w:type w:val="continuous"/>
        </w:sectPr>
      </w:pPr>
    </w:p>
    <w:bookmarkStart w:id="149" w:name="page150"/>
    <w:bookmarkEnd w:id="149"/>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p>
      <w:pPr>
        <w:spacing w:after="0" w:line="260"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Personal remedies in cases of oppression or injustice</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 shareholder may apply to the court for an order under Section 216 of the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Singapore Companies Act to remedy situations where (i) the company’s</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affairs are being conducted or the powers of the company’s directors are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being exercised in a manner oppressive to, or in disregard of the interests of</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one or more of the shareholders or holders of debentures of the company,</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including the applicant; or (ii) the company has done an act, or threatens to</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do an act, or the shareholders or holders of debentures have passed some</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resolution, which unfairly discriminates against, or is otherwise prejudicial</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to, one or more of the company’s shareholders or holders of debentures,</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including the applicant.</w:t>
      </w:r>
    </w:p>
    <w:p>
      <w:pPr>
        <w:spacing w:after="0" w:line="10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Singapore courts have wide discretion as to the relief they may grant under</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 xml:space="preserve">such application, including, </w:t>
      </w:r>
      <w:r>
        <w:rPr>
          <w:rFonts w:ascii="Arial" w:cs="Arial" w:eastAsia="Arial" w:hAnsi="Arial"/>
          <w:sz w:val="17"/>
          <w:szCs w:val="17"/>
          <w:i w:val="1"/>
          <w:iCs w:val="1"/>
          <w:color w:val="auto"/>
        </w:rPr>
        <w:t>inter alia</w:t>
      </w:r>
      <w:r>
        <w:rPr>
          <w:rFonts w:ascii="Arial" w:cs="Arial" w:eastAsia="Arial" w:hAnsi="Arial"/>
          <w:sz w:val="17"/>
          <w:szCs w:val="17"/>
          <w:color w:val="auto"/>
        </w:rPr>
        <w:t>, directing or prohibiting any act or</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cancelling or varying any transaction or resolution, providing that the</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company be wound up, or authorizing civil proceedings to be brought in the</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of or on behalf of the company by such person or persons and on such</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terms as the court directs.</w:t>
      </w: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Derivative actions and arbitrations</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Singapore Companies Act has a provision which provides a mechanism</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enabling shareholders to apply to the court for leave to bring a derivative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action or commence an arbitration on behalf of the company. Derivative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actions are also allowed as a common law action.</w:t>
      </w:r>
    </w:p>
    <w:p>
      <w:pPr>
        <w:spacing w:after="0" w:line="10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Applications are generally made by shareholders of the company, but courts</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are given the discretion to allow such persons as they deem proper to apply</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(e.g., beneficial owner of shares).</w:t>
      </w:r>
    </w:p>
    <w:p>
      <w:pPr>
        <w:spacing w:after="0" w:line="10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It should be noted that this provision of the Singapore Companies Act is</w:t>
      </w:r>
    </w:p>
    <w:p>
      <w:pPr>
        <w:spacing w:after="0" w:line="3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primarily used by minority shareholders to bring an action or arbitration in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name and on behalf of the company or intervene in an action or</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arbitration to which the company is a party for the purpose of prosecuting,</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defending or discontinuing the action or arbitration on behalf of the</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company. Prior to commencing a derivative action or arbitration, the court</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must be satisfied that (i) 14 days’ notice has been given to the directors of</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company of the party’s intention to commence such action or arbitration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if the directors of the company do not bring, diligently prosecute or defend</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or discontinue the action, (ii) the party is acting in good faith and (iii) it</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appears to be prima facie in the interests of the company that the action be</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brought, prosecuted, defended or discontinued.</w:t>
      </w: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Class actions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concept of class action suits in the United States, which allows</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individual shareholders to bring an action seeking to represent the class or</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classes of shareholders, does not exist in the same manner in Singapore. In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Singapore, it is possible as a matter of procedure for a number of</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shareholders to begin proceedings on behalf of themselves and other</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shareholders who have the same interest in the proceedings whom they</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represent. These shareholders are known as “representative plaintiffs.”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type w:val="continuous"/>
        </w:sectPr>
      </w:pPr>
    </w:p>
    <w:bookmarkStart w:id="150" w:name="page151"/>
    <w:bookmarkEnd w:id="150"/>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Dividends; Repurchases and Redemptions</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Singapore Companies Act provides that no dividend is payable to the shareholders of any company except out of profits.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Singapore Companies Act does not provide a definition on when profits are deemed to be available for the purpose of paying dividends and this is accordingly governed by case law.</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constitution provides that no dividend can be paid otherwise than out of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 company’s own shares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Singapore Companies Act generally prohibits a company from acquiring its own shares or purporting to acquire the shares of its holding company or ultimate holding company, whether directly or indirectly, in any way, subject to certain exceptions. Any contract or transaction made or entered into in contravention of the aforementioned prohibition by which a company acquires or purports to acquire its own shares or shares in its holding company or ultimate holding company is void. However, provided that it is expressly permitted to do so by its constitution and subject to the special conditions of each permitted acquisition contained in the Singapore Companies Act, a company may:</w:t>
      </w:r>
    </w:p>
    <w:p>
      <w:pPr>
        <w:spacing w:after="0" w:line="77" w:lineRule="exact"/>
        <w:rPr>
          <w:sz w:val="20"/>
          <w:szCs w:val="20"/>
          <w:color w:val="auto"/>
        </w:rPr>
      </w:pPr>
    </w:p>
    <w:p>
      <w:pPr>
        <w:sectPr>
          <w:pgSz w:w="11900" w:h="16838" w:orient="portrait"/>
          <w:cols w:equalWidth="0" w:num="2">
            <w:col w:w="5500" w:space="240"/>
            <w:col w:w="5480"/>
          </w:cols>
          <w:pgMar w:left="320" w:top="574" w:right="359" w:bottom="1440" w:gutter="0" w:footer="0" w:header="0"/>
          <w:type w:val="continuous"/>
        </w:sectPr>
      </w:pPr>
    </w:p>
    <w:p>
      <w:pPr>
        <w:ind w:left="6600" w:right="20" w:hanging="324"/>
        <w:spacing w:after="0" w:line="292" w:lineRule="auto"/>
        <w:tabs>
          <w:tab w:leader="none" w:pos="6609"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redeem redeemable preferred shares on such terms and in such manner as is provided by its constitution. Preferred shares may be redeemed out of capital only if all the directors make a solvency statement in relation to such redemption in accordance with the Singapore Companies Act, and the company lodges a copy of the statement with the Registrar of Companies;</w:t>
      </w:r>
    </w:p>
    <w:p>
      <w:pPr>
        <w:spacing w:after="0" w:line="55" w:lineRule="exact"/>
        <w:rPr>
          <w:rFonts w:ascii="Arial" w:cs="Arial" w:eastAsia="Arial" w:hAnsi="Arial"/>
          <w:sz w:val="16"/>
          <w:szCs w:val="16"/>
          <w:color w:val="auto"/>
        </w:rPr>
      </w:pPr>
    </w:p>
    <w:p>
      <w:pPr>
        <w:ind w:left="6600" w:right="220" w:hanging="324"/>
        <w:spacing w:after="0" w:line="295" w:lineRule="auto"/>
        <w:tabs>
          <w:tab w:leader="none" w:pos="65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whether listed on an exchange in Singapore approved by the Monetary Authority of Singapore or any securities exchange outside Singapore, or not, make an off-market purchase of its own shares in accordance with an equal access scheme authorized in advance at a general meeting;</w:t>
      </w:r>
    </w:p>
    <w:p>
      <w:pPr>
        <w:spacing w:after="0" w:line="53" w:lineRule="exact"/>
        <w:rPr>
          <w:rFonts w:ascii="Arial" w:cs="Arial" w:eastAsia="Arial" w:hAnsi="Arial"/>
          <w:sz w:val="16"/>
          <w:szCs w:val="16"/>
          <w:color w:val="auto"/>
        </w:rPr>
      </w:pPr>
    </w:p>
    <w:p>
      <w:pPr>
        <w:ind w:left="6600" w:right="240" w:hanging="324"/>
        <w:spacing w:after="0" w:line="274" w:lineRule="auto"/>
        <w:tabs>
          <w:tab w:leader="none" w:pos="66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make a selective off-market purchase of its own shares in accordance with an agreement authorized in advance at a general meeting by a special resolution where persons whose shares are to be acquired and their associated persons have abstained from voting; and</w:t>
      </w:r>
    </w:p>
    <w:p>
      <w:pPr>
        <w:spacing w:after="0" w:line="67" w:lineRule="exact"/>
        <w:rPr>
          <w:rFonts w:ascii="Arial" w:cs="Arial" w:eastAsia="Arial" w:hAnsi="Arial"/>
          <w:sz w:val="17"/>
          <w:szCs w:val="17"/>
          <w:color w:val="auto"/>
        </w:rPr>
      </w:pPr>
    </w:p>
    <w:p>
      <w:pPr>
        <w:ind w:left="6600" w:right="40" w:hanging="324"/>
        <w:spacing w:after="0" w:line="319" w:lineRule="auto"/>
        <w:tabs>
          <w:tab w:leader="none" w:pos="6564" w:val="left"/>
        </w:tabs>
        <w:numPr>
          <w:ilvl w:val="0"/>
          <w:numId w:val="68"/>
        </w:numPr>
        <w:rPr>
          <w:rFonts w:ascii="Arial" w:cs="Arial" w:eastAsia="Arial" w:hAnsi="Arial"/>
          <w:sz w:val="15"/>
          <w:szCs w:val="15"/>
          <w:color w:val="auto"/>
        </w:rPr>
      </w:pPr>
      <w:r>
        <w:rPr>
          <w:rFonts w:ascii="Arial" w:cs="Arial" w:eastAsia="Arial" w:hAnsi="Arial"/>
          <w:sz w:val="15"/>
          <w:szCs w:val="15"/>
          <w:color w:val="auto"/>
        </w:rPr>
        <w:t>whether listed on an exchange in Singapore approved by the Monetary Authority of Singapore or any securities exchange outside Singapore, or not, make an acquisition of its own shares under a contingent purchase contract which has been authorized in advance at a general meeting by a special resolution.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151" w:name="page152"/>
    <w:bookmarkEnd w:id="151"/>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26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 company may also purchase its own shares by an order of a Singapore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court.</w:t>
      </w:r>
    </w:p>
    <w:p>
      <w:pPr>
        <w:spacing w:after="0" w:line="101" w:lineRule="exact"/>
        <w:rPr>
          <w:sz w:val="20"/>
          <w:szCs w:val="20"/>
          <w:color w:val="auto"/>
        </w:rPr>
      </w:pPr>
    </w:p>
    <w:p>
      <w:pPr>
        <w:ind w:left="6600" w:hanging="324"/>
        <w:spacing w:after="0" w:line="282" w:lineRule="auto"/>
        <w:tabs>
          <w:tab w:leader="none" w:pos="6561"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total number of ordinary shares, stocks in any class and non-redeemable preferred shares that may be acquired by a company in a relevant period must not exceed 20% (or such other prescribed percentage) of the total number of ordinary shares, stocks in any class or non-redeemable preferred shares (as the case may be) as of the date of the resolution to acquire the shares. Where, however, a company has reduced its share capital by a special resolution or a Singapore court made an order to such effect, the total number of ordinary shares, stocks in any class or non-redeemable preferred shares shall be taken to be the total number of ordinary shares, stocks in any class</w:t>
      </w:r>
    </w:p>
    <w:p>
      <w:pPr>
        <w:spacing w:after="0" w:line="4" w:lineRule="exact"/>
        <w:rPr>
          <w:rFonts w:ascii="Arial" w:cs="Arial" w:eastAsia="Arial" w:hAnsi="Arial"/>
          <w:sz w:val="16"/>
          <w:szCs w:val="16"/>
          <w:color w:val="auto"/>
        </w:rPr>
      </w:pPr>
    </w:p>
    <w:p>
      <w:pPr>
        <w:ind w:left="6600"/>
        <w:spacing w:after="0" w:line="288" w:lineRule="auto"/>
        <w:rPr>
          <w:rFonts w:ascii="Arial" w:cs="Arial" w:eastAsia="Arial" w:hAnsi="Arial"/>
          <w:sz w:val="16"/>
          <w:szCs w:val="16"/>
          <w:color w:val="auto"/>
        </w:rPr>
      </w:pPr>
      <w:r>
        <w:rPr>
          <w:rFonts w:ascii="Arial" w:cs="Arial" w:eastAsia="Arial" w:hAnsi="Arial"/>
          <w:sz w:val="16"/>
          <w:szCs w:val="16"/>
          <w:color w:val="auto"/>
        </w:rPr>
        <w:t>or non-redeemable preferred shares (as the case may be) as altered by the special resolution or the order of the court. Payment, including any expenses (including brokerage or commission) incurred directly in the acquisition by the company of its own shares, may be made out of the company’s profits or capital, provided that the company is solvent.</w:t>
      </w: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Financial assistance for the acquisition of shares</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public company or a company whose holding company or ultimate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holding company is a public company must not give financial assistance to</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any person whether directly or indirectly for the purpose of or in connection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with:</w:t>
      </w:r>
    </w:p>
    <w:p>
      <w:pPr>
        <w:spacing w:after="0" w:line="101" w:lineRule="exact"/>
        <w:rPr>
          <w:sz w:val="20"/>
          <w:szCs w:val="20"/>
          <w:color w:val="auto"/>
        </w:rPr>
      </w:pPr>
    </w:p>
    <w:p>
      <w:pPr>
        <w:ind w:left="6600" w:right="20" w:hanging="324"/>
        <w:spacing w:after="0" w:line="275" w:lineRule="auto"/>
        <w:tabs>
          <w:tab w:leader="none" w:pos="660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acquisition or proposed acquisition of shares in the company or units of such shares; or</w:t>
      </w:r>
    </w:p>
    <w:p>
      <w:pPr>
        <w:spacing w:after="0" w:line="63" w:lineRule="exact"/>
        <w:rPr>
          <w:rFonts w:ascii="Arial" w:cs="Arial" w:eastAsia="Arial" w:hAnsi="Arial"/>
          <w:sz w:val="18"/>
          <w:szCs w:val="18"/>
          <w:color w:val="auto"/>
        </w:rPr>
      </w:pPr>
    </w:p>
    <w:p>
      <w:pPr>
        <w:jc w:val="both"/>
        <w:ind w:left="6600" w:right="140" w:hanging="324"/>
        <w:spacing w:after="0" w:line="340" w:lineRule="auto"/>
        <w:tabs>
          <w:tab w:leader="none" w:pos="66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acquisition or proposed acquisition of shares in its holding company or ultimate holding company, or units of such shares.</w:t>
      </w:r>
    </w:p>
    <w:p>
      <w:pPr>
        <w:spacing w:after="0" w:line="12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Financial assistance may take the form of a loan, the giving of a guarantee,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provision of security, the release of an obligation, the release of a debt or</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otherwise.</w:t>
      </w: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However, it should be noted that a company may provide financial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assistance for the acquisition of its shares or shares in its holding company</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or ultimate holding company if it complies with the requirements (including</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approval by special resolution) set out in the Singapore Companies Act.</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Our constitution provides that subject to the provisions of the Singapore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Companies Act, we may purchase or otherwise acquire our own shares upon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such terms and subject to such conditions as we may deem fit. We may deal</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with any such shares which is so purchased or acquired by us in such</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manner as may be permitted under the Singapore Companies Act (including,</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without limitation, hold such shares as treasury shares).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152" w:name="page153"/>
    <w:bookmarkEnd w:id="152"/>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Officers or Directors</w:t>
      </w:r>
    </w:p>
    <w:p>
      <w:pPr>
        <w:spacing w:after="0" w:line="1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of a corporation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the Singapore Companies Act, directors and the chief executive officer of the company are not prohibited from dealing with the company, but where they have an interest, whether directly or indirectly,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as the case may be, the chief executive officer’s knowledge, declare the nature of such interest at a meeting of the directors or send a written notice to the company detailing the nature, character and extent of the interest.</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a director or chief executive officer who holds any office or possesses any property which directly or indirectly might create interests in conflict with such director’s or, as the case may be, the chief executive officer’s duties as director or chief executive officer is required to declare the fact and the nature, character and extent of the conflict at a meeting of directors or send a written notice to the company detailing the nature, character and extent of the conflict.</w:t>
      </w:r>
    </w:p>
    <w:p>
      <w:pPr>
        <w:spacing w:after="0" w:line="177"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The Singapore Companies Act extends the scope of this statutory duty of a director and chief executive officer to disclose any interests by pronouncing that an interest of a member of a director’s or, as the case may be, the chief executive officer’s family (including spouse, son, adopted son, step-</w:t>
      </w:r>
    </w:p>
    <w:p>
      <w:pPr>
        <w:spacing w:after="0" w:line="2"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son, daughter, adopted daughter and step-daughter) will be treated as an interest of the director or chief executive officer (as the case may be).</w:t>
      </w:r>
    </w:p>
    <w:p>
      <w:pPr>
        <w:spacing w:after="0" w:line="13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 director or chief executive officer is not deemed to be interested or to have been at any time interested in any transaction or proposed transaction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no disclosure need be made where the director or chief executive officer (as the case may be) has only guaranteed the repayment of such loan, unless the constitution provides otherwise.</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where any transaction or proposed transaction has been or will be made with or for the benefit of a related corporation (i.e., the holding company, subsidiary or subsidiary of a common holding company), the director or chief executive officer is not deemed to be interested or to have been at any time interested in such transaction or proposed transaction by virtue of only being a director or chief executive officer (as the case may be) of the related corporation, unless the constitution provides otherwise.</w:t>
      </w:r>
    </w:p>
    <w:p>
      <w:pPr>
        <w:spacing w:after="0" w:line="166" w:lineRule="exact"/>
        <w:rPr>
          <w:sz w:val="20"/>
          <w:szCs w:val="20"/>
          <w:color w:val="auto"/>
        </w:rPr>
      </w:pPr>
    </w:p>
    <w:p>
      <w:pPr>
        <w:sectPr>
          <w:pgSz w:w="11900" w:h="16838" w:orient="portrait"/>
          <w:cols w:equalWidth="0" w:num="2">
            <w:col w:w="5500" w:space="240"/>
            <w:col w:w="5500"/>
          </w:cols>
          <w:pgMar w:left="320" w:top="574"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153" w:name="page154"/>
    <w:bookmarkEnd w:id="153"/>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p>
      <w:pPr>
        <w:spacing w:after="0" w:line="26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Subject to specified exceptions, the Singapore Companies Act prohibits a</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company (other than an exempt private company) from, among others,</w:t>
      </w:r>
    </w:p>
    <w:p>
      <w:pPr>
        <w:spacing w:after="0" w:line="20" w:lineRule="exact"/>
        <w:rPr>
          <w:sz w:val="20"/>
          <w:szCs w:val="20"/>
          <w:color w:val="auto"/>
        </w:rPr>
      </w:pPr>
    </w:p>
    <w:p>
      <w:pPr>
        <w:ind w:left="5740" w:hanging="2"/>
        <w:spacing w:after="0" w:line="284" w:lineRule="auto"/>
        <w:tabs>
          <w:tab w:leader="none" w:pos="5954"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making a loan or a quasi-loan to its directors or to directors of a related corporation, or giving a guarantee or security in connection with such a loan or quasi-loan, (ii) entering into a credit transaction as creditor for the benefit of its directors or the directors of a related corporation, or giving a guarantee or any security in connection with such a credit transaction, (iii) arranging an assignment to or assumption by us of any rights, obligations or liabilities under a transaction which, if it had been entered into by us, would have been a restricted transaction, and (iv) taking part in an arrangement under which another person enters into a transaction which, if entered into by us, would have been a restricted transaction and such person obtains a benefit from us or our related corporation pursuant thereto. Companies are also prohibited from entering into any of these transactions with the spouse or children (whether adopted or natural or step-children) of its directors.</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Subject to specified exceptions, the Singapore Companies Act prohibits a</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company (other than an exempt private company) from making a loan or a</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quasi-loan to another company or a limited liability partnership or entering</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into any guarantee or providing any security in connection with a loan or a</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quasi-loan made to another company or a limited liability partnership by a</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person other than the first-mentioned company, entering into a credit</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transaction as a creditor for the benefit of another company or a limited</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liability partnership, or entering into any guarantee or provide any security</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in connection with a credit transaction entered into by any person for the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benefit of another company or a limited liability partnership if a director or</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directors of the first-mentioned company is or together are interested in 20%</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 more of the total voting power in the other company or the limited</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liability partnership (as the case may be).</w:t>
      </w:r>
    </w:p>
    <w:p>
      <w:pPr>
        <w:spacing w:after="0" w:line="20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Such prohibition also applies to a loan, quasi-loan, credit transaction made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a company (other than an exempt private company), a credit transaction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made by a company (other than an exempt private company) for the benefit</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 another company or limited liability partnership and a guarantee or</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security provided by a company (other than an exempt private company) in</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connection with a loan or quasi-loan made by a person other than the first-</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mentioned company to another company or a limited liability partnership</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where such other company or limited liability partnership is incorporated or</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formed (as the case may be) outside Singapore, if a director or directors of</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first-mentioned company (a) is or together are interested in 20% or more</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 the total voting power in the other company or limited liability</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partnership or (b) in a case where the other company does not have a share</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capital, exercises or together exercise control over the other company</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whether by reason of having the power to appoint directors or otherwise.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Singapore Companies Act also provides that an interest of a member of</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 director’s family (including spouse, son, adopted son, step-son, daughter,</w:t>
      </w:r>
    </w:p>
    <w:p>
      <w:pPr>
        <w:spacing w:after="0" w:line="3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adopted daughter and step-daughter) will be treated as an interest of the</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director.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7550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type w:val="continuous"/>
        </w:sectPr>
      </w:pPr>
    </w:p>
    <w:bookmarkStart w:id="154" w:name="page155"/>
    <w:bookmarkEnd w:id="154"/>
    <w:p>
      <w:pPr>
        <w:spacing w:after="0"/>
        <w:tabs>
          <w:tab w:leader="none" w:pos="5720" w:val="left"/>
        </w:tabs>
        <w:rPr>
          <w:sz w:val="20"/>
          <w:szCs w:val="20"/>
          <w:color w:val="auto"/>
        </w:rPr>
      </w:pPr>
      <w:r>
        <w:rPr>
          <w:rFonts w:ascii="Arial" w:cs="Arial" w:eastAsia="Arial" w:hAnsi="Arial"/>
          <w:sz w:val="12"/>
          <w:szCs w:val="12"/>
          <w:b w:val="1"/>
          <w:bCs w:val="1"/>
          <w:color w:val="auto"/>
        </w:rPr>
        <w:t>Delaware</w:t>
      </w:r>
      <w:r>
        <w:rPr>
          <w:sz w:val="20"/>
          <w:szCs w:val="20"/>
          <w:color w:val="auto"/>
        </w:rPr>
        <w:tab/>
      </w:r>
      <w:r>
        <w:rPr>
          <w:rFonts w:ascii="Arial" w:cs="Arial" w:eastAsia="Arial" w:hAnsi="Arial"/>
          <w:sz w:val="12"/>
          <w:szCs w:val="12"/>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9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680"/>
          </w:cols>
          <w:pgMar w:left="320" w:top="574" w:right="8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w:t>
      </w:r>
    </w:p>
    <w:p>
      <w:pPr>
        <w:spacing w:after="0" w:line="13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There are no equivalent provisions in Singapore under the Singapore Companies Act.</w:t>
      </w:r>
    </w:p>
    <w:p>
      <w:pPr>
        <w:spacing w:after="0" w:line="1054" w:lineRule="exact"/>
        <w:rPr>
          <w:sz w:val="20"/>
          <w:szCs w:val="20"/>
          <w:color w:val="auto"/>
        </w:rPr>
      </w:pPr>
    </w:p>
    <w:p>
      <w:pPr>
        <w:sectPr>
          <w:pgSz w:w="11900" w:h="16838" w:orient="portrait"/>
          <w:cols w:equalWidth="0" w:num="2">
            <w:col w:w="5480" w:space="260"/>
            <w:col w:w="4940"/>
          </w:cols>
          <w:pgMar w:left="320" w:top="574" w:right="89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Voting</w:t>
      </w:r>
    </w:p>
    <w:p>
      <w:pPr>
        <w:spacing w:after="0" w:line="13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There are no equivalent provisions in Singapore under the Singapore Companies Act.</w:t>
      </w:r>
    </w:p>
    <w:p>
      <w:pPr>
        <w:spacing w:after="0" w:line="1068" w:lineRule="exact"/>
        <w:rPr>
          <w:sz w:val="20"/>
          <w:szCs w:val="20"/>
          <w:color w:val="auto"/>
        </w:rPr>
      </w:pPr>
    </w:p>
    <w:p>
      <w:pPr>
        <w:sectPr>
          <w:pgSz w:w="11900" w:h="16838" w:orient="portrait"/>
          <w:cols w:equalWidth="0" w:num="2">
            <w:col w:w="5440" w:space="300"/>
            <w:col w:w="4940"/>
          </w:cols>
          <w:pgMar w:left="320" w:top="574" w:right="899" w:bottom="1440" w:gutter="0" w:footer="0" w:header="0"/>
          <w:type w:val="continuous"/>
        </w:sectPr>
      </w:pP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680"/>
          </w:cols>
          <w:pgMar w:left="320" w:top="574" w:right="89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20"/>
          <w:szCs w:val="20"/>
          <w:b w:val="1"/>
          <w:bCs w:val="1"/>
          <w:u w:val="single" w:color="auto"/>
          <w:color w:val="auto"/>
        </w:rPr>
        <w:t>E</w:t>
      </w:r>
      <w:r>
        <w:rPr>
          <w:rFonts w:ascii="Arial" w:cs="Arial" w:eastAsia="Arial" w:hAnsi="Arial"/>
          <w:sz w:val="13"/>
          <w:szCs w:val="13"/>
          <w:b w:val="1"/>
          <w:bCs w:val="1"/>
          <w:u w:val="single" w:color="auto"/>
          <w:color w:val="auto"/>
        </w:rPr>
        <w:t>XHIBIT</w:t>
      </w:r>
      <w:r>
        <w:rPr>
          <w:rFonts w:ascii="Arial" w:cs="Arial" w:eastAsia="Arial" w:hAnsi="Arial"/>
          <w:sz w:val="20"/>
          <w:szCs w:val="20"/>
          <w:b w:val="1"/>
          <w:bCs w:val="1"/>
          <w:u w:val="single" w:color="auto"/>
          <w:color w:val="auto"/>
        </w:rPr>
        <w:t xml:space="preserve"> 10.3.2</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XECUTION</w:t>
      </w:r>
      <w:r>
        <w:rPr>
          <w:rFonts w:ascii="Arial" w:cs="Arial" w:eastAsia="Arial" w:hAnsi="Arial"/>
          <w:sz w:val="20"/>
          <w:szCs w:val="20"/>
          <w:b w:val="1"/>
          <w:bCs w:val="1"/>
          <w:color w:val="auto"/>
        </w:rPr>
        <w:t xml:space="preserve"> V</w:t>
      </w:r>
      <w:r>
        <w:rPr>
          <w:rFonts w:ascii="Arial" w:cs="Arial" w:eastAsia="Arial" w:hAnsi="Arial"/>
          <w:sz w:val="13"/>
          <w:szCs w:val="13"/>
          <w:b w:val="1"/>
          <w:bCs w:val="1"/>
          <w:color w:val="auto"/>
        </w:rPr>
        <w:t>ERSION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ECOND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MENDMENT</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OLLABORATION AND</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p>
    <w:p>
      <w:pPr>
        <w:spacing w:after="0" w:line="192" w:lineRule="exact"/>
        <w:rPr>
          <w:sz w:val="20"/>
          <w:szCs w:val="20"/>
          <w:color w:val="auto"/>
        </w:rPr>
      </w:pPr>
    </w:p>
    <w:p>
      <w:pPr>
        <w:jc w:val="both"/>
        <w:ind w:firstLine="769"/>
        <w:spacing w:after="0" w:line="243" w:lineRule="auto"/>
        <w:rPr>
          <w:sz w:val="20"/>
          <w:szCs w:val="20"/>
          <w:color w:val="auto"/>
        </w:rPr>
      </w:pPr>
      <w:r>
        <w:rPr>
          <w:rFonts w:ascii="Arial" w:cs="Arial" w:eastAsia="Arial" w:hAnsi="Arial"/>
          <w:sz w:val="20"/>
          <w:szCs w:val="20"/>
          <w:color w:val="auto"/>
        </w:rPr>
        <w:t>This Second Amendment (this “</w:t>
      </w:r>
      <w:r>
        <w:rPr>
          <w:rFonts w:ascii="Arial" w:cs="Arial" w:eastAsia="Arial" w:hAnsi="Arial"/>
          <w:sz w:val="20"/>
          <w:szCs w:val="20"/>
          <w:b w:val="1"/>
          <w:bCs w:val="1"/>
          <w:color w:val="auto"/>
        </w:rPr>
        <w:t>Second Amendment</w:t>
      </w:r>
      <w:r>
        <w:rPr>
          <w:rFonts w:ascii="Arial" w:cs="Arial" w:eastAsia="Arial" w:hAnsi="Arial"/>
          <w:sz w:val="20"/>
          <w:szCs w:val="20"/>
          <w:color w:val="auto"/>
        </w:rPr>
        <w:t>”) to the Collaboration Agreement (as defined below) is entered into as of October 15, 2021 (“</w:t>
      </w:r>
      <w:r>
        <w:rPr>
          <w:rFonts w:ascii="Arial" w:cs="Arial" w:eastAsia="Arial" w:hAnsi="Arial"/>
          <w:sz w:val="20"/>
          <w:szCs w:val="20"/>
          <w:b w:val="1"/>
          <w:bCs w:val="1"/>
          <w:color w:val="auto"/>
        </w:rPr>
        <w:t>Second Amendment Effective Date</w:t>
      </w:r>
      <w:r>
        <w:rPr>
          <w:rFonts w:ascii="Arial" w:cs="Arial" w:eastAsia="Arial" w:hAnsi="Arial"/>
          <w:sz w:val="20"/>
          <w:szCs w:val="20"/>
          <w:color w:val="auto"/>
        </w:rPr>
        <w:t>”) by and among Wave Life Sciences USA, Inc., a corporation organized and existing under the Laws of the State of Delaware (“</w:t>
      </w:r>
      <w:r>
        <w:rPr>
          <w:rFonts w:ascii="Arial" w:cs="Arial" w:eastAsia="Arial" w:hAnsi="Arial"/>
          <w:sz w:val="20"/>
          <w:szCs w:val="20"/>
          <w:b w:val="1"/>
          <w:bCs w:val="1"/>
          <w:color w:val="auto"/>
        </w:rPr>
        <w:t>Wave US</w:t>
      </w:r>
      <w:r>
        <w:rPr>
          <w:rFonts w:ascii="Arial" w:cs="Arial" w:eastAsia="Arial" w:hAnsi="Arial"/>
          <w:sz w:val="20"/>
          <w:szCs w:val="20"/>
          <w:color w:val="auto"/>
        </w:rPr>
        <w:t>”), Wave Life Sciences UK Limited, a private limited company incorporated under the laws of England and Wales (“</w:t>
      </w:r>
      <w:r>
        <w:rPr>
          <w:rFonts w:ascii="Arial" w:cs="Arial" w:eastAsia="Arial" w:hAnsi="Arial"/>
          <w:sz w:val="20"/>
          <w:szCs w:val="20"/>
          <w:b w:val="1"/>
          <w:bCs w:val="1"/>
          <w:color w:val="auto"/>
        </w:rPr>
        <w:t>Wave UK</w:t>
      </w:r>
      <w:r>
        <w:rPr>
          <w:rFonts w:ascii="Arial" w:cs="Arial" w:eastAsia="Arial" w:hAnsi="Arial"/>
          <w:sz w:val="20"/>
          <w:szCs w:val="20"/>
          <w:color w:val="auto"/>
        </w:rPr>
        <w:t>”, and together with Wave US, “</w:t>
      </w:r>
      <w:r>
        <w:rPr>
          <w:rFonts w:ascii="Arial" w:cs="Arial" w:eastAsia="Arial" w:hAnsi="Arial"/>
          <w:sz w:val="20"/>
          <w:szCs w:val="20"/>
          <w:b w:val="1"/>
          <w:bCs w:val="1"/>
          <w:color w:val="auto"/>
        </w:rPr>
        <w:t>Wave</w:t>
      </w:r>
      <w:r>
        <w:rPr>
          <w:rFonts w:ascii="Arial" w:cs="Arial" w:eastAsia="Arial" w:hAnsi="Arial"/>
          <w:sz w:val="20"/>
          <w:szCs w:val="20"/>
          <w:color w:val="auto"/>
        </w:rPr>
        <w:t>”), and Takeda Pharmaceutical Company Limited, a corporation organized and existing under the Laws of Japan (“</w:t>
      </w:r>
      <w:r>
        <w:rPr>
          <w:rFonts w:ascii="Arial" w:cs="Arial" w:eastAsia="Arial" w:hAnsi="Arial"/>
          <w:sz w:val="20"/>
          <w:szCs w:val="20"/>
          <w:b w:val="1"/>
          <w:bCs w:val="1"/>
          <w:color w:val="auto"/>
        </w:rPr>
        <w:t>Takeda</w:t>
      </w:r>
      <w:r>
        <w:rPr>
          <w:rFonts w:ascii="Arial" w:cs="Arial" w:eastAsia="Arial" w:hAnsi="Arial"/>
          <w:sz w:val="20"/>
          <w:szCs w:val="20"/>
          <w:color w:val="auto"/>
        </w:rPr>
        <w:t>”). Wave and Takeda are referred to in this Agreement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 Capitalized terms that are not defined herein will have the meanings ascribed to them in the Collaboration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0" w:lineRule="exact"/>
        <w:rPr>
          <w:sz w:val="20"/>
          <w:szCs w:val="20"/>
          <w:color w:val="auto"/>
        </w:rPr>
      </w:pPr>
    </w:p>
    <w:p>
      <w:pPr>
        <w:jc w:val="both"/>
        <w:ind w:firstLine="769"/>
        <w:spacing w:after="0" w:line="248" w:lineRule="auto"/>
        <w:rPr>
          <w:sz w:val="20"/>
          <w:szCs w:val="20"/>
          <w:color w:val="auto"/>
        </w:rPr>
      </w:pPr>
      <w:r>
        <w:rPr>
          <w:rFonts w:ascii="Arial" w:cs="Arial" w:eastAsia="Arial" w:hAnsi="Arial"/>
          <w:sz w:val="20"/>
          <w:szCs w:val="20"/>
          <w:color w:val="auto"/>
        </w:rPr>
        <w:t>WHEREAS, Wave and Takeda are Parties to that certain Collaboration and License Agreement executed as of February 19, 2018, as amended by the First Amendment to the Collaboration and License Agreement, dated August 4, 2020 (such amendment, the “</w:t>
      </w:r>
      <w:r>
        <w:rPr>
          <w:rFonts w:ascii="Arial" w:cs="Arial" w:eastAsia="Arial" w:hAnsi="Arial"/>
          <w:sz w:val="20"/>
          <w:szCs w:val="20"/>
          <w:b w:val="1"/>
          <w:bCs w:val="1"/>
          <w:color w:val="auto"/>
        </w:rPr>
        <w:t>First</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w:t>
      </w:r>
      <w:r>
        <w:rPr>
          <w:rFonts w:ascii="Arial" w:cs="Arial" w:eastAsia="Arial" w:hAnsi="Arial"/>
          <w:sz w:val="20"/>
          <w:szCs w:val="20"/>
          <w:color w:val="auto"/>
        </w:rPr>
        <w:t>”, and such agreement as amended, the “</w:t>
      </w:r>
      <w:r>
        <w:rPr>
          <w:rFonts w:ascii="Arial" w:cs="Arial" w:eastAsia="Arial" w:hAnsi="Arial"/>
          <w:sz w:val="20"/>
          <w:szCs w:val="20"/>
          <w:b w:val="1"/>
          <w:bCs w:val="1"/>
          <w:color w:val="auto"/>
        </w:rPr>
        <w:t>Collaboration Agreement</w:t>
      </w:r>
      <w:r>
        <w:rPr>
          <w:rFonts w:ascii="Arial" w:cs="Arial" w:eastAsia="Arial" w:hAnsi="Arial"/>
          <w:sz w:val="20"/>
          <w:szCs w:val="20"/>
          <w:color w:val="auto"/>
        </w:rPr>
        <w:t>”);</w:t>
      </w:r>
    </w:p>
    <w:p>
      <w:pPr>
        <w:spacing w:after="0" w:line="188" w:lineRule="exact"/>
        <w:rPr>
          <w:sz w:val="20"/>
          <w:szCs w:val="20"/>
          <w:color w:val="auto"/>
        </w:rPr>
      </w:pPr>
    </w:p>
    <w:p>
      <w:pPr>
        <w:jc w:val="both"/>
        <w:ind w:firstLine="769"/>
        <w:spacing w:after="0" w:line="314" w:lineRule="auto"/>
        <w:rPr>
          <w:sz w:val="20"/>
          <w:szCs w:val="20"/>
          <w:color w:val="auto"/>
        </w:rPr>
      </w:pPr>
      <w:r>
        <w:rPr>
          <w:rFonts w:ascii="Arial" w:cs="Arial" w:eastAsia="Arial" w:hAnsi="Arial"/>
          <w:sz w:val="18"/>
          <w:szCs w:val="18"/>
          <w:color w:val="auto"/>
        </w:rPr>
        <w:t>WHEREAS, pursuant to [***] the Collaboration Agreement with respect to the Licensed Category 2 Targets in existence [***] (the “</w:t>
      </w:r>
      <w:r>
        <w:rPr>
          <w:rFonts w:ascii="Arial" w:cs="Arial" w:eastAsia="Arial" w:hAnsi="Arial"/>
          <w:sz w:val="18"/>
          <w:szCs w:val="18"/>
          <w:b w:val="1"/>
          <w:bCs w:val="1"/>
          <w:color w:val="auto"/>
        </w:rPr>
        <w:t>Existing Licensed Category 2 Targets</w:t>
      </w:r>
      <w:r>
        <w:rPr>
          <w:rFonts w:ascii="Arial" w:cs="Arial" w:eastAsia="Arial" w:hAnsi="Arial"/>
          <w:sz w:val="18"/>
          <w:szCs w:val="18"/>
          <w:color w:val="auto"/>
        </w:rPr>
        <w:t>”). For purposes of this Second Amendment, Existing Licensed Category 2 Targets shall [***];</w:t>
      </w:r>
    </w:p>
    <w:p>
      <w:pPr>
        <w:spacing w:after="0" w:line="131" w:lineRule="exact"/>
        <w:rPr>
          <w:sz w:val="20"/>
          <w:szCs w:val="20"/>
          <w:color w:val="auto"/>
        </w:rPr>
      </w:pPr>
    </w:p>
    <w:p>
      <w:pPr>
        <w:jc w:val="both"/>
        <w:ind w:right="20" w:firstLine="769"/>
        <w:spacing w:after="0" w:line="259" w:lineRule="auto"/>
        <w:rPr>
          <w:sz w:val="20"/>
          <w:szCs w:val="20"/>
          <w:color w:val="auto"/>
        </w:rPr>
      </w:pPr>
      <w:r>
        <w:rPr>
          <w:rFonts w:ascii="Arial" w:cs="Arial" w:eastAsia="Arial" w:hAnsi="Arial"/>
          <w:sz w:val="20"/>
          <w:szCs w:val="20"/>
          <w:color w:val="auto"/>
        </w:rPr>
        <w:t>WHEREAS, the Parties agree to wind down all Licensed Category 2 Programs associated with the Existing Licensed Category 2 Targets (the “</w:t>
      </w:r>
      <w:r>
        <w:rPr>
          <w:rFonts w:ascii="Arial" w:cs="Arial" w:eastAsia="Arial" w:hAnsi="Arial"/>
          <w:sz w:val="20"/>
          <w:szCs w:val="20"/>
          <w:b w:val="1"/>
          <w:bCs w:val="1"/>
          <w:color w:val="auto"/>
        </w:rPr>
        <w:t>Existing Licensed Category 2 Programs</w:t>
      </w:r>
      <w:r>
        <w:rPr>
          <w:rFonts w:ascii="Arial" w:cs="Arial" w:eastAsia="Arial" w:hAnsi="Arial"/>
          <w:sz w:val="20"/>
          <w:szCs w:val="20"/>
          <w:color w:val="auto"/>
        </w:rPr>
        <w:t>”); and</w:t>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20"/>
          <w:szCs w:val="20"/>
          <w:color w:val="auto"/>
        </w:rPr>
        <w:t>WHEREAS, the Parties desire to amend the Collaboration Agreement in connection with such wind-down.</w:t>
      </w:r>
    </w:p>
    <w:p>
      <w:pPr>
        <w:spacing w:after="0" w:line="214" w:lineRule="exact"/>
        <w:rPr>
          <w:sz w:val="20"/>
          <w:szCs w:val="20"/>
          <w:color w:val="auto"/>
        </w:rPr>
      </w:pPr>
    </w:p>
    <w:p>
      <w:pPr>
        <w:jc w:val="both"/>
        <w:ind w:firstLine="769"/>
        <w:spacing w:after="0" w:line="248" w:lineRule="auto"/>
        <w:rPr>
          <w:sz w:val="20"/>
          <w:szCs w:val="20"/>
          <w:color w:val="auto"/>
        </w:rPr>
      </w:pPr>
      <w:r>
        <w:rPr>
          <w:rFonts w:ascii="Arial" w:cs="Arial" w:eastAsia="Arial" w:hAnsi="Arial"/>
          <w:sz w:val="20"/>
          <w:szCs w:val="20"/>
          <w:color w:val="auto"/>
        </w:rPr>
        <w:t>NOW, THEREFORE, in consideration of the premises and the mutual promises and conditions set forth herein and other good and valuable consideration, the receipt and sufficiency of which are hereby acknowledged, the Parties, intending to be legally bound, do hereby agree as follows:</w:t>
      </w:r>
    </w:p>
    <w:p>
      <w:pPr>
        <w:spacing w:after="0" w:line="188" w:lineRule="exact"/>
        <w:rPr>
          <w:sz w:val="20"/>
          <w:szCs w:val="20"/>
          <w:color w:val="auto"/>
        </w:rPr>
      </w:pPr>
    </w:p>
    <w:p>
      <w:pPr>
        <w:ind w:left="800" w:hanging="792"/>
        <w:spacing w:after="0"/>
        <w:tabs>
          <w:tab w:leader="none" w:pos="8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Program Wind Down Payment</w:t>
      </w:r>
    </w:p>
    <w:p>
      <w:pPr>
        <w:spacing w:after="0" w:line="214" w:lineRule="exact"/>
        <w:rPr>
          <w:sz w:val="20"/>
          <w:szCs w:val="20"/>
          <w:color w:val="auto"/>
        </w:rPr>
      </w:pPr>
    </w:p>
    <w:p>
      <w:pPr>
        <w:jc w:val="both"/>
        <w:ind w:firstLine="769"/>
        <w:spacing w:after="0" w:line="242" w:lineRule="auto"/>
        <w:rPr>
          <w:sz w:val="20"/>
          <w:szCs w:val="20"/>
          <w:color w:val="auto"/>
        </w:rPr>
      </w:pPr>
      <w:r>
        <w:rPr>
          <w:rFonts w:ascii="Arial" w:cs="Arial" w:eastAsia="Arial" w:hAnsi="Arial"/>
          <w:sz w:val="20"/>
          <w:szCs w:val="20"/>
          <w:color w:val="auto"/>
        </w:rPr>
        <w:t>1.1 Takeda will pay a one-time non-refundable, non-creditable and not subject to set-off, payment of Twenty-Two Million Five Hundred Thousand Dollars ($22,500,000.00) to Wave as [***] with respect to the Existing Licensed Category 2 Programs (such payment, the “</w:t>
      </w:r>
      <w:r>
        <w:rPr>
          <w:rFonts w:ascii="Arial" w:cs="Arial" w:eastAsia="Arial" w:hAnsi="Arial"/>
          <w:sz w:val="20"/>
          <w:szCs w:val="20"/>
          <w:b w:val="1"/>
          <w:bCs w:val="1"/>
          <w:color w:val="auto"/>
        </w:rPr>
        <w:t>Program Wind-Down Payment</w:t>
      </w:r>
      <w:r>
        <w:rPr>
          <w:rFonts w:ascii="Arial" w:cs="Arial" w:eastAsia="Arial" w:hAnsi="Arial"/>
          <w:sz w:val="20"/>
          <w:szCs w:val="20"/>
          <w:color w:val="auto"/>
        </w:rPr>
        <w:t>”), such payment to be made no later [***] (the date Wave receives the Program Wind-Down Payment, the “</w:t>
      </w:r>
      <w:r>
        <w:rPr>
          <w:rFonts w:ascii="Arial" w:cs="Arial" w:eastAsia="Arial" w:hAnsi="Arial"/>
          <w:sz w:val="20"/>
          <w:szCs w:val="20"/>
          <w:b w:val="1"/>
          <w:bCs w:val="1"/>
          <w:color w:val="auto"/>
        </w:rPr>
        <w:t>Program Wind-Down Payment Date</w:t>
      </w:r>
      <w:r>
        <w:rPr>
          <w:rFonts w:ascii="Arial" w:cs="Arial" w:eastAsia="Arial" w:hAnsi="Arial"/>
          <w:sz w:val="20"/>
          <w:szCs w:val="20"/>
          <w:color w:val="auto"/>
        </w:rPr>
        <w:t>”). Wave desires that the Program Wind-Down Payment be allocated between Wave US and Wave UK and Takeda will make the Program Wind-Down Payment to each of Wave US and Wave UK as indicated on Exhibit A to this Second Amendment.</w:t>
      </w:r>
    </w:p>
    <w:p>
      <w:pPr>
        <w:spacing w:after="0" w:line="196" w:lineRule="exact"/>
        <w:rPr>
          <w:sz w:val="20"/>
          <w:szCs w:val="20"/>
          <w:color w:val="auto"/>
        </w:rPr>
      </w:pPr>
    </w:p>
    <w:p>
      <w:pPr>
        <w:jc w:val="both"/>
        <w:ind w:firstLine="769"/>
        <w:spacing w:after="0" w:line="277" w:lineRule="auto"/>
        <w:rPr>
          <w:sz w:val="20"/>
          <w:szCs w:val="20"/>
          <w:color w:val="auto"/>
        </w:rPr>
      </w:pPr>
      <w:r>
        <w:rPr>
          <w:rFonts w:ascii="Arial" w:cs="Arial" w:eastAsia="Arial" w:hAnsi="Arial"/>
          <w:sz w:val="18"/>
          <w:szCs w:val="18"/>
          <w:color w:val="auto"/>
        </w:rPr>
        <w:t>1.2 Takeda will pay to Wave the full amount of the Program Wind-Down Payment and will not apply the amount of any previously unspent amount of any Annual Research Fees paid by Takeda to Wave pursuant to Section 11.4.1 of the Collaboration Agreement against the Program Wind-Down Payment. Other than the Program Wind-Down Payment, Wave will not seek reimbursement or payment from Takeda for any other Licensed Category 2 Research Expenses or other amounts related to the Existing Licensed Category 2 Programs whenever incurred, including during the fourth (4</w:t>
      </w:r>
      <w:r>
        <w:rPr>
          <w:rFonts w:ascii="Arial" w:cs="Arial" w:eastAsia="Arial" w:hAnsi="Arial"/>
          <w:sz w:val="14"/>
          <w:szCs w:val="14"/>
          <w:color w:val="auto"/>
        </w:rPr>
        <w:t>th</w:t>
      </w:r>
      <w:r>
        <w:rPr>
          <w:rFonts w:ascii="Arial" w:cs="Arial" w:eastAsia="Arial" w:hAnsi="Arial"/>
          <w:sz w:val="18"/>
          <w:szCs w:val="18"/>
          <w:color w:val="auto"/>
        </w:rPr>
        <w:t>) year of the Initial Licensed Category 2 Research Term.</w:t>
      </w:r>
    </w:p>
    <w:p>
      <w:pPr>
        <w:spacing w:after="0" w:line="400" w:lineRule="exact"/>
        <w:rPr>
          <w:sz w:val="20"/>
          <w:szCs w:val="20"/>
          <w:color w:val="auto"/>
        </w:rPr>
      </w:pPr>
    </w:p>
    <w:p>
      <w:pPr>
        <w:ind w:right="420" w:firstLine="8"/>
        <w:spacing w:after="0" w:line="252" w:lineRule="auto"/>
        <w:tabs>
          <w:tab w:leader="none" w:pos="476"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ind w:left="800" w:hanging="792"/>
        <w:spacing w:after="0"/>
        <w:tabs>
          <w:tab w:leader="none" w:pos="80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Licensed Category 2 Programs</w:t>
      </w:r>
    </w:p>
    <w:p>
      <w:pPr>
        <w:spacing w:after="0" w:line="214" w:lineRule="exact"/>
        <w:rPr>
          <w:sz w:val="20"/>
          <w:szCs w:val="20"/>
          <w:color w:val="auto"/>
        </w:rPr>
      </w:pPr>
    </w:p>
    <w:p>
      <w:pPr>
        <w:jc w:val="both"/>
        <w:ind w:firstLine="769"/>
        <w:spacing w:after="0" w:line="259" w:lineRule="auto"/>
        <w:rPr>
          <w:sz w:val="20"/>
          <w:szCs w:val="20"/>
          <w:color w:val="auto"/>
        </w:rPr>
      </w:pPr>
      <w:r>
        <w:rPr>
          <w:rFonts w:ascii="Arial" w:cs="Arial" w:eastAsia="Arial" w:hAnsi="Arial"/>
          <w:sz w:val="19"/>
          <w:szCs w:val="19"/>
          <w:color w:val="auto"/>
        </w:rPr>
        <w:t>2.1 Notwithstanding anything to the contrary in the Collaboration Agreement [***], effective as of the Program Wind-Down Payment Date, the Parties hereby [***] agree to wind down the Existing Licensed Category 2 Programs, including the Licensed Category 2 Research Term with respect to all Existing Licensed Category 2 Targets, and all Existing Licensed Category 2 [***]. All Existing Licensed Category 2 Targets will be [***] of the Collaboration Agreement and, except as otherwise set forth in this Second Amendment, [***] of the Collaboration Agreement will apply with respect to the Existing Licensed Category 2 Targets [***].</w:t>
      </w:r>
    </w:p>
    <w:p>
      <w:pPr>
        <w:spacing w:after="0" w:line="180" w:lineRule="exact"/>
        <w:rPr>
          <w:sz w:val="20"/>
          <w:szCs w:val="20"/>
          <w:color w:val="auto"/>
        </w:rPr>
      </w:pPr>
    </w:p>
    <w:p>
      <w:pPr>
        <w:jc w:val="both"/>
        <w:ind w:firstLine="769"/>
        <w:spacing w:after="0" w:line="272" w:lineRule="auto"/>
        <w:rPr>
          <w:sz w:val="20"/>
          <w:szCs w:val="20"/>
          <w:color w:val="auto"/>
        </w:rPr>
      </w:pPr>
      <w:r>
        <w:rPr>
          <w:rFonts w:ascii="Arial" w:cs="Arial" w:eastAsia="Arial" w:hAnsi="Arial"/>
          <w:sz w:val="18"/>
          <w:szCs w:val="18"/>
          <w:color w:val="auto"/>
        </w:rPr>
        <w:t>2.2 Except as expressly set forth in this Second Amendment (including Section 4.3 of this Second Amendment), as of the Second Amendment Effective Date, Takeda will have no further rights or obligations (including under Section 13.6.1.2 of the Collaboration Agreement) to Wave with respect to the Existing Licensed Category 2 Programs, including any Existing Licensed Category 2 Targets or Licensed Category 2 Compounds associated with such Existing Licensed Category 2 Programs. Except as expressly set forth in this Second Amendment (including Section 4.3 of this Second Amendment), as of the Second Amendment Effective Date, Takeda will have no further rights or obligations under Article 4 or Sections 5.2 or 11.4.1 of the Collaboration Agreement to Wave with respect to any Licensed Category 2 Programs, including any Licensed Category 2 Compounds or any Licensed Category 2 Targets. For the avoidance of doubt, the foregoing sentence does not limit Takeda’s obligations under Section 1 of this Second Amendment.</w:t>
      </w:r>
    </w:p>
    <w:p>
      <w:pPr>
        <w:spacing w:after="0" w:line="168" w:lineRule="exact"/>
        <w:rPr>
          <w:sz w:val="20"/>
          <w:szCs w:val="20"/>
          <w:color w:val="auto"/>
        </w:rPr>
      </w:pPr>
    </w:p>
    <w:p>
      <w:pPr>
        <w:jc w:val="both"/>
        <w:ind w:firstLine="769"/>
        <w:spacing w:after="0" w:line="273" w:lineRule="auto"/>
        <w:rPr>
          <w:sz w:val="20"/>
          <w:szCs w:val="20"/>
          <w:color w:val="auto"/>
        </w:rPr>
      </w:pPr>
      <w:r>
        <w:rPr>
          <w:rFonts w:ascii="Arial" w:cs="Arial" w:eastAsia="Arial" w:hAnsi="Arial"/>
          <w:sz w:val="18"/>
          <w:szCs w:val="18"/>
          <w:color w:val="auto"/>
        </w:rPr>
        <w:t>2.3 Except as expressly set forth in this Second Amendment (including Sections 4.3 and 4.6 of this Second Amendment), as of the Second Amendment Effective Date, Wave will have no further rights or obligations (including under Section 13.6.1.1 of the Collaboration Agreement) to Takeda with respect to the Existing Licensed Category 2 Programs, including any Existing Licensed Category 2 Targets or Licensed Category 2 Compounds associated with such Existing Licensed Category 2 Programs. Except as expressly set forth in this Second Amendment (including Sections 4.3 and 4.6 of this Second Amendment), as of the Second Amendment Effective Date, Wave will have no further rights or obligations under Article 4 or Sections 5.2 or 11.4.1 of the Collaboration Agreement to Takeda with respect to any Licensed Category 2 Programs, including any Licensed Category 2 Compounds or any Licensed Category 2 Targets</w:t>
      </w:r>
    </w:p>
    <w:p>
      <w:pPr>
        <w:spacing w:after="0" w:line="168" w:lineRule="exact"/>
        <w:rPr>
          <w:sz w:val="20"/>
          <w:szCs w:val="20"/>
          <w:color w:val="auto"/>
        </w:rPr>
      </w:pPr>
    </w:p>
    <w:p>
      <w:pPr>
        <w:jc w:val="both"/>
        <w:ind w:firstLine="769"/>
        <w:spacing w:after="0" w:line="254" w:lineRule="auto"/>
        <w:rPr>
          <w:sz w:val="20"/>
          <w:szCs w:val="20"/>
          <w:color w:val="auto"/>
        </w:rPr>
      </w:pPr>
      <w:r>
        <w:rPr>
          <w:rFonts w:ascii="Arial" w:cs="Arial" w:eastAsia="Arial" w:hAnsi="Arial"/>
          <w:sz w:val="19"/>
          <w:szCs w:val="19"/>
          <w:color w:val="auto"/>
        </w:rPr>
        <w:t>2.4 For the avoidance of doubt, if (a) pursuant to Section 3.4.2.1 of the Collaboration Agreement, Wave elects to convert a Candidate Category 1 Target that is the subject of an Option Exercise Notice into a Licensed Category 2 Target and to convert all Candidate Category 1 Compounds, Candidate Category 1 Products, and Companion Diagnostics directed to such Candidate Category 1 Target into Licensed Category 2 Compounds, Licensed Category 2 Products, and Companion Diagnostics directed to such Licensed Category 2 Target (as applicable), or (b) pursuant to Section 3.4.2.2 of the Collaboration Agreement, Takeda deems that Wave provided a Conversion Notice with respect to a Licensed Category 1 Target and thereby a Licensed Category 1 Target is converted to a Licensed Category 2 Target and all Licensed Category 1 Compounds, Licensed Category 1 Products, and Companion Diagnostics directed to such Licensed Category 1 Target are converted into Licensed Category 2 Compounds, Licensed Category 2 Products, and Companion Diagnostics directed to such Licensed Category 2 Target, respectively, then, in either case ((a) or (b)), the Collaboration Agreement (as amended by this Second Amendment) shall continue to apply with respect to such Licensed Category 2 Compounds, Licensed Category 2 Products, and Companion Diagnostics directed to such Licensed Category 2 Target. For the further avoidance of doubt, Section 11.4.1 of the Collaboration Agreement does not apply with respect to any Licensed Category 2 Target the subject of a Conversion Notice and Takeda shall have no obligations and Wave shall have no rights under Section 11.4.1.</w:t>
      </w:r>
    </w:p>
    <w:p>
      <w:pPr>
        <w:spacing w:after="0" w:line="182"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Amendment</w:t>
      </w:r>
    </w:p>
    <w:p>
      <w:pPr>
        <w:spacing w:after="0" w:line="214" w:lineRule="exact"/>
        <w:rPr>
          <w:sz w:val="20"/>
          <w:szCs w:val="20"/>
          <w:color w:val="auto"/>
        </w:rPr>
      </w:pPr>
    </w:p>
    <w:p>
      <w:pPr>
        <w:jc w:val="both"/>
        <w:ind w:firstLine="769"/>
        <w:spacing w:after="0" w:line="277" w:lineRule="auto"/>
        <w:rPr>
          <w:sz w:val="20"/>
          <w:szCs w:val="20"/>
          <w:color w:val="auto"/>
        </w:rPr>
      </w:pPr>
      <w:r>
        <w:rPr>
          <w:rFonts w:ascii="Arial" w:cs="Arial" w:eastAsia="Arial" w:hAnsi="Arial"/>
          <w:sz w:val="18"/>
          <w:szCs w:val="18"/>
          <w:color w:val="auto"/>
        </w:rPr>
        <w:t>3.1 Notwithstanding anything to the contrary in the Collaboration Agreement, Takeda hereby grants to Wave and its Affiliates, an exclusive, royalty-free, fully paid, worldwide, irrevocable, perpetual license, with the right to grant sublicenses through multiple tiers, under the Reversion Technology, solely to the extent necessary to Exploit Reversion Products in the Field in the Territory (such license, the “</w:t>
      </w:r>
      <w:r>
        <w:rPr>
          <w:rFonts w:ascii="Arial" w:cs="Arial" w:eastAsia="Arial" w:hAnsi="Arial"/>
          <w:sz w:val="18"/>
          <w:szCs w:val="18"/>
          <w:b w:val="1"/>
          <w:bCs w:val="1"/>
          <w:color w:val="auto"/>
        </w:rPr>
        <w:t>Reversion License</w:t>
      </w:r>
      <w:r>
        <w:rPr>
          <w:rFonts w:ascii="Arial" w:cs="Arial" w:eastAsia="Arial" w:hAnsi="Arial"/>
          <w:sz w:val="18"/>
          <w:szCs w:val="18"/>
          <w:color w:val="auto"/>
        </w:rPr>
        <w:t>” for purposes of this Second Amendment and the Collaboration Agreement). Except as modified by this Section 3.1 of this Second Amendment, Section 16.6.3 of the Collaboration Agreement shall apply with respect to such Reversion License.</w:t>
      </w:r>
    </w:p>
    <w:p>
      <w:pPr>
        <w:spacing w:after="0" w:line="387" w:lineRule="exact"/>
        <w:rPr>
          <w:sz w:val="20"/>
          <w:szCs w:val="20"/>
          <w:color w:val="auto"/>
        </w:rPr>
      </w:pPr>
    </w:p>
    <w:p>
      <w:pPr>
        <w:ind w:right="420" w:firstLine="8"/>
        <w:spacing w:after="0" w:line="252" w:lineRule="auto"/>
        <w:tabs>
          <w:tab w:leader="none" w:pos="476"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473" w:right="339" w:bottom="1440" w:gutter="0" w:footer="0" w:header="0"/>
        </w:sectPr>
      </w:pPr>
    </w:p>
    <w:bookmarkStart w:id="157" w:name="page158"/>
    <w:bookmarkEnd w:id="157"/>
    <w:p>
      <w:pPr>
        <w:jc w:val="both"/>
        <w:ind w:firstLine="769"/>
        <w:spacing w:after="0" w:line="255" w:lineRule="auto"/>
        <w:rPr>
          <w:sz w:val="20"/>
          <w:szCs w:val="20"/>
          <w:color w:val="auto"/>
        </w:rPr>
      </w:pPr>
      <w:r>
        <w:rPr>
          <w:rFonts w:ascii="Arial" w:cs="Arial" w:eastAsia="Arial" w:hAnsi="Arial"/>
          <w:sz w:val="19"/>
          <w:szCs w:val="19"/>
          <w:color w:val="auto"/>
        </w:rPr>
        <w:t>3.2 Notwithstanding anything to the contrary in the Collaboration Agreement, the Parties acknowledge and agree that Sections 16.6.4, 16.6.5, 16.6.6, 16.6.7, 16.6.8 and 16.6.9 of the Collaboration Agreement are not applicable for the Existing Licensed Category 2 Targets, and Takeda shall have no obligations under any such Section of the Collaboration Agreement under this Second Amendment, the wind down of such Existing Licensed Category 2 Programs [***]. Takeda hereby represents and warrants to Wave as of the Second Amendment Effective Date that, to the knowledge of Takeda, Takeda is not party to any Third Party agreement relating exclusively to the Exploitation of any Reversion Product. Notwithstanding anything to the contrary in this Section 3.2 of this Second Amendment, if following the Second Amendment Effective Date, Takeda determines that it is party to any Third Party agreement relating exclusively to the Exploitation of any Reversion Product, then Takeda shall promptly give Wave notice of the same and the Parties shall comply with Section 16.6.7 of the Collaboration Agreement.</w:t>
      </w:r>
    </w:p>
    <w:p>
      <w:pPr>
        <w:spacing w:after="0" w:line="184"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Solely for purposes of this Second Amendment and with respect to all Existing Licensed Category 2 Targets, Section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16.9 of the Collaboration Agreement is hereby amended and restated as follows:</w:t>
      </w:r>
    </w:p>
    <w:p>
      <w:pPr>
        <w:spacing w:after="0" w:line="198" w:lineRule="exact"/>
        <w:rPr>
          <w:sz w:val="20"/>
          <w:szCs w:val="20"/>
          <w:color w:val="auto"/>
        </w:rPr>
      </w:pPr>
    </w:p>
    <w:p>
      <w:pPr>
        <w:jc w:val="both"/>
        <w:ind w:left="780"/>
        <w:spacing w:after="0" w:line="254" w:lineRule="auto"/>
        <w:rPr>
          <w:sz w:val="20"/>
          <w:szCs w:val="20"/>
          <w:color w:val="auto"/>
        </w:rPr>
      </w:pPr>
      <w:r>
        <w:rPr>
          <w:rFonts w:ascii="Arial" w:cs="Arial" w:eastAsia="Arial" w:hAnsi="Arial"/>
          <w:sz w:val="19"/>
          <w:szCs w:val="19"/>
          <w:color w:val="auto"/>
        </w:rPr>
        <w:t>“In addition to the termination consequences set forth in Section 16.6 (Effects of Termination by Wave for Cause or Takeda for Convenience) (together with the Sections referenced therein), the following provisions will survive termination of this Agreement with respect to all Existing Licensed Category 2 Targets: all of Sections 1 (Definitions), 5.5 (Scientific Records) to the extent consistent with the applicable Party’s record retention policies, 10.7 (No Other Rights) (solely in case of termination), 12 (Confidentiality and Publication), 14.5 (Limitation of Liability), 15.1 (Inventorship), 15.2 (Ownership), 15.4.3 (Joint Collaboration IP), 15.4.4 (Patent Assistance) (solely with respect to Joint Collaboration IP), 15.5 (Third Party Infringement and Defense) (solely with respect to Joint Collaboration IP), 15.9 (Common Interest), Section 16.9 (Survival), and 17 (Miscellaneous). Except as otherwise set forth in this Second Amendment, termination of this Agreement with respect to the Existing Licensed Category 2 Targets will not relieve the Parties of any liability or obligation which accrued hereunder prior to the effective date of such termination, nor preclude either Party from pursuing all rights and remedies it may have hereunder or at law or in equity, with respect to any breach of this Agreement.”</w:t>
      </w:r>
    </w:p>
    <w:p>
      <w:pPr>
        <w:spacing w:after="0" w:line="187"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color w:val="auto"/>
        </w:rPr>
        <w:t>Section 5.3.2 of the Collaboration Agreement is hereby amended and restated in its entirety as follows:</w:t>
      </w:r>
    </w:p>
    <w:p>
      <w:pPr>
        <w:spacing w:after="0" w:line="208" w:lineRule="exact"/>
        <w:rPr>
          <w:sz w:val="20"/>
          <w:szCs w:val="20"/>
          <w:color w:val="auto"/>
        </w:rPr>
      </w:pPr>
    </w:p>
    <w:p>
      <w:pPr>
        <w:jc w:val="both"/>
        <w:ind w:left="780"/>
        <w:spacing w:after="0" w:line="269"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b w:val="1"/>
          <w:bCs w:val="1"/>
          <w:color w:val="auto"/>
        </w:rPr>
        <w:t>Licensed Category 2 Transition Plan</w:t>
      </w:r>
      <w:r>
        <w:rPr>
          <w:rFonts w:ascii="Arial" w:cs="Arial" w:eastAsia="Arial" w:hAnsi="Arial"/>
          <w:sz w:val="18"/>
          <w:szCs w:val="18"/>
          <w:color w:val="auto"/>
        </w:rPr>
        <w:t>. On a Licensed Category 2 Target-by-Licensed Category 2 Target basis, no later than sixty (60) days after a Conversion Notice pursuant to Section 3.4.2.1 or Takeda deeming a failure to pay as delivery of a Conversion Notice pursuant to Section 3.4.2.2, the Parties will prepare a plan for the transition from Wave to Takeda of all further Development and regulatory activities for Licensed Category 2 Compounds, Licensed Category 2 Products, and Companion Diagnostics directed to the applicable Licensed Category 2 Target, including any required technology transfer (for each such Licensed Category 2 Target, a “</w:t>
      </w:r>
      <w:r>
        <w:rPr>
          <w:rFonts w:ascii="Arial" w:cs="Arial" w:eastAsia="Arial" w:hAnsi="Arial"/>
          <w:sz w:val="18"/>
          <w:szCs w:val="18"/>
          <w:b w:val="1"/>
          <w:bCs w:val="1"/>
          <w:color w:val="auto"/>
        </w:rPr>
        <w:t>Licensed Category 2 Transition Plan</w:t>
      </w:r>
      <w:r>
        <w:rPr>
          <w:rFonts w:ascii="Arial" w:cs="Arial" w:eastAsia="Arial" w:hAnsi="Arial"/>
          <w:sz w:val="18"/>
          <w:szCs w:val="18"/>
          <w:color w:val="auto"/>
        </w:rPr>
        <w:t>”). Each Licensed Category 2 Transition Plan will include</w:t>
      </w:r>
    </w:p>
    <w:p>
      <w:pPr>
        <w:spacing w:after="0" w:line="2" w:lineRule="exact"/>
        <w:rPr>
          <w:sz w:val="20"/>
          <w:szCs w:val="20"/>
          <w:color w:val="auto"/>
        </w:rPr>
      </w:pPr>
    </w:p>
    <w:p>
      <w:pPr>
        <w:jc w:val="both"/>
        <w:ind w:left="780" w:hanging="3"/>
        <w:spacing w:after="0" w:line="267" w:lineRule="auto"/>
        <w:tabs>
          <w:tab w:leader="none" w:pos="111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assignment from Wave to Takeda of all INDs, Regulatory Approvals, Regulatory Materials and other regulatory documentation related to such Licensed Category 2 Compounds, Licensed Category 2 Products, and Companion Diagnostics directed to the applicable Licensed Category 2 Target, and (b) a detailed budget for such activities, that takes into account the expected costs of such activities (for each Licensed Category 2 Target, the “</w:t>
      </w:r>
      <w:r>
        <w:rPr>
          <w:rFonts w:ascii="Arial" w:cs="Arial" w:eastAsia="Arial" w:hAnsi="Arial"/>
          <w:sz w:val="18"/>
          <w:szCs w:val="18"/>
          <w:b w:val="1"/>
          <w:bCs w:val="1"/>
          <w:color w:val="auto"/>
        </w:rPr>
        <w:t>Licensed Category 2 Transition Budget</w:t>
      </w:r>
      <w:r>
        <w:rPr>
          <w:rFonts w:ascii="Arial" w:cs="Arial" w:eastAsia="Arial" w:hAnsi="Arial"/>
          <w:sz w:val="18"/>
          <w:szCs w:val="18"/>
          <w:color w:val="auto"/>
        </w:rPr>
        <w:t>”). The JSC will review and discuss each such Licensed Category 2 Transition Plan and each such Licensed Category 2 Transition Plan will be subject to Takeda’s final decision making authority pursuant to Section 9.7.2.2. The Parties understand that a Licensed Category 2 Transition Plan, along with the Parties’ obligations thereunder, will commence after a Conversion Notice pursuant to Section 3.4.2.1 or Takeda deeming a failure to pay as delivery of a Conversion Notice pursuant to Section 3.4.2.2, and such obligations will continue beyond the transfer to Takeda of Regulatory Lead with respect thereto. The Parties agree that, notwithstanding anything in this Agreement to the contrary, Wave will not be required to perform activities under a Licensed Category 2 Transition Plan unless Takeda fully funds Wave’s activities in accordance with and to the extent set forth in Section 5.3.5 (Licensed Category 2 Development Expenses) other than any costs or expenses of Wave or its Affiliates to the extent caused by Wave’s breach of this Agreement. For the avoidance of doubt, and notwithstanding anything to the contrary contained in this Agreement, from and after a Conversion Notice pursuant to Section 3.4.2.1 or deemed provision of a Conversion Notice pursuant to Section</w:t>
      </w:r>
    </w:p>
    <w:p>
      <w:pPr>
        <w:spacing w:after="0" w:line="399" w:lineRule="exact"/>
        <w:rPr>
          <w:rFonts w:ascii="Arial" w:cs="Arial" w:eastAsia="Arial" w:hAnsi="Arial"/>
          <w:sz w:val="18"/>
          <w:szCs w:val="18"/>
          <w:color w:val="auto"/>
        </w:rPr>
      </w:pPr>
    </w:p>
    <w:p>
      <w:pPr>
        <w:ind w:right="420" w:firstLine="8"/>
        <w:spacing w:after="0" w:line="252" w:lineRule="auto"/>
        <w:tabs>
          <w:tab w:leader="none" w:pos="476"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58" w:name="page159"/>
    <w:bookmarkEnd w:id="158"/>
    <w:p>
      <w:pPr>
        <w:jc w:val="both"/>
        <w:ind w:left="780"/>
        <w:spacing w:after="0" w:line="281" w:lineRule="auto"/>
        <w:rPr>
          <w:sz w:val="20"/>
          <w:szCs w:val="20"/>
          <w:color w:val="auto"/>
        </w:rPr>
      </w:pPr>
      <w:r>
        <w:rPr>
          <w:rFonts w:ascii="Arial" w:cs="Arial" w:eastAsia="Arial" w:hAnsi="Arial"/>
          <w:sz w:val="18"/>
          <w:szCs w:val="18"/>
          <w:color w:val="auto"/>
        </w:rPr>
        <w:t>3.4.2.2, (x) Takeda shall be the Development Lead and the Regulatory Lead for all Licensed Category 2 Compounds, Licensed Category 2 Products, and Companion Diagnostics directed to the applicable Licensed Category 2 Target and (y) the Licensed Category 2 Development Term shall be deemed to have commenced upon the relevant Conversion Notice, or Takeda deeming a failure to pay as a Conversion Notice. This Section 5.3.2 will control in the event of a conflict with Section 3.4.2.”</w:t>
      </w:r>
    </w:p>
    <w:p>
      <w:pPr>
        <w:spacing w:after="0" w:line="161" w:lineRule="exact"/>
        <w:rPr>
          <w:sz w:val="20"/>
          <w:szCs w:val="20"/>
          <w:color w:val="auto"/>
        </w:rPr>
      </w:pPr>
    </w:p>
    <w:p>
      <w:pPr>
        <w:ind w:firstLine="769"/>
        <w:spacing w:after="0" w:line="259" w:lineRule="auto"/>
        <w:rPr>
          <w:sz w:val="20"/>
          <w:szCs w:val="20"/>
          <w:color w:val="auto"/>
        </w:rPr>
      </w:pPr>
      <w:r>
        <w:rPr>
          <w:rFonts w:ascii="Arial" w:cs="Arial" w:eastAsia="Arial" w:hAnsi="Arial"/>
          <w:sz w:val="20"/>
          <w:szCs w:val="20"/>
          <w:color w:val="auto"/>
        </w:rPr>
        <w:t>3.5 This Second Amendment will control in the event of a conflict with the Collaboration Agreement with respect to any Licensed Category 2 Targets.</w:t>
      </w:r>
    </w:p>
    <w:p>
      <w:pPr>
        <w:spacing w:after="0" w:line="176"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Additional Terms</w:t>
      </w:r>
      <w:r>
        <w:rPr>
          <w:rFonts w:ascii="Arial" w:cs="Arial" w:eastAsia="Arial" w:hAnsi="Arial"/>
          <w:sz w:val="20"/>
          <w:szCs w:val="20"/>
          <w:color w:val="auto"/>
        </w:rPr>
        <w:t>.</w:t>
      </w:r>
    </w:p>
    <w:p>
      <w:pPr>
        <w:spacing w:after="0" w:line="214"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Each Party will be responsible for its own attorneys’ fees related to this Second Amendment.</w:t>
      </w:r>
    </w:p>
    <w:p>
      <w:pPr>
        <w:spacing w:after="0" w:line="214"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color w:val="auto"/>
        </w:rPr>
        <w:t>The Parties hereby disband the Category 2 Research Committee as of the Program Wind-Down Payment Date.</w:t>
      </w:r>
    </w:p>
    <w:p>
      <w:pPr>
        <w:spacing w:after="0" w:line="214" w:lineRule="exact"/>
        <w:rPr>
          <w:sz w:val="20"/>
          <w:szCs w:val="20"/>
          <w:color w:val="auto"/>
        </w:rPr>
      </w:pPr>
    </w:p>
    <w:p>
      <w:pPr>
        <w:jc w:val="both"/>
        <w:ind w:firstLine="769"/>
        <w:spacing w:after="0" w:line="245" w:lineRule="auto"/>
        <w:rPr>
          <w:sz w:val="20"/>
          <w:szCs w:val="20"/>
          <w:color w:val="auto"/>
        </w:rPr>
      </w:pPr>
      <w:r>
        <w:rPr>
          <w:rFonts w:ascii="Arial" w:cs="Arial" w:eastAsia="Arial" w:hAnsi="Arial"/>
          <w:sz w:val="20"/>
          <w:szCs w:val="20"/>
          <w:color w:val="auto"/>
        </w:rPr>
        <w:t>4.3 Wave will [***] during a meeting of the JSC or another forum mutually acceptable to the Parties, [***] part of the Licensed Category 2 Research Program [***] within thirty (30) days following [***] pursuant to this Section 4.3 of this Second Amendment is and will remain [***] and is and will be subject to Article 12 of the Collaboration Agreement; and [***] under the Collaboration Agreement and to inform [***].</w:t>
      </w:r>
    </w:p>
    <w:p>
      <w:pPr>
        <w:spacing w:after="0" w:line="191" w:lineRule="exact"/>
        <w:rPr>
          <w:sz w:val="20"/>
          <w:szCs w:val="20"/>
          <w:color w:val="auto"/>
        </w:rPr>
      </w:pPr>
    </w:p>
    <w:p>
      <w:pPr>
        <w:jc w:val="both"/>
        <w:ind w:firstLine="769"/>
        <w:spacing w:after="0" w:line="262" w:lineRule="auto"/>
        <w:rPr>
          <w:sz w:val="20"/>
          <w:szCs w:val="20"/>
          <w:color w:val="auto"/>
        </w:rPr>
      </w:pPr>
      <w:r>
        <w:rPr>
          <w:rFonts w:ascii="Arial" w:cs="Arial" w:eastAsia="Arial" w:hAnsi="Arial"/>
          <w:sz w:val="19"/>
          <w:szCs w:val="19"/>
          <w:color w:val="auto"/>
        </w:rPr>
        <w:t>4.4 Neither Party will make any press release related to this Second Amendment without the written agreement of both Parties as to the substance of any such press release, except for the press release attached to this Second Amendment as Exhibit C, except that following such press release, either Party may make subsequent public disclosure of the information contained in such press release without the further approval of the other Party (so long as such information remains true and correct).</w:t>
      </w:r>
    </w:p>
    <w:p>
      <w:pPr>
        <w:spacing w:after="0" w:line="176" w:lineRule="exact"/>
        <w:rPr>
          <w:sz w:val="20"/>
          <w:szCs w:val="20"/>
          <w:color w:val="auto"/>
        </w:rPr>
      </w:pPr>
    </w:p>
    <w:p>
      <w:pPr>
        <w:ind w:left="780"/>
        <w:spacing w:after="0"/>
        <w:tabs>
          <w:tab w:leader="none" w:pos="1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color w:val="auto"/>
        </w:rPr>
        <w:t>Effective as of the Program Wind-Down Payment Date, each Party hereby grants the other Party [***].</w:t>
      </w:r>
    </w:p>
    <w:p>
      <w:pPr>
        <w:spacing w:after="0" w:line="214" w:lineRule="exact"/>
        <w:rPr>
          <w:sz w:val="20"/>
          <w:szCs w:val="20"/>
          <w:color w:val="auto"/>
        </w:rPr>
      </w:pPr>
    </w:p>
    <w:p>
      <w:pPr>
        <w:jc w:val="both"/>
        <w:ind w:firstLine="769"/>
        <w:spacing w:after="0" w:line="277" w:lineRule="auto"/>
        <w:rPr>
          <w:sz w:val="20"/>
          <w:szCs w:val="20"/>
          <w:color w:val="auto"/>
        </w:rPr>
      </w:pPr>
      <w:r>
        <w:rPr>
          <w:rFonts w:ascii="Arial" w:cs="Arial" w:eastAsia="Arial" w:hAnsi="Arial"/>
          <w:sz w:val="18"/>
          <w:szCs w:val="18"/>
          <w:color w:val="auto"/>
        </w:rPr>
        <w:t>4.6 Wave will indemnify, hold harmless, and defend Takeda Indemnitees from and against any and all Losses arising out of or resulting from, directly or indirectly, the Exploitation of [***] by or on behalf of Wave or any of its Related Parties. Notwithstanding the foregoing, Wave will have no obligation to indemnify the Takeda Indemnitees to the extent that the Losses arise out of or result from, directly or indirectly, matters for which Takeda is obligated to indemnify Wave under Sections 14.1 of the Collaboration Agreement. Sections 14.4 and 14.5 of the Collaboration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will apply to all claims under this Section 4.6 of this Second Amendment.</w:t>
      </w:r>
    </w:p>
    <w:p>
      <w:pPr>
        <w:spacing w:after="0" w:line="164"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4" w:lineRule="exact"/>
        <w:rPr>
          <w:sz w:val="20"/>
          <w:szCs w:val="20"/>
          <w:color w:val="auto"/>
        </w:rPr>
      </w:pPr>
    </w:p>
    <w:p>
      <w:pPr>
        <w:ind w:firstLine="769"/>
        <w:spacing w:after="0" w:line="259" w:lineRule="auto"/>
        <w:rPr>
          <w:sz w:val="20"/>
          <w:szCs w:val="20"/>
          <w:color w:val="auto"/>
        </w:rPr>
      </w:pPr>
      <w:r>
        <w:rPr>
          <w:rFonts w:ascii="Arial" w:cs="Arial" w:eastAsia="Arial" w:hAnsi="Arial"/>
          <w:sz w:val="20"/>
          <w:szCs w:val="20"/>
          <w:color w:val="auto"/>
        </w:rPr>
        <w:t>5.1 Except as herein provided, the Collaboration Agreement and all of its terms remain in full force and effect. The Collaboration Agreement will, together with this Second Amendment, be read and construed as a single agreement.</w:t>
      </w:r>
    </w:p>
    <w:p>
      <w:pPr>
        <w:spacing w:after="0" w:line="176" w:lineRule="exact"/>
        <w:rPr>
          <w:sz w:val="20"/>
          <w:szCs w:val="20"/>
          <w:color w:val="auto"/>
        </w:rPr>
      </w:pPr>
    </w:p>
    <w:p>
      <w:pPr>
        <w:ind w:firstLine="769"/>
        <w:spacing w:after="0" w:line="259" w:lineRule="auto"/>
        <w:rPr>
          <w:sz w:val="20"/>
          <w:szCs w:val="20"/>
          <w:color w:val="auto"/>
        </w:rPr>
      </w:pPr>
      <w:r>
        <w:rPr>
          <w:rFonts w:ascii="Arial" w:cs="Arial" w:eastAsia="Arial" w:hAnsi="Arial"/>
          <w:sz w:val="20"/>
          <w:szCs w:val="20"/>
          <w:color w:val="auto"/>
        </w:rPr>
        <w:t>5.2 This Second Amendment may be executed in two or more counterparts, including by facsimile or PDF signature pages, each of which will be deemed an original, but all of which together will constitute one and the same instrument.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this page is left intentionally blank.]</w:t>
      </w:r>
    </w:p>
    <w:p>
      <w:pPr>
        <w:spacing w:after="0" w:line="200" w:lineRule="exact"/>
        <w:rPr>
          <w:sz w:val="20"/>
          <w:szCs w:val="20"/>
          <w:color w:val="auto"/>
        </w:rPr>
      </w:pPr>
    </w:p>
    <w:p>
      <w:pPr>
        <w:spacing w:after="0" w:line="237" w:lineRule="exact"/>
        <w:rPr>
          <w:sz w:val="20"/>
          <w:szCs w:val="20"/>
          <w:color w:val="auto"/>
        </w:rPr>
      </w:pPr>
    </w:p>
    <w:p>
      <w:pPr>
        <w:ind w:right="420" w:firstLine="8"/>
        <w:spacing w:after="0" w:line="252" w:lineRule="auto"/>
        <w:tabs>
          <w:tab w:leader="none" w:pos="476"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59" w:name="page160"/>
    <w:bookmarkEnd w:id="159"/>
    <w:p>
      <w:pPr>
        <w:ind w:right="100" w:firstLine="769"/>
        <w:spacing w:after="0" w:line="259" w:lineRule="auto"/>
        <w:rPr>
          <w:sz w:val="20"/>
          <w:szCs w:val="20"/>
          <w:color w:val="auto"/>
        </w:rPr>
      </w:pPr>
      <w:r>
        <w:rPr>
          <w:rFonts w:ascii="Arial" w:cs="Arial" w:eastAsia="Arial" w:hAnsi="Arial"/>
          <w:sz w:val="20"/>
          <w:szCs w:val="20"/>
          <w:color w:val="auto"/>
        </w:rPr>
        <w:t>IN WITNESS WHEREOF, the Parties have caused this Second Amendment to be executed by their duly authorized representatives as of the Second Amendment Effective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40" w:type="dxa"/>
            <w:vAlign w:val="bottom"/>
            <w:gridSpan w:val="2"/>
          </w:tcPr>
          <w:p>
            <w:pPr>
              <w:spacing w:after="0"/>
              <w:rPr>
                <w:sz w:val="20"/>
                <w:szCs w:val="20"/>
                <w:color w:val="auto"/>
              </w:rPr>
            </w:pPr>
            <w:r>
              <w:rPr>
                <w:rFonts w:ascii="Arial" w:cs="Arial" w:eastAsia="Arial" w:hAnsi="Arial"/>
                <w:sz w:val="20"/>
                <w:szCs w:val="20"/>
                <w:b w:val="1"/>
                <w:bCs w:val="1"/>
                <w:color w:val="auto"/>
              </w:rPr>
              <w:t>WAVE LIFE SCIENCES USA, INC.</w:t>
            </w:r>
          </w:p>
        </w:tc>
        <w:tc>
          <w:tcPr>
            <w:tcW w:w="5700" w:type="dxa"/>
            <w:vAlign w:val="bottom"/>
            <w:gridSpan w:val="2"/>
          </w:tcPr>
          <w:p>
            <w:pPr>
              <w:ind w:left="140"/>
              <w:spacing w:after="0"/>
              <w:rPr>
                <w:sz w:val="20"/>
                <w:szCs w:val="20"/>
                <w:color w:val="auto"/>
              </w:rPr>
            </w:pPr>
            <w:r>
              <w:rPr>
                <w:rFonts w:ascii="Arial" w:cs="Arial" w:eastAsia="Arial" w:hAnsi="Arial"/>
                <w:sz w:val="20"/>
                <w:szCs w:val="20"/>
                <w:b w:val="1"/>
                <w:bCs w:val="1"/>
                <w:color w:val="auto"/>
              </w:rPr>
              <w:t>WAVE LIFE SCIENCES UK LIMITED</w:t>
            </w:r>
          </w:p>
        </w:tc>
      </w:tr>
      <w:tr>
        <w:trPr>
          <w:trHeight w:val="453"/>
        </w:trPr>
        <w:tc>
          <w:tcPr>
            <w:tcW w:w="820" w:type="dxa"/>
            <w:vAlign w:val="bottom"/>
          </w:tcPr>
          <w:p>
            <w:pPr>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w:t>
            </w:r>
          </w:p>
        </w:tc>
        <w:tc>
          <w:tcPr>
            <w:tcW w:w="48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Kyle Moran</w:t>
            </w:r>
          </w:p>
        </w:tc>
        <w:tc>
          <w:tcPr>
            <w:tcW w:w="940" w:type="dxa"/>
            <w:vAlign w:val="bottom"/>
          </w:tcPr>
          <w:p>
            <w:pPr>
              <w:ind w:left="1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w:t>
            </w:r>
          </w:p>
        </w:tc>
        <w:tc>
          <w:tcPr>
            <w:tcW w:w="47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Kate Burt</w:t>
            </w:r>
          </w:p>
        </w:tc>
      </w:tr>
      <w:tr>
        <w:trPr>
          <w:trHeight w:val="455"/>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820" w:type="dxa"/>
            <w:vAlign w:val="bottom"/>
          </w:tcPr>
          <w:p>
            <w:pPr>
              <w:spacing w:after="0"/>
              <w:rPr>
                <w:sz w:val="20"/>
                <w:szCs w:val="20"/>
                <w:color w:val="auto"/>
              </w:rPr>
            </w:pPr>
            <w:r>
              <w:rPr>
                <w:rFonts w:ascii="Arial" w:cs="Arial" w:eastAsia="Arial" w:hAnsi="Arial"/>
                <w:sz w:val="20"/>
                <w:szCs w:val="20"/>
                <w:color w:val="auto"/>
              </w:rPr>
              <w:t>Kyle Moran</w:t>
            </w:r>
          </w:p>
        </w:tc>
        <w:tc>
          <w:tcPr>
            <w:tcW w:w="940" w:type="dxa"/>
            <w:vAlign w:val="bottom"/>
          </w:tcPr>
          <w:p>
            <w:pPr>
              <w:ind w:left="140"/>
              <w:spacing w:after="0"/>
              <w:rPr>
                <w:sz w:val="20"/>
                <w:szCs w:val="20"/>
                <w:color w:val="auto"/>
              </w:rPr>
            </w:pPr>
            <w:r>
              <w:rPr>
                <w:rFonts w:ascii="Arial" w:cs="Arial" w:eastAsia="Arial" w:hAnsi="Arial"/>
                <w:sz w:val="20"/>
                <w:szCs w:val="20"/>
                <w:color w:val="auto"/>
              </w:rPr>
              <w:t>NAME:</w:t>
            </w:r>
          </w:p>
        </w:tc>
        <w:tc>
          <w:tcPr>
            <w:tcW w:w="4760" w:type="dxa"/>
            <w:vAlign w:val="bottom"/>
          </w:tcPr>
          <w:p>
            <w:pPr>
              <w:spacing w:after="0"/>
              <w:rPr>
                <w:sz w:val="20"/>
                <w:szCs w:val="20"/>
                <w:color w:val="auto"/>
              </w:rPr>
            </w:pPr>
            <w:r>
              <w:rPr>
                <w:rFonts w:ascii="Arial" w:cs="Arial" w:eastAsia="Arial" w:hAnsi="Arial"/>
                <w:sz w:val="20"/>
                <w:szCs w:val="20"/>
                <w:color w:val="auto"/>
              </w:rPr>
              <w:t>Kate Burt</w:t>
            </w:r>
          </w:p>
        </w:tc>
      </w:tr>
      <w:tr>
        <w:trPr>
          <w:trHeight w:val="457"/>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940" w:type="dxa"/>
            <w:vAlign w:val="bottom"/>
          </w:tcPr>
          <w:p>
            <w:pPr>
              <w:ind w:left="140"/>
              <w:spacing w:after="0"/>
              <w:rPr>
                <w:sz w:val="20"/>
                <w:szCs w:val="20"/>
                <w:color w:val="auto"/>
              </w:rPr>
            </w:pPr>
            <w:r>
              <w:rPr>
                <w:rFonts w:ascii="Arial" w:cs="Arial" w:eastAsia="Arial" w:hAnsi="Arial"/>
                <w:sz w:val="20"/>
                <w:szCs w:val="20"/>
                <w:color w:val="auto"/>
              </w:rPr>
              <w:t>TITLE:</w:t>
            </w:r>
          </w:p>
        </w:tc>
        <w:tc>
          <w:tcPr>
            <w:tcW w:w="4760" w:type="dxa"/>
            <w:vAlign w:val="bottom"/>
          </w:tcPr>
          <w:p>
            <w:pPr>
              <w:spacing w:after="0"/>
              <w:rPr>
                <w:sz w:val="20"/>
                <w:szCs w:val="20"/>
                <w:color w:val="auto"/>
              </w:rPr>
            </w:pPr>
            <w:r>
              <w:rPr>
                <w:rFonts w:ascii="Arial" w:cs="Arial" w:eastAsia="Arial" w:hAnsi="Arial"/>
                <w:sz w:val="20"/>
                <w:szCs w:val="20"/>
                <w:color w:val="auto"/>
              </w:rPr>
              <w:t>VP, Corporate Development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TAKEDA PHARMACEUTICAL COMPANY LIMITED</w:t>
      </w: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w:t>
      </w:r>
      <w:r>
        <w:rPr>
          <w:sz w:val="20"/>
          <w:szCs w:val="20"/>
          <w:color w:val="auto"/>
        </w:rPr>
        <w:tab/>
      </w:r>
      <w:r>
        <w:rPr>
          <w:rFonts w:ascii="Arial" w:cs="Arial" w:eastAsia="Arial" w:hAnsi="Arial"/>
          <w:sz w:val="16"/>
          <w:szCs w:val="16"/>
          <w:color w:val="auto"/>
        </w:rPr>
        <w:t>/s/ Ceri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10160</wp:posOffset>
            </wp:positionV>
            <wp:extent cx="30664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 Ceri Davies</w:t>
      </w:r>
    </w:p>
    <w:p>
      <w:pPr>
        <w:spacing w:after="0" w:line="227"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520" w:firstLine="8"/>
        <w:spacing w:after="0" w:line="252" w:lineRule="auto"/>
        <w:tabs>
          <w:tab w:leader="none" w:pos="476"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340"/>
          </w:cols>
          <w:pgMar w:left="320" w:top="365" w:right="239" w:bottom="1440" w:gutter="0" w:footer="0" w:header="0"/>
        </w:sectPr>
      </w:pPr>
    </w:p>
    <w:bookmarkStart w:id="160" w:name="page161"/>
    <w:bookmarkEnd w:id="160"/>
    <w:p>
      <w:pPr>
        <w:jc w:val="center"/>
        <w:ind w:right="-431"/>
        <w:spacing w:after="0"/>
        <w:rPr>
          <w:sz w:val="20"/>
          <w:szCs w:val="20"/>
          <w:color w:val="auto"/>
        </w:rPr>
      </w:pPr>
      <w:r>
        <w:rPr>
          <w:rFonts w:ascii="Arial" w:cs="Arial" w:eastAsia="Arial" w:hAnsi="Arial"/>
          <w:sz w:val="20"/>
          <w:szCs w:val="20"/>
          <w:u w:val="single" w:color="auto"/>
          <w:color w:val="auto"/>
        </w:rPr>
        <w:t>Exhibit A</w:t>
      </w:r>
    </w:p>
    <w:p>
      <w:pPr>
        <w:spacing w:after="0" w:line="227" w:lineRule="exact"/>
        <w:rPr>
          <w:sz w:val="20"/>
          <w:szCs w:val="20"/>
          <w:color w:val="auto"/>
        </w:rPr>
      </w:pPr>
    </w:p>
    <w:p>
      <w:pPr>
        <w:ind w:left="3852"/>
        <w:spacing w:after="0"/>
        <w:rPr>
          <w:sz w:val="20"/>
          <w:szCs w:val="20"/>
          <w:color w:val="auto"/>
        </w:rPr>
      </w:pPr>
      <w:r>
        <w:rPr>
          <w:rFonts w:ascii="Arial" w:cs="Arial" w:eastAsia="Arial" w:hAnsi="Arial"/>
          <w:sz w:val="20"/>
          <w:szCs w:val="20"/>
          <w:u w:val="single" w:color="auto"/>
          <w:color w:val="auto"/>
        </w:rPr>
        <w:t>Allocation of Program Wind-Down Payment</w:t>
      </w:r>
    </w:p>
    <w:p>
      <w:pPr>
        <w:spacing w:after="0" w:line="227" w:lineRule="exact"/>
        <w:rPr>
          <w:sz w:val="20"/>
          <w:szCs w:val="20"/>
          <w:color w:val="auto"/>
        </w:rPr>
      </w:pPr>
    </w:p>
    <w:p>
      <w:pPr>
        <w:ind w:left="752" w:hanging="376"/>
        <w:spacing w:after="0"/>
        <w:tabs>
          <w:tab w:leader="none" w:pos="752" w:val="left"/>
        </w:tabs>
        <w:numPr>
          <w:ilvl w:val="1"/>
          <w:numId w:val="82"/>
        </w:numPr>
        <w:rPr>
          <w:rFonts w:ascii="Arial" w:cs="Arial" w:eastAsia="Arial" w:hAnsi="Arial"/>
          <w:sz w:val="20"/>
          <w:szCs w:val="20"/>
          <w:color w:val="auto"/>
        </w:rPr>
      </w:pPr>
      <w:r>
        <w:rPr>
          <w:rFonts w:ascii="Arial" w:cs="Arial" w:eastAsia="Arial" w:hAnsi="Arial"/>
          <w:sz w:val="20"/>
          <w:szCs w:val="20"/>
          <w:color w:val="auto"/>
        </w:rPr>
        <w:t>Wave US == $[***]</w:t>
      </w:r>
    </w:p>
    <w:p>
      <w:pPr>
        <w:spacing w:after="0" w:line="240" w:lineRule="exact"/>
        <w:rPr>
          <w:rFonts w:ascii="Arial" w:cs="Arial" w:eastAsia="Arial" w:hAnsi="Arial"/>
          <w:sz w:val="20"/>
          <w:szCs w:val="20"/>
          <w:color w:val="auto"/>
        </w:rPr>
      </w:pPr>
    </w:p>
    <w:p>
      <w:pPr>
        <w:ind w:left="752" w:hanging="376"/>
        <w:spacing w:after="0"/>
        <w:tabs>
          <w:tab w:leader="none" w:pos="752" w:val="left"/>
        </w:tabs>
        <w:numPr>
          <w:ilvl w:val="1"/>
          <w:numId w:val="82"/>
        </w:numPr>
        <w:rPr>
          <w:rFonts w:ascii="Arial" w:cs="Arial" w:eastAsia="Arial" w:hAnsi="Arial"/>
          <w:sz w:val="20"/>
          <w:szCs w:val="20"/>
          <w:color w:val="auto"/>
        </w:rPr>
      </w:pPr>
      <w:r>
        <w:rPr>
          <w:rFonts w:ascii="Arial" w:cs="Arial" w:eastAsia="Arial" w:hAnsi="Arial"/>
          <w:sz w:val="20"/>
          <w:szCs w:val="20"/>
          <w:color w:val="auto"/>
        </w:rPr>
        <w:t>Wave UK == $[***]</w:t>
      </w:r>
    </w:p>
    <w:p>
      <w:pPr>
        <w:spacing w:after="0" w:line="200" w:lineRule="exact"/>
        <w:rPr>
          <w:rFonts w:ascii="Arial" w:cs="Arial" w:eastAsia="Arial" w:hAnsi="Arial"/>
          <w:sz w:val="20"/>
          <w:szCs w:val="20"/>
          <w:color w:val="auto"/>
        </w:rPr>
      </w:pPr>
    </w:p>
    <w:p>
      <w:pPr>
        <w:spacing w:after="0" w:line="250" w:lineRule="exact"/>
        <w:rPr>
          <w:rFonts w:ascii="Arial" w:cs="Arial" w:eastAsia="Arial" w:hAnsi="Arial"/>
          <w:sz w:val="20"/>
          <w:szCs w:val="20"/>
          <w:color w:val="auto"/>
        </w:rPr>
      </w:pPr>
    </w:p>
    <w:p>
      <w:pPr>
        <w:ind w:left="-8" w:firstLine="8"/>
        <w:spacing w:after="0" w:line="252" w:lineRule="auto"/>
        <w:tabs>
          <w:tab w:leader="none" w:pos="469"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7550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0812"/>
          </w:cols>
          <w:pgMar w:left="328" w:top="607" w:right="759" w:bottom="1440" w:gutter="0" w:footer="0" w:header="0"/>
        </w:sectPr>
      </w:pPr>
    </w:p>
    <w:bookmarkStart w:id="161" w:name="page162"/>
    <w:bookmarkEnd w:id="161"/>
    <w:p>
      <w:pPr>
        <w:jc w:val="center"/>
        <w:ind w:right="-439"/>
        <w:spacing w:after="0"/>
        <w:rPr>
          <w:sz w:val="20"/>
          <w:szCs w:val="20"/>
          <w:color w:val="auto"/>
        </w:rPr>
      </w:pPr>
      <w:r>
        <w:rPr>
          <w:rFonts w:ascii="Arial" w:cs="Arial" w:eastAsia="Arial" w:hAnsi="Arial"/>
          <w:sz w:val="20"/>
          <w:szCs w:val="20"/>
          <w:u w:val="single" w:color="auto"/>
          <w:color w:val="auto"/>
        </w:rPr>
        <w:t>Exhibit B</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ind w:firstLine="8"/>
        <w:spacing w:after="0" w:line="252" w:lineRule="auto"/>
        <w:tabs>
          <w:tab w:leader="none" w:pos="476"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0820"/>
          </w:cols>
          <w:pgMar w:left="320" w:top="607" w:right="75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0"/>
          <w:szCs w:val="20"/>
          <w:u w:val="single" w:color="auto"/>
          <w:color w:val="auto"/>
        </w:rPr>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154940</wp:posOffset>
            </wp:positionV>
            <wp:extent cx="1494790" cy="10680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1494790" cy="1068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Wave Life Sciences and Takeda Amend CNS Collaboration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Amendment to ongoing collaboration allows Wave to advance or partner CNS programs, including those using ADAR editing</w:t>
      </w:r>
    </w:p>
    <w:p>
      <w:pPr>
        <w:spacing w:after="0" w:line="227" w:lineRule="exact"/>
        <w:rPr>
          <w:sz w:val="20"/>
          <w:szCs w:val="20"/>
          <w:color w:val="auto"/>
        </w:rPr>
      </w:pPr>
    </w:p>
    <w:p>
      <w:pPr>
        <w:jc w:val="center"/>
        <w:ind w:left="340" w:right="80"/>
        <w:spacing w:after="0" w:line="259" w:lineRule="auto"/>
        <w:rPr>
          <w:sz w:val="20"/>
          <w:szCs w:val="20"/>
          <w:color w:val="auto"/>
        </w:rPr>
      </w:pPr>
      <w:r>
        <w:rPr>
          <w:rFonts w:ascii="Arial" w:cs="Arial" w:eastAsia="Arial" w:hAnsi="Arial"/>
          <w:sz w:val="20"/>
          <w:szCs w:val="20"/>
          <w:i w:val="1"/>
          <w:iCs w:val="1"/>
          <w:color w:val="auto"/>
        </w:rPr>
        <w:t>Takeda option to co-develop and co-commercialize late-stage CNS programs, including clinical programs WVE-004 and WVE-003, remains unchanged</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CAMBRIDGE, Mass., October 18, 2021 </w:t>
      </w:r>
      <w:r>
        <w:rPr>
          <w:rFonts w:ascii="Arial" w:cs="Arial" w:eastAsia="Arial" w:hAnsi="Arial"/>
          <w:sz w:val="18"/>
          <w:szCs w:val="18"/>
          <w:color w:val="auto"/>
        </w:rPr>
        <w:t>– Wave Life Sciences Ltd. (Nasdaq: WVE), a clinical-stage genetic medicines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committed to delivering life-changing treatments for people battling devastating diseases, today announced an amendment to its ongoing collaboration with Takeda Pharmaceutical Company Limited, which immediately discontinues the discovery research component of the collaboration that provided Takeda with the right to license multiple preclinical programs for central nervous system (CNS) indications over a four-year research term. Under terms of the amendment, Takeda will pay Wave $22.5 million for collaboration-related research and preclinical expenses. The amendment announced today allows Wave to advance CNS programs independently or enter partnerships in the CNS field outside of the three specified targets, which are part of the ongoing late-stage collaboration between the companies.</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late-stage component of the original collaboration led by Wave remains unchanged, including Takeda’s option to co-develop and co-commercialize CNS therapies for three targets, C9orf72, HTT and ATXN3, including WVE-004 and WVE-003. WVE-004 and WVE-003 are currently being investigated in the ongoing Phase 1b/2a FOCUS-C9 clinical trial for the treatment of amyotrophic lateral sclerosis and frontotemporal dementia, and the ongoing Phase 1b/2a SELECT-HD clinical trial for the treatment of Huntington’s disease, respectively. Should Takeda opt in on any of these programs, Wave would receive an opt-in payment and would lead manufacturing and joint clinical co-development activities. Takeda would lead joint co-commercial activities in the United States and all commercial activities outside of the United States. Global costs and potential profits would be shared 50:50 and Wave would be eligible to receive development and commercial milestone payments.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“This amendment streamlines our existing collaboration with Takeda and immediately enables us to advance or partner early-stage CNS programs, outside of the C9orf72, HTT, and ATXN3 targets, and including those leveraging our ADAR editing capability,” said Paul Bolno, MD, MBA, President and Chief Executive Officer of Wave Life Sciences. “Over many years, the collaboration with Takeda has yielded value for Wave and the patients we aim to serve. We look forward to continuing the partnership as we advance our ongoing clinical programs.”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Wave’s cash runway remains unchanged. The company expects that its existing cash and cash equivalents, together with expected and committed cash from its existing collaboration, will enable the company to fund its operating and capital expenditure requirements into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20" w:firstLine="8"/>
        <w:spacing w:after="0" w:line="252" w:lineRule="auto"/>
        <w:tabs>
          <w:tab w:leader="none" w:pos="476"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7550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63" w:name="page164"/>
    <w:bookmarkEnd w:id="163"/>
    <w:p>
      <w:pPr>
        <w:spacing w:after="0"/>
        <w:rPr>
          <w:sz w:val="20"/>
          <w:szCs w:val="20"/>
          <w:color w:val="auto"/>
        </w:rPr>
      </w:pPr>
      <w:r>
        <w:rPr>
          <w:rFonts w:ascii="Arial" w:cs="Arial" w:eastAsia="Arial" w:hAnsi="Arial"/>
          <w:sz w:val="20"/>
          <w:szCs w:val="20"/>
          <w:b w:val="1"/>
          <w:bCs w:val="1"/>
          <w:color w:val="auto"/>
        </w:rPr>
        <w:t>About Wave Life Sciences</w:t>
      </w:r>
    </w:p>
    <w:p>
      <w:pPr>
        <w:spacing w:after="0" w:line="2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Wave Life Sciences (Nasdaq: WVE) is a clinical-stage genetic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 Driven by a resolute sense of urgency, the Wave team is targeting a broad range of genetically defined diseases so that patients and families may realize a brighter future. To find out more, please visit </w:t>
      </w:r>
      <w:r>
        <w:rPr>
          <w:rFonts w:ascii="Arial" w:cs="Arial" w:eastAsia="Arial" w:hAnsi="Arial"/>
          <w:sz w:val="20"/>
          <w:szCs w:val="20"/>
          <w:u w:val="single" w:color="auto"/>
          <w:color w:val="auto"/>
        </w:rPr>
        <w:t>www.wavelifesciences.com</w:t>
      </w:r>
      <w:r>
        <w:rPr>
          <w:rFonts w:ascii="Arial" w:cs="Arial" w:eastAsia="Arial" w:hAnsi="Arial"/>
          <w:sz w:val="20"/>
          <w:szCs w:val="20"/>
          <w:color w:val="auto"/>
        </w:rPr>
        <w:t xml:space="preserve"> and follow Wave on Twitter @WaveLifeSci.</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and license agreement between Wave and Takeda, including the current amendment and the terms and payment related thereto; the anticipated benefits of the amendment; and the anticipated duration of our cash runway.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and actual results may differ materially from those indicated by these forward-looking statements as a result of these risks, uncertainties and important factors, including, without limitation, the risks and uncertainties described in the section entitled “Risk Factors” in Wave’s most recent Annual Report on Form 10-K filed with the Securities and Exchange Commission (SEC), as amended, and in other filings Wave makes with the SEC from time to time. Wave undertakes no obligation to update the information contained in this press release to reflect subsequently occurring events or circumstances.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Kate Rausch</w:t>
      </w:r>
    </w:p>
    <w:p>
      <w:pPr>
        <w:spacing w:after="0" w:line="238" w:lineRule="auto"/>
        <w:rPr>
          <w:sz w:val="20"/>
          <w:szCs w:val="20"/>
          <w:color w:val="auto"/>
        </w:rPr>
      </w:pPr>
      <w:r>
        <w:rPr>
          <w:rFonts w:ascii="Arial" w:cs="Arial" w:eastAsia="Arial" w:hAnsi="Arial"/>
          <w:sz w:val="20"/>
          <w:szCs w:val="20"/>
          <w:color w:val="auto"/>
        </w:rPr>
        <w:t>617-949-4827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krausch@wavelifesci.com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Alicia Suter</w:t>
      </w:r>
    </w:p>
    <w:p>
      <w:pPr>
        <w:spacing w:after="0" w:line="238" w:lineRule="auto"/>
        <w:rPr>
          <w:sz w:val="20"/>
          <w:szCs w:val="20"/>
          <w:color w:val="auto"/>
        </w:rPr>
      </w:pPr>
      <w:r>
        <w:rPr>
          <w:rFonts w:ascii="Arial" w:cs="Arial" w:eastAsia="Arial" w:hAnsi="Arial"/>
          <w:sz w:val="20"/>
          <w:szCs w:val="20"/>
          <w:color w:val="auto"/>
        </w:rPr>
        <w:t>617-949-4817</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asuter@wavelifesci.com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20" w:firstLine="8"/>
        <w:spacing w:after="0" w:line="252" w:lineRule="auto"/>
        <w:tabs>
          <w:tab w:leader="none" w:pos="476"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color w:val="auto"/>
        </w:rPr>
        <w:t>= CERTAIN CONFIDENTIAL INFORMATION CONTAINED IN THIS DOCUMENT, MARKED BY BRACKETS, HAS BEEN OMITTED BECAUSE THE INFORMATION (I) IS NOT MATERIAL AND (II) WOULD BE COMPETITIVELY HARMFUL IF PUBLICLY DISCLOSED.</w:t>
      </w:r>
    </w:p>
    <w:p>
      <w:pPr>
        <w:sectPr>
          <w:pgSz w:w="11900" w:h="16838" w:orient="portrait"/>
          <w:cols w:equalWidth="0" w:num="1">
            <w:col w:w="11240"/>
          </w:cols>
          <w:pgMar w:left="320" w:top="601"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u w:val="single" w:color="auto"/>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jc w:val="both"/>
        <w:ind w:right="260"/>
        <w:spacing w:after="0" w:line="285" w:lineRule="auto"/>
        <w:rPr>
          <w:sz w:val="20"/>
          <w:szCs w:val="20"/>
          <w:color w:val="auto"/>
        </w:rPr>
      </w:pPr>
      <w:r>
        <w:rPr>
          <w:rFonts w:ascii="Arial" w:cs="Arial" w:eastAsia="Arial" w:hAnsi="Arial"/>
          <w:sz w:val="17"/>
          <w:szCs w:val="17"/>
          <w:color w:val="auto"/>
        </w:rPr>
        <w:t>We consent to the incorporation by reference in the registration statements (Nos., 333-208598, 333-221480, 333-228308, 333-233054, 333-234519, 333-243491, 333-243515, 333-259196 and 333-260948) on Form S-8 and (Nos. 333-231382 and 333-233052) on Form S-3, as amended, of our report dated March 3, 2022, with respect to the consolidated financial statements of Wave Life Sciences Ltd. and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2022</w:t>
      </w:r>
    </w:p>
    <w:p>
      <w:pPr>
        <w:sectPr>
          <w:pgSz w:w="11900" w:h="16838" w:orient="portrait"/>
          <w:cols w:equalWidth="0" w:num="1">
            <w:col w:w="11240"/>
          </w:cols>
          <w:pgMar w:left="320" w:top="341"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Paul B. Bolno, M.D., certify that:</w:t>
      </w:r>
    </w:p>
    <w:p>
      <w:pPr>
        <w:spacing w:after="0" w:line="116"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5" w:lineRule="exact"/>
        <w:rPr>
          <w:rFonts w:ascii="Arial" w:cs="Arial" w:eastAsia="Arial" w:hAnsi="Arial"/>
          <w:sz w:val="18"/>
          <w:szCs w:val="18"/>
          <w:color w:val="auto"/>
        </w:rPr>
      </w:pPr>
    </w:p>
    <w:p>
      <w:pPr>
        <w:jc w:val="both"/>
        <w:ind w:left="380" w:right="440" w:hanging="372"/>
        <w:spacing w:after="0" w:line="262"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400" w:hanging="372"/>
        <w:spacing w:after="0" w:line="306"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20" w:hanging="372"/>
        <w:spacing w:after="0" w:line="262" w:lineRule="auto"/>
        <w:tabs>
          <w:tab w:leader="none" w:pos="3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740" w:right="380" w:hanging="369"/>
        <w:spacing w:after="0" w:line="262" w:lineRule="auto"/>
        <w:tabs>
          <w:tab w:leader="none" w:pos="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40" w:right="20" w:hanging="369"/>
        <w:spacing w:after="0" w:line="262" w:lineRule="auto"/>
        <w:tabs>
          <w:tab w:leader="none" w:pos="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40" w:right="820" w:hanging="369"/>
        <w:spacing w:after="0" w:line="340" w:lineRule="auto"/>
        <w:tabs>
          <w:tab w:leader="none" w:pos="7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40" w:right="60" w:hanging="369"/>
        <w:spacing w:after="0" w:line="262" w:lineRule="auto"/>
        <w:tabs>
          <w:tab w:leader="none" w:pos="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right="140" w:hanging="372"/>
        <w:spacing w:after="0" w:line="306" w:lineRule="auto"/>
        <w:tabs>
          <w:tab w:leader="none" w:pos="3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40" w:right="280" w:hanging="369"/>
        <w:spacing w:after="0" w:line="306" w:lineRule="auto"/>
        <w:tabs>
          <w:tab w:leader="none" w:pos="74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740" w:right="240" w:hanging="369"/>
        <w:spacing w:after="0" w:line="275" w:lineRule="auto"/>
        <w:tabs>
          <w:tab w:leader="none" w:pos="7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30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B. Bolno, M.D.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41"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Kyle Moran, certify that:</w:t>
      </w:r>
    </w:p>
    <w:p>
      <w:pPr>
        <w:spacing w:after="0" w:line="116"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5" w:lineRule="exact"/>
        <w:rPr>
          <w:rFonts w:ascii="Arial" w:cs="Arial" w:eastAsia="Arial" w:hAnsi="Arial"/>
          <w:sz w:val="18"/>
          <w:szCs w:val="18"/>
          <w:color w:val="auto"/>
        </w:rPr>
      </w:pPr>
    </w:p>
    <w:p>
      <w:pPr>
        <w:jc w:val="both"/>
        <w:ind w:left="380" w:right="440" w:hanging="372"/>
        <w:spacing w:after="0" w:line="262"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right="400" w:hanging="372"/>
        <w:spacing w:after="0" w:line="306"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80" w:right="20" w:hanging="372"/>
        <w:spacing w:after="0" w:line="262" w:lineRule="auto"/>
        <w:tabs>
          <w:tab w:leader="none" w:pos="3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740" w:right="380" w:hanging="369"/>
        <w:spacing w:after="0" w:line="262" w:lineRule="auto"/>
        <w:tabs>
          <w:tab w:leader="none" w:pos="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40" w:right="20" w:hanging="369"/>
        <w:spacing w:after="0" w:line="262" w:lineRule="auto"/>
        <w:tabs>
          <w:tab w:leader="none" w:pos="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740" w:right="820" w:hanging="369"/>
        <w:spacing w:after="0" w:line="340" w:lineRule="auto"/>
        <w:tabs>
          <w:tab w:leader="none" w:pos="7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40" w:right="60" w:hanging="369"/>
        <w:spacing w:after="0" w:line="262" w:lineRule="auto"/>
        <w:tabs>
          <w:tab w:leader="none" w:pos="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right="140" w:hanging="372"/>
        <w:spacing w:after="0" w:line="306" w:lineRule="auto"/>
        <w:tabs>
          <w:tab w:leader="none" w:pos="3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40" w:right="280" w:hanging="369"/>
        <w:spacing w:after="0" w:line="306" w:lineRule="auto"/>
        <w:tabs>
          <w:tab w:leader="none" w:pos="7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740" w:right="240" w:hanging="369"/>
        <w:spacing w:after="0" w:line="275" w:lineRule="auto"/>
        <w:tabs>
          <w:tab w:leader="none" w:pos="7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30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Kyle Moran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4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u w:val="single" w:color="auto"/>
          <w:color w:val="auto"/>
        </w:rPr>
        <w:t>Exhibit 32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09" w:lineRule="exact"/>
        <w:rPr>
          <w:sz w:val="20"/>
          <w:szCs w:val="20"/>
          <w:color w:val="auto"/>
        </w:rPr>
      </w:pPr>
    </w:p>
    <w:p>
      <w:pPr>
        <w:ind w:right="80" w:firstLine="510"/>
        <w:spacing w:after="0" w:line="340"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Wave Life Sciences Ltd., a Singapore corporation (the “Company”), does hereby certify, to such officer’s knowledge, that:</w:t>
      </w:r>
    </w:p>
    <w:p>
      <w:pPr>
        <w:spacing w:after="0" w:line="124" w:lineRule="exact"/>
        <w:rPr>
          <w:sz w:val="20"/>
          <w:szCs w:val="20"/>
          <w:color w:val="auto"/>
        </w:rPr>
      </w:pPr>
    </w:p>
    <w:p>
      <w:pPr>
        <w:ind w:right="60" w:firstLine="510"/>
        <w:spacing w:after="0" w:line="262" w:lineRule="auto"/>
        <w:rPr>
          <w:sz w:val="20"/>
          <w:szCs w:val="20"/>
          <w:color w:val="auto"/>
        </w:rPr>
      </w:pPr>
      <w:r>
        <w:rPr>
          <w:rFonts w:ascii="Arial" w:cs="Arial" w:eastAsia="Arial" w:hAnsi="Arial"/>
          <w:sz w:val="18"/>
          <w:szCs w:val="18"/>
          <w:color w:val="auto"/>
        </w:rPr>
        <w:t>The Annual Report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5080</wp:posOffset>
            </wp:positionV>
            <wp:extent cx="32035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Paul B. Bolno, M.D.</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2022</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Kyle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5080</wp:posOffset>
            </wp:positionV>
            <wp:extent cx="32035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Kyle Moran</w:t>
      </w:r>
    </w:p>
    <w:p>
      <w:pPr>
        <w:spacing w:after="0" w:line="22"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pacing w:after="0" w:line="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lowerRoman"/>
      <w:start w:val="2"/>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lowerLetter"/>
      <w:start w:val="1"/>
    </w:lvl>
    <w:lvl w:ilvl="1">
      <w:lvlJc w:val="left"/>
      <w:lvlText w:val="%2."/>
      <w:numFmt w:val="decimal"/>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Roman"/>
      <w:start w:val="2"/>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9"/>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lowerRoman"/>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1)"/>
      <w:numFmt w:val="lowerLetter"/>
      <w:start w:val="2"/>
    </w:lvl>
  </w:abstractNum>
  <w:abstractNum w:abstractNumId="61">
    <w:nsid w:val="540A471C"/>
    <w:multiLevelType w:val="hybridMultilevel"/>
    <w:lvl w:ilvl="0">
      <w:lvlJc w:val="left"/>
      <w:lvlText w:val="(%1)"/>
      <w:numFmt w:val="lowerRoman"/>
      <w:start w:val="2"/>
    </w:lvl>
  </w:abstractNum>
  <w:abstractNum w:abstractNumId="62">
    <w:nsid w:val="7BD3EE7B"/>
    <w:multiLevelType w:val="hybridMultilevel"/>
    <w:lvl w:ilvl="0">
      <w:lvlJc w:val="left"/>
      <w:lvlText w:val="•"/>
      <w:numFmt w:val="bullet"/>
      <w:start w:val="1"/>
    </w:lvl>
  </w:abstractNum>
  <w:abstractNum w:abstractNumId="63">
    <w:nsid w:val="51D9C564"/>
    <w:multiLevelType w:val="hybridMultilevel"/>
    <w:lvl w:ilvl="0">
      <w:lvlJc w:val="left"/>
      <w:lvlText w:val="•"/>
      <w:numFmt w:val="bullet"/>
      <w:start w:val="1"/>
    </w:lvl>
    <w:lvl w:ilvl="1">
      <w:lvlJc w:val="left"/>
      <w:lvlText w:val="(%2)"/>
      <w:numFmt w:val="lowerRoman"/>
      <w:start w:val="3"/>
    </w:lvl>
  </w:abstractNum>
  <w:abstractNum w:abstractNumId="64">
    <w:nsid w:val="613EFDC5"/>
    <w:multiLevelType w:val="hybridMultilevel"/>
    <w:lvl w:ilvl="0">
      <w:lvlJc w:val="left"/>
      <w:lvlText w:val="•"/>
      <w:numFmt w:val="bullet"/>
      <w:start w:val="1"/>
    </w:lvl>
    <w:lvl w:ilvl="1">
      <w:lvlJc w:val="left"/>
      <w:lvlText w:val="(%2)"/>
      <w:numFmt w:val="lowerRoman"/>
      <w:start w:val="5"/>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
      <w:numFmt w:val="bullet"/>
      <w:start w:val="1"/>
    </w:lvl>
  </w:abstractNum>
  <w:abstractNum w:abstractNumId="67">
    <w:nsid w:val="42963E5A"/>
    <w:multiLevelType w:val="hybridMultilevel"/>
    <w:lvl w:ilvl="0">
      <w:lvlJc w:val="left"/>
      <w:lvlText w:val="•"/>
      <w:numFmt w:val="bullet"/>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
      <w:numFmt w:val="bullet"/>
      <w:start w:val="1"/>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2"/>
    </w:lvl>
  </w:abstractNum>
  <w:abstractNum w:abstractNumId="74">
    <w:nsid w:val="60B6DF70"/>
    <w:multiLevelType w:val="hybridMultilevel"/>
    <w:lvl w:ilvl="0">
      <w:lvlJc w:val="left"/>
      <w:lvlText w:val="%1."/>
      <w:numFmt w:val="decimal"/>
      <w:start w:val="3"/>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lvl w:ilvl="1">
      <w:lvlJc w:val="left"/>
      <w:lvlText w:val="(%2)"/>
      <w:numFmt w:val="lowerLetter"/>
      <w:start w:val="1"/>
    </w:lvl>
  </w:abstractNum>
  <w:abstractNum w:abstractNumId="77">
    <w:nsid w:val="7FFFCA11"/>
    <w:multiLevelType w:val="hybridMultilevel"/>
    <w:lvl w:ilvl="0">
      <w:lvlJc w:val="left"/>
      <w:lvlText w:val="%1."/>
      <w:numFmt w:val="decimal"/>
      <w:start w:val="4"/>
    </w:lvl>
  </w:abstractNum>
  <w:abstractNum w:abstractNumId="78">
    <w:nsid w:val="1A27709E"/>
    <w:multiLevelType w:val="hybridMultilevel"/>
    <w:lvl w:ilvl="0">
      <w:lvlJc w:val="left"/>
      <w:lvlText w:val="%1."/>
      <w:numFmt w:val="decimal"/>
      <w:start w:val="5"/>
    </w:lvl>
  </w:abstractNum>
  <w:abstractNum w:abstractNumId="79">
    <w:nsid w:val="71EA1109"/>
    <w:multiLevelType w:val="hybridMultilevel"/>
    <w:lvl w:ilvl="0">
      <w:lvlJc w:val="left"/>
      <w:lvlText w:val="[***]"/>
      <w:numFmt w:val="bullet"/>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
      <w:numFmt w:val="bullet"/>
      <w:start w:val="1"/>
    </w:lvl>
    <w:lvl w:ilvl="1">
      <w:lvlJc w:val="left"/>
      <w:lvlText w:val="•"/>
      <w:numFmt w:val="bullet"/>
      <w:start w:val="1"/>
    </w:lvl>
  </w:abstractNum>
  <w:abstractNum w:abstractNumId="82">
    <w:nsid w:val="6EB5BD4"/>
    <w:multiLevelType w:val="hybridMultilevel"/>
    <w:lvl w:ilvl="0">
      <w:lvlJc w:val="left"/>
      <w:lvlText w:val="[***]"/>
      <w:numFmt w:val="bullet"/>
      <w:start w:val="1"/>
    </w:lvl>
  </w:abstractNum>
  <w:abstractNum w:abstractNumId="83">
    <w:nsid w:val="6F6DD9AC"/>
    <w:multiLevelType w:val="hybridMultilevel"/>
    <w:lvl w:ilvl="0">
      <w:lvlJc w:val="left"/>
      <w:lvlText w:val="[***]"/>
      <w:numFmt w:val="bullet"/>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jpe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156" Type="http://schemas.openxmlformats.org/officeDocument/2006/relationships/hyperlink" Target="http://www.sec.gov/Archives/edgar/data/1631574/000119312515372814/d42123dex32.htm" TargetMode="External"/><Relationship Id="rId157" Type="http://schemas.openxmlformats.org/officeDocument/2006/relationships/hyperlink" Target="http://www.sec.gov/Archives/edgar/data/1631574/000119312515370294/d42123dex41.htm" TargetMode="External"/><Relationship Id="rId158" Type="http://schemas.openxmlformats.org/officeDocument/2006/relationships/hyperlink" Target="http://www.sec.gov/Archives/edgar/data/1631574/000119312515341447/d42123dex42.htm" TargetMode="External"/><Relationship Id="rId159" Type="http://schemas.openxmlformats.org/officeDocument/2006/relationships/hyperlink" Target="http://www.sec.gov/Archives/edgar/data/1631574/000156459018028757/wve-ex102_667.htm" TargetMode="External"/><Relationship Id="rId160" Type="http://schemas.openxmlformats.org/officeDocument/2006/relationships/hyperlink" Target="http://www.sec.gov/Archives/edgar/data/1631574/000119312516682053/d207833dex102.htm" TargetMode="External"/><Relationship Id="rId161" Type="http://schemas.openxmlformats.org/officeDocument/2006/relationships/hyperlink" Target="http://www.sec.gov/Archives/edgar/data/1631574/000119312515341447/d42123dex107.htm" TargetMode="External"/><Relationship Id="rId162" Type="http://schemas.openxmlformats.org/officeDocument/2006/relationships/hyperlink" Target="http://www.sec.gov/Archives/edgar/data/1631574/000156459021010718/wve-ex1052_412.htm" TargetMode="External"/><Relationship Id="rId163" Type="http://schemas.openxmlformats.org/officeDocument/2006/relationships/hyperlink" Target="http://www.sec.gov/Archives/edgar/data/1631574/000119312516720779/d261915dex101.htm" TargetMode="External"/><Relationship Id="rId164" Type="http://schemas.openxmlformats.org/officeDocument/2006/relationships/hyperlink" Target="http://www.sec.gov/Archives/edgar/data/1631574/000119312517004500/d287789dex101.htm" TargetMode="External"/><Relationship Id="rId167" Type="http://schemas.openxmlformats.org/officeDocument/2006/relationships/hyperlink" Target="http://www.sec.gov/Archives/edgar/data/1631574/000156459018012539/wve-ex101_1072.htm" TargetMode="External"/><Relationship Id="rId168" Type="http://schemas.openxmlformats.org/officeDocument/2006/relationships/hyperlink" Target="http://www.sec.gov/Archives/edgar/data/1631574/000156459018012539/wve-ex102_175.htm" TargetMode="External"/><Relationship Id="rId169" Type="http://schemas.openxmlformats.org/officeDocument/2006/relationships/hyperlink" Target="http://www.sec.gov/Archives/edgar/data/1631574/000156459018012539/wve-ex103_176.htm" TargetMode="External"/><Relationship Id="rId170" Type="http://schemas.openxmlformats.org/officeDocument/2006/relationships/hyperlink" Target="http://www.sec.gov/Archives/edgar/data/1631574/000119312515341447/d42123dex1011.htm" TargetMode="External"/><Relationship Id="rId171" Type="http://schemas.openxmlformats.org/officeDocument/2006/relationships/hyperlink" Target="http://www.sec.gov/Archives/edgar/data/1631574/000156459020038620/wve-ex101_128.htm" TargetMode="External"/><Relationship Id="rId172" Type="http://schemas.openxmlformats.org/officeDocument/2006/relationships/hyperlink" Target="http://www.sec.gov/Archives/edgar/data/1631574/000156459020038620/wve-ex102_129.htm" TargetMode="External"/><Relationship Id="rId173" Type="http://schemas.openxmlformats.org/officeDocument/2006/relationships/hyperlink" Target="http://www.sec.gov/Archives/edgar/data/1631574/000119312515341447/d42123dex1015.htm" TargetMode="External"/><Relationship Id="rId174" Type="http://schemas.openxmlformats.org/officeDocument/2006/relationships/hyperlink" Target="http://www.sec.gov/Archives/edgar/data/1631574/000156459016028710/wve-ex104_180.htm" TargetMode="External"/><Relationship Id="rId175" Type="http://schemas.openxmlformats.org/officeDocument/2006/relationships/hyperlink" Target="http://www.sec.gov/Archives/edgar/data/1631574/000156459021010718/wve-ex1015_410.htm" TargetMode="External"/><Relationship Id="rId176" Type="http://schemas.openxmlformats.org/officeDocument/2006/relationships/hyperlink" Target="http://www.sec.gov/Archives/edgar/data/1631574/000156459021055927/wve-ex101_11.htm" TargetMode="External"/><Relationship Id="rId177" Type="http://schemas.openxmlformats.org/officeDocument/2006/relationships/hyperlink" Target="http://www.sec.gov/Archives/edgar/data/1631574/000119312515341447/d42123dex1016.htm" TargetMode="External"/><Relationship Id="rId178" Type="http://schemas.openxmlformats.org/officeDocument/2006/relationships/hyperlink" Target="http://www.sec.gov/Archives/edgar/data/1631574/000119312515341447/d42123dex1017.htm" TargetMode="External"/><Relationship Id="rId181" Type="http://schemas.openxmlformats.org/officeDocument/2006/relationships/hyperlink" Target="http://www.sec.gov/Archives/edgar/data/1631574/000156459017023225/wve-ex101_97.htm" TargetMode="External"/><Relationship Id="rId182" Type="http://schemas.openxmlformats.org/officeDocument/2006/relationships/hyperlink" Target="http://www.sec.gov/Archives/edgar/data/1631574/000156459021055927/wve-ex102_12.htm" TargetMode="External"/><Relationship Id="rId183" Type="http://schemas.openxmlformats.org/officeDocument/2006/relationships/hyperlink" Target="http://www.sec.gov/Archives/edgar/data/1631574/000156459019040431/wve-ex101_87.htm" TargetMode="External"/><Relationship Id="rId184" Type="http://schemas.openxmlformats.org/officeDocument/2006/relationships/hyperlink" Target="http://www.sec.gov/Archives/edgar/data/1631574/000156459017023225/wve-ex102_96.htm" TargetMode="External"/><Relationship Id="rId185" Type="http://schemas.openxmlformats.org/officeDocument/2006/relationships/hyperlink" Target="http://www.sec.gov/Archives/edgar/data/1631574/000156459019005671/wve-ex10233_556.htm" TargetMode="External"/><Relationship Id="rId186" Type="http://schemas.openxmlformats.org/officeDocument/2006/relationships/hyperlink" Target="http://www.sec.gov/Archives/edgar/data/1631574/000156459021055927/wve-ex103_161.htm" TargetMode="External"/><Relationship Id="rId187" Type="http://schemas.openxmlformats.org/officeDocument/2006/relationships/hyperlink" Target="http://www.sec.gov/Archives/edgar/data/1631574/000119312515406386/d38525dex101.htm" TargetMode="External"/><Relationship Id="rId188" Type="http://schemas.openxmlformats.org/officeDocument/2006/relationships/hyperlink" Target="http://www.sec.gov/Archives/edgar/data/1631574/000156459017023225/wve-ex103_95.htm" TargetMode="External"/><Relationship Id="rId189" Type="http://schemas.openxmlformats.org/officeDocument/2006/relationships/hyperlink" Target="http://www.sec.gov/Archives/edgar/data/1631574/000156459017023225/wve-ex104_94.htm" TargetMode="External"/><Relationship Id="rId190" Type="http://schemas.openxmlformats.org/officeDocument/2006/relationships/hyperlink" Target="http://www.sec.gov/Archives/edgar/data/1631574/000156459019005671/wve-ex10252_555.htm" TargetMode="External"/><Relationship Id="rId191" Type="http://schemas.openxmlformats.org/officeDocument/2006/relationships/hyperlink" Target="http://www.sec.gov/Archives/edgar/data/1631574/000156459019018521/wve-ex101_353.htm" TargetMode="External"/><Relationship Id="rId192" Type="http://schemas.openxmlformats.org/officeDocument/2006/relationships/hyperlink" Target="http://www.sec.gov/Archives/edgar/data/1631574/000156459021055927/wve-ex104_160.htm" TargetMode="External"/><Relationship Id="rId193" Type="http://schemas.openxmlformats.org/officeDocument/2006/relationships/hyperlink" Target="http://www.sec.gov/Archives/edgar/data/1631574/000156459021027223/wve-ex102_80.htm" TargetMode="External"/><Relationship Id="rId194" Type="http://schemas.openxmlformats.org/officeDocument/2006/relationships/hyperlink" Target="http://www.sec.gov/Archives/edgar/data/1631574/000156459021027223/wve-ex103_79.htm" TargetMode="External"/><Relationship Id="rId195" Type="http://schemas.openxmlformats.org/officeDocument/2006/relationships/hyperlink" Target="http://www.sec.gov/Archives/edgar/data/1631574/000156459017023225/wve-ex105_318.htm" TargetMode="External"/><Relationship Id="rId198" Type="http://schemas.openxmlformats.org/officeDocument/2006/relationships/hyperlink" Target="http://www.sec.gov/Archives/edgar/data/1631574/000156459019005671/wve-ex10262_554.htm" TargetMode="External"/><Relationship Id="rId199" Type="http://schemas.openxmlformats.org/officeDocument/2006/relationships/hyperlink" Target="http://www.sec.gov/Archives/edgar/data/1631574/000156459021055927/wve-ex105_158.htm" TargetMode="External"/><Relationship Id="rId200" Type="http://schemas.openxmlformats.org/officeDocument/2006/relationships/hyperlink" Target="http://www.sec.gov/Archives/edgar/data/1631574/000156459021055927/wve-ex106_159.htm" TargetMode="External"/><Relationship Id="rId201" Type="http://schemas.openxmlformats.org/officeDocument/2006/relationships/hyperlink" Target="http://www.sec.gov/Archives/edgar/data/1631574/000156459020038620/wve-ex103_192.htm" TargetMode="External"/><Relationship Id="rId202" Type="http://schemas.openxmlformats.org/officeDocument/2006/relationships/hyperlink" Target="http://www.sec.gov/Archives/edgar/data/1631574/000156459021055927/wve-ex107_157.htm" TargetMode="External"/><Relationship Id="rId203" Type="http://schemas.openxmlformats.org/officeDocument/2006/relationships/hyperlink" Target="http://www.sec.gov/Archives/edgar/data/1631574/000119312519144278/d711178dex12.htm" TargetMode="External"/><Relationship Id="rId204" Type="http://schemas.openxmlformats.org/officeDocument/2006/relationships/hyperlink" Target="http://www.sec.gov/Archives/edgar/data/1631574/000119312520057766/d793630dex13.htm" TargetMode="External"/><Relationship Id="rId205" Type="http://schemas.openxmlformats.org/officeDocument/2006/relationships/hyperlink" Target="http://www.sec.gov/Archives/edgar/data/1631574/000156459018005308/wve-ex211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2022-03-03T06:51:53Z</dcterms:created>
  <dcterms:modified xsi:type="dcterms:W3CDTF">2022-03-03T06:51:53Z</dcterms:modified>
</cp:coreProperties>
</file>