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333-263251</w:t>
      </w:r>
    </w:p>
    <w:p>
      <w:pPr>
        <w:spacing w:after="0" w:line="20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(To Prospectus dated May 4, 2022)</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25,464,483 Ordinary Shares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Pre-Funded Warrants to Purchase 7,093,656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1647190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155575</wp:posOffset>
            </wp:positionV>
            <wp:extent cx="1903095" cy="1259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12598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are offering 25,464,483 of our ordinary shares and, in lieu of ordinary shares to certain investors that so choose, pre-funded warrants to purchase 7,093,656 ordinary shares. The purchase price of each pre-funded warrant equals the price per share at which ordinary shares are being sold to the public in this offering, minus $0.0001, and the exercise price of each pre-funded warrant equals $0.0001 per share.</w:t>
      </w:r>
    </w:p>
    <w:p>
      <w:pPr>
        <w:spacing w:after="0" w:line="176" w:lineRule="exact"/>
        <w:rPr>
          <w:sz w:val="24"/>
          <w:szCs w:val="24"/>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Our ordinary shares are listed on the Nasdaq Global Market under the symbol “WVE.” The last reported sale price of our ordinary shares on the Nasdaq Global Market on June 13, 2022 was $2.00 per ordinary share. There is no established public trading market for the pre-funded warrants, and we do not expect a market to develop. In addition, we do not intend to apply for a listing of the pre-funded warrants on the Nasdaq Global Market, any other national securities exchange or any other nationally recognized trading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120" w:right="40"/>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S-11 of this prospectus supplement and in the documents that are incorporated by reference into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200660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both"/>
        <w:ind w:left="120" w:right="50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83"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3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PER</w:t>
            </w:r>
          </w:p>
        </w:tc>
        <w:tc>
          <w:tcPr>
            <w:tcW w:w="1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PRE-FUNDED</w:t>
            </w:r>
          </w:p>
        </w:tc>
        <w:tc>
          <w:tcPr>
            <w:tcW w:w="100" w:type="dxa"/>
            <w:vAlign w:val="bottom"/>
          </w:tcPr>
          <w:p>
            <w:pPr>
              <w:spacing w:after="0"/>
              <w:rPr>
                <w:sz w:val="13"/>
                <w:szCs w:val="13"/>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13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SHARE</w:t>
            </w:r>
          </w:p>
        </w:tc>
        <w:tc>
          <w:tcPr>
            <w:tcW w:w="180" w:type="dxa"/>
            <w:vAlign w:val="bottom"/>
          </w:tcPr>
          <w:p>
            <w:pPr>
              <w:spacing w:after="0"/>
              <w:rPr>
                <w:sz w:val="15"/>
                <w:szCs w:val="15"/>
                <w:color w:val="auto"/>
              </w:rPr>
            </w:pPr>
          </w:p>
        </w:tc>
        <w:tc>
          <w:tcPr>
            <w:tcW w:w="178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$2.1500</w:t>
            </w: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69,999,289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Underwriting discounts and commissions </w:t>
            </w:r>
            <w:r>
              <w:rPr>
                <w:rFonts w:ascii="Times New Roman" w:cs="Times New Roman" w:eastAsia="Times New Roman" w:hAnsi="Times New Roman"/>
                <w:sz w:val="15"/>
                <w:szCs w:val="15"/>
                <w:color w:val="auto"/>
              </w:rPr>
              <w:t>(1)</w:t>
            </w:r>
          </w:p>
        </w:tc>
        <w:tc>
          <w:tcPr>
            <w:tcW w:w="13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rPr>
              <w:t>$0.1290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0.1290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4,200,000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Wave Life Sciences Ltd., before expenses</w:t>
            </w:r>
          </w:p>
        </w:tc>
        <w:tc>
          <w:tcPr>
            <w:tcW w:w="1300" w:type="dxa"/>
            <w:vAlign w:val="bottom"/>
            <w:gridSpan w:val="2"/>
            <w:shd w:val="clear" w:color="auto" w:fill="CCEEFF"/>
          </w:tcPr>
          <w:p>
            <w:pPr>
              <w:jc w:val="center"/>
              <w:ind w:right="700"/>
              <w:spacing w:after="0"/>
              <w:rPr>
                <w:sz w:val="20"/>
                <w:szCs w:val="20"/>
                <w:color w:val="auto"/>
              </w:rPr>
            </w:pPr>
            <w:r>
              <w:rPr>
                <w:rFonts w:ascii="Times New Roman" w:cs="Times New Roman" w:eastAsia="Times New Roman" w:hAnsi="Times New Roman"/>
                <w:sz w:val="18"/>
                <w:szCs w:val="18"/>
                <w:color w:val="auto"/>
              </w:rPr>
              <w:t>$2.0210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2.0209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65,799,289</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120" w:right="2360" w:hanging="4"/>
        <w:spacing w:after="0" w:line="578" w:lineRule="auto"/>
        <w:tabs>
          <w:tab w:leader="none" w:pos="55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We refer you to the section titled “Underwriting” for additional information regarding underwriting compensation. Delivery of the ordinary shares and pre-funded warrants is expected to be made on or about June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48260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Sole Bookrunning Manager</w:t>
      </w:r>
    </w:p>
    <w:p>
      <w:pPr>
        <w:spacing w:after="0" w:line="21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SVB Securities</w:t>
      </w:r>
    </w:p>
    <w:p>
      <w:pPr>
        <w:spacing w:after="0" w:line="2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Prospectus Supplement dated June 14, 2022.</w:t>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30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5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44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9"/>
            <w:vMerge w:val="restart"/>
          </w:tcPr>
          <w:p>
            <w:pPr>
              <w:spacing w:after="0"/>
              <w:rPr>
                <w:sz w:val="24"/>
                <w:szCs w:val="24"/>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EE"/>
            </w:tcBorders>
            <w:gridSpan w:val="18"/>
            <w:vMerge w:val="continue"/>
          </w:tcPr>
          <w:p>
            <w:pPr>
              <w:spacing w:after="0"/>
              <w:rPr>
                <w:sz w:val="14"/>
                <w:szCs w:val="14"/>
                <w:color w:val="auto"/>
              </w:rPr>
            </w:pPr>
          </w:p>
        </w:tc>
        <w:tc>
          <w:tcPr>
            <w:tcW w:w="7120" w:type="dxa"/>
            <w:vAlign w:val="bottom"/>
            <w:gridSpan w:val="9"/>
            <w:vMerge w:val="continue"/>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13"/>
          </w:tcPr>
          <w:p>
            <w:pPr>
              <w:spacing w:after="0"/>
              <w:rPr>
                <w:sz w:val="17"/>
                <w:szCs w:val="17"/>
                <w:color w:val="auto"/>
              </w:rPr>
            </w:pPr>
          </w:p>
        </w:tc>
        <w:tc>
          <w:tcPr>
            <w:tcW w:w="7280" w:type="dxa"/>
            <w:vAlign w:val="bottom"/>
            <w:gridSpan w:val="1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8"/>
          </w:tcPr>
          <w:p>
            <w:pPr>
              <w:spacing w:after="0"/>
              <w:rPr>
                <w:sz w:val="17"/>
                <w:szCs w:val="17"/>
                <w:color w:val="auto"/>
              </w:rPr>
            </w:pPr>
          </w:p>
        </w:tc>
        <w:tc>
          <w:tcPr>
            <w:tcW w:w="524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980" w:type="dxa"/>
            <w:vAlign w:val="bottom"/>
            <w:gridSpan w:val="2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9700" w:type="dxa"/>
            <w:vAlign w:val="bottom"/>
            <w:gridSpan w:val="2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196"/>
        </w:trPr>
        <w:tc>
          <w:tcPr>
            <w:tcW w:w="36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PRE-FUNDED WARRANTS</w:t>
            </w:r>
          </w:p>
        </w:tc>
        <w:tc>
          <w:tcPr>
            <w:tcW w:w="692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S-18</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2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S-28</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S-28</w:t>
            </w:r>
          </w:p>
        </w:tc>
        <w:tc>
          <w:tcPr>
            <w:tcW w:w="0" w:type="dxa"/>
            <w:vAlign w:val="bottom"/>
          </w:tcPr>
          <w:p>
            <w:pPr>
              <w:spacing w:after="0"/>
              <w:rPr>
                <w:sz w:val="1"/>
                <w:szCs w:val="1"/>
                <w:color w:val="auto"/>
              </w:rPr>
            </w:pPr>
          </w:p>
        </w:tc>
      </w:tr>
      <w:tr>
        <w:trPr>
          <w:trHeight w:val="20"/>
        </w:trPr>
        <w:tc>
          <w:tcPr>
            <w:tcW w:w="1580" w:type="dxa"/>
            <w:vAlign w:val="bottom"/>
            <w:gridSpan w:val="7"/>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OF DOCUMENTS BY REFERENCE</w:t>
            </w:r>
          </w:p>
        </w:tc>
        <w:tc>
          <w:tcPr>
            <w:tcW w:w="630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S-29</w:t>
            </w:r>
          </w:p>
        </w:tc>
        <w:tc>
          <w:tcPr>
            <w:tcW w:w="0" w:type="dxa"/>
            <w:vAlign w:val="bottom"/>
          </w:tcPr>
          <w:p>
            <w:pPr>
              <w:spacing w:after="0"/>
              <w:rPr>
                <w:sz w:val="1"/>
                <w:szCs w:val="1"/>
                <w:color w:val="auto"/>
              </w:rPr>
            </w:pPr>
          </w:p>
        </w:tc>
      </w:tr>
      <w:tr>
        <w:trPr>
          <w:trHeight w:val="453"/>
        </w:trPr>
        <w:tc>
          <w:tcPr>
            <w:tcW w:w="105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56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8340" w:type="dxa"/>
            <w:vAlign w:val="bottom"/>
            <w:gridSpan w:val="1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480" w:type="dxa"/>
            <w:vAlign w:val="bottom"/>
            <w:gridSpan w:val="1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532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INDUSTRY AND MARKET DATA</w:t>
            </w:r>
          </w:p>
        </w:tc>
        <w:tc>
          <w:tcPr>
            <w:tcW w:w="524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580" w:type="dxa"/>
            <w:vAlign w:val="bottom"/>
            <w:gridSpan w:val="7"/>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RATIO OF EARNINGS TO FIXED CHARGES</w:t>
            </w:r>
          </w:p>
        </w:tc>
        <w:tc>
          <w:tcPr>
            <w:tcW w:w="704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2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2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4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080" w:type="dxa"/>
            <w:vAlign w:val="bottom"/>
            <w:gridSpan w:val="1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RIGHTS</w:t>
            </w:r>
          </w:p>
        </w:tc>
        <w:tc>
          <w:tcPr>
            <w:tcW w:w="8420" w:type="dxa"/>
            <w:vAlign w:val="bottom"/>
            <w:gridSpan w:val="1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8540" w:type="dxa"/>
            <w:vAlign w:val="bottom"/>
            <w:gridSpan w:val="1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COMPARISON OF SHAREHOLDER RIGHTS</w:t>
            </w:r>
          </w:p>
        </w:tc>
        <w:tc>
          <w:tcPr>
            <w:tcW w:w="7060" w:type="dxa"/>
            <w:vAlign w:val="bottom"/>
            <w:gridSpan w:val="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040" w:type="dxa"/>
            <w:vAlign w:val="bottom"/>
            <w:gridSpan w:val="9"/>
            <w:shd w:val="clear" w:color="auto" w:fill="0000EE"/>
          </w:tcPr>
          <w:p>
            <w:pPr>
              <w:spacing w:after="0" w:line="20" w:lineRule="exact"/>
              <w:rPr>
                <w:sz w:val="1"/>
                <w:szCs w:val="1"/>
                <w:color w:val="auto"/>
              </w:rPr>
            </w:pPr>
          </w:p>
        </w:tc>
        <w:tc>
          <w:tcPr>
            <w:tcW w:w="3020" w:type="dxa"/>
            <w:vAlign w:val="bottom"/>
            <w:gridSpan w:val="15"/>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ENFORCEMENT OF CIVIL LIABILITIES UNDER UNITED STATES SECURITIES LAWS</w:t>
            </w:r>
          </w:p>
        </w:tc>
        <w:tc>
          <w:tcPr>
            <w:tcW w:w="37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2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300" w:type="dxa"/>
            <w:vAlign w:val="bottom"/>
            <w:gridSpan w:val="23"/>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3800" w:type="dxa"/>
            <w:vAlign w:val="bottom"/>
            <w:gridSpan w:val="22"/>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DOCUMENTS BY REFERENCE</w:t>
            </w:r>
          </w:p>
        </w:tc>
        <w:tc>
          <w:tcPr>
            <w:tcW w:w="550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“shelf” registration statement on Form S-3 (File No. 333-263251) that we initially filed with the Securities and Exchange Commission (the “SEC”) on March 3, 2022, and was declared effective on May 4, 2022. This document is in two parts. The first part is this prospectus supplement, which describes the specific terms of this offering of ordinary shares and pre-funded warrants and also adds to and updates information contained in the accompanying prospectus and the documents incorporated by reference herein. The second part, the accompanying prospectus, including the documents incorporated by reference therein, provides more general information.</w:t>
      </w:r>
    </w:p>
    <w:p>
      <w:pPr>
        <w:spacing w:after="0" w:line="18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87"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 this prospectus.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89" w:lineRule="exact"/>
        <w:rPr>
          <w:sz w:val="20"/>
          <w:szCs w:val="20"/>
          <w:color w:val="auto"/>
        </w:rPr>
      </w:pPr>
    </w:p>
    <w:p>
      <w:pPr>
        <w:ind w:left="120" w:right="380"/>
        <w:spacing w:after="0" w:line="277" w:lineRule="auto"/>
        <w:rPr>
          <w:sz w:val="20"/>
          <w:szCs w:val="20"/>
          <w:color w:val="auto"/>
        </w:rPr>
      </w:pPr>
      <w:r>
        <w:rPr>
          <w:rFonts w:ascii="Times New Roman" w:cs="Times New Roman" w:eastAsia="Times New Roman" w:hAnsi="Times New Roman"/>
          <w:sz w:val="17"/>
          <w:szCs w:val="17"/>
          <w:color w:val="auto"/>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6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Neither this prospectus supplement nor the accompanying prospectus is a “prospectus” as defined in the Securities and Futures Act 2001 of Singapore (the “SFA”), and accordingly, statutory liability under the SFA in relation to the content of prospectuses will not apply. This prospectus supplement and the accompanying prospectus have not been lodged with or registered as a prospectus by the Monetary Authority of Singapore. Accordingly, this prospectus supplement, the accompanying prospectus and any other document or material in connection with the offer or sale, or invitation for subscription or purchase, of our ordinary shares and pre-funded warrants may not be circulated or distributed, nor may our ordinary shares or pre-funded warrants be offered or sold, or be made the subject of an invitation for subscription or purchase, whether directly or indirectly, to persons in Singapore other than (i) to an institutional investor (as defined in Section 4A of the SFA) pursuant to Section 274 of the 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provision of the SFA, in each case subject to compliance with the conditions set forth in the SFA.</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Where our ordinary shares or pre-funded warrants are subscribed or purchased under Section 275 of the SFA by a relevant person which is:</w:t>
      </w:r>
    </w:p>
    <w:p>
      <w:pPr>
        <w:spacing w:after="0" w:line="131" w:lineRule="exact"/>
        <w:rPr>
          <w:sz w:val="20"/>
          <w:szCs w:val="20"/>
          <w:color w:val="auto"/>
        </w:rPr>
      </w:pPr>
    </w:p>
    <w:p>
      <w:pPr>
        <w:ind w:left="1080" w:right="10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trustee of 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as defined in Section 2(1) of the SFA) of that corporation or the beneficiaries’ rights and interest (howsoever described) in that trust shall not be transferred within six months after that corporation or that trust has acquired the ordinary shares or pre-funded warrants pursuant to an offer made under Section 275 of the SFA, except:</w:t>
      </w:r>
    </w:p>
    <w:p>
      <w:pPr>
        <w:spacing w:after="0" w:line="81" w:lineRule="exact"/>
        <w:rPr>
          <w:sz w:val="20"/>
          <w:szCs w:val="20"/>
          <w:color w:val="auto"/>
        </w:rPr>
      </w:pPr>
    </w:p>
    <w:p>
      <w:pPr>
        <w:ind w:left="1080" w:right="12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as defined in Section 275(2) of the SFA, or (in the case of such corporation) where the transfer arises from an offer referred to in Section 275(1A) of the SFA or (in the case of such trust) where the transfer arises from an offer referred to in Section 276(4)(i)(B) of the SFA;</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 of Singapore.</w:t>
      </w:r>
    </w:p>
    <w:p>
      <w:pPr>
        <w:spacing w:after="0" w:line="162"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Any reference to the SFA is a reference to the Securities and Futures Act 2001 of Singapore and a reference to any term as defined in the SFA or any provision in the SFA is a reference to that term as modified or amended from time to time including by such of its subsidiary legislation as may be applicable at the relevant time.</w:t>
      </w:r>
    </w:p>
    <w:p>
      <w:pPr>
        <w:spacing w:after="0" w:line="172"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color w:val="auto"/>
        </w:rPr>
        <w:t>Notification under Section 309B(1) of the SFA</w:t>
      </w:r>
      <w:r>
        <w:rPr>
          <w:rFonts w:ascii="Times New Roman" w:cs="Times New Roman" w:eastAsia="Times New Roman" w:hAnsi="Times New Roman"/>
          <w:sz w:val="18"/>
          <w:szCs w:val="18"/>
          <w:color w:val="auto"/>
        </w:rPr>
        <w:t>: The Company has determined, and hereby notifies all persons (including relevant persons (as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Section 309A(1) of the SFA)) that the ordinary shares and pre-funded warrants are prescribed capital markets products (as defined in the Securities and Futures (Capital Markets Products) Regulations 2018) and Excluded Investment Products (as defined in the MAS Notice SFA 04-N12: Notice on the Sale of Investment Products and MAS Notice FAA-N16: Notice on Recommendations on Investment Products).</w:t>
      </w:r>
    </w:p>
    <w:p>
      <w:pPr>
        <w:spacing w:after="0" w:line="18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By accepting this prospectus supplement and the accompanying prospectus, the recipient hereof and thereof represents and warrants that such recipient is entitled to receive it in accordance with the restrictions set forth above and agrees to be bound by the limitations contained herein. Any failure to comply with these limitations may constitute a violation of law.</w:t>
      </w:r>
    </w:p>
    <w:p>
      <w:pPr>
        <w:spacing w:after="0" w:line="176"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Unless the context otherwise indicates, references to “Wave,” the “Company,” “our company,” “we,” “our,” “us” or similar terms refer to Wave Life Sciences Ltd. and our wholly-owned subsidiaries. References in this prospectus to “S$” refer to Singapore dollars, “¥” refer to Japanese yen, and “€” refer to euros.</w:t>
      </w:r>
    </w:p>
    <w:p>
      <w:pPr>
        <w:spacing w:after="0" w:line="176"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The Wave Life Sciences Ltd. and Wave Life Sciences Pte. Ltd. names, the Wave Life Sciences mark, and the other trademarks, trade names and service marks of Wave Life Sciences Ltd. appearing in this prospectus supplement or the accompanying prospectus are the property of Wave Life Sciences Ltd. Wave has applied to register certain of its trademarks in the United States. This prospectus supplement and the accompanying prospectus also contain additional trade names, trademarks and service marks belonging to Wave Life Sciences Ltd. and to other companies. We do not intend our use or display of other parties’ trademarks, trade names or service marks to imply, and such use or display should not be construed to imply, a relationship with, or</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 xml:space="preserve">endorsement or sponsorship of us by, these other parties. Solely for convenience, the trademarks and trade names in this prospectus supplement and the accompanying prospectus are referred to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symbols, but such reference should not be construed as any indicator that their respective owners will not assert, to the fullest extent under applicable law, their rights thereto.</w:t>
      </w:r>
    </w:p>
    <w:p>
      <w:pPr>
        <w:spacing w:after="0" w:line="17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For investors outside the United States</w:t>
      </w:r>
      <w:r>
        <w:rPr>
          <w:rFonts w:ascii="Times New Roman" w:cs="Times New Roman" w:eastAsia="Times New Roman" w:hAnsi="Times New Roman"/>
          <w:sz w:val="18"/>
          <w:szCs w:val="18"/>
          <w:color w:val="auto"/>
        </w:rPr>
        <w:t>: Neither we nor any of the underwriters have taken any action that would permit this offering or possession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of this prospectus in any jurisdiction where action for that purpose is required, other than in the United States. Persons who have come into possession of this prospectus in a jurisdiction outside the United States are required to inform themselves about and to observe any restriction relating to this offering and the distribution of this prospectus.</w:t>
      </w:r>
    </w:p>
    <w:p>
      <w:pPr>
        <w:spacing w:after="0" w:line="200" w:lineRule="exact"/>
        <w:rPr>
          <w:sz w:val="20"/>
          <w:szCs w:val="20"/>
          <w:color w:val="auto"/>
        </w:rPr>
      </w:pPr>
    </w:p>
    <w:p>
      <w:pPr>
        <w:spacing w:after="0" w:line="2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276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3276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2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or incorporated by reference in this prospectus supplement and the accompanying prospectus. This summary does not contain all of the information that you should consider before deciding to invest in our ordinary shares and pre-funded warrants. You should read this entire prospectus supplement and the accompanying prospectus carefully, including the “Risk Factors” section contained in this prospectus supplement, our consolidated financial statements and the related notes thereto and the other documents and information incorporated by reference in this prospectus supplement and the accompanying prospectus.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We are a clinical-stage genetic medicines company committed to delivering life-changing treatments for people battling devastating diseases. Using PRISM</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our proprietary discovery and drug development platform that enables the precise design, optimization and production of novel stereopure oligonucleotides, we aspire to develop best-in-class medicines that target the transcriptome to treat genetically defined diseases with a high degree of unmet need.</w:t>
      </w:r>
    </w:p>
    <w:p>
      <w:pPr>
        <w:spacing w:after="0" w:line="180"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We are developing oligonucleotides that target ribonucleic acid (“RNA”) and harness existing cellular machinery to reduce the expression of disease-promoting RNA or proteins, restore the production of functional proteins, or modulate protein expression. By intervening at the RNA level, we have the potential to address diseases that have historically been difficult to treat with small molecules or biologics, while retaining the ability to titrate dose, modulate duration of effect, and avoid risk of permanent off-target genetic changes and other challenges associated with DNA editing or gene therapy approaches. Oligonucleotides have additional advantages as a therapeutic class, including the ability to access multiple tissue types and the ability to modulate the frequency of dosing to ensure broad distribution within tissues over time. Oligonucleotides also have well-established manufacturing processes and validated test methods based on decades of improvements, as well as established regulatory, access and reimbursement pathways.</w:t>
      </w:r>
    </w:p>
    <w:p>
      <w:pPr>
        <w:spacing w:after="0" w:line="192"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Our approach is based on the scientific insight that the biological machinery necessary to address genetic diseases already exists in human cells and can be controlled with the right tools. We have built a genetic toolkit comprised of multiple therapeutic modalities, including RNase-H mediated silencing, RNAi, splicing, and RNA base editing, all of which leverage learnings and optimizations from our PRISM platform and allow us to design built-for-purpose molecules to optimally address disease biology.</w:t>
      </w:r>
    </w:p>
    <w:p>
      <w:pPr>
        <w:spacing w:after="0" w:line="180" w:lineRule="exact"/>
        <w:rPr>
          <w:sz w:val="20"/>
          <w:szCs w:val="20"/>
          <w:color w:val="auto"/>
        </w:rPr>
      </w:pPr>
    </w:p>
    <w:p>
      <w:pPr>
        <w:ind w:left="300" w:right="40"/>
        <w:spacing w:after="0" w:line="255" w:lineRule="auto"/>
        <w:rPr>
          <w:sz w:val="20"/>
          <w:szCs w:val="20"/>
          <w:color w:val="auto"/>
        </w:rPr>
      </w:pPr>
      <w:r>
        <w:rPr>
          <w:rFonts w:ascii="Times New Roman" w:cs="Times New Roman" w:eastAsia="Times New Roman" w:hAnsi="Times New Roman"/>
          <w:sz w:val="18"/>
          <w:szCs w:val="18"/>
          <w:color w:val="auto"/>
        </w:rPr>
        <w:t>Our A-to-I RNA base editing oligonucleotides (“AIMers”) represent our newest therapeutic modality. AIMers are designed to correct single base mutations on RNA transcript, thereby avoiding permanent changes to the genome that occur with DNA-targeting approaches. Rather than using an exogenous editing enzyme, AIMers recruit proteins that exist in the body, called ADAR (adenosine deaminases acting on RNA) enzymes, which naturally possess the ability to change an adenine (A) to an inosine (I), which cells read as guanine (G). This approach enables simplified delivery and avoids the risk of irreversible off-target effects with DNA-targeting approaches. AIMers are short in length, fully chemically modified, and use novel chemistry, including proprietary PN backbone modifications and control of stereochemistry, which make them distinct from other ADAR-mediated editing approaches.</w:t>
      </w:r>
    </w:p>
    <w:p>
      <w:pPr>
        <w:spacing w:after="0" w:line="200" w:lineRule="exact"/>
        <w:rPr>
          <w:sz w:val="20"/>
          <w:szCs w:val="20"/>
          <w:color w:val="auto"/>
        </w:rPr>
      </w:pPr>
    </w:p>
    <w:p>
      <w:pPr>
        <w:spacing w:after="0" w:line="34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10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00"/>
        <w:spacing w:after="0" w:line="289" w:lineRule="auto"/>
        <w:rPr>
          <w:sz w:val="20"/>
          <w:szCs w:val="20"/>
          <w:color w:val="auto"/>
        </w:rPr>
      </w:pPr>
      <w:r>
        <w:rPr>
          <w:rFonts w:ascii="Times New Roman" w:cs="Times New Roman" w:eastAsia="Times New Roman" w:hAnsi="Times New Roman"/>
          <w:sz w:val="17"/>
          <w:szCs w:val="17"/>
          <w:color w:val="auto"/>
        </w:rPr>
        <w:t>Our PRISM platform is built on the recognition that a significant opportunity exists to tune the pharmacological properties of oligonucleotide therapeutics by leveraging three key features of these molecules: sequence, chemistry, and stereochemistry. Our unique ability to control stereochemistry, which is a reality of chemically modified oligonucleotides, provides the resolution necessary to optimize pharmacological profiles.</w:t>
      </w:r>
    </w:p>
    <w:p>
      <w:pPr>
        <w:spacing w:after="0" w:line="158" w:lineRule="exact"/>
        <w:rPr>
          <w:sz w:val="20"/>
          <w:szCs w:val="20"/>
          <w:color w:val="auto"/>
        </w:rPr>
      </w:pPr>
    </w:p>
    <w:p>
      <w:pPr>
        <w:ind w:left="300" w:right="80"/>
        <w:spacing w:after="0" w:line="261" w:lineRule="auto"/>
        <w:rPr>
          <w:sz w:val="20"/>
          <w:szCs w:val="20"/>
          <w:color w:val="auto"/>
        </w:rPr>
      </w:pPr>
      <w:r>
        <w:rPr>
          <w:rFonts w:ascii="Times New Roman" w:cs="Times New Roman" w:eastAsia="Times New Roman" w:hAnsi="Times New Roman"/>
          <w:sz w:val="18"/>
          <w:szCs w:val="18"/>
          <w:color w:val="auto"/>
        </w:rPr>
        <w:t>PRISM enables us to design stereopure oligonucleotides, which are comprised of molecules with atoms precisely and purposefully arranged in three-dimensional orientations at each linkage. These differ from the mixture-based oligonucleotides currently on the market or in development by others. Additionally, to mitigate pharmacological risks and potential manufacturing challenges, our approach focuses on designing short, chemically modified oligonucleotides without the need for complex delivery vehicles or engineered exogenous enzymes.</w:t>
      </w:r>
    </w:p>
    <w:p>
      <w:pPr>
        <w:spacing w:after="0" w:line="180"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 xml:space="preserve">Our work in developing stereopure oligonucleotides has enabled the continued evolution of PRISM and our drug discovery process of selecting genetically defined targets, identifying a sequence and applying the therapeutic modality we determine is best suited for the disease biology. We use our PRISM platform engine to screen candidates and optimize the pharmacologic profile based on predefined design principles, which reflect a deep understanding of how the interplay among oligonucleotide sequence, chemistry and backbone stereochemistry impacts key pharmacological properties. Through continued exploration of these interactions using iterative analysis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outcomes and machine learning-driven predictive modeling, we also continue to refine our design principles that we deploy across subsequent programs. We continue to invest in PRISM to further evolve and apply the expanding capabilities and promise of our unique platform.</w:t>
      </w:r>
    </w:p>
    <w:p>
      <w:pPr>
        <w:spacing w:after="0" w:line="189" w:lineRule="exact"/>
        <w:rPr>
          <w:sz w:val="20"/>
          <w:szCs w:val="20"/>
          <w:color w:val="auto"/>
        </w:rPr>
      </w:pPr>
    </w:p>
    <w:p>
      <w:pPr>
        <w:ind w:left="300" w:right="20"/>
        <w:spacing w:after="0" w:line="266" w:lineRule="auto"/>
        <w:rPr>
          <w:sz w:val="20"/>
          <w:szCs w:val="20"/>
          <w:color w:val="auto"/>
        </w:rPr>
      </w:pPr>
      <w:r>
        <w:rPr>
          <w:rFonts w:ascii="Times New Roman" w:cs="Times New Roman" w:eastAsia="Times New Roman" w:hAnsi="Times New Roman"/>
          <w:sz w:val="18"/>
          <w:szCs w:val="18"/>
          <w:color w:val="auto"/>
        </w:rPr>
        <w:t>In August 2020, we publicly introduced our novel PN backbone chemistry modifications, which have been shown preclinically to increase potency, distribution, and durability of effect across various modalities. PN chemistry has been incorporated into all our current clinical, preclinical, and discovery-stage programs.</w:t>
      </w:r>
    </w:p>
    <w:p>
      <w:pPr>
        <w:spacing w:after="0" w:line="176"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We have a robust and diverse pipeline of PN-modified, stereopure oligonucleotides, including our clinical silencing and splicing programs, as well as our AIMers. Our lead clinical development programs are designed to treat genetic diseases within the central nervous system (“CNS”), including amyotrophic lateral sclerosis (“ALS”), frontotemporal dementia (“FTD”), Huntington’s disease (“HD”), and Duchenne muscular dystrophy (“DMD”). These programs include:</w:t>
      </w:r>
    </w:p>
    <w:p>
      <w:pPr>
        <w:spacing w:after="0" w:line="85" w:lineRule="exact"/>
        <w:rPr>
          <w:sz w:val="20"/>
          <w:szCs w:val="20"/>
          <w:color w:val="auto"/>
        </w:rPr>
      </w:pPr>
    </w:p>
    <w:p>
      <w:pPr>
        <w:ind w:left="5500" w:right="2480" w:hanging="4675"/>
        <w:spacing w:after="0" w:line="657" w:lineRule="auto"/>
        <w:tabs>
          <w:tab w:leader="none" w:pos="123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WVE-004 (silencing), our C9orf72 molecule for the treatment of C9orf72-associated ALS and FTD, S-2</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8446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8446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WVE-003 (silencing), our mHTT SNP3 molecule for the treatment of HD,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WVE-N531 (splicing), our exon 53 molecule for the treatment of DMD.</w:t>
      </w:r>
    </w:p>
    <w:p>
      <w:pPr>
        <w:spacing w:after="0" w:line="225"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8"/>
          <w:szCs w:val="18"/>
          <w:color w:val="auto"/>
        </w:rPr>
        <w:t>With RNA base editing, our initial focus is on using GalNAc-conjugated AIMers to treat hepatic diseases and our lead program is designed to treat alpha-1antitrypsin deficiency (“AATD”). We expect to select an AATD AIMer development candidate and initiate IND-enabling toxicology studies in the third quarter of 2022.</w:t>
      </w:r>
    </w:p>
    <w:p>
      <w:pPr>
        <w:spacing w:after="0" w:line="176"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When we built Wave, we recognized the growing momentum in RNA therapeutics and anticipated the value in having an internal current good manufacturing practices (“cGMP”) manufacturing facility. This capability provides us with increased control and visibility of our drug substance supply chain, thereby accelerating transitions from discovery through clinical development, and the continued ability to innovate in oligonucleotide manufacturing. Our team includes experts in oligonucleotide manufacturing that have successfully delivered clinical supply for six global studies at Wave to date. With our existing manufacturing facility, we are evaluating using our additional capacity to support the clinical supply of innovative oligonucleotides for new partners.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Current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Additional details regarding our lead therapeutic programs are set forth below.</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Neurology</w:t>
      </w:r>
    </w:p>
    <w:p>
      <w:pPr>
        <w:spacing w:after="0" w:line="117" w:lineRule="exact"/>
        <w:rPr>
          <w:sz w:val="20"/>
          <w:szCs w:val="20"/>
          <w:color w:val="auto"/>
        </w:rPr>
      </w:pPr>
    </w:p>
    <w:p>
      <w:pPr>
        <w:ind w:left="300" w:right="8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WVE-004</w:t>
      </w:r>
      <w:r>
        <w:rPr>
          <w:rFonts w:ascii="Times New Roman" w:cs="Times New Roman" w:eastAsia="Times New Roman" w:hAnsi="Times New Roman"/>
          <w:sz w:val="18"/>
          <w:szCs w:val="18"/>
          <w:color w:val="auto"/>
        </w:rPr>
        <w:t>: In ALS and FTD, we are advancing WVE-004, which uses our novel PN chemistry and preferentially targets the transcripts containing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hexanucleotide G4C2 expansion in the </w:t>
      </w:r>
      <w:r>
        <w:rPr>
          <w:rFonts w:ascii="Times New Roman" w:cs="Times New Roman" w:eastAsia="Times New Roman" w:hAnsi="Times New Roman"/>
          <w:sz w:val="18"/>
          <w:szCs w:val="18"/>
          <w:i w:val="1"/>
          <w:iCs w:val="1"/>
          <w:color w:val="auto"/>
        </w:rPr>
        <w:t>C9orf72</w:t>
      </w:r>
      <w:r>
        <w:rPr>
          <w:rFonts w:ascii="Times New Roman" w:cs="Times New Roman" w:eastAsia="Times New Roman" w:hAnsi="Times New Roman"/>
          <w:sz w:val="18"/>
          <w:szCs w:val="18"/>
          <w:color w:val="auto"/>
        </w:rPr>
        <w:t xml:space="preserve"> gene. In C9 BAC transgenic mice, WVE-004 led to substantial reductions in repeat-containing C9orf72 transcripts and dipeptide repeat (“DPR”) proteins that are sustained for at least six months, without disrupting total C9orf72 protein expression.</w:t>
      </w:r>
    </w:p>
    <w:p>
      <w:pPr>
        <w:spacing w:after="0" w:line="182"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In 2021, we initiated our FOCUS-C9 trial, which is a global, multicenter, randomized, double-blind, placebo-controlled Phase 1b/2a clinical trial to assess the safety and tolerability of intrathecal doses of WVE-004 for patients with C9-ALS and/or C9-FTD. Additional objectives include measurement of polyGP proteins in the cerebrospinal fluid (“CSF”), plasma and CSF pharmacokinetics and exploratory biomarker and clinical endpoints. The FOCUS-C9 trial is designed to be adaptive with dose level and dosing frequency being guided by an independent committee. Preclinical models that have established pharmacologic activity have informed the starting dose for this trial.</w:t>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84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80"/>
        <w:spacing w:after="0" w:line="266" w:lineRule="auto"/>
        <w:rPr>
          <w:sz w:val="20"/>
          <w:szCs w:val="20"/>
          <w:color w:val="auto"/>
        </w:rPr>
      </w:pPr>
      <w:r>
        <w:rPr>
          <w:rFonts w:ascii="Times New Roman" w:cs="Times New Roman" w:eastAsia="Times New Roman" w:hAnsi="Times New Roman"/>
          <w:sz w:val="18"/>
          <w:szCs w:val="18"/>
          <w:color w:val="auto"/>
        </w:rPr>
        <w:t>In April 2022, we announced a positive update to the ongoing FOCUS-C9 trial that was driven by the observation of potent, durable reductions of poly(GP) dipeptide repeat proteins in CSF with low, single doses of WVE-004. Poly(GP) is a key C9-ALS/C9-FTD disease biomarker that, when reduced in CSF, indicates WVE-004’s engagement of target in the brain and spinal cord.</w:t>
      </w:r>
    </w:p>
    <w:p>
      <w:pPr>
        <w:spacing w:after="0" w:line="81" w:lineRule="exact"/>
        <w:rPr>
          <w:sz w:val="20"/>
          <w:szCs w:val="20"/>
          <w:color w:val="auto"/>
        </w:rPr>
      </w:pPr>
    </w:p>
    <w:p>
      <w:pPr>
        <w:ind w:left="1240" w:right="2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poly(GP) were observed across all active treatment groups (10 mg, n=2 patients; 30 mg, n=4 patients; 60 mg, n=3 patients), reaching statistical significance versus placebo (n=3 patients) after single 30 mg doses, with a 34% reduction in poly(GP) at day 85 (p=0.011). At the time of analysis, none of the patients dosed with 60 mg had reached day 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40" w:hanging="415"/>
        <w:spacing w:after="0" w:line="261"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poly(GP) reduction in the 30 mg single dose cohort does not appear to have plateaued, we are extending the observation period from approximately three months (85 days) to approximately six months to identify the maximum reduction of poly(GP) and duration of effect of low single doses. Based on the durability and potency observed in the 30 mg cohort, FOCUS-C9 has been adapted to include additional patients receiving 20 mg and 30 mg single doses of WVE-004.</w:t>
      </w:r>
    </w:p>
    <w:p>
      <w:pPr>
        <w:spacing w:after="0" w:line="85" w:lineRule="exact"/>
        <w:rPr>
          <w:rFonts w:ascii="Times New Roman" w:cs="Times New Roman" w:eastAsia="Times New Roman" w:hAnsi="Times New Roman"/>
          <w:sz w:val="18"/>
          <w:szCs w:val="18"/>
          <w:color w:val="auto"/>
        </w:rPr>
      </w:pPr>
    </w:p>
    <w:p>
      <w:pPr>
        <w:ind w:left="1240" w:right="240" w:hanging="415"/>
        <w:spacing w:after="0" w:line="261"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exploratory assessments included monitoring of CSF neurofilament light chain (“NfL”) and clinical outcome measures. CSF NfL elevations were observed in some patients in the 30 mg and 60 mg single dose cohorts with no meaningful changes in clinical outcome measures, although the dataset and duration were not sufficient to assess clinical effects. Exploratory assessments will continue throughout the single and multidose phases of the FOCUS-C9 trial.</w:t>
      </w:r>
    </w:p>
    <w:p>
      <w:pPr>
        <w:spacing w:after="0" w:line="85" w:lineRule="exact"/>
        <w:rPr>
          <w:rFonts w:ascii="Times New Roman" w:cs="Times New Roman" w:eastAsia="Times New Roman" w:hAnsi="Times New Roman"/>
          <w:sz w:val="18"/>
          <w:szCs w:val="18"/>
          <w:color w:val="auto"/>
        </w:rPr>
      </w:pPr>
    </w:p>
    <w:p>
      <w:pPr>
        <w:ind w:left="1240" w:right="180" w:hanging="415"/>
        <w:spacing w:after="0" w:line="261"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were balanced across treatment groups, including placebo, and were mostly mild to moderate in intensity. Four patients (including one on placebo) experienced severe and/or serious adverse events; three were reported by the investigators to be related to ALS or administration, and one was reported by the investigator to be related to study drug. There were no treatment-associated elevations in CSF white blood cell counts or protein and no other notable laboratory abnormalities were observed.</w:t>
      </w:r>
    </w:p>
    <w:p>
      <w:pPr>
        <w:spacing w:after="0" w:line="85" w:lineRule="exact"/>
        <w:rPr>
          <w:rFonts w:ascii="Times New Roman" w:cs="Times New Roman" w:eastAsia="Times New Roman" w:hAnsi="Times New Roman"/>
          <w:sz w:val="18"/>
          <w:szCs w:val="18"/>
          <w:color w:val="auto"/>
        </w:rPr>
      </w:pPr>
    </w:p>
    <w:p>
      <w:pPr>
        <w:ind w:left="1240" w:right="220" w:hanging="415"/>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share additional single and multidose data from the FOCUS-C9 clinical trial throughout 2022. We expect to use these data to optimize dose level and frequency, as well as enable discussions with regulatory authorities regarding the next phase of development later in 2022. Planning is underway for expected initiation of an open-label extension clinical trial in mid-2022.</w:t>
      </w:r>
    </w:p>
    <w:p>
      <w:pPr>
        <w:spacing w:after="0" w:line="2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880"/>
          </w:cols>
          <w:pgMar w:left="320" w:top="455" w:right="6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21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WVE-003</w:t>
      </w:r>
      <w:r>
        <w:rPr>
          <w:rFonts w:ascii="Times New Roman" w:cs="Times New Roman" w:eastAsia="Times New Roman" w:hAnsi="Times New Roman"/>
          <w:sz w:val="18"/>
          <w:szCs w:val="18"/>
          <w:color w:val="auto"/>
        </w:rPr>
        <w:t>: In HD, we are currently advancing WVE-003, a stereopure antisense oligonucleotide designed to selectively target an undisclosed single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nucleotide polymorphism (“SNP”), “mHTT SNP3”, associated with the disease-causing mutant huntingtin (“mHTT”) mRNA transcript within the </w:t>
      </w:r>
      <w:r>
        <w:rPr>
          <w:rFonts w:ascii="Times New Roman" w:cs="Times New Roman" w:eastAsia="Times New Roman" w:hAnsi="Times New Roman"/>
          <w:sz w:val="18"/>
          <w:szCs w:val="18"/>
          <w:i w:val="1"/>
          <w:iCs w:val="1"/>
          <w:color w:val="auto"/>
        </w:rPr>
        <w:t xml:space="preserve">HTT </w:t>
      </w:r>
      <w:r>
        <w:rPr>
          <w:rFonts w:ascii="Times New Roman" w:cs="Times New Roman" w:eastAsia="Times New Roman" w:hAnsi="Times New Roman"/>
          <w:sz w:val="18"/>
          <w:szCs w:val="18"/>
          <w:color w:val="auto"/>
        </w:rPr>
        <w:t>gene. WVE-003 incorporates our novel PN chemistry, as well as learnings from our first-generation HD programs. Targeting mRNA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SNP3 allows us to lower expression of transcript from the mutant allele, while leaving the healthy transcript relatively intact, thereby preserving wild-type (healthy) huntingtin (“wtHTT”) protein, which is important for neuronal function. Our allele-selective approach may also enable us to address the pre-manifest, or asymptomatic, HD patient population in the future. In preclinical studies, WVE-003 showed dose-dependent and selective reduction of mHTT mRNA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potent and durable knockdown of mHTT mRNA and protein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A pharmacokinetic-pharmacodynamic (“PK- PD”) model for WVE-003 based on preclinical data predicts that WVE-003 may attain sufficient concentrations to engage mHTT transcript in both the cortex and striatum and decrease expression of the mHTT protein.</w:t>
      </w:r>
    </w:p>
    <w:p>
      <w:pPr>
        <w:spacing w:after="0" w:line="190" w:lineRule="exact"/>
        <w:rPr>
          <w:sz w:val="20"/>
          <w:szCs w:val="20"/>
          <w:color w:val="auto"/>
        </w:rPr>
      </w:pPr>
    </w:p>
    <w:p>
      <w:pPr>
        <w:ind w:left="300" w:right="120"/>
        <w:spacing w:after="0" w:line="255" w:lineRule="auto"/>
        <w:rPr>
          <w:sz w:val="20"/>
          <w:szCs w:val="20"/>
          <w:color w:val="auto"/>
        </w:rPr>
      </w:pPr>
      <w:r>
        <w:rPr>
          <w:rFonts w:ascii="Times New Roman" w:cs="Times New Roman" w:eastAsia="Times New Roman" w:hAnsi="Times New Roman"/>
          <w:sz w:val="18"/>
          <w:szCs w:val="18"/>
          <w:color w:val="auto"/>
        </w:rPr>
        <w:t>The SELECT-HD trial is a multicenter, randomized, double-blind, placebo-controlled Phase 1b/2a clinical trial to assess the safety and tolerability of intrathecally administered WVE-003 for patients with early manifest HD. Additional objectives include measurement of mHTT and wtHTT protein and exploratory pharmacokinetic, pharmacodynamic, clinical and magnetic resonance imaging (“MRI”) endpoints. The SELECT-HD trial is designed to be adaptive, with dose level and dosing frequency being guided by an independent committee. Preclinical models that have established pharmacologic activity have informed the starting dose for this trial. In September 2021, we announced the initiation of dosing in the SELECT-HD trial. We expect to share clinical data in 2022 to provide further insight into the clinical effects of PN chemistry and enable decision making for WVE-003.</w:t>
      </w:r>
    </w:p>
    <w:p>
      <w:pPr>
        <w:spacing w:after="0" w:line="187" w:lineRule="exact"/>
        <w:rPr>
          <w:sz w:val="20"/>
          <w:szCs w:val="20"/>
          <w:color w:val="auto"/>
        </w:rPr>
      </w:pPr>
    </w:p>
    <w:p>
      <w:pPr>
        <w:ind w:left="300" w:right="6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WVE-N531</w:t>
      </w:r>
      <w:r>
        <w:rPr>
          <w:rFonts w:ascii="Times New Roman" w:cs="Times New Roman" w:eastAsia="Times New Roman" w:hAnsi="Times New Roman"/>
          <w:sz w:val="18"/>
          <w:szCs w:val="18"/>
          <w:color w:val="auto"/>
        </w:rPr>
        <w:t>: In DMD, we are advancing WVE-N531, which is designed to target exon 53 within the dystrophin gene. WVE-N531 is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the cellular splicing machinery to skip over this exon during pre-mRNA processing, which restores the dystrophin mRNA reading frame and enables production of truncated, but functional dystrophin protein. Exon-skipping produces dystrophin from the endogenous dystrophin gene (not micro or mini dystrophin expressed from a vector), under the control of native gene-regulatory elements, resulting in normal temporospatial expression. WVE-N531 is both our first splicing candidate and our first systemically administered candidate incorporating PN chemistry to be assessed in the clinic.</w:t>
      </w:r>
    </w:p>
    <w:p>
      <w:pPr>
        <w:spacing w:after="0" w:line="184" w:lineRule="exact"/>
        <w:rPr>
          <w:sz w:val="20"/>
          <w:szCs w:val="20"/>
          <w:color w:val="auto"/>
        </w:rPr>
      </w:pPr>
    </w:p>
    <w:p>
      <w:pPr>
        <w:ind w:left="300" w:right="140"/>
        <w:spacing w:after="0" w:line="266" w:lineRule="auto"/>
        <w:rPr>
          <w:sz w:val="20"/>
          <w:szCs w:val="20"/>
          <w:color w:val="auto"/>
        </w:rPr>
      </w:pPr>
      <w:r>
        <w:rPr>
          <w:rFonts w:ascii="Times New Roman" w:cs="Times New Roman" w:eastAsia="Times New Roman" w:hAnsi="Times New Roman"/>
          <w:sz w:val="18"/>
          <w:szCs w:val="18"/>
          <w:color w:val="auto"/>
        </w:rPr>
        <w:t>In September 2021, we announced the initiation of dosing in an open-label clinical trial evaluating WVE-N531 as a treatment for boys with DMD who are amenable to exon 53 skipping. We expect to share clinical data, including muscle biopsies, in 2022 to provide further insight into the clinical effects of PN chemistry and enable decision making for WVE-N531.</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Hepatic</w:t>
      </w:r>
    </w:p>
    <w:p>
      <w:pPr>
        <w:spacing w:after="0" w:line="119" w:lineRule="exact"/>
        <w:rPr>
          <w:sz w:val="20"/>
          <w:szCs w:val="20"/>
          <w:color w:val="auto"/>
        </w:rPr>
      </w:pPr>
    </w:p>
    <w:p>
      <w:pPr>
        <w:ind w:left="300" w:right="20"/>
        <w:spacing w:after="0" w:line="266" w:lineRule="auto"/>
        <w:rPr>
          <w:sz w:val="20"/>
          <w:szCs w:val="20"/>
          <w:color w:val="auto"/>
        </w:rPr>
      </w:pPr>
      <w:r>
        <w:rPr>
          <w:rFonts w:ascii="Times New Roman" w:cs="Times New Roman" w:eastAsia="Times New Roman" w:hAnsi="Times New Roman"/>
          <w:sz w:val="18"/>
          <w:szCs w:val="18"/>
          <w:color w:val="auto"/>
        </w:rPr>
        <w:t>We are initially focused on developing AIMers to address genetic hepatic diseases. Our AIMers are relatively short and stable (fully chemically modified), which enables us to leverage clinically-proven N-acetyl galactosamine (“GalNAc”)-mediated delivery to hepatocytes with subcutaneous dosing.</w:t>
      </w:r>
    </w:p>
    <w:p>
      <w:pPr>
        <w:spacing w:after="0" w:line="174" w:lineRule="exact"/>
        <w:rPr>
          <w:sz w:val="20"/>
          <w:szCs w:val="20"/>
          <w:color w:val="auto"/>
        </w:rPr>
      </w:pPr>
    </w:p>
    <w:p>
      <w:pPr>
        <w:ind w:left="300" w:right="18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Alpha-1 antitrypsin deficiency (“AATD”)</w:t>
      </w:r>
      <w:r>
        <w:rPr>
          <w:rFonts w:ascii="Times New Roman" w:cs="Times New Roman" w:eastAsia="Times New Roman" w:hAnsi="Times New Roman"/>
          <w:sz w:val="18"/>
          <w:szCs w:val="18"/>
          <w:color w:val="auto"/>
        </w:rPr>
        <w:t>: Our AATD program is the first to leverage our novel RNA editing capability that uses GalNAc-conjugated AIMers (RNA base editing oligonucleotides) and endogenous ADAR enzymes by correcting the single RNA base mutation, ADAR editing may provide an ideal approach for increasing circulating levels of wild-type AAT protein and reducing aggregation in the liver, thus simultaneously addressing both the lung and liver manifestations of the disease. We expect to select an AATD AIMer development candidate and initiate IND-enabling toxicology studies in the third quarter of 2022.</w:t>
      </w:r>
    </w:p>
    <w:p>
      <w:pPr>
        <w:spacing w:after="0" w:line="29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87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21" w:lineRule="exact"/>
        <w:rPr>
          <w:sz w:val="20"/>
          <w:szCs w:val="20"/>
          <w:color w:val="auto"/>
        </w:rPr>
      </w:pPr>
    </w:p>
    <w:p>
      <w:pPr>
        <w:jc w:val="both"/>
        <w:ind w:left="300" w:right="180"/>
        <w:spacing w:after="0" w:line="312" w:lineRule="auto"/>
        <w:rPr>
          <w:sz w:val="20"/>
          <w:szCs w:val="20"/>
          <w:color w:val="auto"/>
        </w:rPr>
      </w:pPr>
      <w:r>
        <w:rPr>
          <w:rFonts w:ascii="Times New Roman" w:cs="Times New Roman" w:eastAsia="Times New Roman" w:hAnsi="Times New Roman"/>
          <w:sz w:val="17"/>
          <w:szCs w:val="17"/>
          <w:color w:val="auto"/>
        </w:rPr>
        <w:t>We are a genetic medicines company, and our business and ability to execute our business strategy are subject to a number of significant risks of which you should be aware before you decide to buy our ordinary shares or pre-funded warrants. Among these important risks are the following:</w:t>
      </w:r>
    </w:p>
    <w:p>
      <w:pPr>
        <w:spacing w:after="0" w:line="45" w:lineRule="exact"/>
        <w:rPr>
          <w:sz w:val="20"/>
          <w:szCs w:val="20"/>
          <w:color w:val="auto"/>
        </w:rPr>
      </w:pPr>
    </w:p>
    <w:p>
      <w:pPr>
        <w:ind w:left="1240" w:right="74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genetic medicines company with a history of losses, and we expect to continue to incur losses for the foreseeable future, and we may never achieve or maintain profitability.</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funding, which may not be available on acceptable terms, or at all.</w:t>
      </w:r>
    </w:p>
    <w:p>
      <w:pPr>
        <w:spacing w:after="0" w:line="130"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broad discretion over the use of proceeds received from sales of our securities and our collaborations with third parties and the proceeds may not be used effectively.</w:t>
      </w:r>
    </w:p>
    <w:p>
      <w:pPr>
        <w:spacing w:after="0" w:line="67"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short operating history may make it difficult for shareholders to evaluate the success of our business to date and to assess our future viability.</w:t>
      </w:r>
    </w:p>
    <w:p>
      <w:pPr>
        <w:spacing w:after="0" w:line="67"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third parties upon whom we depend, may face risks related to health epidemics, including the novel coronavirus (COVID-19) pandemic and variants thereof, which may cause adverse effects on our business and operations.</w:t>
      </w:r>
    </w:p>
    <w:p>
      <w:pPr>
        <w:spacing w:after="0" w:line="67"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approach we are taking to discover and develop oligonucleotides is novel and may never lead to marketable products and there is increased risk that the outcome of our clinical trials will not be sufficient to obtain regulatory approval.</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conduct preclinical studies and/or clinical trials successfully, which could materially harm our business.</w:t>
      </w:r>
    </w:p>
    <w:p>
      <w:pPr>
        <w:spacing w:after="0" w:line="130" w:lineRule="exact"/>
        <w:rPr>
          <w:rFonts w:ascii="Times New Roman" w:cs="Times New Roman" w:eastAsia="Times New Roman" w:hAnsi="Times New Roman"/>
          <w:sz w:val="18"/>
          <w:szCs w:val="18"/>
          <w:color w:val="auto"/>
        </w:rPr>
      </w:pPr>
    </w:p>
    <w:p>
      <w:pPr>
        <w:ind w:left="1240" w:right="520" w:hanging="415"/>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successfully manufacture our product candidates for our research and development and preclinical activities, or manufacture sufficient amounts of our product candidates to meet our clinical requirements and timelines, our business may be materially harmed.</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early clinical trials may not be predictive of results of future clinical trials.</w:t>
      </w:r>
    </w:p>
    <w:p>
      <w:pPr>
        <w:spacing w:after="0" w:line="130"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67" w:lineRule="exact"/>
        <w:rPr>
          <w:rFonts w:ascii="Times New Roman" w:cs="Times New Roman" w:eastAsia="Times New Roman" w:hAnsi="Times New Roman"/>
          <w:sz w:val="18"/>
          <w:szCs w:val="18"/>
          <w:color w:val="auto"/>
        </w:rPr>
      </w:pPr>
    </w:p>
    <w:p>
      <w:pPr>
        <w:ind w:left="1240" w:right="96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regulatory approval in the United States or foreign jurisdictions and, as a result, be unable to commercialize our product candidates and our ability to generate revenue will be materially impaired.</w:t>
      </w:r>
    </w:p>
    <w:p>
      <w:pPr>
        <w:spacing w:after="0" w:line="67"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regulatory approvals, our marketed drugs will be subject to ongoing regulatory oversight. If we fail to comply with continuing U.S. and foreign requirements, our regulatory approvals, if obtained, could be limited or withdrawn, we could be subject to other penalties, and our business would be seriously harmed.</w:t>
      </w:r>
    </w:p>
    <w:p>
      <w:pPr>
        <w:spacing w:after="0" w:line="81"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compete effectively with existing drugs, new treatment methods and new technologies, we may be unable to successfully commercialize any drugs that we develop.</w:t>
      </w:r>
    </w:p>
    <w:p>
      <w:pPr>
        <w:spacing w:after="0" w:line="67" w:lineRule="exact"/>
        <w:rPr>
          <w:rFonts w:ascii="Times New Roman" w:cs="Times New Roman" w:eastAsia="Times New Roman" w:hAnsi="Times New Roman"/>
          <w:sz w:val="18"/>
          <w:szCs w:val="18"/>
          <w:color w:val="auto"/>
        </w:rPr>
      </w:pPr>
    </w:p>
    <w:p>
      <w:pPr>
        <w:ind w:left="1240" w:right="40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operations outside of the United States and developments in international trade by the U.S. and foreign governments could adversely affect our business.</w:t>
      </w:r>
    </w:p>
    <w:p>
      <w:pPr>
        <w:spacing w:after="0" w:line="67" w:lineRule="exact"/>
        <w:rPr>
          <w:rFonts w:ascii="Times New Roman" w:cs="Times New Roman" w:eastAsia="Times New Roman" w:hAnsi="Times New Roman"/>
          <w:sz w:val="18"/>
          <w:szCs w:val="18"/>
          <w:color w:val="auto"/>
        </w:rPr>
      </w:pPr>
    </w:p>
    <w:p>
      <w:pPr>
        <w:ind w:left="1240" w:right="240" w:hanging="415"/>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execute our business strategy optimally if we are unable to maintain our existing collaborations or enter into new collaborations with partners that can provide sales, marketing and distribution capabilities and funds for the development and commercialization of our product candidates.</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00"/>
          </w:cols>
          <w:pgMar w:left="320" w:top="455" w:right="6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58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1588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6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some aspects of our compound formulation, research, preclinical studies and clinical trials, and those third parties may not perform satisfactorily, which may harm our business.</w:t>
      </w:r>
    </w:p>
    <w:p>
      <w:pPr>
        <w:spacing w:after="0" w:line="67" w:lineRule="exact"/>
        <w:rPr>
          <w:rFonts w:ascii="Times New Roman" w:cs="Times New Roman" w:eastAsia="Times New Roman" w:hAnsi="Times New Roman"/>
          <w:sz w:val="18"/>
          <w:szCs w:val="18"/>
          <w:color w:val="auto"/>
        </w:rPr>
      </w:pPr>
    </w:p>
    <w:p>
      <w:pPr>
        <w:jc w:val="both"/>
        <w:ind w:left="124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81"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qualified key management and scientists, staff, consultants and advisors, our ability to implement our business plan may be adversely affected.</w:t>
      </w:r>
    </w:p>
    <w:p>
      <w:pPr>
        <w:spacing w:after="0" w:line="67" w:lineRule="exact"/>
        <w:rPr>
          <w:rFonts w:ascii="Times New Roman" w:cs="Times New Roman" w:eastAsia="Times New Roman" w:hAnsi="Times New Roman"/>
          <w:sz w:val="18"/>
          <w:szCs w:val="18"/>
          <w:color w:val="auto"/>
        </w:rPr>
      </w:pPr>
    </w:p>
    <w:p>
      <w:pPr>
        <w:ind w:left="1240" w:right="110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and enforce market exclusivity for our technologies or product candidates, development and commercialization of our product candidates may be adversely affected.</w:t>
      </w:r>
    </w:p>
    <w:p>
      <w:pPr>
        <w:spacing w:after="0" w:line="67" w:lineRule="exact"/>
        <w:rPr>
          <w:rFonts w:ascii="Times New Roman" w:cs="Times New Roman" w:eastAsia="Times New Roman" w:hAnsi="Times New Roman"/>
          <w:sz w:val="18"/>
          <w:szCs w:val="18"/>
          <w:color w:val="auto"/>
        </w:rPr>
      </w:pPr>
    </w:p>
    <w:p>
      <w:pPr>
        <w:ind w:left="1240" w:right="26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license patent rights from third-party owners or licensees. If such owners or licensees do not properly or successfully obtain, maintain or enforce the patents underlying such licenses, or if they retain or license to others any competing rights, our competitive position and business prospects may be adversely affected.</w:t>
      </w:r>
    </w:p>
    <w:p>
      <w:pPr>
        <w:spacing w:after="0" w:line="81" w:lineRule="exact"/>
        <w:rPr>
          <w:rFonts w:ascii="Times New Roman" w:cs="Times New Roman" w:eastAsia="Times New Roman" w:hAnsi="Times New Roman"/>
          <w:sz w:val="18"/>
          <w:szCs w:val="18"/>
          <w:color w:val="auto"/>
        </w:rPr>
      </w:pPr>
    </w:p>
    <w:p>
      <w:pPr>
        <w:ind w:left="1240" w:right="30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or organizations may challenge our or our licensors’ patent rights or may assert patent rights that prevent us from developing and commercializing our products.</w:t>
      </w:r>
    </w:p>
    <w:p>
      <w:pPr>
        <w:spacing w:after="0" w:line="67"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81" w:lineRule="exact"/>
        <w:rPr>
          <w:rFonts w:ascii="Times New Roman" w:cs="Times New Roman" w:eastAsia="Times New Roman" w:hAnsi="Times New Roman"/>
          <w:sz w:val="18"/>
          <w:szCs w:val="18"/>
          <w:color w:val="auto"/>
        </w:rPr>
      </w:pPr>
    </w:p>
    <w:p>
      <w:pPr>
        <w:ind w:left="1240" w:right="50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incorporated in Singapore and our shareholders may have more difficulty in protecting their interests than they would as shareholders of a corporation incorporated in the United States.</w:t>
      </w:r>
    </w:p>
    <w:p>
      <w:pPr>
        <w:spacing w:after="0" w:line="67"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laws of Singapore, which differ in certain material respects from the laws of the United States. The public market may not be liquid enough for our shareholders to sell their ordinary shares quickly or at market price, or at all.</w:t>
      </w:r>
    </w:p>
    <w:p>
      <w:pPr>
        <w:spacing w:after="0" w:line="67"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ordinary shares is likely to be highly volatile due to various/numerous factors, which could cause the price of our ordinary shares to decline and we may incur significant costs from class action litigation due to share volatility.</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purchase ordinary shares in this offering, you will suffer immediate dilution of your investment.</w:t>
      </w:r>
    </w:p>
    <w:p>
      <w:pPr>
        <w:spacing w:after="0" w:line="130"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will have broad discretion over the use of the net proceeds from this offering, and you may not agree with how we use the proceeds and the proceeds may not be invested successfully.</w:t>
      </w:r>
    </w:p>
    <w:p>
      <w:pPr>
        <w:spacing w:after="0" w:line="162" w:lineRule="exact"/>
        <w:rPr>
          <w:sz w:val="20"/>
          <w:szCs w:val="20"/>
          <w:color w:val="auto"/>
        </w:rPr>
      </w:pPr>
    </w:p>
    <w:p>
      <w:pPr>
        <w:ind w:left="300" w:right="200"/>
        <w:spacing w:after="0" w:line="266" w:lineRule="auto"/>
        <w:rPr>
          <w:sz w:val="20"/>
          <w:szCs w:val="20"/>
          <w:color w:val="auto"/>
        </w:rPr>
      </w:pPr>
      <w:r>
        <w:rPr>
          <w:rFonts w:ascii="Times New Roman" w:cs="Times New Roman" w:eastAsia="Times New Roman" w:hAnsi="Times New Roman"/>
          <w:sz w:val="18"/>
          <w:szCs w:val="18"/>
          <w:color w:val="auto"/>
        </w:rPr>
        <w:t>If we are unable to adequately address these and other risks we face, our business, financial condition, operating results and prospects may be adversely affected. For additional information about the risks we face, please see the information contained in or incorporated by reference under “Risk Factors” on page S-11 of this prospectus supplement and page 6 of the accompanying prospectus.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121" w:lineRule="exact"/>
        <w:rPr>
          <w:sz w:val="20"/>
          <w:szCs w:val="20"/>
          <w:color w:val="auto"/>
        </w:rPr>
      </w:pPr>
    </w:p>
    <w:p>
      <w:pPr>
        <w:ind w:left="300" w:right="460"/>
        <w:spacing w:after="0" w:line="261" w:lineRule="auto"/>
        <w:rPr>
          <w:sz w:val="20"/>
          <w:szCs w:val="20"/>
          <w:color w:val="auto"/>
        </w:rPr>
      </w:pPr>
      <w:r>
        <w:rPr>
          <w:rFonts w:ascii="Times New Roman" w:cs="Times New Roman" w:eastAsia="Times New Roman" w:hAnsi="Times New Roman"/>
          <w:sz w:val="18"/>
          <w:szCs w:val="18"/>
          <w:color w:val="auto"/>
        </w:rPr>
        <w:t>Wave Life Sciences Ltd. was incorporated under the name Wave Life Sciences Pte. Ltd. (Registration No.: 201218209G) under the laws of Singapore on July 23, 2012. On November 16, 2015, we closed our initial public offering. In preparation for our initial public offering, on November 5, 2015, Wave Life Sciences Pte. Ltd. converted from a private limited company to a public limited company known as Wave Life Sciences Ltd., or Wave. Wave has four wholly-owned subsidiaries: Wave Life Sciences USA, Inc. (“Wave USA”), a Delaware</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1558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2155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66" w:lineRule="auto"/>
        <w:rPr>
          <w:sz w:val="20"/>
          <w:szCs w:val="20"/>
          <w:color w:val="auto"/>
        </w:rPr>
      </w:pPr>
      <w:r>
        <w:rPr>
          <w:rFonts w:ascii="Times New Roman" w:cs="Times New Roman" w:eastAsia="Times New Roman" w:hAnsi="Times New Roman"/>
          <w:sz w:val="18"/>
          <w:szCs w:val="18"/>
          <w:color w:val="auto"/>
        </w:rPr>
        <w:t>corporation (formerly Ontorii, Inc.); Wave Life Sciences Japan, Inc. (“Wave Japan”), a company organized under the laws of Japan (formerly Chiralgen., Ltd.); Wave Life Sciences Ireland Limited (“Wave Ireland”), a company organized under the laws of Ireland; and Wave Life Sciences UK Limited (“Wave UK”), a company organized under the laws of the United Kingdom.</w:t>
      </w:r>
    </w:p>
    <w:p>
      <w:pPr>
        <w:spacing w:after="0" w:line="176"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 xml:space="preserve">Our registered office is located at 7 Straits View #12-00, Marina One East Tower, Singapore 018936, and our telephone number at that address is +65 6236 3388. Our principal office for Wave USA is located at 733 Concord Avenue, Cambridge, MA 02138, and our telephone number at that address is +1-617-949-2900. Our registered office for Wave Japan is 2438 Miyanoura-cho, Kagoshima-shi, Kagoshima pref. 891-1394, Japan. Our registered office for Wave Ireland is One Spencer Dock, North Wall Quay, Dublin 1, Ireland. Our registered office for Wave UK is 1 Chamberlain Square CS, Birmingham B3 3AX, United Kingdom. Our corporate website address is </w:t>
      </w:r>
      <w:r>
        <w:rPr>
          <w:rFonts w:ascii="Times New Roman" w:cs="Times New Roman" w:eastAsia="Times New Roman" w:hAnsi="Times New Roman"/>
          <w:sz w:val="18"/>
          <w:szCs w:val="18"/>
          <w:i w:val="1"/>
          <w:iCs w:val="1"/>
          <w:color w:val="auto"/>
        </w:rPr>
        <w:t>http://www.wavelifesciences.com</w:t>
      </w:r>
      <w:r>
        <w:rPr>
          <w:rFonts w:ascii="Times New Roman" w:cs="Times New Roman" w:eastAsia="Times New Roman" w:hAnsi="Times New Roman"/>
          <w:sz w:val="18"/>
          <w:szCs w:val="18"/>
          <w:color w:val="auto"/>
        </w:rPr>
        <w:t>. The information on our website is not part of this prospectus supplement or the accompanying prospectus or incorporated by reference into this prospectus supplement or the accompanying prospectus, and you should not consider any information contained on, or that can be accessed through, our website in deciding whether to purchase our ordinary shares and pre-funded warrants. Our Annual Report on Form 10-K, Quarterly Reports on Form 10-Q and Current Reports on Form 8-K and all amendments to such reports are made available free of charge through the “For Investors &amp; Media—SEC Filings” section of our website as soon as reasonably practicable after they have been filed or furnished with the SEC.</w:t>
      </w:r>
    </w:p>
    <w:p>
      <w:pPr>
        <w:spacing w:after="0" w:line="30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00"/>
          </w:cols>
          <w:pgMar w:left="320" w:top="455" w:right="6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82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880"/>
          </w:cols>
          <w:pgMar w:left="320" w:top="455" w:right="69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Ordinary shares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25,464,483 ordinary shares</w:t>
      </w:r>
    </w:p>
    <w:p>
      <w:pPr>
        <w:spacing w:after="0" w:line="155" w:lineRule="exact"/>
        <w:rPr>
          <w:sz w:val="20"/>
          <w:szCs w:val="20"/>
          <w:color w:val="auto"/>
        </w:rPr>
      </w:pPr>
    </w:p>
    <w:p>
      <w:pPr>
        <w:sectPr>
          <w:pgSz w:w="11900" w:h="16838" w:orient="portrait"/>
          <w:cols w:equalWidth="0" w:num="2">
            <w:col w:w="3620" w:space="720"/>
            <w:col w:w="6540"/>
          </w:cols>
          <w:pgMar w:left="320" w:top="455" w:right="69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Pre-funded warrants offered by us</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We are also offering, in lieu of ordinary shares to certain investors, pre-funded warrants to purchase 7,093,656 ordinary shares. The purchase price of each pre-funded warrant equals the price per share at which the ordinary shares are being sold to the public in this offering, minus $0.0001, and the exercise price of each pre-funded warrant will be $0.0001 per share. Each pre-funded warrant will be exercisable at any time after its original issuance and on or prior to 5:00 p.m. (New York City time) on the five year anniversary of the original issuance date, subject to an ownership limitation. See “Description of Pre-funded Warrants.” This prospectus supplement also relates to the offering of the ordinary shares issuable upon exercise of such pre-funded warrants.</w:t>
      </w:r>
    </w:p>
    <w:p>
      <w:pPr>
        <w:spacing w:after="0" w:line="94" w:lineRule="exact"/>
        <w:rPr>
          <w:sz w:val="20"/>
          <w:szCs w:val="20"/>
          <w:color w:val="auto"/>
        </w:rPr>
      </w:pPr>
    </w:p>
    <w:p>
      <w:pPr>
        <w:sectPr>
          <w:pgSz w:w="11900" w:h="16838" w:orient="portrait"/>
          <w:cols w:equalWidth="0" w:num="2">
            <w:col w:w="3620" w:space="720"/>
            <w:col w:w="6540"/>
          </w:cols>
          <w:pgMar w:left="320" w:top="455" w:right="699" w:bottom="1440" w:gutter="0" w:footer="0" w:header="0"/>
          <w:type w:val="continuous"/>
        </w:sectPr>
      </w:pPr>
    </w:p>
    <w:p>
      <w:pPr>
        <w:jc w:val="center"/>
        <w:ind w:left="300"/>
        <w:spacing w:after="0"/>
        <w:rPr>
          <w:sz w:val="20"/>
          <w:szCs w:val="20"/>
          <w:color w:val="auto"/>
        </w:rPr>
      </w:pPr>
      <w:r>
        <w:rPr>
          <w:rFonts w:ascii="Times New Roman" w:cs="Times New Roman" w:eastAsia="Times New Roman" w:hAnsi="Times New Roman"/>
          <w:sz w:val="17"/>
          <w:szCs w:val="17"/>
          <w:color w:val="auto"/>
        </w:rPr>
        <w:t>Ordinary shares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86,324,451 shares</w:t>
      </w:r>
    </w:p>
    <w:p>
      <w:pPr>
        <w:spacing w:after="0" w:line="156" w:lineRule="exact"/>
        <w:rPr>
          <w:sz w:val="20"/>
          <w:szCs w:val="20"/>
          <w:color w:val="auto"/>
        </w:rPr>
      </w:pPr>
    </w:p>
    <w:p>
      <w:pPr>
        <w:sectPr>
          <w:pgSz w:w="11900" w:h="16838" w:orient="portrait"/>
          <w:cols w:equalWidth="0" w:num="2">
            <w:col w:w="4020" w:space="320"/>
            <w:col w:w="6540"/>
          </w:cols>
          <w:pgMar w:left="320" w:top="455" w:right="699" w:bottom="1440" w:gutter="0" w:footer="0" w:header="0"/>
          <w:type w:val="continuous"/>
        </w:sect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Series A preferred shares outstanding before and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3,901,348 shares</w:t>
      </w:r>
    </w:p>
    <w:p>
      <w:pPr>
        <w:spacing w:after="0" w:line="371" w:lineRule="exact"/>
        <w:rPr>
          <w:sz w:val="20"/>
          <w:szCs w:val="20"/>
          <w:color w:val="auto"/>
        </w:rPr>
      </w:pPr>
    </w:p>
    <w:p>
      <w:pPr>
        <w:sectPr>
          <w:pgSz w:w="11900" w:h="16838" w:orient="portrait"/>
          <w:cols w:equalWidth="0" w:num="2">
            <w:col w:w="4180" w:space="160"/>
            <w:col w:w="6540"/>
          </w:cols>
          <w:pgMar w:left="320" w:top="455" w:right="699" w:bottom="1440" w:gutter="0" w:footer="0" w:header="0"/>
          <w:type w:val="continuous"/>
        </w:sect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Total ordinary shares and Series A preferred shares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90,225,799 shares</w:t>
      </w:r>
    </w:p>
    <w:p>
      <w:pPr>
        <w:spacing w:after="0" w:line="371" w:lineRule="exact"/>
        <w:rPr>
          <w:sz w:val="20"/>
          <w:szCs w:val="20"/>
          <w:color w:val="auto"/>
        </w:rPr>
      </w:pPr>
    </w:p>
    <w:p>
      <w:pPr>
        <w:sectPr>
          <w:pgSz w:w="11900" w:h="16838" w:orient="portrait"/>
          <w:cols w:equalWidth="0" w:num="2">
            <w:col w:w="4160" w:space="180"/>
            <w:col w:w="6540"/>
          </w:cols>
          <w:pgMar w:left="320" w:top="455" w:right="69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$65.4 million, after deducting underwriting discounts and commissions and estimated offering expenses payable by us.</w:t>
      </w:r>
    </w:p>
    <w:p>
      <w:pPr>
        <w:spacing w:after="0" w:line="81" w:lineRule="exact"/>
        <w:rPr>
          <w:sz w:val="20"/>
          <w:szCs w:val="20"/>
          <w:color w:val="auto"/>
        </w:rPr>
      </w:pPr>
    </w:p>
    <w:p>
      <w:pPr>
        <w:sectPr>
          <w:pgSz w:w="11900" w:h="16838" w:orient="portrait"/>
          <w:cols w:equalWidth="0" w:num="2">
            <w:col w:w="3620" w:space="720"/>
            <w:col w:w="6540"/>
          </w:cols>
          <w:pgMar w:left="320" w:top="455" w:right="699" w:bottom="1440" w:gutter="0" w:footer="0" w:header="0"/>
          <w:type w:val="continuous"/>
        </w:sectPr>
      </w:pPr>
    </w:p>
    <w:p>
      <w:pPr>
        <w:ind w:left="4340" w:right="42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this offering for our operations and for other general corporate purposes, including, but not limited to, clinical trial costs and other research and development expenses; continued investment in our drug development platform; and working capital, capital expenditures and general and administrative expenses.</w:t>
      </w:r>
    </w:p>
    <w:p>
      <w:pPr>
        <w:sectPr>
          <w:pgSz w:w="11900" w:h="16838" w:orient="portrait"/>
          <w:cols w:equalWidth="0" w:num="1">
            <w:col w:w="10880"/>
          </w:cols>
          <w:pgMar w:left="320" w:top="455" w:right="69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 investment in our ordinary shares and pre-funded warrants involves a high degree of risk. See “Risk Factors” on page S-11 and other information included in or incorporated by reference in this prospectus supplement and the accompanying prospectus.</w:t>
      </w:r>
    </w:p>
    <w:p>
      <w:pPr>
        <w:spacing w:after="0" w:line="81" w:lineRule="exact"/>
        <w:rPr>
          <w:sz w:val="20"/>
          <w:szCs w:val="20"/>
          <w:color w:val="auto"/>
        </w:rPr>
      </w:pPr>
    </w:p>
    <w:p>
      <w:pPr>
        <w:sectPr>
          <w:pgSz w:w="11900" w:h="16838" w:orient="portrait"/>
          <w:cols w:equalWidth="0" w:num="2">
            <w:col w:w="3620" w:space="720"/>
            <w:col w:w="6540"/>
          </w:cols>
          <w:pgMar w:left="320" w:top="455" w:right="69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“WVE”</w:t>
      </w:r>
    </w:p>
    <w:p>
      <w:pPr>
        <w:spacing w:after="0" w:line="211" w:lineRule="exact"/>
        <w:rPr>
          <w:sz w:val="20"/>
          <w:szCs w:val="20"/>
          <w:color w:val="auto"/>
        </w:rPr>
      </w:pPr>
    </w:p>
    <w:p>
      <w:pPr>
        <w:sectPr>
          <w:pgSz w:w="11900" w:h="16838" w:orient="portrait"/>
          <w:cols w:equalWidth="0" w:num="2">
            <w:col w:w="3620" w:space="720"/>
            <w:col w:w="6540"/>
          </w:cols>
          <w:pgMar w:left="320" w:top="455" w:right="699" w:bottom="1440" w:gutter="0" w:footer="0" w:header="0"/>
          <w:type w:val="continuous"/>
        </w:sectPr>
      </w:pP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number of ordinary shares to be outstanding after this offering is based on an aggregate of 60,859,968 ordinary shares outstanding as of</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31, 2022, and excludes:</w:t>
      </w:r>
    </w:p>
    <w:p>
      <w:pPr>
        <w:spacing w:after="0" w:line="112" w:lineRule="exact"/>
        <w:rPr>
          <w:sz w:val="20"/>
          <w:szCs w:val="20"/>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3,901,348 ordinary shares issuable upon the conversion of our Series A preferred shares outstanding as of March 31, 2022;</w:t>
      </w:r>
    </w:p>
    <w:p>
      <w:pPr>
        <w:spacing w:after="0" w:line="130"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8,760,336 ordinary shares issuable upon the exercise of share options outstanding as of March 31, 2022, at a weighted average exercise price of $8.58 per share, of which 3,629,794 ordinary shares were exercisable as of such date;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1,420,568 restricted share units (“RSUs”) outstanding as of March 31, 2022;</w:t>
      </w:r>
    </w:p>
    <w:p>
      <w:pPr>
        <w:spacing w:after="0" w:line="33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880"/>
          </w:cols>
          <w:pgMar w:left="320" w:top="455" w:right="6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2725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12725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82"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1,286,637 ordinary shares reserved for future issuance under the 2021 Equity Incentive Plan (the “2021 Plan”), as of March 31, 2022;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804,940 ordinary shares reserved for future issuance under our 2019 Employee Share Purchase Plan (“ESPP”) as of March 31, 2022.</w:t>
      </w:r>
    </w:p>
    <w:p>
      <w:pPr>
        <w:spacing w:after="0" w:line="225" w:lineRule="exact"/>
        <w:rPr>
          <w:sz w:val="20"/>
          <w:szCs w:val="20"/>
          <w:color w:val="auto"/>
        </w:rPr>
      </w:pPr>
    </w:p>
    <w:p>
      <w:pPr>
        <w:jc w:val="both"/>
        <w:ind w:left="300" w:right="60"/>
        <w:spacing w:after="0" w:line="289" w:lineRule="auto"/>
        <w:rPr>
          <w:sz w:val="20"/>
          <w:szCs w:val="20"/>
          <w:color w:val="auto"/>
        </w:rPr>
      </w:pPr>
      <w:r>
        <w:rPr>
          <w:rFonts w:ascii="Times New Roman" w:cs="Times New Roman" w:eastAsia="Times New Roman" w:hAnsi="Times New Roman"/>
          <w:sz w:val="17"/>
          <w:szCs w:val="17"/>
          <w:color w:val="auto"/>
        </w:rPr>
        <w:t>During the period from March 31, 2022 through June 13, 2022, we granted options to purchase an aggregate of 48,150 ordinary shares and issued 31,050 RSUs. Except as otherwise indicated, all information in this prospectus supplement assumes no exercise of outstanding options, vesting of outstanding RSUs, or other issuance of shares under the 2021 Plan or ESPP, or conversion of Series A preferred shares, each as described above.</w:t>
      </w:r>
    </w:p>
    <w:p>
      <w:pPr>
        <w:spacing w:after="0" w:line="26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860"/>
          </w:cols>
          <w:pgMar w:left="320" w:top="455" w:right="7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described below and discussed in the section titled “Risk Factors” contained in our Annual Report on Form 10-K for the year ended December 31, 2021, as updated by our subsequent filings under the Securities Exchange Act of 1934, as amended (the “Exchange Act”), each of which is incorporated by reference in this prospectus supplement and the accompanying prospectus in their entirety, together with other information in this prospectus supplement and the accompanying prospectus, and the information and documents incorporated by reference in this prospectus supplement and the accompanying prospectus, and any free writing prospectus that we have authorized for use in connection with this offering before you make a decision to invest in our ordinary shares and pre-funded warrants. If any of the following events actually occur, our business, financial condition, results of operations or cash flow could be harmed. This could cause the trading price of our ordinary shares to decline and you may lose all or part of your investment. The risks below and incorporated by reference in this prospectus supplement and the accompanying prospectus are not the only ones we face. Additional risks not currently known to us or that we currently deem immaterial may also affect our business operations. Please also read carefully the section below titled “Special Note Regarding Forward-Looking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ordinary shares in this offering, you will suffer immediate dilution of your investment.</w:t>
      </w:r>
    </w:p>
    <w:p>
      <w:pPr>
        <w:spacing w:after="0" w:line="121"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The public offering price of our ordinary shares is substantially higher than the net tangible book value per share of our ordinary shares. Therefore, if you purchase our ordinary shares in this offering, you will pay a price per share that substantially exceeds our net tangible book value per share after giving effect to this offering. If you purchase ordinary shares in this offering, you will incur an immediate and substantial dilution in net tangible book value of $1.26 per share. For a further description of the dilution that you will experience immediately after this offering, see the section titled “Dilution.” In addition, in the past, we have issued options to acquire ordinary shares at prices significantly below the offering price, have granted restricted share units, and have issued shares under our ESPP at a discount to market prices. To the extent these outstanding options are ultimately exercised, these restricted share units vest or we otherwise issue shares under the 2021 Plan or ESPP, you will incur additional dilution. Furthermore, if the pre-funded warrants offered hereby, are exercised, you will experience further dilution. For more information, see “Dilution.”</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the net proceeds from this offering, and you may not agree with how we use the proceeds and the proceeds may not be invested successfully.</w:t>
      </w:r>
    </w:p>
    <w:p>
      <w:pPr>
        <w:spacing w:after="0" w:line="5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Our management will have broad discretion as to the use of the net proceeds from this offering and could use them for purposes other than those contemplated at the time of this offering. Accordingly, you are relying on the judgment of our management with regard to the use of these net proceeds, and you will not have the opportunity, as part of your investment decision, to assess whether the proceeds will be used appropriately. It is possible that the proceeds will be invested in a way that does not yield a favorable, or any, return for Wave.</w:t>
      </w:r>
    </w:p>
    <w:p>
      <w:pPr>
        <w:spacing w:after="0" w:line="284"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ordinary shares in the foreseeable future, capital appreciation, if any, will be your sole source of gain.</w:t>
      </w:r>
    </w:p>
    <w:p>
      <w:pPr>
        <w:spacing w:after="0" w:line="5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ordinary shares. We anticipate that we will retain our earnings, if any, for future growth and therefore do not anticipate paying cash dividends in the future. As a result, only appreciation of the price of our ordinary shares will provide a return to shareholders.</w:t>
      </w:r>
    </w:p>
    <w:p>
      <w:pPr>
        <w:spacing w:after="0" w:line="280"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our ordinary shares in the public markets, or the perception that such sales could occur, could depress the market price of our ordinary shares.</w:t>
      </w:r>
    </w:p>
    <w:p>
      <w:pPr>
        <w:spacing w:after="0" w:line="5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our ordinary shares in the public markets could depress the market price of our ordinary shares and impair our ability to raise capital through the sale of additional equity securities. We,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directors and our executive officers have agreed not to sell, dispose of or hedge any ordinary shares or securities convertible into or exchangeable for shares of ordinary shares during the period from the date of this prospectus supplement continuing through and including the date 90 days after the date of this prospectus supplement, subject to certain exceptions. SVB Securities LLC may, in its discretion, release the restrictions on any such shares at any time without notice. In addition, certain of our shareholders have the right to require us to register the sales of their shares under the Securities Act of 1933, as amended (the “Securities Act”) under agreements between us and such shareholders, and we have an effective registration statement on Form S-3 that has registered the resale of shares held by certain of our shareholders. We cannot predict the effect that future sales of our ordinary shares would have on the market price of our ordinary shares.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in this offering.</w:t>
      </w:r>
    </w:p>
    <w:p>
      <w:pPr>
        <w:spacing w:after="0" w:line="121"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There is no public trading market for the pre-funded warrants being offered in this offering, and we do not expect a market to develop. In addition, we do not intend to apply to list the pre-funded warrants on any securities exchange or nationally recognized trading system, including the Nasdaq Global Market. Without an active market, the liquidity of the pre-funded warrants will be limited.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not receive a significant amount or any additional funds upon the exercise of the pre-funded warrants.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Each pre-funded warrant is exercisable for $0.0001 per ordinary share underlying such warrant which may be paid by way of a cashless exercise, meaning that the holder may not pay a cash purchase price upon exercise, but instead would receive upon such exercise the net number of ordinary shares determined according to the formula set forth in the pre-funded warrant. Accordingly, we will not receive a significant amount or any additional funds upon the exercise of the pre-funded warrants.</w:t>
      </w:r>
    </w:p>
    <w:p>
      <w:pPr>
        <w:spacing w:after="0" w:line="284" w:lineRule="exact"/>
        <w:rPr>
          <w:sz w:val="20"/>
          <w:szCs w:val="20"/>
          <w:color w:val="auto"/>
        </w:rPr>
      </w:pPr>
    </w:p>
    <w:p>
      <w:pPr>
        <w:ind w:left="120" w:right="1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pre-funded warrants purchased in this offering will have no rights as ordinary shareholders until such holders exercise their pre-funded warrants and acquire our ordinary shares.</w:t>
      </w:r>
    </w:p>
    <w:p>
      <w:pPr>
        <w:spacing w:after="0" w:line="5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Until holders of pre-funded warrants acquire our ordinary shares upon exercise of the pre-funded warrants, holders of pre-funded warrants will have no rights with respect to the ordinary shares underlying such pre-funded warrants. Upon exercise of the pre-funded warrants, the holders will be entitled to exercise the rights of an ordinary shareholder only as to matters for which the record date occurs after the exercise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our ordinary shares may not be permitted to exercise pre-funded warrants that they hold.</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 holder of a pre-funded warrant will not be entitled to exercise any portion of any pre-funded warrant which, upon giving effect to such exercise, would cause (i) the aggregate number of ordinary shares beneficially owned by the holder (together with its affiliates) to exceed 19.99% of the number of our ordinary shares outstanding immediately after giving effect to the exercise, or (ii) the combined voting power of our securities beneficially owned by the holder (together with its affiliates) to exceed 19.99% of the combined voting power of all of our securities then outstanding immediately after giving effect to the exercise, as such percentage ownership is determined in accordance with the terms of the pre-funded warrants. As a result, you may not be able to exercise your pre-funded warrants for our ordinary shares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we have filed with the SEC that are incorporated by reference contain “forward-looking statements” within the meaning of Section 27A of the Securities Act, and Section 21E of the Exchange Act that involve substantial risks and uncertainties. In some cases, forward-looking statements are identified by the words “anticipate,” “believe,” “continue,” “could,” “estimate,” “expect,” “future,” “goals,” “intend,” “likely,” “may,” “might,” “ongoing,” “objective,” “plan,” “potential,” “predict,” “project,” “seek,” “should,” “strategy,” “will” and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Although we believe that we have a reasonable basis for each forward-looking statement contained in this prospectus supplement, the accompanying prospectus and the documents that we have filed with the SEC that are incorporated by reference, such statements are based on a combination of facts and factors currently known by us and our expectations of the future, about which we cannot be certain. Forward-looking statements include statements about:</w:t>
      </w:r>
    </w:p>
    <w:p>
      <w:pPr>
        <w:spacing w:after="0" w:line="85"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future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position, revenues, costs, expenses, uses of cash and capital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additional financing or the period for which our existing cash resources will be sufficient to meet our operating requirements;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progress, number, scope, cost, duration, timing or results of our research and development activities, preclinical studies and clinical trials, including the timing for initiation or completion of or availability of results from any preclinical studies and clinical trials or for submission, review or approval of any regulatory filing;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any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that may be derived from any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prospects, plans, goals, expectations, forecasts or objectives;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that our collaboration partners may make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new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proceeds from this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and marketing capabilities;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in the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and working capital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new accounting standards; and</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60"/>
          </w:cols>
          <w:pgMar w:left="320" w:top="455"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COVID-19 and variants thereof on our business, including on our research and development activities, preclinical studies and clinical trials, supply of drug product, and workforce.</w:t>
      </w:r>
    </w:p>
    <w:p>
      <w:pPr>
        <w:spacing w:after="0" w:line="162" w:lineRule="exact"/>
        <w:rPr>
          <w:sz w:val="20"/>
          <w:szCs w:val="20"/>
          <w:color w:val="auto"/>
        </w:rPr>
      </w:pPr>
    </w:p>
    <w:p>
      <w:pPr>
        <w:jc w:val="both"/>
        <w:ind w:left="120" w:right="60"/>
        <w:spacing w:after="0" w:line="254" w:lineRule="auto"/>
        <w:rPr>
          <w:sz w:val="20"/>
          <w:szCs w:val="20"/>
          <w:color w:val="auto"/>
        </w:rPr>
      </w:pPr>
      <w:r>
        <w:rPr>
          <w:rFonts w:ascii="Times New Roman" w:cs="Times New Roman" w:eastAsia="Times New Roman" w:hAnsi="Times New Roman"/>
          <w:sz w:val="18"/>
          <w:szCs w:val="18"/>
          <w:color w:val="auto"/>
        </w:rPr>
        <w:t>You should refer to the section titled “Risk Factors” of this prospectus supplement and in our other filings with the SEC for a discussion of important factors that may cause our actual results to differ materially from those expressed or implied by our forward-looking statements. As a result of these factors, we cannot assure that the forward-looking statements in this prospectus supplement, the accompanying prospectus or the documents we have filed with the SEC that are incorporated by reference will prove to be accurate. Furthermore, if our forward-looking statements prove to be inaccurate, the inaccuracy may be material. In light of the significant uncertainties in these forward-looking statements, these statements should not be regarded as representations or warranties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19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as predictions of future events.</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the documents that we have incorporated by reference herein and therein and the documents we have filed as exhibits to the registration statement, of which this prospectus supplement is a part, completely and with the understanding that our actual future results may be materially different from what we expect. We qualify all of our forward-looking statements by these cautionary statements.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40"/>
        <w:spacing w:after="0" w:line="312" w:lineRule="auto"/>
        <w:rPr>
          <w:sz w:val="20"/>
          <w:szCs w:val="20"/>
          <w:color w:val="auto"/>
        </w:rPr>
      </w:pPr>
      <w:r>
        <w:rPr>
          <w:rFonts w:ascii="Times New Roman" w:cs="Times New Roman" w:eastAsia="Times New Roman" w:hAnsi="Times New Roman"/>
          <w:sz w:val="17"/>
          <w:szCs w:val="17"/>
          <w:color w:val="auto"/>
        </w:rPr>
        <w:t>We estimate that the net proceeds we will receive in this offering will be approximately $65.4 million, after deducting underwriting discounts and commissions and estimated offering expenses payable by us. We will receive nominal proceeds, if any, from the exercise of the pre-funded warrants.</w:t>
      </w:r>
    </w:p>
    <w:p>
      <w:pPr>
        <w:spacing w:after="0" w:line="14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for our operations and for other general corporate purposes, including, but not limited to, clinical trial costs and other research and development expenses; continued investment in our drug development platform; and working capital, capital expenditures and general and administrative expenses.</w:t>
      </w:r>
    </w:p>
    <w:p>
      <w:pPr>
        <w:spacing w:after="0" w:line="17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Our expected use of the net proceeds from this offering represents our current intentions based upon our present plans and business conditions. The amounts and timing of our actual use of net proceeds will vary depending on numerous factors, including the relative success and cost of our research, preclinical and clinical development programs, whether we are able to enter into future collaborations, and any unforeseen delays or cash needs. As a result, our management will have broad discretion in the application of the net proceeds, and investors will be relying on our judgment regarding the application of the net proceeds of this offering. In addition, we might decide to postpone or not pursue these planned trials and activities or other development activities if the net proceeds from this offering and the other sources of cash are less than, or do not last as long as, expected.</w:t>
      </w:r>
    </w:p>
    <w:p>
      <w:pPr>
        <w:spacing w:after="0" w:line="18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Pending their use, we plan to invest the net proceeds from this offering in short- and intermediate-term, interest- bearing obligations, investment-grade instruments, certificates of deposit or direct or guaranteed obligations of the U.S. government.</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0960"/>
          </w:cols>
          <w:pgMar w:left="320" w:top="455" w:right="6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dividends on our ordinary shares. We currently anticipate that we will retain any future earnings for the operation and expansion of our business. Accordingly, we do not currently anticipate declaring or paying any cash dividends on our ordinary shares for the foreseeable future. Any future determination relating to our dividend policy will be made at the discretion of our board of directors and will depend on then existing conditions, including our financial condition, results of operations, contractual restrictions (including in the agreements governing our credit facilities), capital requirements, business prospects and other factors our board of directors may deem relevant. We may, by ordinary resolution, declare dividends, but (without prejudice to the powers of the Company to pay interest on share capital as provided in our constitution) no dividend is payable (i) except out of the profits of the Company or (ii) in excess of the amount recommended by our directors.</w:t>
      </w:r>
    </w:p>
    <w:p>
      <w:pPr>
        <w:spacing w:after="0" w:line="1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0960"/>
          </w:cols>
          <w:pgMar w:left="320" w:top="455" w:right="6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If you invest in our ordinary shares, your ownership interest will be diluted immediately to the extent of the difference between the offering price per ordinary share and the as adjusted net tangible book value per ordinary share after this offering.</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of March 31, 2022, our historical net tangible book value was $11.1 million, or $0.18 per ordinary share. Historical net tangible book value per share represents the amount of our total tangible assets less total liabilities and Series A preferred shares, divided by the number of outstanding ordinary shares.</w:t>
      </w:r>
    </w:p>
    <w:p>
      <w:pPr>
        <w:spacing w:after="0" w:line="176"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After giving effect to the sale of 25,464,483 ordinary shares in this offering at the public offering price of $2.15 per share and pre-funded warrants to purchase up to 7,093,656 of our ordinary shares at the public offering price of $2.1499 per pre-funded warrant (which equals the public offering price per ordinary share less the $0.0001 per share exercise price of each such pre-funded warrant) (and excluding ordinary shares issued and any proceeds received upon exercise of the warrants or any resulting accounting associated with the warrants), and after deducting underwriting discounts and commissions and estimated offering expenses payable by us, our net tangible book value as of March 31, 2022 would have been $76.5 million or $0.89 per share. This amount represents an immediate increase in net tangible book value of $0.71 per share to our existing shareholders and an immediate dilution in net tangible book value of $1.26 per share to new investors purchasing our ordinary shares and pre-funded warrants in this offering. We determine dilution by subtracting the net tangible book value per share after the offering from the amount of cash that a new investor paid for an ordinary share.</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 to new investors:</w:t>
            </w:r>
          </w:p>
        </w:tc>
        <w:tc>
          <w:tcPr>
            <w:tcW w:w="1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 w:type="dxa"/>
            <w:vAlign w:val="bottom"/>
            <w:vMerge w:val="restart"/>
          </w:tcPr>
          <w:p>
            <w:pPr>
              <w:spacing w:after="0"/>
              <w:rPr>
                <w:sz w:val="21"/>
                <w:szCs w:val="21"/>
                <w:color w:val="auto"/>
              </w:rPr>
            </w:pPr>
          </w:p>
        </w:tc>
        <w:tc>
          <w:tcPr>
            <w:tcW w:w="70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30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as of March 31, 2022</w:t>
            </w:r>
          </w:p>
        </w:tc>
        <w:tc>
          <w:tcPr>
            <w:tcW w:w="26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$0.18</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w:t>
            </w:r>
          </w:p>
        </w:tc>
        <w:tc>
          <w:tcPr>
            <w:tcW w:w="26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0.71</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As adjusted net tangible book value per share after the offering</w:t>
            </w:r>
          </w:p>
        </w:tc>
        <w:tc>
          <w:tcPr>
            <w:tcW w:w="17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as adjusted net tangible book value per share to new investors</w:t>
            </w:r>
          </w:p>
        </w:tc>
        <w:tc>
          <w:tcPr>
            <w:tcW w:w="30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If holders of pre-funded warrants exercise the pre-funded warrants, the as adjusted net tangible book value per share of our ordinary shares after giving effect to this offering would be $0.82 per share, and the dilution in net tangible book value per share to investors purchasing ordinary shares in this offering would be $1.33 per share.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and discussion above does not include:</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3,901,348 ordinary shares issuable upon the conversion of our Series A preferred shares outstanding as of March 31, 2022;</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8,760,336 ordinary shares issuable upon the exercise of share options outstanding as of March 31, 2022, at a weighted average exercise price of $8.58 per share, of which 3,629,794 ordinary shares were exercisable as of such date;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1,420,568 RSUs outstanding as of March 31, 2022;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1,286,637 ordinary shares reserved for future issuance under the 2021 Plan as of March 31, 2022;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804,940 ordinary shares reserved for future issuance under the ESPP as of March 31, 2022.</w:t>
      </w:r>
    </w:p>
    <w:p>
      <w:pPr>
        <w:spacing w:after="0" w:line="225"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To the extent that outstanding options are exercised, outstanding RSUs vest, or shares are otherwise issued under the 2021 Plan or ESPP or upon conversion of Series A preferred shares,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may result in further dilution to our shareholders.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PRE-FUNDED WARRANTS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certain terms and conditions of the pre-funded warrants being offered by this prospectus supplement. The following description is subject in all respects to the provisions contained in the pre-funded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pre-funded warrants will be issued as individual warrant agreements to the investors. The form of pre-funded warrant will be filed as an exhibit to our Current Report on Form 8-K that we expect to file with the SEC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 and Exercisability</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their original issuance and on or prior to 5:00 p.m. (New York City time) on the five year anniversary of the original issuance date. The pre-funded warrants will be exercisable, at the option of each holder, in whole or in part by delivering to us a duly executed exercise notice and by payment in full of the exercise price in immediately available funds for the number of ordinary shares purchased upon such exercise. As an alternative to payment in immediately available funds, the holder may elect to exercise the pre-funded warrant through a cashless exercise, in which the holder would receive upon such exercise the net number of ordinary shares determined according to the formula set forth in the pre-funded warrant. No fractional ordinary shares will be issued in connection with the exercise of a pre-funded warrant.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Limitations</w:t>
      </w:r>
    </w:p>
    <w:p>
      <w:pPr>
        <w:spacing w:after="0" w:line="121"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Under the pre-funded warrants, unless and until the Shareholder Approval (as defined below) is obtained, we may not effect the exercise of any pre-funded warrant, and a holder will not be entitled to exercise any portion of any pre-funded warrant, which, upon giving effect to such exercise, would cause (i) the aggregate number of our ordinary shares beneficially owned by the holder (together with its affiliates) to exceed 19.99% of the number of our ordinary shares outstanding immediately after giving effect to the exercise, or (ii) the combined voting power of our securities beneficially owned by the holder (together with its affiliates) to exceed 19.99% of the combined voting power of all of our securities then outstanding immediately after giving effect to the exercise, as such percentage ownership is determined in accordance with the terms of the pre-funded warrants.</w:t>
      </w:r>
    </w:p>
    <w:p>
      <w:pPr>
        <w:spacing w:after="0" w:line="187"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Upon the written request of the holder delivered to us and subsequent to December 31, 2022, we shall use commercially reasonable efforts to obtain shareholder approval (the “Shareholder Approval”), at our next regularly scheduled annual general meeting of shareholders, for the issuance of the pre-funded warrant shares upon the exercise of all or any portion of the pre-funded warrants such that such issuance of pre-funded warrant shares will comply with the Listing Rules of the Nasdaq Stock Market, including, without limitation, Listing Rule 5635, and with applicable Singapore law. In the event that the holder requests the Shareholder Approval, we use commercially reasonable efforts to obtain Shareholder Approval at our next regularly scheduled annual general meeting, and Shareholder Approval is not obtained at such meeting for any reason, then the holder may again request Shareholder Approval each year pursuant to and subject to the terms of the pre-funded warrants, at each of our subsequent regularly scheduled annual general meetings that occur prior to the termination date of the pre-funded warrants. We shall not be obligated to seek the Shareholder Approval at any shareholder meeting other than our regularly scheduled annual shareholder meeting and such written request of the holder must be received by us at least 90 days in advance of such annual meeting.</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Price</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exercise price per whole share of our ordinary shares purchasable upon the exercise of the pre-funded warrants is $0.0001 per ordinary share. The exercise price of the pre-funded warrants and the number of our ordinary shares issuable upon exercise of the pre-funded warrants is subject to appropriate adjustment in the event of certain share dividends and distributions, share splits, share combinations, reclassifications or similar events affecting our ordinary shares.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Transferability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applicable laws, the pre-funded warrants may be offered for sale, sold, transferred or assigned without our consent.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We do not plan on applying to list the pre-funded warrants on The Nasdaq Global Market, any other national securities exchange or any other nationally recognized trading system.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Fundamental Transactions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pre-funded warrants and generally including any reorganization, recapitalization or reclassification of our ordinary shares, the sale, transfer or other disposition of all or substantially all of our properties or assets, our consolidation or merger with or into another person, the acquisition of more than 50% of our outstanding ordinary shares, or any person or group becoming the beneficial owner of 50% of the voting power represented by our outstanding ordinary shares, upon consummation of such a fundamental transaction,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 contained in the pre-funded warrants.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Rights as a Shareholder</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Except by virtue of such holder’s ownership of our ordinary shares, the holder of a pre-funded warrant does not have the rights or privileges of a holder of our ordinary shares, including any voting rights, until the holder exercises the pre-funded warrant. In the event of certain distributions, including cash dividends, if any, to all holders of our ordinary shares for no consideration, the holder of a pre-funded warrant shall be entitled to participate in such distributions to the same extent as if a holder of our ordinary shares, subject to not exceeding the ownership limitations described above under “— Exercise Limitations,” in which case such distribution shall be held in abeyance for the benefit of such holder until the earlier of such time as the ownership limitations would not be exceeded or the warrant is exercised.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SVB Securities LLC is acting as representative of each of the underwriters named below and as the sole bookrunning manager for this offering. Subject to the terms and conditions set forth in the underwriting agreement among us and the underwriters, we have agreed to sell to the underwriters, and each of the underwriters has agreed, severally and not jointly, to purchase from us, the number of ordinary shares and pre-funded warrants set forth opposite its name below.</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4980" w:type="dxa"/>
            <w:vAlign w:val="bottom"/>
            <w:vMerge w:val="restart"/>
          </w:tcPr>
          <w:p>
            <w:pPr>
              <w:spacing w:after="0"/>
              <w:rPr>
                <w:sz w:val="12"/>
                <w:szCs w:val="12"/>
                <w:color w:val="auto"/>
              </w:rPr>
            </w:pPr>
          </w:p>
        </w:tc>
        <w:tc>
          <w:tcPr>
            <w:tcW w:w="12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4980" w:type="dxa"/>
            <w:vAlign w:val="bottom"/>
            <w:vMerge w:val="continue"/>
          </w:tcPr>
          <w:p>
            <w:pPr>
              <w:spacing w:after="0"/>
              <w:rPr>
                <w:sz w:val="15"/>
                <w:szCs w:val="15"/>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500" w:type="dxa"/>
            <w:vAlign w:val="bottom"/>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SVB Securities LLC</w:t>
            </w:r>
          </w:p>
        </w:tc>
        <w:tc>
          <w:tcPr>
            <w:tcW w:w="124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25,464,483</w:t>
            </w:r>
          </w:p>
        </w:tc>
        <w:tc>
          <w:tcPr>
            <w:tcW w:w="5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7,093,656</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25,464,483</w:t>
            </w:r>
          </w:p>
        </w:tc>
        <w:tc>
          <w:tcPr>
            <w:tcW w:w="50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7,093,656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ordinary shares and pre-funded warrants sold under the underwriting agreement if any of the ordinary shares or pre-funded warrants are purchased. If an underwriter defaults, the underwriting agreement provides that the purchase commitments of the non-defaulting underwriters may be increased or the underwriting agreement may be terminated.</w:t>
      </w:r>
    </w:p>
    <w:p>
      <w:pPr>
        <w:spacing w:after="0" w:line="180"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ordinary shares and pre-funded warrants, subject to prior sale, when, as and if issued to and accepted by them, subject to approval of legal matters by their counsel, including the validity of the ordinary shares and pre-funded warrants,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representative has advised us that the underwriters propose initially to offer the ordinary shares and pre-funded warrants to the public at the public offering prices set forth on the cover page of this prospectus supplement and to dealers at that price less a concession not in excess of $0.0774 per ordinary share. After the initial offering of the ordinary shares and pre-funded warrants, the public offering price, concession or any other term of the offering may be changed by the representative.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discounts and commissions and proceeds before expenses to us.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 Ordinary</w:t>
            </w:r>
          </w:p>
        </w:tc>
        <w:tc>
          <w:tcPr>
            <w:tcW w:w="52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 Pre-Funded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69,999,289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3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0.1290</w:t>
            </w:r>
          </w:p>
        </w:tc>
        <w:tc>
          <w:tcPr>
            <w:tcW w:w="6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0.1290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3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2.0210</w:t>
            </w:r>
          </w:p>
        </w:tc>
        <w:tc>
          <w:tcPr>
            <w:tcW w:w="6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65,799,289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$400,000. We also have agreed to reimburse the underwriters for up to $10,000 for certain expenses (including fees of counsel for FINRA-related matters) incurred by them in connection with this offering. In accordance with FINRA Rule 5110, this reimbursed fee is deemed underwriting compensation for this offering.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 xml:space="preserve">For 90 days after the date of this prospectus supplement (the “Lock-up Period”) without first obtaining the written consent of SVB Securities LLC, we have agreed that we will not (i) sell, offer to sell, contract to sell or lend any ordinary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ordinary shares or Related Securities; (iii) pledge, hypothecate or grant any security interest in any ordinary shares or Related Securities; (iv) in any other way transfer or dispose of any ordinary shares or Related Securities; (v) enter into any swap, hedge or similar arrangement or agreement that transfers, in whole or in part, the economic risk of ownership of any ordinary shares or Related Securities, regardless of whether any such transaction is to be settled in securities, in cash or otherwise; (vi) announce the offering of any ordinary shares or Related Securities; (vii) file any registration statement under the Securities Act in respect of any ordinary shares or Related Securities (other than as contemplated by this prospectus supplement); or (viii) publicly announce the intention to do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we may (A) effect the transactions contemplated herein, (B) issue ordinary shares, options or other rights to receive or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or issue ordinary shares upon exercise of options or vesting of restricted share units, pursuant to any share or stock option, share or stock bonus or other share or stock plan or arrangement incorporated by reference into this prospectus supplement provided that any directors or officers who are recipients thereof have provided to SVB Securities LLC a signed lock-up agreement, (C) file a registration statement on Form S-8 to register ordinary shares issuable pursuant to the terms of a stock option, stock bonus or other stock plan or arrangement incorporated by reference into this prospectus supplement or any amendment to any such plan or arrangement and (D) issue ordinary shares or Related Securities, or enter into an agreement to issue ordinary shares or Related Securities, in connection with any merger, joint venture, strategic alliances, commercial or other collaborative transaction or the acquisition or license of the business, property, technology or other assets of another individual or entity or the assumption of an employee benefit plan in connection with a merger or acquisition; provided that the aggregate number of ordinary shares or Related Securities that we may issue or agree to issue pursuant to this clause (D) shall not exceed 7% of our total outstanding share capital immediately following the issuance of the securities offered in connection with this prospectus supplement; and provided further that the recipients thereof provide to SVB Securities LLC a signed lock-up agreement. For purposes of the foregoing, “Related Securities” shall mean any options or warrants or other rights to acquire ordinary shares or any securities exchangeable or exercisable for or convertible into ordinary shares, or to acquire other securities or rights ultimately exchangeable or exercisable for, or convertible into, ordinary shares.</w:t>
      </w:r>
    </w:p>
    <w:p>
      <w:pPr>
        <w:spacing w:after="0" w:line="205"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For the Lock-up Period without first obtaining the written consent of SVB Securities LLC, our executive officers and directors have agreed that they will not (i) sell or offer to sell any ordinary shares or Related Securities currently or hereafter owned either of record or beneficially (as defined in Rule 13d-3 under the Exchange Act) by the lock-up signatory or such family member, (ii) enter into any swap, (iii) make any demand for, or exercise any right with respect to, the registration under the Securities Act of the offer and sale of any ordinary shares or Related Securities, or cause to be filed a registration statement, prospectus or prospectus supplement (or an amendment or supplement thereto) with respect to any such registration, or</w:t>
      </w:r>
    </w:p>
    <w:p>
      <w:pPr>
        <w:spacing w:after="0" w:line="3" w:lineRule="exact"/>
        <w:rPr>
          <w:sz w:val="20"/>
          <w:szCs w:val="20"/>
          <w:color w:val="auto"/>
        </w:rPr>
      </w:pPr>
    </w:p>
    <w:p>
      <w:pPr>
        <w:ind w:left="420" w:hanging="304"/>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any intention to do any of the foregoing. The foregoing restrictions shall not apply to:</w:t>
      </w:r>
    </w:p>
    <w:p>
      <w:pPr>
        <w:spacing w:after="0" w:line="112" w:lineRule="exact"/>
        <w:rPr>
          <w:rFonts w:ascii="Times New Roman" w:cs="Times New Roman" w:eastAsia="Times New Roman" w:hAnsi="Times New Roman"/>
          <w:sz w:val="18"/>
          <w:szCs w:val="18"/>
          <w:color w:val="auto"/>
        </w:rPr>
      </w:pPr>
    </w:p>
    <w:p>
      <w:pPr>
        <w:ind w:left="1080" w:right="400" w:hanging="532"/>
        <w:spacing w:after="0" w:line="256" w:lineRule="auto"/>
        <w:tabs>
          <w:tab w:leader="none" w:pos="10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relating to ordinary shares or other securities acquired in (x) this offering from the underwriters (other than any Company directed securities purchased in this offering by an officer or director of the Company) and (y) open market transactions after the completion of this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public announcement and no filing under Section 16(a) of the Exchange Act or other regulatory authority in respect thereof will be required or will be voluntarily made during the Lock-up Period in connection with subsequent sales of ordinary shares or other securities acquired in this offering or such open market transactions during the Lock-up Period;</w:t>
      </w:r>
    </w:p>
    <w:p>
      <w:pPr>
        <w:spacing w:after="0" w:line="9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ordinary shares or Related Securities as a bona fide gift or charitable contribution;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532"/>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ordinary shares or Related Securities to limited partners, members, stockholders or holders of similar equity interests in the lock-up signatory and (y) transfers or disposition of the lock-up signatory’s ordinary shares or Related Securities to any corporation, partnership, limited liability company or other legal entity all of the beneficial ownership interests of which are held by the lock-up signatory or any family member in a transaction not involving a disposition for value;</w:t>
      </w:r>
    </w:p>
    <w:p>
      <w:pPr>
        <w:spacing w:after="0" w:line="85"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ordinary shares or Related Securities by will or intestacy or to any family member or to a trust whose beneficiaries consist exclusively of one or more of the lock-up signatory and/or a family member;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ordinary shares pursuant to a domestic order or negotiated divorce settlement;</w:t>
      </w:r>
    </w:p>
    <w:p>
      <w:pPr>
        <w:spacing w:after="0" w:line="130" w:lineRule="exact"/>
        <w:rPr>
          <w:rFonts w:ascii="Times New Roman" w:cs="Times New Roman" w:eastAsia="Times New Roman" w:hAnsi="Times New Roman"/>
          <w:sz w:val="18"/>
          <w:szCs w:val="18"/>
          <w:color w:val="auto"/>
        </w:rPr>
      </w:pPr>
    </w:p>
    <w:p>
      <w:pPr>
        <w:ind w:left="1080" w:right="20" w:hanging="532"/>
        <w:spacing w:after="0" w:line="255"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of a stock option granted under a stock incentive plan incorporated by reference in this prospectus supplement by the lock-up signatory, and the receipt by the lock-up signatory from the Company of ordinary shares upon such exercise, insofar as such option is outstanding as of the date of this prospectus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ordinary shares shall continue to be subject to the restrictions on transfer set forth in the lock-up agreement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required, any public report or filing under Section 16 of the Exchange Act shall clearly indicate in the footnotes thereto that the filing relates to the exercise of a stock option, that no ordinary shares were sold by the reporting person and that ordinary shares received upon exercise of the stock option are subject to the lock-up agreement with the underwriters;</w:t>
      </w:r>
    </w:p>
    <w:p>
      <w:pPr>
        <w:spacing w:after="0" w:line="94" w:lineRule="exact"/>
        <w:rPr>
          <w:rFonts w:ascii="Times New Roman" w:cs="Times New Roman" w:eastAsia="Times New Roman" w:hAnsi="Times New Roman"/>
          <w:sz w:val="18"/>
          <w:szCs w:val="18"/>
          <w:color w:val="auto"/>
        </w:rPr>
      </w:pPr>
    </w:p>
    <w:p>
      <w:pPr>
        <w:ind w:left="1080" w:right="200" w:hanging="532"/>
        <w:spacing w:after="0" w:line="258"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disposition of ordinary shares to the Company, or the withholding of ordinary shares by the Company, in a transaction exempt from Section 16(b) of the Exchange Act solely in connection with the payment of taxes due with respect to the vesting of restricted stock units granted under a stock incentive plan or pursuant to a contractual employment arrangement incorporated by reference in this prospectus supplement, insofar as such restricted stock unit is outstanding as of the date of this prospectus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Section 16(a) of the Exchange Act shall be required or shall be voluntarily made during the Lock-up Period;</w:t>
      </w:r>
    </w:p>
    <w:p>
      <w:pPr>
        <w:spacing w:after="0" w:line="88"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to the Company in connection with the repurchase of ordinary shares in connection with the termination of the lock-up signatory’s employment with the Company pursuant to contractual agreements with the Company as in effect as of the date of this prospectus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Section 16(a) of the Exchange Act shall be required or shall be voluntarily made during the Lock-up Period;</w:t>
      </w:r>
    </w:p>
    <w:p>
      <w:pPr>
        <w:spacing w:after="0" w:line="85" w:lineRule="exact"/>
        <w:rPr>
          <w:rFonts w:ascii="Times New Roman" w:cs="Times New Roman" w:eastAsia="Times New Roman" w:hAnsi="Times New Roman"/>
          <w:sz w:val="18"/>
          <w:szCs w:val="18"/>
          <w:color w:val="auto"/>
        </w:rPr>
      </w:pPr>
    </w:p>
    <w:p>
      <w:pPr>
        <w:ind w:left="1080" w:right="180" w:hanging="532"/>
        <w:spacing w:after="0" w:line="276" w:lineRule="auto"/>
        <w:tabs>
          <w:tab w:leader="none" w:pos="10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establishment of a trading plan and/or other written instruction pursuant to Rule 10b5-1 under the Exchange Act (a “Plan”) for the transfer of ordinary shares,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such Plan does not provide for the transfer of ordinary shares during the Lock-up Period and</w:t>
      </w: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entry into such Plan is not publicly disclosed, including in any filings under the Exchange Act, during the Lock-up Period;</w:t>
      </w:r>
    </w:p>
    <w:p>
      <w:pPr>
        <w:spacing w:after="0" w:line="110" w:lineRule="exact"/>
        <w:rPr>
          <w:rFonts w:ascii="Times New Roman" w:cs="Times New Roman" w:eastAsia="Times New Roman" w:hAnsi="Times New Roman"/>
          <w:sz w:val="17"/>
          <w:szCs w:val="17"/>
          <w:color w:val="auto"/>
        </w:rPr>
      </w:pPr>
    </w:p>
    <w:p>
      <w:pPr>
        <w:ind w:left="1080" w:right="20" w:hanging="532"/>
        <w:spacing w:after="0" w:line="267"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lock-up signatory is an individual, sales pursuant to a Plan established before the date of this prospectus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filing made under the Exchange Act in connection with such a sale shall disclose that the sale was made pursuant to a Plan entered into on a date before the date of this prospectus supplement; or</w:t>
      </w:r>
    </w:p>
    <w:p>
      <w:pPr>
        <w:spacing w:after="0" w:line="80" w:lineRule="exact"/>
        <w:rPr>
          <w:rFonts w:ascii="Times New Roman" w:cs="Times New Roman" w:eastAsia="Times New Roman" w:hAnsi="Times New Roman"/>
          <w:sz w:val="18"/>
          <w:szCs w:val="18"/>
          <w:color w:val="auto"/>
        </w:rPr>
      </w:pPr>
    </w:p>
    <w:p>
      <w:pPr>
        <w:ind w:left="1080" w:right="100" w:hanging="532"/>
        <w:spacing w:after="0" w:line="25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bona fide third party tender offer for all outstanding ordinary shares of the Company, merger, consolidation or other similar transaction made to all holders of our securities involving a change of control of the Company (including, without limitation, the entering into any lock-up, voting or similar agreement pursuant to which the lock-up signatory may agree to transfer, sell, tender or otherwise dispose of ordinary shares or other such securities in connection with such transaction, or vote any ordinary shares or other such securities in favor of any such transaction), provided that in the event that such tender offer, merger, consolidation or other such transaction is not completed, such securities held by the lock-up signatory shall remain subject to the provisions of the lock-up agreement;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in the case of any transfer or distribution pursuant to clause (ii), (iii), (iv) and (v), it shall be a condition to such transfer that:</w:t>
      </w:r>
    </w:p>
    <w:p>
      <w:pPr>
        <w:spacing w:after="0" w:line="133" w:lineRule="exact"/>
        <w:rPr>
          <w:sz w:val="20"/>
          <w:szCs w:val="20"/>
          <w:color w:val="auto"/>
        </w:rPr>
      </w:pPr>
    </w:p>
    <w:p>
      <w:pPr>
        <w:ind w:left="1080" w:right="40" w:hanging="424"/>
        <w:spacing w:after="0" w:line="258"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donee, transferee or distributee executes and delivers to SVB Securities LLC an agreement in form and substance satisfactory to SVB Securities LLC stating that such donee, transferee or distributee is receiving and holding such ordinary shares and/or Related Securities subject to the provisions of the lock-up agreement and agrees not to sell or offer to sell such ordinary shares and/or Related Securities, engage in any swap or engage in any other activities restricted under the lock-up agreement except in accordance with the lock-up agreement (as if such donee, transferee or distributee had been an original signatory hereto), and</w:t>
      </w:r>
    </w:p>
    <w:p>
      <w:pPr>
        <w:spacing w:after="0" w:line="88"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expiration of the Lock-up Period, no public disclosure or filing under the Exchange Act by any party to the transfer (donor, donee, transferor, transferee, distributor or distributee) shall be required, or made voluntarily (other than any such disclosure required to be made by applicable law or regulation, including, without limitation, one or more filings on Form 4, Form 5, Schedule 13G or Schedule 13D, in each case, in accordance with applicable law and made after the expiration of the Lock-up Period).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ordinary shares are listed on the Nasdaq Global Market under the symbol “WVE.”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Until the distribution of the securities is completed, SEC rules may limit the underwriters and selling group members from bidding for and purchasing our securities. However, the representative may engage in transactions that stabilize the price of the ordinary shares, such as bids or purchases to peg, fix or maintain that price.</w:t>
      </w:r>
    </w:p>
    <w:p>
      <w:pPr>
        <w:spacing w:after="0" w:line="176"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In connection with this offering, the underwriters may purchase and sell our ordinary shares in the open market. These transactions may include short sales, purchases on the open market to cover positions created by short sales and stabilizing transactions. Short sales involve the sale by the underwriters of a greater number of ordinary shares than they are required to purchase in this offering. Because we have not granted the underwriters an option to purchase additional ordinary shares, the underwriters must close out any short positions by purchasing ordinary shares in the open market. Stabilizing transactions consist of various bids for or purchases of ordinary shares made by the underwriters in the open market prior to the closing of this offering.</w:t>
      </w:r>
    </w:p>
    <w:p>
      <w:pPr>
        <w:spacing w:after="0" w:line="168"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ordinary shares or preventing or retarding a decline in the market price of our ordinary shares. As a result, the price of our ordinary shares may be higher than the price that might otherwise exist in the open market. The underwriters may conduct these transactions on the Nasdaq Global Market, in the over-the-counter market or otherwise.</w:t>
      </w:r>
    </w:p>
    <w:p>
      <w:pPr>
        <w:spacing w:after="0" w:line="180" w:lineRule="exact"/>
        <w:rPr>
          <w:sz w:val="20"/>
          <w:szCs w:val="20"/>
          <w:color w:val="auto"/>
        </w:rPr>
      </w:pPr>
    </w:p>
    <w:p>
      <w:pPr>
        <w:jc w:val="both"/>
        <w:ind w:left="120" w:right="48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representations or predictions as to the direction or magnitude of any effect that the transactions described above may have on the price of our ordinary shares. In addition, neither we nor any of the underwriters make any representation that the representative will engage in these transactions or that these transactions, once commenced, will not be discontinued without notice.</w:t>
      </w:r>
    </w:p>
    <w:p>
      <w:pPr>
        <w:spacing w:after="0" w:line="176"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underwriters may also engage in passive market making transactions in our ordinary shares on the Nasdaq Global Market in accordance with Rule 103 of Regulation M during a period before the commencement of offers or sales of securities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connection with the offering, certain of the underwriters or securities dealers may distribute prospectuses by electronic means, such as e-mail.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83"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to the public in that Relevant State at any time:</w:t>
      </w:r>
    </w:p>
    <w:p>
      <w:pPr>
        <w:spacing w:after="0" w:line="70"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3" w:lineRule="exact"/>
        <w:rPr>
          <w:sz w:val="20"/>
          <w:szCs w:val="20"/>
          <w:color w:val="auto"/>
        </w:rPr>
      </w:pPr>
    </w:p>
    <w:p>
      <w:pPr>
        <w:ind w:left="120"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securities shall require us or any of the representatives to publish a prospectus pursuant to Article 3 of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or supplement a prospectus pursuant to Article 23 of the Prospectus Regulation.</w:t>
      </w:r>
    </w:p>
    <w:p>
      <w:pPr>
        <w:spacing w:after="0" w:line="16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w:t>
      </w:r>
    </w:p>
    <w:p>
      <w:pPr>
        <w:spacing w:after="0" w:line="81" w:lineRule="exact"/>
        <w:rPr>
          <w:sz w:val="20"/>
          <w:szCs w:val="20"/>
          <w:color w:val="auto"/>
        </w:rPr>
      </w:pPr>
    </w:p>
    <w:p>
      <w:pPr>
        <w:ind w:left="5460" w:right="2240" w:hanging="4912"/>
        <w:spacing w:after="0" w:line="454" w:lineRule="auto"/>
        <w:tabs>
          <w:tab w:leader="none" w:pos="10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 S-24</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38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(the “FMSA”),</w:t>
      </w:r>
    </w:p>
    <w:p>
      <w:pPr>
        <w:spacing w:after="0" w:line="223" w:lineRule="exact"/>
        <w:rPr>
          <w:sz w:val="20"/>
          <w:szCs w:val="20"/>
          <w:color w:val="auto"/>
        </w:rPr>
      </w:pPr>
    </w:p>
    <w:p>
      <w:pPr>
        <w:ind w:left="120" w:right="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securities shall require us or any representative to publish a prospectus pursuant to Section 85 of the FSMA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securities will not be offered, directly or indirectly, to the public in Switzerland and this prospectus supplement does not constitute a public offering prospectus as that term is understood pursuant to article 652a or 1156 of the Swiss Federal Code of Obligations.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Israel</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the State of Israel this prospectus supplement shall not be regarded as an offer to the public to purchase ordinary securities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distribute this prospectus supplement or make, distribute or direct an offer to subscribe for our ordinary shares to any person within the State of Israel, other than to Qualified Investors and up to 35 Addressed Investors.</w:t>
      </w:r>
    </w:p>
    <w:p>
      <w:pPr>
        <w:spacing w:after="0" w:line="162" w:lineRule="exact"/>
        <w:rPr>
          <w:sz w:val="20"/>
          <w:szCs w:val="20"/>
          <w:color w:val="auto"/>
        </w:rPr>
      </w:pPr>
    </w:p>
    <w:p>
      <w:pPr>
        <w:ind w:left="120" w:right="40"/>
        <w:spacing w:after="0" w:line="270" w:lineRule="auto"/>
        <w:rPr>
          <w:sz w:val="20"/>
          <w:szCs w:val="20"/>
          <w:color w:val="auto"/>
        </w:rPr>
      </w:pPr>
      <w:r>
        <w:rPr>
          <w:rFonts w:ascii="Times New Roman" w:cs="Times New Roman" w:eastAsia="Times New Roman" w:hAnsi="Times New Roman"/>
          <w:sz w:val="17"/>
          <w:szCs w:val="17"/>
          <w:color w:val="auto"/>
        </w:rPr>
        <w:t>Qualified Investors may have to submit written evidence that they meet the definitions set out in of the First Addendum to the Israeli Securities Law, 5728 – 1968. In particular, we may request, as a condition to be offered ordinary shares,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ordinary shares; (iv) that the ordinary shares that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77"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document. Accordingly, no purchaser of the securities, other than the underwriters, is authorized to make any further offer of securities on our behalf or on behalf of the underwriters.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securities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SFO and any rules made thereunder.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representative has acknowledged that this prospectus supplement has not been registered as a prospectus with the Monetary Authority of Singapore. Accordingly, the representative has represented and agreed that it has not offered or sold any securities or caused the securities to be made the subject of an invitation for subscription or purchase and will not offer or sell any securities or cause the securities to be made the subject of an invitation for subscription or purchase, and has not circulated or distributed, nor will it circulate or distribute, this prospectus supplement and any other document or material in connection with the offer or sale, or invitation for subscription or purchase, of the securities,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540" w:right="6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540" w:right="6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1" w:lineRule="exact"/>
        <w:rPr>
          <w:sz w:val="20"/>
          <w:szCs w:val="20"/>
          <w:color w:val="auto"/>
        </w:rPr>
      </w:pPr>
    </w:p>
    <w:p>
      <w:pPr>
        <w:ind w:left="540" w:right="100" w:hanging="424"/>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540" w:right="480" w:hanging="424"/>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connection with Section 309B of the SFA and the CMP Regulations 2018, unless otherwise specified before an offer of the securities, the Company has determined, and hereby notifies all relevant persons (as defined in Section 309A(1) of the SFA), that the securities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supplement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(i) the offer of the securities under this prospectus supplement is only made to persons to whom it is lawful to offer the securities without disclosure under Chapter 6D of the Australian Corporations Act under one or more exemptions set out in section 708 of the Australian Corporations Act, (ii) this prospectus supplement is made available in Australia only to those persons as set forth in clause (i) above, and</w:t>
      </w:r>
    </w:p>
    <w:p>
      <w:pPr>
        <w:spacing w:after="0" w:line="3" w:lineRule="exact"/>
        <w:rPr>
          <w:sz w:val="20"/>
          <w:szCs w:val="20"/>
          <w:color w:val="auto"/>
        </w:rPr>
      </w:pPr>
    </w:p>
    <w:p>
      <w:pPr>
        <w:ind w:left="120" w:right="60" w:hanging="4"/>
        <w:spacing w:after="0" w:line="255" w:lineRule="auto"/>
        <w:tabs>
          <w:tab w:leader="none" w:pos="4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offeree must be sent a notice stating in substance that by accepting this offer, the offeree represents that the offeree is such a person as set forth in clause (i) above, and, unless permitted under the Australian Corporations Act, agrees not to sell or offer for sale within Australia any of the securities sold to the offeree within 12 months after its transfer to the offeree under this prospectus supplement.</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The validity of the ordinary shares offered by us in this offering and certain other matters of Singapore law will be passed upon for us by WongPartnership LLP, Singapore. Selected legal matters as to U.S. law in connection with this offering will be passed upon for us by Mintz, Levin, Cohn, Ferris, Glovsky and Popeo, P.C., Boston, Massachusetts. Selected intellectual property matters will be passed upon for us by Choate Hall &amp; Stewart LLP, Boston, Massachusetts. The underwriters are being represented by White &amp; Case LLP, New York, New York.</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Wave Life Sciences Ltd. as of December 31, 2021 and 2020, and for the years then ended,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 xml:space="preserve">We are subject to the reporting requirements of the Exchange Act, and file annual, quarterly and current reports, proxy statements and other information with the SEC. SEC filings are available at the SEC’s website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 xml:space="preserve"> Our ordinary shares are listed on the Nasdaq Global Market.</w:t>
      </w:r>
    </w:p>
    <w:p>
      <w:pPr>
        <w:spacing w:after="0" w:line="14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we filed with the SEC under the Securities Act. This prospectus supplement and the accompanying prospectus omit certain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supplement and the accompanying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SEC’s website.</w:t>
      </w:r>
    </w:p>
    <w:p>
      <w:pPr>
        <w:spacing w:after="0" w:line="185"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http://www.wavelifesciences.com</w:t>
      </w:r>
      <w:r>
        <w:rPr>
          <w:rFonts w:ascii="Times New Roman" w:cs="Times New Roman" w:eastAsia="Times New Roman" w:hAnsi="Times New Roman"/>
          <w:sz w:val="18"/>
          <w:szCs w:val="18"/>
          <w:color w:val="auto"/>
        </w:rPr>
        <w:t>, through which you can access our SEC filings. The information set forth on our website is not part of this prospectus supplement or the accompanying prospectus.</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The SEC allows us to “incorporate by reference” information into this prospectus, which means that we can disclose important information to you by referring you to another document filed separately with the SEC. The information incorporated by reference is deemed to be part of this prospectus supplement, and subsequent information that we file later with the SEC will automatically update and supersede this information. We filed a registration statement on Form S-3 under the Securities Act with the SEC with respect to the securities we may offer pursuant to this prospectus supplement. This prospectus supplement omits certain information contained in the registration statement, as permitted by the SEC. You should refer to the registration statement, including the exhibits, for further information about us and the securities we may offer pursuant to this prospectus supplement. Statements in this prospectus supplement regarding the provisions of certain documents filed with, or incorporated by reference in, the registration statement are not necessarily complete and each statement is qualified in all respects by that reference. The documents we are incorporating by reference are:</w:t>
      </w:r>
    </w:p>
    <w:p>
      <w:pPr>
        <w:spacing w:after="0" w:line="77" w:lineRule="exact"/>
        <w:rPr>
          <w:sz w:val="20"/>
          <w:szCs w:val="20"/>
          <w:color w:val="auto"/>
        </w:rPr>
      </w:pPr>
    </w:p>
    <w:p>
      <w:pPr>
        <w:ind w:left="1080" w:right="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2021 that we filed with the SEC on March 3, 2022, as amended by the </w:t>
      </w:r>
      <w:hyperlink r:id="rId57">
        <w:r>
          <w:rPr>
            <w:rFonts w:ascii="Times New Roman" w:cs="Times New Roman" w:eastAsia="Times New Roman" w:hAnsi="Times New Roman"/>
            <w:sz w:val="18"/>
            <w:szCs w:val="18"/>
            <w:u w:val="single" w:color="auto"/>
            <w:color w:val="0000EE"/>
          </w:rPr>
          <w:t>Form 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28, 2022;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5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2022 that we filed with the SEC on May 12, 2022;</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that we filed with the SEC on </w:t>
      </w:r>
      <w:hyperlink r:id="rId59">
        <w:r>
          <w:rPr>
            <w:rFonts w:ascii="Times New Roman" w:cs="Times New Roman" w:eastAsia="Times New Roman" w:hAnsi="Times New Roman"/>
            <w:sz w:val="18"/>
            <w:szCs w:val="18"/>
            <w:u w:val="single" w:color="auto"/>
            <w:color w:val="0000EE"/>
          </w:rPr>
          <w:t>March 3,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0">
        <w:r>
          <w:rPr>
            <w:rFonts w:ascii="Times New Roman" w:cs="Times New Roman" w:eastAsia="Times New Roman" w:hAnsi="Times New Roman"/>
            <w:sz w:val="18"/>
            <w:szCs w:val="18"/>
            <w:u w:val="single" w:color="auto"/>
            <w:color w:val="0000EE"/>
          </w:rPr>
          <w:t>April 4,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 each case, except for information contained therein which is furnished rather than filed);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6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that we filed with the SEC on November 9, 2015, including any amendment or report filed for the purpose of updating such description;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after the date of this prospectus supplement and prior to the termination or completion of the offering of securities under this prospectus supplement shall also be deemed to be incorporated by reference in this prospectus supplement and to be a part hereof from the date of filing such reports and other documents.</w:t>
      </w:r>
    </w:p>
    <w:p>
      <w:pPr>
        <w:spacing w:after="0" w:line="180"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001-37627.</w:t>
      </w:r>
    </w:p>
    <w:p>
      <w:pPr>
        <w:spacing w:after="0" w:line="225" w:lineRule="exact"/>
        <w:rPr>
          <w:rFonts w:ascii="Times New Roman" w:cs="Times New Roman" w:eastAsia="Times New Roman" w:hAnsi="Times New Roman"/>
          <w:sz w:val="18"/>
          <w:szCs w:val="18"/>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Any statement contained in this prospectus supplement or in a document incorporated or deemed to be incorporated by reference into this prospectus supplement will be deemed to be modified or superseded for purposes of this prospectus supplement to the extent that a statement contained in this prospectus supplement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w:t>
      </w:r>
    </w:p>
    <w:p>
      <w:pPr>
        <w:spacing w:after="0" w:line="183" w:lineRule="exact"/>
        <w:rPr>
          <w:rFonts w:ascii="Times New Roman" w:cs="Times New Roman" w:eastAsia="Times New Roman" w:hAnsi="Times New Roman"/>
          <w:sz w:val="18"/>
          <w:szCs w:val="18"/>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You may request, orally or in writing, a copy of any or all of the documents incorporated herein by reference. These documents will be provided to you at no cost, by contacting:</w:t>
      </w:r>
    </w:p>
    <w:p>
      <w:pPr>
        <w:spacing w:after="0" w:line="162"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Wave Life Sciences Ltd.</w:t>
      </w:r>
    </w:p>
    <w:p>
      <w:pPr>
        <w:spacing w:after="0" w:line="27"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733 Concord Avenue</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Cambridge, MA 02138, USA</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205" w:lineRule="exact"/>
        <w:rPr>
          <w:rFonts w:ascii="Times New Roman" w:cs="Times New Roman" w:eastAsia="Times New Roman" w:hAnsi="Times New Roman"/>
          <w:sz w:val="18"/>
          <w:szCs w:val="18"/>
          <w:color w:val="auto"/>
        </w:rPr>
      </w:pPr>
    </w:p>
    <w:p>
      <w:pPr>
        <w:ind w:left="120" w:right="40"/>
        <w:spacing w:after="0" w:line="267" w:lineRule="auto"/>
        <w:rPr>
          <w:sz w:val="20"/>
          <w:szCs w:val="20"/>
          <w:color w:val="auto"/>
        </w:rPr>
      </w:pPr>
      <w:r>
        <w:rPr>
          <w:rFonts w:ascii="Times New Roman" w:cs="Times New Roman" w:eastAsia="Times New Roman" w:hAnsi="Times New Roman"/>
          <w:sz w:val="18"/>
          <w:szCs w:val="18"/>
          <w:color w:val="auto"/>
        </w:rPr>
        <w:t xml:space="preserve">You may also access these documents on our website, </w:t>
      </w:r>
      <w:r>
        <w:rPr>
          <w:rFonts w:ascii="Times New Roman" w:cs="Times New Roman" w:eastAsia="Times New Roman" w:hAnsi="Times New Roman"/>
          <w:sz w:val="18"/>
          <w:szCs w:val="18"/>
          <w:i w:val="1"/>
          <w:iCs w:val="1"/>
          <w:color w:val="auto"/>
        </w:rPr>
        <w:t>http://www.wavelifesciences.com</w:t>
      </w:r>
      <w:r>
        <w:rPr>
          <w:rFonts w:ascii="Times New Roman" w:cs="Times New Roman" w:eastAsia="Times New Roman" w:hAnsi="Times New Roman"/>
          <w:sz w:val="18"/>
          <w:szCs w:val="18"/>
          <w:color w:val="auto"/>
        </w:rPr>
        <w:t>. The information contained on, or that can be accessed through, our website is not a part of this prospectus supplement or the accompanying prospectus. We have included our website address in this prospectus supplement solely as an inactive textual reference.</w:t>
      </w:r>
    </w:p>
    <w:p>
      <w:pPr>
        <w:spacing w:after="0" w:line="108"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080"/>
          </w:cols>
          <w:pgMar w:left="320" w:top="45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supplement or the accompanying prospectus. We have not authorized anyone to provide you with information different from that contained in this prospectus supplement or the accompanying prospectus or incorporated by reference in this prospectus supplement or the accompanying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3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173990</wp:posOffset>
            </wp:positionV>
            <wp:extent cx="1114425" cy="8826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1114425"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$500,000,000</w:t>
      </w:r>
    </w:p>
    <w:p>
      <w:pPr>
        <w:spacing w:after="0" w:line="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RIGHTS</w:t>
      </w:r>
    </w:p>
    <w:p>
      <w:pPr>
        <w:spacing w:after="0" w:line="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will allow us to issue, from time to time at prices and on terms to be determined at or prior to the time of the offering, up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$500,000,000 of any combination of the securities described in this prospectus, either individually or in units. We may also offer ordinary shares upon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conversion of or exchange for the debt securities; or ordinary shares or debt securities upon the exercise of warrants or rights.</w:t>
      </w:r>
    </w:p>
    <w:p>
      <w:pPr>
        <w:spacing w:after="0" w:line="20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216535</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ordinary shares are listed on The Nasdaq Global Market under the symbol “WVE.” On March 1, 2022, the last reported sale price of our ordinary shares was $2.39 per share. The applicable prospectus supplement will contain information, where applicable, as to any other listing, if any, on The Nasdaq Global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20" w:right="4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Before deciding whether to invest in our securities, you should consider carefully the risks that we have described on page 6 of this prospectus under the caption “</w:t>
      </w:r>
      <w:r>
        <w:rPr>
          <w:rFonts w:ascii="Times New Roman" w:cs="Times New Roman" w:eastAsia="Times New Roman" w:hAnsi="Times New Roman"/>
          <w:sz w:val="22"/>
          <w:szCs w:val="22"/>
          <w:b w:val="1"/>
          <w:bCs w:val="1"/>
          <w:u w:val="single" w:color="auto"/>
          <w:color w:val="0000EE"/>
        </w:rPr>
        <w:t>Risk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0000EE"/>
        </w:rPr>
        <w:t>Factors</w:t>
      </w:r>
      <w:r>
        <w:rPr>
          <w:rFonts w:ascii="Times New Roman" w:cs="Times New Roman" w:eastAsia="Times New Roman" w:hAnsi="Times New Roman"/>
          <w:sz w:val="22"/>
          <w:szCs w:val="22"/>
          <w:b w:val="1"/>
          <w:bCs w:val="1"/>
          <w:color w:val="000000"/>
        </w:rPr>
        <w:t>” We may include specific risk factors in supplements to this prospectus under the caption “Risk Factors” This</w:t>
      </w:r>
      <w:r>
        <w:rPr>
          <w:rFonts w:ascii="Times New Roman" w:cs="Times New Roman" w:eastAsia="Times New Roman" w:hAnsi="Times New Roman"/>
          <w:sz w:val="22"/>
          <w:szCs w:val="22"/>
          <w:b w:val="1"/>
          <w:bCs w:val="1"/>
          <w:color w:val="0000EE"/>
        </w:rPr>
        <w:t xml:space="preserve"> </w:t>
      </w:r>
      <w:r>
        <w:rPr>
          <w:rFonts w:ascii="Times New Roman" w:cs="Times New Roman" w:eastAsia="Times New Roman" w:hAnsi="Times New Roman"/>
          <w:sz w:val="22"/>
          <w:szCs w:val="22"/>
          <w:b w:val="1"/>
          <w:bCs w:val="1"/>
          <w:color w:val="000000"/>
        </w:rPr>
        <w:t>prospectus may not be used to sell our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223520</wp:posOffset>
            </wp:positionV>
            <wp:extent cx="1474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The date of this prospectus is May 4, 2022.</w:t>
      </w:r>
    </w:p>
    <w:p>
      <w:pPr>
        <w:sectPr>
          <w:pgSz w:w="11900" w:h="16838" w:orient="portrait"/>
          <w:cols w:equalWidth="0" w:num="1">
            <w:col w:w="11040"/>
          </w:cols>
          <w:pgMar w:left="320" w:top="455" w:right="5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1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20" w:type="dxa"/>
            <w:vAlign w:val="bottom"/>
            <w:gridSpan w:val="4"/>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1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8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20" w:type="dxa"/>
            <w:vAlign w:val="bottom"/>
          </w:tcPr>
          <w:p>
            <w:pPr>
              <w:spacing w:after="0"/>
              <w:rPr>
                <w:sz w:val="24"/>
                <w:szCs w:val="24"/>
                <w:color w:val="auto"/>
              </w:rPr>
            </w:pPr>
          </w:p>
        </w:tc>
        <w:tc>
          <w:tcPr>
            <w:tcW w:w="22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6600" w:type="dxa"/>
            <w:vAlign w:val="bottom"/>
            <w:gridSpan w:val="11"/>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120" w:type="dxa"/>
            <w:vAlign w:val="bottom"/>
          </w:tcPr>
          <w:p>
            <w:pPr>
              <w:spacing w:after="0"/>
              <w:rPr>
                <w:sz w:val="24"/>
                <w:szCs w:val="24"/>
                <w:color w:val="auto"/>
              </w:rPr>
            </w:pPr>
          </w:p>
        </w:tc>
        <w:tc>
          <w:tcPr>
            <w:tcW w:w="20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740" w:type="dxa"/>
            <w:vAlign w:val="bottom"/>
            <w:gridSpan w:val="13"/>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8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120" w:type="dxa"/>
            <w:vAlign w:val="bottom"/>
          </w:tcPr>
          <w:p>
            <w:pPr>
              <w:spacing w:after="0"/>
              <w:rPr>
                <w:sz w:val="24"/>
                <w:szCs w:val="24"/>
                <w:color w:val="auto"/>
              </w:rPr>
            </w:pPr>
          </w:p>
        </w:tc>
        <w:tc>
          <w:tcPr>
            <w:tcW w:w="532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INDUSTRY AND MARKET DATA</w:t>
            </w:r>
          </w:p>
        </w:tc>
        <w:tc>
          <w:tcPr>
            <w:tcW w:w="3500" w:type="dxa"/>
            <w:vAlign w:val="bottom"/>
            <w:gridSpan w:val="2"/>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5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RATIO OF EARNINGS TO FIXED CHARGES</w:t>
            </w:r>
          </w:p>
        </w:tc>
        <w:tc>
          <w:tcPr>
            <w:tcW w:w="5300" w:type="dxa"/>
            <w:vAlign w:val="bottom"/>
            <w:gridSpan w:val="5"/>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4"/>
        </w:trPr>
        <w:tc>
          <w:tcPr>
            <w:tcW w:w="120" w:type="dxa"/>
            <w:vAlign w:val="bottom"/>
          </w:tcPr>
          <w:p>
            <w:pPr>
              <w:spacing w:after="0"/>
              <w:rPr>
                <w:sz w:val="24"/>
                <w:szCs w:val="24"/>
                <w:color w:val="auto"/>
              </w:rPr>
            </w:pPr>
          </w:p>
        </w:tc>
        <w:tc>
          <w:tcPr>
            <w:tcW w:w="15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7240" w:type="dxa"/>
            <w:vAlign w:val="bottom"/>
            <w:gridSpan w:val="16"/>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4"/>
        </w:trPr>
        <w:tc>
          <w:tcPr>
            <w:tcW w:w="120" w:type="dxa"/>
            <w:vAlign w:val="bottom"/>
          </w:tcPr>
          <w:p>
            <w:pPr>
              <w:spacing w:after="0"/>
              <w:rPr>
                <w:sz w:val="24"/>
                <w:szCs w:val="24"/>
                <w:color w:val="auto"/>
              </w:rPr>
            </w:pPr>
          </w:p>
        </w:tc>
        <w:tc>
          <w:tcPr>
            <w:tcW w:w="88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DESCRIPTION OF SHARE CAPITAL</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0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800" w:type="dxa"/>
            <w:vAlign w:val="bottom"/>
            <w:gridSpan w:val="7"/>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4"/>
        </w:trPr>
        <w:tc>
          <w:tcPr>
            <w:tcW w:w="120" w:type="dxa"/>
            <w:vAlign w:val="bottom"/>
          </w:tcPr>
          <w:p>
            <w:pPr>
              <w:spacing w:after="0"/>
              <w:rPr>
                <w:sz w:val="24"/>
                <w:szCs w:val="24"/>
                <w:color w:val="auto"/>
              </w:rPr>
            </w:pPr>
          </w:p>
        </w:tc>
        <w:tc>
          <w:tcPr>
            <w:tcW w:w="2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DESCRIPTION OF WARRANTS</w:t>
            </w:r>
          </w:p>
        </w:tc>
        <w:tc>
          <w:tcPr>
            <w:tcW w:w="6340" w:type="dxa"/>
            <w:vAlign w:val="bottom"/>
            <w:gridSpan w:val="10"/>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4"/>
        </w:trPr>
        <w:tc>
          <w:tcPr>
            <w:tcW w:w="120" w:type="dxa"/>
            <w:vAlign w:val="bottom"/>
          </w:tcPr>
          <w:p>
            <w:pPr>
              <w:spacing w:after="0"/>
              <w:rPr>
                <w:sz w:val="24"/>
                <w:szCs w:val="24"/>
                <w:color w:val="auto"/>
              </w:rPr>
            </w:pPr>
          </w:p>
        </w:tc>
        <w:tc>
          <w:tcPr>
            <w:tcW w:w="21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DESCRIPTION OF RIGHTS</w:t>
            </w:r>
          </w:p>
        </w:tc>
        <w:tc>
          <w:tcPr>
            <w:tcW w:w="6680" w:type="dxa"/>
            <w:vAlign w:val="bottom"/>
            <w:gridSpan w:val="12"/>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4"/>
        </w:trPr>
        <w:tc>
          <w:tcPr>
            <w:tcW w:w="120" w:type="dxa"/>
            <w:vAlign w:val="bottom"/>
          </w:tcPr>
          <w:p>
            <w:pPr>
              <w:spacing w:after="0"/>
              <w:rPr>
                <w:sz w:val="24"/>
                <w:szCs w:val="24"/>
                <w:color w:val="auto"/>
              </w:rPr>
            </w:pPr>
          </w:p>
        </w:tc>
        <w:tc>
          <w:tcPr>
            <w:tcW w:w="20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DESCRIPTION OF UNITS</w:t>
            </w:r>
          </w:p>
        </w:tc>
        <w:tc>
          <w:tcPr>
            <w:tcW w:w="6800" w:type="dxa"/>
            <w:vAlign w:val="bottom"/>
            <w:gridSpan w:val="15"/>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120" w:type="dxa"/>
            <w:vAlign w:val="bottom"/>
          </w:tcPr>
          <w:p>
            <w:pPr>
              <w:spacing w:after="0"/>
              <w:rPr>
                <w:sz w:val="24"/>
                <w:szCs w:val="24"/>
                <w:color w:val="auto"/>
              </w:rPr>
            </w:pPr>
          </w:p>
        </w:tc>
        <w:tc>
          <w:tcPr>
            <w:tcW w:w="35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COMPARISON OF SHAREHOLDER RIGHTS</w:t>
            </w:r>
          </w:p>
        </w:tc>
        <w:tc>
          <w:tcPr>
            <w:tcW w:w="5320" w:type="dxa"/>
            <w:vAlign w:val="bottom"/>
            <w:gridSpan w:val="6"/>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04"/>
        </w:trPr>
        <w:tc>
          <w:tcPr>
            <w:tcW w:w="120" w:type="dxa"/>
            <w:vAlign w:val="bottom"/>
          </w:tcPr>
          <w:p>
            <w:pPr>
              <w:spacing w:after="0"/>
              <w:rPr>
                <w:sz w:val="24"/>
                <w:szCs w:val="24"/>
                <w:color w:val="auto"/>
              </w:rPr>
            </w:pPr>
          </w:p>
        </w:tc>
        <w:tc>
          <w:tcPr>
            <w:tcW w:w="88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68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ENFORCEMENT OF CIVIL LIABILITIES UNDER UNITED STATES SECURITIES LAWS</w:t>
            </w:r>
          </w:p>
        </w:tc>
        <w:tc>
          <w:tcPr>
            <w:tcW w:w="19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04"/>
        </w:trPr>
        <w:tc>
          <w:tcPr>
            <w:tcW w:w="120" w:type="dxa"/>
            <w:vAlign w:val="bottom"/>
          </w:tcPr>
          <w:p>
            <w:pPr>
              <w:spacing w:after="0"/>
              <w:rPr>
                <w:sz w:val="24"/>
                <w:szCs w:val="24"/>
                <w:color w:val="auto"/>
              </w:rPr>
            </w:pPr>
          </w:p>
        </w:tc>
        <w:tc>
          <w:tcPr>
            <w:tcW w:w="14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7360" w:type="dxa"/>
            <w:vAlign w:val="bottom"/>
            <w:gridSpan w:val="17"/>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04"/>
        </w:trPr>
        <w:tc>
          <w:tcPr>
            <w:tcW w:w="120" w:type="dxa"/>
            <w:vAlign w:val="bottom"/>
          </w:tcPr>
          <w:p>
            <w:pPr>
              <w:spacing w:after="0"/>
              <w:rPr>
                <w:sz w:val="24"/>
                <w:szCs w:val="24"/>
                <w:color w:val="auto"/>
              </w:rPr>
            </w:pPr>
          </w:p>
        </w:tc>
        <w:tc>
          <w:tcPr>
            <w:tcW w:w="88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EXPERTS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8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120" w:type="dxa"/>
            <w:vAlign w:val="bottom"/>
          </w:tcPr>
          <w:p>
            <w:pPr>
              <w:spacing w:after="0" w:line="20" w:lineRule="exact"/>
              <w:rPr>
                <w:sz w:val="1"/>
                <w:szCs w:val="1"/>
                <w:color w:val="auto"/>
              </w:rPr>
            </w:pPr>
          </w:p>
        </w:tc>
        <w:tc>
          <w:tcPr>
            <w:tcW w:w="3800" w:type="dxa"/>
            <w:vAlign w:val="bottom"/>
            <w:gridSpan w:val="16"/>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8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85"/>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500" w:type="dxa"/>
            <w:vAlign w:val="bottom"/>
            <w:gridSpan w:val="2"/>
          </w:tcPr>
          <w:p>
            <w:pPr>
              <w:jc w:val="center"/>
              <w:ind w:right="3140"/>
              <w:spacing w:after="0"/>
              <w:rPr>
                <w:sz w:val="20"/>
                <w:szCs w:val="20"/>
                <w:color w:val="auto"/>
              </w:rPr>
            </w:pPr>
            <w:r>
              <w:rPr>
                <w:rFonts w:ascii="Times New Roman" w:cs="Times New Roman" w:eastAsia="Times New Roman" w:hAnsi="Times New Roman"/>
                <w:sz w:val="18"/>
                <w:szCs w:val="18"/>
                <w:color w:val="auto"/>
                <w:w w:val="78"/>
              </w:rPr>
              <w:t>i</w:t>
            </w:r>
          </w:p>
        </w:tc>
        <w:tc>
          <w:tcPr>
            <w:tcW w:w="21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5"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using a “shelf” registration process. Under this shelf registration process, we may from time to time sell any combination of the securities described in this prospectus in one or more offerings for an aggregate offering amount of up to $500,000,000.</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89" w:lineRule="exact"/>
        <w:rPr>
          <w:sz w:val="20"/>
          <w:szCs w:val="20"/>
          <w:color w:val="auto"/>
        </w:rPr>
      </w:pPr>
    </w:p>
    <w:p>
      <w:pPr>
        <w:jc w:val="both"/>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w:t>
      </w:r>
    </w:p>
    <w:p>
      <w:pPr>
        <w:spacing w:after="0" w:line="2"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is not a “prospectus” as defined in the Securities and Futures Act 2001 of Singapore, or the SFA, and accordingly, statutory liability under the SFA in relation to the content of prospectuses will not apply. This prospectus has not been registered as a prospectus by the Monetary Authority of Singapore. Accordingly, this prospectus and any other document or material in connection with the offer or sale, or invitation for subscription or purchase, of our securities may not be circulated or distributed, nor may our securities be offered or sold, or be made the subject of an invitation for subscription or purchase, whether directly or indirectly, to persons in Singapore other than (i) to an institutional investor (as defined in Section 4A of the SFA) pursuant to Section 274 of the 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or (iii) otherwise pursuant to, and in accordance with the conditions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other applicable provision of the SFA, in each case subject to compliance with the conditions set forth in the SFA.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Where securities or securities-based derivatives contracts are subscribed or purchased under Section 275 of the SFA by a relevant person which is:</w:t>
      </w:r>
    </w:p>
    <w:p>
      <w:pPr>
        <w:spacing w:after="0" w:line="129" w:lineRule="exact"/>
        <w:rPr>
          <w:sz w:val="20"/>
          <w:szCs w:val="20"/>
          <w:color w:val="auto"/>
        </w:rPr>
      </w:pPr>
    </w:p>
    <w:p>
      <w:pPr>
        <w:ind w:left="560" w:right="860" w:firstLine="419"/>
        <w:spacing w:after="0" w:line="282" w:lineRule="auto"/>
        <w:tabs>
          <w:tab w:leader="none" w:pos="12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3" w:lineRule="exact"/>
        <w:rPr>
          <w:rFonts w:ascii="Times New Roman" w:cs="Times New Roman" w:eastAsia="Times New Roman" w:hAnsi="Times New Roman"/>
          <w:sz w:val="18"/>
          <w:szCs w:val="18"/>
          <w:color w:val="auto"/>
        </w:rPr>
      </w:pPr>
    </w:p>
    <w:p>
      <w:pPr>
        <w:ind w:left="560" w:right="80" w:firstLine="419"/>
        <w:spacing w:after="0" w:line="282" w:lineRule="auto"/>
        <w:tabs>
          <w:tab w:leader="none" w:pos="123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trustee of 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as defined in Section 2(1) of the SFA) of that corporation or the beneficiaries’ rights and interest (howsoever described) in that trust shall not be transferred within six months after that corporation or that trust has acquired the securities or securities-based derivatives contracts pursuant to an offer made under Section 275 of the SFA, except:</w:t>
      </w:r>
    </w:p>
    <w:p>
      <w:pPr>
        <w:spacing w:after="0" w:line="81" w:lineRule="exact"/>
        <w:rPr>
          <w:sz w:val="20"/>
          <w:szCs w:val="20"/>
          <w:color w:val="auto"/>
        </w:rPr>
      </w:pPr>
    </w:p>
    <w:p>
      <w:pPr>
        <w:ind w:left="1080" w:right="12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as defined in Section 275(2) of the SFA, or (in the case of such corporation) where the transfer arises from an offer referred to in Section 275(1A) of the SFA or (in the case of such trust) where the transfer arises from an offer referred to in Section 276(4)(c)(ii) of the SFA;</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 of Singapore.</w:t>
      </w:r>
    </w:p>
    <w:p>
      <w:pPr>
        <w:spacing w:after="0" w:line="16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Any reference to the SFA is a reference to the Securities and Futures Act 2001 of Singapore and a reference to any term as defined in the SFA or any provision in the SFA is a reference to that term as modified or amended from time to time including by such of its subsidiary legislation as may be applicable at the relevant time.</w:t>
      </w:r>
    </w:p>
    <w:p>
      <w:pPr>
        <w:spacing w:after="0" w:line="176"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By accepting this prospectus, the recipient hereof represents and warrants that such recipient is entitled to receive it in accordance with the restrictions set forth above and agrees to be bound by the limitations contained herein. Any failure to comply with these limitations may constitute a violation of law.</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the context otherwise indicates, references to “Wave,” the “company,” “we,” “our,” “us” or similar terms refer to Wave Life Sciences Ltd.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our wholly-owned subsidiaries. References in this prospectus to “S$” refer to Singapore dollars, “¥” refer to Japanese yen and “€” refer to euros.</w:t>
      </w:r>
    </w:p>
    <w:p>
      <w:pPr>
        <w:spacing w:after="0" w:line="20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Wave Life Sciences Ltd. and Wave Life Sciences Pte. Ltd. names, the Wave Life Sciences mark, and the other trademarks, trade names and service marks of Wave Life Sciences Ltd. appearing in this prospectus are the property of Wave Life Sciences Ltd. Wave has applied to register certain of its trademarks in the United States. This prospectus also contains additional trade names, trademarks and service marks belonging to Wave Life Sciences Ltd. and to other companies. We do not intend our use or display of other parties’ trademarks, trade names or service marks to imply, and such use or display should not be construed to imply, a relationship with, or endorsement or sponsorship of us by, these other parties. Solely for convenience, the trademarks and trade names in this prospectus are referred to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 symbols, but such reference should not be construed as any indicator that their respective owners will not assert, to the fullest extent under applicable law, their rights thereto.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About Wave Life Sciences</w:t>
      </w:r>
    </w:p>
    <w:p>
      <w:pPr>
        <w:spacing w:after="0" w:line="121"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We are a clinical-stage genetic medicines company committed to delivering life-changing treatments for people battling devastating diseases. Using PRISM™, our proprietary discovery and drug development platform that enables the precise design, optimization and production of novel stereopure oligonucleotides, we aspire to develop best-in-class medicines that target the transcriptome to treat genetically defined diseases with a high degree of unmet need.</w:t>
      </w:r>
    </w:p>
    <w:p>
      <w:pPr>
        <w:spacing w:after="0" w:line="180"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developing oligonucleotides that target ribonucleic acid, or RNA, and harness existing cellular machinery to reduce the expression of disease-promoting RNA or proteins, restore the production of functional proteins, or modulate protein expression. By intervening at the RNA level, we have the potential to address diseases that have historically been difficult to treat with small molecules or biologics, while retaining the ability to titrate dose, modulate duration of effect, and avoid risk of permanent off-target genetic changes and other challenges associated with DNA editing or gene therapy approaches. Oligonucleotides have additional advantages as a therapeutic class, including the ability to access multiple tissue types and the ability to modulate the frequency of dosing to ensure broad distribution within tissues over time. Oligonucleotides also have well-established manufacturing processes and validated test methods based on decades of improvements, as well as established regulatory, access and reimbursement pathways.</w:t>
      </w:r>
    </w:p>
    <w:p>
      <w:pPr>
        <w:spacing w:after="0" w:line="192"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Our approach is based on the scientific insight that the biological machinery necessary to address genetic diseases already exists in human cells and can be controlled with the right tools. We have built a genetic toolkit comprised of multiple therapeutic modalities, including RNase-H mediated silencing, RNAi, splicing, and RNA base editing, all of which leverage learnings and optimizations from our PRISM platform and allow us to design built-for-purpose molecules to optimally address disease biology.</w:t>
      </w:r>
    </w:p>
    <w:p>
      <w:pPr>
        <w:spacing w:after="0" w:line="180"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Our A-to-I RNA base editing oligonucleotides, or AIMers, represent our newest therapeutic modality. AIMers are designed to correct single base mutations on RNA transcript, thereby avoiding permanent changes to the genome that occur with DNA-targeting approaches. Rather than using an exogenous editing enzyme, AIMers recruit proteins that exist in the body, called ADAR (adenosine deaminases acting on RNA) enzymes, which naturally possess the ability to change an adenine (A) to an inosine (I), which cells read as guanine (G). This approach enables simplified delivery and avoids the risk of irreversible off-target effects with DNA-targeting approaches. AIMers are short in length, fully chemically modified, and use novel chemistry, including proprietary PN backbone modifications and chiral control, which make them distinct from other ADAR-mediated editing approaches.</w:t>
      </w:r>
    </w:p>
    <w:p>
      <w:pPr>
        <w:spacing w:after="0" w:line="189"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Our PRISM platform is built on the recognition that a significant opportunity exists to tune the pharmacological properties of oligonucleotide therapeutics by leveraging three key features of these molecules:</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902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6" w:lineRule="auto"/>
        <w:rPr>
          <w:sz w:val="20"/>
          <w:szCs w:val="20"/>
          <w:color w:val="auto"/>
        </w:rPr>
      </w:pPr>
      <w:r>
        <w:rPr>
          <w:rFonts w:ascii="Times New Roman" w:cs="Times New Roman" w:eastAsia="Times New Roman" w:hAnsi="Times New Roman"/>
          <w:sz w:val="18"/>
          <w:szCs w:val="18"/>
          <w:color w:val="auto"/>
        </w:rPr>
        <w:t>sequence, chemistry, and stereochemistry. Our unique ability to control stereochemistry, which is a reality of chemically modified oligonucleotides, provides the resolution necessary to optimize pharmacological profiles. PRISM therefore enables us to design stereopure oligonucleotides, which are comprised of molecules with atoms precisely and purposefully arranged in three-dimensional orientations at each linkage. These differ from the mixture-based oligonucleotides currently on the market or in development by others. Additionally, to mitigate pharmacological risks and potential manufacturing challenges, our approach focuses on designing short, chemically modified oligonucleotides without the need for complex delivery vehicles.</w:t>
      </w:r>
    </w:p>
    <w:p>
      <w:pPr>
        <w:spacing w:after="0" w:line="187" w:lineRule="exact"/>
        <w:rPr>
          <w:sz w:val="20"/>
          <w:szCs w:val="20"/>
          <w:color w:val="auto"/>
        </w:rPr>
      </w:pPr>
    </w:p>
    <w:p>
      <w:pPr>
        <w:ind w:left="300" w:right="240" w:firstLine="426"/>
        <w:spacing w:after="0" w:line="274" w:lineRule="auto"/>
        <w:rPr>
          <w:sz w:val="20"/>
          <w:szCs w:val="20"/>
          <w:color w:val="auto"/>
        </w:rPr>
      </w:pPr>
      <w:r>
        <w:rPr>
          <w:rFonts w:ascii="Times New Roman" w:cs="Times New Roman" w:eastAsia="Times New Roman" w:hAnsi="Times New Roman"/>
          <w:sz w:val="17"/>
          <w:szCs w:val="17"/>
          <w:color w:val="auto"/>
        </w:rPr>
        <w:t xml:space="preserve">Our work in developing stereopure oligonucleotides has enabled the continued evolution of PRISM and our drug discovery process of selecting genetically defined targets, identifying a sequence and applying the therapeutic modality we determine is best suited for the disease biology. We use our PRISM platform engine to screen candidates and optimize the pharmacologic profile based on predefined design principles, which reflect a deep understanding of how the interplay among oligonucleotide sequence, chemistry and backbone stereochemistry impacts key pharmacological properties. Through continued exploration of these interactions using iterative analysis of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outcomes and machine learning-driven predictive modeling, we also continue to refine our design principles that we deploy across subsequent programs.</w:t>
      </w:r>
    </w:p>
    <w:p>
      <w:pPr>
        <w:spacing w:after="0" w:line="173" w:lineRule="exact"/>
        <w:rPr>
          <w:sz w:val="20"/>
          <w:szCs w:val="20"/>
          <w:color w:val="auto"/>
        </w:rPr>
      </w:pPr>
    </w:p>
    <w:p>
      <w:pPr>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In August 2020, we publicly introduced our novel PN backbone chemistry modifications, which have been shown preclinically to increase potency, distribution and durability of effect across various modalities. PN chemistry has been incorporated into all of our current clinical, preclinical and discovery-stage programs.</w:t>
      </w:r>
    </w:p>
    <w:p>
      <w:pPr>
        <w:spacing w:after="0" w:line="176"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We have a robust and diverse pipeline of PN-modified, stereopure oligonucleotides, including our clinical silencing and splicing programs as well as our AIMers. Our lead clinical development programs are designed to treat genetic diseases within the central nervous system, including amyotrophic lateral sclerosis, or ALS, frontotemporal dementia, or FTD, Huntington’s disease, or HD, and muscular dystrophies, including Duchenne muscular dystrophy, or DMD. These programs include:</w:t>
      </w:r>
    </w:p>
    <w:p>
      <w:pPr>
        <w:spacing w:after="0" w:line="85" w:lineRule="exact"/>
        <w:rPr>
          <w:sz w:val="20"/>
          <w:szCs w:val="20"/>
          <w:color w:val="auto"/>
        </w:rPr>
      </w:pPr>
    </w:p>
    <w:p>
      <w:pPr>
        <w:ind w:left="1240" w:hanging="415"/>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WVE-004 (silencing), our C9orf72 molecule for the treatment of C9orf72-associated ALS and FTD,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WVE-003 (silencing), our mHTT SNP3 molecule for the treatment of HD,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WVE-N531 (splicing), our exon 53 molecule for the treatment of DMD.</w:t>
      </w:r>
    </w:p>
    <w:p>
      <w:pPr>
        <w:spacing w:after="0" w:line="225"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With RNA base editing, our initial focus is on using GalNAc-conjugated AIMers to treat hepatic diseases and our lead program is designed to treat alpha-1antitrypsin deficiency, or AATD. We expect to select an AATD AIMer development candidate and initiate IND-enabling toxicology studies in the third quarter of 2022.</w:t>
      </w:r>
    </w:p>
    <w:p>
      <w:pPr>
        <w:spacing w:after="0" w:line="176"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We continue to invest in PRISM to further evolve and apply the expanding capabilities and promise of our unique platform. We have also established and continue to enhance our internal current good manufacturing practices manufacturing capabilities to increase control and visibility of our drug substance supply chain, while continuing to innovate oligonucleotide manufacturing.</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121"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We were incorporated under the name Wave Life Sciences Pte. Ltd. (Registration No.: 201218209G) under the laws of Singapore on July 23, 2012. On November 16, 2015, we closed our initial public offering. In preparation for our initial public offering, on November 5, 2015, Wave Life Sciences Pte. Ltd. converted from a private limited company to a public limited company known as Wave Life Sciences Ltd., or Wave. Wave has four wholly-owned subsidiaries: Wave Life Sciences USA, Inc., or Wave USA, a Delaware corporation (formerly Ontorii, Inc.); Wave Life Sciences Japan, Inc., or Wave Japan, a company organized under the laws of</w:t>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9818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6998970" cy="6981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82" w:lineRule="auto"/>
        <w:rPr>
          <w:sz w:val="20"/>
          <w:szCs w:val="20"/>
          <w:color w:val="auto"/>
        </w:rPr>
      </w:pPr>
      <w:r>
        <w:rPr>
          <w:rFonts w:ascii="Times New Roman" w:cs="Times New Roman" w:eastAsia="Times New Roman" w:hAnsi="Times New Roman"/>
          <w:sz w:val="18"/>
          <w:szCs w:val="18"/>
          <w:color w:val="auto"/>
        </w:rPr>
        <w:t>Japan (formerly Chiralgen., Ltd.); Wave Life Sciences Ireland Limited, or Wave Ireland, a company organized under the laws of Ireland; and Wave Life Sciences UK Limited, or Wave UK, a company organized under the laws of the United Kingdom.</w:t>
      </w:r>
    </w:p>
    <w:p>
      <w:pPr>
        <w:spacing w:after="0" w:line="162"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Our registered office is located at 7 Straits View #12-00, Marina One East Tower, Singapore 018936, and our telephone number at that address is +65 6236 3388. Our principal office for Wave USA is located at 733 Concord Avenue, Cambridge, MA 02138, and our telephone number at that address is +1-617-949-2900. Our registered office for Wave Japan is 2438 Miyanoura-cho, Kagoshima-shi, Kagoshima pref. 891-1394, Japan. Our registered office for Wave Ireland is One Spencer Dock, North Wall Quay, Dublin 1 D01 X9R7, Ireland. Our registered office for Wave UK is 1 Chamberlain Square CS, Birmingham, B3 3AX, United Kingdom.</w:t>
      </w:r>
    </w:p>
    <w:p>
      <w:pPr>
        <w:spacing w:after="0" w:line="183"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Our corporate website address is www.wavelifesciences.com. The information on our website is not part of this prospectus or incorporated by reference into this prospectus, and you should not consider any information contained on, or that can be accessed through, our website in deciding whether to purchase our ordinary shares. Our Annual Report on Form 10-K, Quarterly Reports on Form 10-Q and Current Reports on Form 8-K and all amendments to such reports are made available free of charge through the “For Investors &amp; Media—Financial Information” section of our website as soon as reasonably practicable after they have been filed or furnished with the SEC.</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Offerings Under This Prospectus</w:t>
      </w:r>
    </w:p>
    <w:p>
      <w:pPr>
        <w:spacing w:after="0" w:line="121"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Under this prospectus, we may offer ordinary shares, various series of debt securities and/or warrants or rights, either individually or in units, with a total value of up to $500,000,000,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89" w:lineRule="exact"/>
        <w:rPr>
          <w:sz w:val="20"/>
          <w:szCs w:val="20"/>
          <w:color w:val="auto"/>
        </w:rPr>
      </w:pPr>
    </w:p>
    <w:p>
      <w:pPr>
        <w:ind w:left="1240" w:hanging="415"/>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or sinking fund terms,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exercise prices, if any.</w:t>
      </w:r>
    </w:p>
    <w:p>
      <w:pPr>
        <w:spacing w:after="0" w:line="225" w:lineRule="exact"/>
        <w:rPr>
          <w:sz w:val="20"/>
          <w:szCs w:val="20"/>
          <w:color w:val="auto"/>
        </w:rPr>
      </w:pPr>
    </w:p>
    <w:p>
      <w:pPr>
        <w:jc w:val="both"/>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The prospectus supplement also may add, update or change information contained in this prospectus or in documents we have incorporated by reference into this prospectus. However, no prospectus supplement will offer a security that is not registered and described in this prospectus at the time of its effectiveness.</w:t>
      </w:r>
    </w:p>
    <w:p>
      <w:pPr>
        <w:spacing w:after="0" w:line="176" w:lineRule="exact"/>
        <w:rPr>
          <w:sz w:val="20"/>
          <w:szCs w:val="20"/>
          <w:color w:val="auto"/>
        </w:rPr>
      </w:pPr>
    </w:p>
    <w:p>
      <w:pPr>
        <w:jc w:val="both"/>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81" w:lineRule="exact"/>
        <w:rPr>
          <w:sz w:val="20"/>
          <w:szCs w:val="20"/>
          <w:color w:val="auto"/>
        </w:rPr>
      </w:pPr>
    </w:p>
    <w:p>
      <w:pPr>
        <w:ind w:left="1240" w:hanging="415"/>
        <w:spacing w:after="0"/>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it is accompanied by a prospectus supplement.</w:t>
      </w:r>
    </w:p>
    <w:p>
      <w:pPr>
        <w:spacing w:after="0" w:line="3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significant risk. The prospectus supplement applicable to each offering of our securities may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current reports on Form 8-K on file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320" w:top="455" w:right="5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the documents we have filed with the SEC that are incorporated by reference contain “forward-looking statements” within the meaning of Section 27A of the Securities Act and Section 21E of the Securities Exchange Act of 1934, as amended, that involve substantial risks and uncertainties that relate to future events or to our future operations or financial performance. In some cases, forward-looking statements are identified by the words “anticipate,” “believe,” “continue,” “could,” “estimate,” “expect,” “future,” “goals,” “intend,” “likely,” “may,” “might,” “ongoing,” “objective,” “plan,” “potential,” “predict,” “project,” “seek,” “should,” “strategy,” “target,” “will” and “would” or the negative of these terms, or other comparable terminology intended to identify statements about the future, although not all forward-looking statements contain these identifying words.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spacing w:after="0" w:line="18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Although we believe that we have a reasonable basis for each forward-looking statement contained in this prospectus, any accompanying prospectus and the documents that we have filed with the SEC that are incorporated by reference, such statements are based on a combination of facts and factors currently known by us and our expectations of the future, about which we cannot be certain. Forward-looking statements include statements about:</w:t>
      </w:r>
    </w:p>
    <w:p>
      <w:pPr>
        <w:spacing w:after="0" w:line="85" w:lineRule="exact"/>
        <w:rPr>
          <w:sz w:val="20"/>
          <w:szCs w:val="20"/>
          <w:color w:val="auto"/>
        </w:rPr>
      </w:pPr>
    </w:p>
    <w:p>
      <w:pPr>
        <w:ind w:left="1080" w:right="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future operations; our financial position, revenues, costs, expenses, uses of cash and capital requirements; our need for additional financing or the period for which our existing cash resources will be sufficient to meet our operating requirements;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progress, number, scope, cost, duration, timing or results of our research and development activities, preclinical studies and clinical trials, including the timing for initiation or completion of or availability of results from any preclinical studies and clinical trials or for submission, review or approval of any regulatory filing;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any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that may be derived from any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prospects, plans, goals, expectations, forecasts or objectives;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that our collaboration partners may make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new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uses of the net proceeds from any offering of our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and marketing capabilities;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expenses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in the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and working capital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new accounting standards; and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COVID-19 and variants thereof, on our research and development activities, preclinical studies and clinical trials, supply of drug product, and our workforce.</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You should refer to the section titled “Risk Factors” of this prospectus and in our other filings with the SEC for a discussion of important factors that may cause our actual results to differ materially from those expressed or implied by our forward-looking statements. As a result of these factors, we cannot assure that the forward-looking statements in this prospectus, any accompanying prospectus or the documents we have filed with the SEC that are incorporated by reference will prove to be accurate. Furthermore, if our forward-looking statements prove to be inaccurate, the inaccuracy may be material. In light of the significant uncertainties in these forward-looking statements, these statements should not be regarded as representations or warranties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189"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as predictions of future events.</w:t>
      </w:r>
    </w:p>
    <w:p>
      <w:pPr>
        <w:spacing w:after="0" w:line="183"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any accompanying prospectus supplement, the documents that we have incorporated by reference herein and therein and the documents we have filed as exhibits to the registration statement, completely and with the understanding that our actual future results may be materially different from what we expect. We qualify all of our forward-looking statements by these cautionary statements.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5" w:right="5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Certain industry data and market data included in this prospectus, any accompanying prospectus supplement and the documents we have filed with the SEC that are incorporated herein by reference were obtained from independent third-party surveys, market research, publicly available information, reports of governmental agencies and industry publications and surveys. All of management’s estimates presented herein are based upon management’s review of independent third-party surveys and industry publications prepared by a number of sources and other publicly available information. All of the market data used in this prospectus, any accompanying prospectus supplement and the documents we have filed with the SEC that are incorporated herein by reference involve a number of assumptions and limitations, and you are cautioned not to give undue weight to such estimates. We believe that the information from these industry publications and surveys is reliable. The industry in which we operate is subject to a high degree of uncertainty and risk due to a variety of factors, including those described in the section titled “Risk Factors.” These and other factors could cause results to differ materially from those expressed in the estimates made by the independent parties and by us.</w:t>
      </w:r>
    </w:p>
    <w:p>
      <w:pPr>
        <w:spacing w:after="0" w:line="4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2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Any time debt securities are offered pursuant to this prospectus, we will provide a table setting forth our ratio of earnings to fixed charges on a historical basis in the applicable prospectus supplement, if required.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60"/>
          </w:cols>
          <w:pgMar w:left="320" w:top="455" w:right="5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cannot assure you that we will receive any proceeds in connection with securities which may be offered pursuant to this prospectus. Unless otherwise indicated in the applicable prospectus supplement, we intend to use the net proceeds from the sale of securities under this prospectus for our operations and for other general corporate purposes, including, but not limited to, clinical trial costs and other research and development expenses; continued investment in our drug development platform; and working capital, capital expenditures and general and administrative expenses.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section, references to “shareholders” mean those persons whose names and number of shares are entered in our register of members. Only persons who are registered in our register of members are recognized under Singapore law as shareholders of our company with legal standing to institute shareholder actions against us or otherwise seek to enforce their rights as shareholders. Our branch register of members is maintained by our transfer agent, Computershare Trust Company, N.A., or Computershare.</w:t>
      </w:r>
    </w:p>
    <w:p>
      <w:pPr>
        <w:spacing w:after="0" w:line="180"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shares offered in any offering pursuant to this prospectus and any accompanying prospectus supplement are expected to be held through the Depository Trust Company, or DTC. Accordingly, DTC or its nominee, Cede &amp; Co., will be the shareholder on record registered in our register of members. The holder of our shares held in book-entry through DTC or its nominee may become a registered shareholder by exchanging its interest in our shares for certificated shares and being registered in our register of members for such shares. The procedures by which a holder of book-entry interests held through DTC or its nominee may exchange such interests for certificated shares are determined by DTC and Computershare, in accordance with their internal policies and guidelines regulating the withdrawal and exchange of book-entry interests for certificated shares, and following such an exchange Computershare will perform the procedures to register the shares in the register.</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the Companies Act 1967 of Singapore (“Singapore Companies Act”), if (a) the name of any person is without sufficient cause entered in or omitted from the register of members; or (b) default is made or there is unnecessary delay in entering in the register of members the fact of any person having ceased to be a member, the person aggrieved or any member of the public company or the company itself, may apply to the Singapore courts for rectification of the register of members. The Singapore courts may either refuse the application or order rectification of the register of members, and may direct the company to pay any damages sustained by any party to the application. The Singapore courts will not entertain any application for the rectification of a register of members in respect of an entry which was made in the register of members more than 30 years before the date of the application.</w:t>
      </w:r>
    </w:p>
    <w:p>
      <w:pPr>
        <w:spacing w:after="0" w:line="2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there were outstanding:</w:t>
      </w:r>
    </w:p>
    <w:p>
      <w:pPr>
        <w:spacing w:after="0" w:line="13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59,841,116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3,901,348 Series A preferred shares held by one shareholder of record;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1,875,350 ordinary shares issuable upon vesting of outstanding restricted share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6,958,160 ordinary shares issuable upon the exercise of outstanding share options;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3,132,882 ordinary shares reserved for issuance in connection with future grants under our equity incentive plan;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882,474 ordinary shares reserved for issuance under our 2019 Employee Share Purchase Plan.</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share capital and provisions of our constitution (formerly known as our memorandum and articles of association) are summaries and are qualified by reference to the Singapore Companies Act and our constitution. A copy of our constitution has been filed with the SEC as an exhibit to the registration statement of which this prospectus forms a part.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2021, our issued and paid-up ordinary share capital consists of 59,841,116 ordinary shares. We currently have only one class of issued ordinary shares, which have identical rights in all respects and rank equally with one another. Our ordinary shares have no par value and there is no authorized share capital</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under Singapore law. There is a provision in our constitution which provides that we may issue shares with such preferred, deferred or other special rights or such restrictions, whether in regard to dividend, voting, return of capital or otherwise as our board of directors may determine.</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All of our shares presently issued are fully paid-up, and existing shareholders are not subject to any calls on these shares. Although Singapore law does not recognize the concept of “non-assessability” with respect to newly-issued shares, we note that any purchaser of our shares who has fully paid up all amounts due with respect to such shares will not be subject under Singapore law to any personal liability to contribute to the assets or liabilities of our company in such purchaser’s capacity solely as a holder of such shares. We believe that this interpretation is substantively consistent with the concept of “non-assessability” under most, if not all, U.S. state corporation laws. All of our shares are in registered form. We cannot, except in the circumstances permitted by the Singapore Companies Act, grant any financial assistance for the acquisition or proposed acquisition of our own shares. Except as described below under “—Takeovers,” there are no limitations imposed by the Singapore Companies Act or by our constitution on the right of shareholders not resident in Singapore to hold or vote ordinary shares.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ordinary shares is Computershare Trust Company, N.A.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ordinary shares are listed for quotation on The Nasdaq Global Market under the symbol “WVE.”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Shares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Under the Singapore Companies Act, new shares may be issued only with the prior approval of our shareholders in a general meeting. General approval may be sought from our shareholders in a general meeting for the issue of shares. Approval, if granted, will lapse at the earlier of:</w:t>
      </w:r>
    </w:p>
    <w:p>
      <w:pPr>
        <w:spacing w:after="0" w:line="6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next annual general meeting; or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period within which the next annual general meeting is required by law to be held (i.e., within six months after the end of each financial year),</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but any approval may be revoked or varied by the company in a general meeting.</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shareholders have provided such general authority to issue new ordinary shares until the conclusion of our 2022 annual general meeting. Such approval will lapse in accordance with the preceding paragraph if our shareholders do not grant a new approval at our 2022 annual general meeting. Subject to this and the provisions of the Singapore Companies Act and our constitution, our board of directors may allot and issue or grant options over or otherwise dispose of new ordinary shares to such persons on such terms and conditions and with the rights and restrictions as they may think fit to impose.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Shares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2021, we have 3,901,348 Series A preferred shares outstanding. These shares are currently held by one of our largest shareholders, Shin Nippon Biomedical Laboratories, Ltd. The terms of the Series A preferred shares as set out in our constitution include (1) no voting rights at any general meeting other than in limited circumstances, (2) a liquidation preference equal to $0.002 per Series A preferred share, (3) no entitlement to dividends and (4) the right to convert the Series A preferred shares at any time on a one-for-one basis into ordinary shares at the discretion of the holder in accordance with the constitution.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holders of the Series A preferred shares are not entitled to vote at any general meeting. The only instances in which the holders of the Series A preferred shares are able to vote at a general meeting would be if (but only if) the matters to be discussed at the meeting relate to or there is intent to pass resolutions on (i) abrogating or changing the rights attached to the Series A preferred shares; and (ii) for the winding up of the Company. Such resolutions would require the unanimous approval of the holders of the Series A preferred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Preferred Shares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Under the Singapore Companies Act, different classes of shares in a public company may be issued only if (a) the issue of the class or classes of shares is provided for in the constitution of the public company and (b) the constitution of the public company sets out in respect of each class of shares the rights attached to that class of shares. Our constitution provides that we may issue shares of a different class with preferred, deferred or other special rights, or such restrictions, whether in regard to dividend, voting, return of capital or otherwise as our board of directors may determine. Under Singapore law, our preferred shareholders will have the right to attend any general meeting and in a poll at such general meeting, to have at least one vote for every preferred share held:</w:t>
      </w:r>
    </w:p>
    <w:p>
      <w:pPr>
        <w:spacing w:after="0" w:line="93" w:lineRule="exact"/>
        <w:rPr>
          <w:sz w:val="20"/>
          <w:szCs w:val="20"/>
          <w:color w:val="auto"/>
        </w:rPr>
      </w:pPr>
    </w:p>
    <w:p>
      <w:pPr>
        <w:ind w:left="1080" w:right="6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resolution concerning the voluntary winding-up of our company under Section 160 of the Insolvency, Restructuring and Dissolution Act 2018;</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resolution which varies the rights attached to such preferred shares; or</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preferred shares issued after August 15, 1984, but before the commencement of Section 96 of the Companies (Amendment) Act 2014, when the dividends to be paid on our preferred shares or any part thereof are more than twelve months in arrears and unpaid, for the period they remain in arrears and unpaid.</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may, subject to the Singapore Companies Act and the prior approval in a general meeting of our shareholders, issue preferred shares which are, or at our option or are to be, subject to redemption provided that such preferred shares may not be redeemed out of capital unless:</w:t>
      </w:r>
    </w:p>
    <w:p>
      <w:pPr>
        <w:spacing w:after="0" w:line="67"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directors have made a solvency statement in relation to such redemption;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lodged a copy of the statement with the Accounting and Corporate Regulatory Authority of Singapore.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Further, such shares must be fully paid-up before they are redeemed.</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we have no preferred shares outstanding other than the Series A preferred shares described above. At present, we have no plans to issue additional preferred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under our Share Purchase Agreement with Pfizer</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terms of our Share Purchase Agreement dated as of May 5, 2016 with an affiliate of Pfizer Inc., or the Pfizer Affiliate, under which the Pfizer Affiliate purchased 1,875,000 ordinary shares from us, or the Pfizer Shares, subject to certain conditions and limitations, we agreed to provide certain demand registration rights to the Pfizer Affiliate in order to register all or a portion of the Pfizer Shares purchased by the Pfizer Affiliate. We also provided the Pfizer Affiliate with certain “piggyback” registration rights, subject to certain conditions and limitations, such that when we propose to register our ordinary shares for our account, the Pfizer Affiliate will have the right to include some or all of the Pfizer Shares in such registration. The Share Purchase Agreement also contains other customary terms and conditions of the parties with respect to the registration of the Pfizer Shares.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under our Share Purchase Agreement with Takeda</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February 19, 2018, we entered into a Share Purchase Agreement with Takeda Pharmaceutical Company Limited, or Takeda, pursuant to which Takeda purchased 1,096,892 of our ordinary shares, or the Takeda Shares. In connection with the Share Purchase Agreement, Takeda and we agreed upon certain rights and restrictions as set forth in the Investor Agreement, dated as of April 2, 2018, or the Investor Agreement. The Takeda Shares are subject to a lock-up restriction, such that Takeda will not, and will also cause its affiliates not to, without our prior approval, sell, transfer or otherwise dispose of the Takeda Shares until certain specified periods of time after the effective date of the Investor Agreement. For a certain period following the expiration of the lock-up period, subject to certain conditions and limitations, we agreed to provide certain demand registration rights to Takeda in order to register all or a portion of the Takeda Shares purchased by Takeda. We also provided Takeda with certain “piggyback” registration rights for a certain period following the expiration of the lock-up period, subject to certain conditions and limitations, such that when we propose to register our ordinary shares for our account, Takeda will have the right to include some or all of the Takeda Shares in such registration. The Investor Agreement also contains other customary terms and conditions of the parties with respect to the registration of Takeda Shares.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of Ordinary Shares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Subject to applicable securities laws in relevant jurisdictions and our constitution, our ordinary shares are freely transferable. Our constitution provides that shares may be transferred by a duly signed instrument of transfer in any usual or common form or in a form approved by the directors and The Nasdaq Stock Market. The directors may decline to register any transfer unless, among other things, evidence of payment of any stamp duty payable with respect to the transfer is provided together with other evidence of ownership and title as the directors may reasonably require to show the right of the transferor to make the transfer. We will replace lost or destroyed certificates for shares upon notice to us and upon, among other things, the applicant furnishing evidence and indemnity as the directors may require and the payment of all applicable fees.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and Re-election of Directors</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may, by ordinary resolution, remove any director before the expiration of his or her period of office, notwithstanding anything in our constitution or in any agreement between us and such director. We may also, by an ordinary resolution, appoint another person in place of a director removed from office pursuant to the foregoing.</w:t>
      </w:r>
    </w:p>
    <w:p>
      <w:pPr>
        <w:spacing w:after="0" w:line="17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Under our constitution, subject to the Singapore Companies Act, any director shall retire at the next annual general meeting and shall then be eligible for re-election at that meeting.</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shall have the power, at any time and from time to time, to appoint any person to be a director either to fill a casual vacancy or as an additional director so long as the total number of directors shall not at any time exceed the maximum number (if any) fixed by or in accordance with our constitution.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Shareholders’ Meetings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required to hold an annual general meeting each calendar year and within six months after the end of each financial year. The directors may convene an extraordinary general meeting whenever they think fit and they must do so upon the written request of shareholders holding not less than 10% of the total number of paid-up shares as of the date of deposit of the requisition carrying the right to vote at a general meeting. In addition, two or more shareholders holding not less than 10% of our total number of issued shares (excluding our treasury shares) may call a meeting of our shareholders.</w:t>
      </w:r>
    </w:p>
    <w:p>
      <w:pPr>
        <w:spacing w:after="0" w:line="183"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Singapore Companies Act provides that a shareholder is entitled to attend any general meeting and speak on any resolution put before the general meeting. Unless otherwise required by law or by our constitution,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resolutions put forth at general meetings may be decided by ordinary resolution, requiring the affirmative vote of a majority of the shareholders present in person or represented by proxy at the meeting and entitled to vote on the resolution. An ordinary resolution suffices, for example, for appointments of directors. A special resolution, requiring an affirmative vote of not less than three-fourths of the shareholders present in person or represented by proxy at the meeting and entitled to vote on the resolution, is necessary for certain matters under Singapore law, such as an alteration of our constitution. A shareholder entitled to attend and vote at a meeting of the company, or at a meeting of any class of shareholders of the company, is entitled to appoint another person or persons, whether a shareholder of the company or not, as the shareholder’s proxy to attend and vote instead of the shareholder at the meeting. Under the Singapore Companies Act, a proxy appointed to attend and vote instead of the shareholder also has the same right as the shareholder to speak at the meeting, but unless the constitution of the company otherwise provides, (i) a proxy is not entitled to vote except on a poll, (ii) a shareholder is not entitled to appoint more than two proxies to attend and vote at the same meeting and (iii) where a shareholder appoints two proxies the appointments are invalid unless the shareholder specifies the proportions of the shareholder’s holdings to be represented by each proxy.</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 foregoing, a registered shareholder entitled to attend and vote at a meeting of the company held pursuant to an order of court under Section 210(1) of the Singapore Companies Act, or at any adjourned meeting under Section 210(3) of the Singapore Companies Act, is, unless the court orders otherwise, entitled to appoint only one proxy to attend and vote at the same meeting, and except where the aforementioned applies, a registered shareholder having a share capital who is a relevant intermediary (as defined under the Singapore Companies Act) may appoint more than two proxies in relation to a meeting to exercise all or any of the shareholder’s rights to attend and to speak and vote at the meeting, but each proxy must be appointed to exercise the rights attached to a different share or shares held by the shareholder (which number and class of shares shall be specified), and at such meeting, the proxy has the right to vote on a show of hands.</w:t>
      </w:r>
    </w:p>
    <w:p>
      <w:pPr>
        <w:spacing w:after="0" w:line="189"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Only registered shareholders of our company, and their proxies, will be entitled to attend, speak and vote at any meeting of shareholders. Under the Singapore Companies Act, public companies may issue non-voting shares and shares that confer special, limited or conditional voting rights, such that the holder of a share may vote on a resolution before a general meeting of the company if, in accordance with the provisions of Section 64A of the Singapore Companies Act, the share confers on the holder a right to vote on that resolution.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As provided under our constitution and the Singapore Companies Act, voting at any meeting of shareholders is by show of hands unless a poll has been demanded prior to the declaration of the result of the show of hands by, among others, (i) the chairman or (ii) at least one shareholder present in person or by proxy or by attorney or, in the case of a corporation, by a representative entitled to vote thereat, in each case representing in the aggregate not less than 5% of the total voting rights of all shareholders having the right to vote at the general meeting, provided that no poll shall be demanded in respect of an election of a chairman or relating to any adjournment of such meeting. On a poll every shareholder who is present in person or by proxy or by attorney, or in the case of a corporation, by a representative, has one vote for every share held by such shareholder. Proxies need not be shareholders.</w:t>
      </w:r>
    </w:p>
    <w:p>
      <w:pPr>
        <w:spacing w:after="0" w:line="17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Only those shareholders who are registered in our register of members as holders of ordinary shares will be entitled to vote at any meeting of shareholders. Therefore, DTC, or its nominee, will grant an omnibus proxy to DTC participants holding our shares in book-entry form through a broker, bank, nominee, or other institution that is a direct or indirect participant in the DTC. Such shareholders will have the right to instruct their broker, bank, nominee or other institution holding these shares on how to vote such shares by completing the voting instruction form provided by the applicable broker, bank, nominee, or other institution. Whether voting is by a show of hands or by a poll, DTC’s vote will be voted by the chairman of the meeting according to the results of the DTC’s participants’ votes (which results will reflect the instructions received from shareholders that own our shares electronically in book-entry form).</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Minority Rights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rights of minority shareholders of Singapore companies are protected, among other things, under Section 216 of the Singapore Companies Act, which gives the Singapore courts a general power to make any order, upon application by any shareholder of a company, as they think fit to remedy any of the following situations:</w:t>
      </w:r>
    </w:p>
    <w:p>
      <w:pPr>
        <w:spacing w:after="0" w:line="81" w:lineRule="exact"/>
        <w:rPr>
          <w:sz w:val="20"/>
          <w:szCs w:val="20"/>
          <w:color w:val="auto"/>
        </w:rPr>
      </w:pPr>
    </w:p>
    <w:p>
      <w:pPr>
        <w:ind w:left="1080" w:right="2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affairs of a company are being conducted or the powers of the board of directors are being exercised in a manner oppressive to, or in disregard of the interests of, one or more of the shareholders, including the applicant; or</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takes an action, or threatens to take an action, or the shareholders pass a resolution, or propose to pass a resolution, which unfairly discriminates against, or is otherwise prejudicial to, one or more of the shareholders, including the applicant.</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Singapore courts have wide discretion as to the remedy they may grant, and the remedies listed in the Singapore Companies Act itself are not exclusive. In general, Singapore courts may, with a view to bringing to an end or remedying the matters complained of:</w:t>
      </w:r>
    </w:p>
    <w:p>
      <w:pPr>
        <w:spacing w:after="0" w:line="67"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or prohibit any act or cancel or modify any transaction or resolution;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the conduct of the affairs of the company in the future;</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civil proceedings to be brought in the name of, or on behalf of, the company by a person or persons and on such terms as the court may direct;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purchase of a minority shareholder’s shares by the other shareholders or by the company itself;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purchase of shares by the company provide for a reduction accordingly of the company’s capital;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company be wound up.</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Subject to any preferential rights of holders of any outstanding preferred shares, holders of our ordinary shares will be entitled to receive dividends and other distributions in cash, shares or property as may be declared by our company from time to time. We may, by ordinary resolution, declare dividends at a general meeting of shareholders, but we are restricted from paying dividends in excess of the amount recommended by our board of directors. Pursuant to Singapore law and our constitution, no dividend may be paid except out of our profits. To date, we have not declared any cash dividends on our ordinary shares and have no current plans to pay cash dividends in the foreseeable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Bonus and Rights Issues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a general meeting, our shareholders may, upon the recommendation of the directors, capitalize any reserves or profits and distribute them as bonus shares, credited as paid-up, to the shareholders in proportion to their shareholdings.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Singapore Companies Act and our constitution, our directors may also issue rights to take up additional ordinary shares to our shareholders in proportion to their respective ownership. Such rights are subject to any condition attached to such issue and the regulations of any stock exchange on which our shares are listed, as well as U.S. federal and blue sky securities laws applicable to such issue.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Takeovers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Singapore Code on Take-overs and Mergers applies to, among other things, the acquisition of voting shares of Singapore-incorporated listed public companies or unlisted public companies with more than 50</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shareholders and net tangible assets of S$5 million or more. Any person acquiring, whether by a series of transactions over a period of time or not, either on his or her own or together with parties acting in concert with such person, 30% or more of our voting shares, or, if such person holds, either on his or her own or together with parties acting in concert with such person, between 30% and 50% (both amounts inclusive) of our voting shares, and if such person (or parties acting in concert with such person) acquires additional voting shares representing more than 1% of our voting shares in any six-month period, must, except with the consent of the Securities Industry Council in Singapore, extend a mandatory takeover offer for the remaining voting shares in accordance with the provisions of the Singapore Code on Take-overs and Mergers. Responsibility for ensuring compliance with the Singapore Code on Take-overs and Mergers rests with parties (including company directors) to a take-over or merger and their advisors.</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“Parties acting in concert” comprise individuals or companies who, pursuant to an agreement or understanding (whether formal or informal), cooperate, through the acquisition by any of them of shares in a company, to obtain or consolidate effective control of that company. Certain persons are presumed (unless the presumption is rebutted) to be acting in concert with each other. They are as follows:</w:t>
      </w:r>
    </w:p>
    <w:p>
      <w:pPr>
        <w:spacing w:after="0" w:line="81" w:lineRule="exact"/>
        <w:rPr>
          <w:sz w:val="20"/>
          <w:szCs w:val="20"/>
          <w:color w:val="auto"/>
        </w:rPr>
      </w:pPr>
    </w:p>
    <w:p>
      <w:pPr>
        <w:ind w:left="1080" w:right="240" w:hanging="424"/>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its parent company, subsidiaries and fellow subsidiaries, the associated companies of any of the company and its related companies, subsidiaries and fellow subsidiaries, companies whose associated companies include any of these companies and any person who has provided financial assistance (other than a bank in the ordinary course of business) to any of the foregoing for the purchase of voting rights;</w:t>
      </w:r>
    </w:p>
    <w:p>
      <w:pPr>
        <w:spacing w:after="0" w:line="85"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with any of its directors (together with their close relatives, related trusts and companies controlled by any of the directors, their close relatives and related trusts);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with any of its pension funds and employee share schemes;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with any investment company, unit trust or other fund whose investment such person manages on a discretionary basis, but only in respect of the investment account which such person manages;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or other professional advisor, including a stockbroker, with its client in respect of the shareholdings of the advisor and persons controlling, controlled by or under the same control as the advisor;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of a company (together with their close relatives, related trusts and companies controlled by any of such directors, their close relatives and related trusts) which is subject to an offer or where the directors have reason to believe a bona fide offer for their company may be imminent;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and (i) such person’s close relatives, (ii) such person’s related trusts, (iii) any person who is accustomed to act in accordance with such person’s instructions, (iv) companies controlled by the individual, such person’s close relatives, related trusts or any person who is accustomed to act in accordance with such person’s instructions and (v) any person who has provided financial assistance (other than a bank in the ordinary course of business) to any of the foregoing for the purchase of voting rights.</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Subject to certain exceptions, a mandatory offer must be in cash or be accompanied by a cash alternative at not less than the highest price paid by the offeror or parties acting in concert with the offeror during the offer period and within the six months prior to its commencement.</w:t>
      </w:r>
    </w:p>
    <w:p>
      <w:pPr>
        <w:spacing w:after="0" w:line="162"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Under the Singapore Code on Take-overs and Mergers, where effective control of a company is acquired or consolidated by a person, or persons acting in concert, a general offer to all other shareholders is normally required. An offeror must treat all shareholders of the same class in an offeree company equally. A fundamental requirement is that shareholders in the company subject to the takeover offer must be given sufficient information, advice and time to consider and decide on the offer. These legal requirements may impede or delay a takeover of our company by a third-party.</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may submit an application to the Securities Industry Council of Singapore for a waiver from the Singapore Code on Take-overs and Mergers so that the Singapore Code on Take-overs and Mergers will not apply to our company for so long as we are not listed on a securities exchange in Singapore. We will make an appropriate announcement if we submit the application and when the result of the application is known.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or Other Return of Capital</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a winding-up or other return of capital, subject to any special rights attaching to the Series A preferred shares or to any other class of shares, holders of ordinary shares will be entitled to participate in any surplus assets in proportion to their shareholdings.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Under Section 172 of the Singapore Companies Act, any provision exempting or indemnifying the officers of a company (including directors) against any liability that would otherwise attach to them in connection with any negligence, default, breach of duty or breach of trust in relation to the company is void. However, a company is not prohibited from (a) purchasing and maintaining for any such individual insurance against liability incurred by him or her in connection with any negligence, default, breach of duty or breach of trust in relation to the company, or (b) indemnifying the individual against liability incurred by him or her to a person other than the company except when the indemnity is against any liability (i) of the individual to pay a fine in criminal proceedings, (ii) of the individual to pay a penalty in respect of non-compliance with any requirements of a regulatory nature (howsoever arising), (iii) incurred by the individual in defending criminal proceedings in which he or she is convicted, (iv) incurred by the individual in defending civil proceedings brought by the company or a related company in which judgment is given against him or her, or (v) incurred by the individual in connection with an application for relief under Section 76A(13) or Section 391 of the Singapore Companies Act in which the court refuses to grant him or her relief.</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Subject to the Singapore Companies Act and every other Singapore statute for the time being in force concerning companies and affecting us, our constitution provides that each of our directors and other officers and those of our subsidiaries and affiliates shall be entitled to be indemnified by us or such subsidiary against any liability incurred by him or her arising out of or in connection with any acts, omissions or conduct, actual or alleged, by such individual acting in his or her capacity as either director, officer, secretary or employee of us or the relevant subsidiary, except to such extent as would not be permitted under applicable Singapore laws or which would otherwise result in such indemnity being void in accordance with the provisions of the Singapore Companies Act.</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Subject to the Singapore Companies Act and every other Singapore statute for the time being in force and affecting our company, we may indemnify our directors and officers against costs, charges, fees and other expenses that may be incurred by any of them in defending any proceedings (whether civil or criminal) relating to anything done or omitted or alleged to be done or omitted by such person acting in his or her capacity as a director, officer or employee of our company, in which judgment is given in his or her favor, or in which he or she is acquitted or in which the courts have granted relief pursuant to the provisions of the Singapore Companies Act, provided that such indemnity shall not extend to any liability which by law would otherwise attach to him or her in respect of any negligence, default, breach of duty or breach of trust of which he may be guilty in relation to our company, or which would otherwise result in such indemnity being voided under applicable Singapore laws.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No director or officer of our company shall be liable for any acts, omissions, neglects, defaults or other conduct of any other director or officer, and to the extent permitted by Singapore law, our company shall contribute to the amount paid or payable by a director or officer in such proportion as is appropriate to reflect the relative fault of such director or officer, taking into consideration any other relevant equitable considerations, including acts of other directors or officers and our company, and the relative fault of such parties in respect thereof.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subject to the Singapore Companies Act and every other Singapore statute for the time being in force and affecting our company, no director, managing director or other officer shall be liable for the acts, receipts, neglects or defaults of any other director or officer, or for joining in any receipt or other act for conformity, or for any loss or expense incurred by us, through the insufficiency or deficiency of title to any property acquired by order of the directors for us or for the insufficiency or deficiency of any security upon which any of our moneys are invested or for any loss or damage arising from the bankruptcy, insolvency or tortious act of any person with whom any moneys, securities or effects are deposited, or any other loss, damage or misfortune which happens in the execution of his or her duties, unless the same happens through his or her own negligence, default, breach of duty or breach of trust.</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entered into deeds of indemnity with each of our directors and officers. These agreements will require us to indemnify these individuals to the fullest extent permitted under our constitution and the Singapore Companies Act against liabilities that may arise by reason of their service to us as a director or officer of the company (as the case may be), and to advance expenses incurred in connection with any proceeding against them by reason of their status as a director, officer, agent or employee of the company in accordance with the terms of the deeds. These indemnification rights shall not be exclusive of any other right which an indemnified person may have or thereafter acquire under any applicable law, provision of our constitution, agreement, vote of shareholders or disinterested directors or otherwise.</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expect to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or the Trust Indenture Act. We use the term “debenture trustee” to refer to either the trustee under the senior indenture or the trustee under the subordinated indenture, as applicable.</w:t>
      </w:r>
    </w:p>
    <w:p>
      <w:pPr>
        <w:spacing w:after="0" w:line="18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540" w:firstLine="440"/>
        <w:spacing w:after="0" w:line="261" w:lineRule="auto"/>
        <w:rPr>
          <w:sz w:val="20"/>
          <w:szCs w:val="20"/>
          <w:color w:val="auto"/>
        </w:rPr>
      </w:pPr>
      <w:r>
        <w:rPr>
          <w:rFonts w:ascii="Times New Roman" w:cs="Times New Roman" w:eastAsia="Times New Roman" w:hAnsi="Times New Roman"/>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debt securities:</w:t>
      </w:r>
    </w:p>
    <w:p>
      <w:pPr>
        <w:spacing w:after="0" w:line="13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or designation;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the amount that may be issued;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series of debt securities in global form, the terms of any global securities and who the depositary will be;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the date or dates on which principal will be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will be payable;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redemption provisions;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a series of debt securities;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will set forth in the prospectus supplement the terms, if any, on which a series of debt securities may be convertible into or exchangeable for our ordinary shares or our other securities. We will include provisions as to whether conversion or exchange is mandatory, at the option of the holder or at our option. We may include provisions pursuant to which the number of ordinary shares or our other securities that the holders of the series of debt securities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 No Protection in the Event of a Change of Control or Highly Leveraged Transaction</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131"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if any,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0"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73"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67"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written notice to the debenture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61"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will periodically file statements with the applicable debenture trustee regarding our compliance with specified covenants in the applicable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debenture trustee and we may change the applicable indenture without the consent of any holders with respect to specific matters, including:</w:t>
      </w:r>
    </w:p>
    <w:p>
      <w:pPr>
        <w:spacing w:after="0" w:line="13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issued pursuant to such indenture.</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89"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principal of or premium or interest on any debt security payable in currency other than that stated in the debt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67"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120" w:right="620" w:firstLine="440"/>
        <w:spacing w:after="0" w:line="312" w:lineRule="auto"/>
        <w:rPr>
          <w:sz w:val="20"/>
          <w:szCs w:val="20"/>
          <w:color w:val="auto"/>
        </w:rPr>
      </w:pPr>
      <w:r>
        <w:rPr>
          <w:rFonts w:ascii="Times New Roman" w:cs="Times New Roman" w:eastAsia="Times New Roman" w:hAnsi="Times New Roman"/>
          <w:sz w:val="17"/>
          <w:szCs w:val="17"/>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DTC or another depositary named by us and identified in a prospectus supplement with respect to that series.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68"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40" w:hanging="424"/>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6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Debenture Trustee</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Subordination of Subordinated Debt Securities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our ordinary shares and/or debt securities in one or more series together with other securities or separately, as described in the applicable prospectus supplement. Warrants for the purchase of ordinary shares and/or debt securities will be in registered form only. Below is a description of certain general terms and provisions of the warrants that we may offer. Particular terms of the warrants will be described in the warrant agreements and the prospectus supplement relating to the warrants.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131"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ordinary shares and the number of ordinary shares to be received upon exercise of the warrants;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debt securities to be received upon exercise, and a description of that series of debt securities;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considerations;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ordinary shares and/or debt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may be sold separately or with other securities as parts of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any warrants will be set forth in the applicable prospectus supplement.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5"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 may issue rights to our shareholders to purchase our ordinary shares or the other securities described in this prospectus. We may offer rights separately or together with one or more additional rights, debt securities, ordinary shares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provide in a prospectus supplement the following terms of the rights being issued:</w:t>
      </w:r>
    </w:p>
    <w:p>
      <w:pPr>
        <w:spacing w:after="0" w:line="131"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shareholders entitled to the rights distribution;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our ordinary shares or other securities purchasable upon exercise of the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rights are transferrable and the date, if any, on and after which the rights may be separately transferred;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to exercise the rights will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by which holders of rights will be entitled to exercise;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completion of the offering,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termination and cancellation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are any backstop or standby purchaser or purchasers and the terms of their commitment,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shareholders are entitled to oversubscription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considerations;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 as applicable.</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our ordinary shares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any other office indicated in the prospectus supplement, we will, as soon as practicable, forward the ordinary shares or other securities, as applicable, purchasable upon exercise of the rights. If less than all of the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rights agent for any rights we offer will be set forth in the applicable prospectus supplement.</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60"/>
          </w:cols>
          <w:pgMar w:left="320" w:top="455" w:right="5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0"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our ordinary shares, one or more debt securities, warrants, or rights for the purchase of our ordinary shares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131" w:lineRule="exact"/>
        <w:rPr>
          <w:sz w:val="20"/>
          <w:szCs w:val="20"/>
          <w:color w:val="auto"/>
        </w:rPr>
      </w:pPr>
    </w:p>
    <w:p>
      <w:pPr>
        <w:ind w:left="1080" w:right="32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set forth in any prospectus supplement or as described under “Description of Share Capital,” “Description of Debt Securities,” “Description of Warrants” and “Description of Rights” will apply to each unit, as applicable, and to any ordinary shares, debt security, warrant or right included in each unit, as applicable.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and address of the unit agent, if any, for any units we offer will be set forth in the applicable prospectus supplement.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60"/>
          </w:cols>
          <w:pgMar w:left="320" w:top="455" w:right="5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COMPARISON OF SHAREHOLDER RIGHTS</w:t>
      </w:r>
    </w:p>
    <w:p>
      <w:pPr>
        <w:spacing w:after="0" w:line="22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are incorporated under the laws of Singapore. The following discussion summarizes material differences between the rights of holders of our ordinary shares and the rights of holders of the common stock of a typical corporation incorporated under the laws of the state of Delaware which result from differences in governing documents and the laws of Singapore and Delaware.</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This discussion does not purport to be a complete statement of the rights of holders of our ordinary shares under applicable law in Singapore and our constitution or the rights of holders of the common stock of a typical corporation under applicable Delaware law and a typical certificate of incorporation and bylaws.</w:t>
      </w:r>
    </w:p>
    <w:p>
      <w:pPr>
        <w:sectPr>
          <w:pgSz w:w="11900" w:h="16838" w:orient="portrait"/>
          <w:cols w:equalWidth="0" w:num="1">
            <w:col w:w="11100"/>
          </w:cols>
          <w:pgMar w:left="320" w:top="455" w:right="479" w:bottom="1440" w:gutter="0" w:footer="0" w:header="0"/>
        </w:sectPr>
      </w:pPr>
    </w:p>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Delaware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9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 typical certificate of incorporation and bylaws provides that the number of directors on the board of directors will be fixed from time to time by a vote of the majority of the authorized directors. Under Delaware law, a board of directors can be divided into classes and cumulative voting in the election of directors is only permitted if expressly authorized in a corporation’s certificate of incorporation.</w:t>
      </w:r>
    </w:p>
    <w:p>
      <w:pPr>
        <w:spacing w:after="0" w:line="3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Personal Liability of Directors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 typical certificate of incorporation provides for the elimination of personal monetary liability of directors for breach of fiduciary duties as directors to the fullest extent permissible under the laws of Delaware, except for liability (i) for any breach of a director’s loyalty to the corporation or its stockholders,</w:t>
      </w:r>
    </w:p>
    <w:p>
      <w:pPr>
        <w:spacing w:after="0" w:line="3" w:lineRule="exact"/>
        <w:rPr>
          <w:sz w:val="20"/>
          <w:szCs w:val="20"/>
          <w:color w:val="auto"/>
        </w:rPr>
      </w:pPr>
    </w:p>
    <w:p>
      <w:pPr>
        <w:ind w:left="120" w:hanging="4"/>
        <w:spacing w:after="0" w:line="251" w:lineRule="auto"/>
        <w:tabs>
          <w:tab w:leader="none" w:pos="3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 (iii) under Section 174 of the Delaware General Corporation Law (relating to the liability of directors for unlawful payment of a dividend or an unlawful stock purchase or redemption) or (iv) for any transaction from which the director derived an improper personal benefit. A typical certificate of incorporation also provides that if the Delaware General Corporation Law is amended so as to allow further elimination of, or limitations on, director liability, then the liability of directors will be eliminated or limited to the fullest extent permitted by the Delaware General Corporation Law as so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1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constitution of companies will typically state the minimum and maximum number of directors as well as provide that the number of directors may be increased or reduced by shareholders via ordinary resolution passed at a general meeting, provided that the number of directors following such increase or reduction is within the maximum (if any) and minimum number of directors provided in our constitution and the Singapore Companies Act, respectively.</w:t>
      </w:r>
    </w:p>
    <w:p>
      <w:pPr>
        <w:spacing w:after="0" w:line="200" w:lineRule="exact"/>
        <w:rPr>
          <w:sz w:val="20"/>
          <w:szCs w:val="20"/>
          <w:color w:val="auto"/>
        </w:rPr>
      </w:pPr>
    </w:p>
    <w:p>
      <w:pPr>
        <w:spacing w:after="0" w:line="31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Pursuant to the Singapore Companies Act, any provision (whether in the constitution, a contract with the company or otherwise) exempting or indemnifying a director against any liability which by law would otherwise attach to him or her in respect of any negligence, default, breach of duty or breach of trust of which such director may be guilty in relation to the company is void. However, a company is not prohibited from (a) purchasing and maintaining for any such director insurance against any such liability, or (b) indemnifying such director against any liability incurred by him or her to a person other than the company except when the indemnity is against any liability (i) of the director to pay a fine in criminal proceedings, (ii) of the director to pay a penalty in respect of non-compliance with any regulatory requirements, (iii) incurred by the director in defending criminal proceedings in which he or she is convicted, (iv) incurred by the director in defending civil proceedings brought by the company or a related company in which judgment is given against him or her, or (v) incurred by the director in connection with an application for relief under Section 76A(13) or Section 391 of the Singapore Companies Act in which the court refuses to grant him or her relief. Nevertheless, a director can be</w:t>
      </w:r>
    </w:p>
    <w:p>
      <w:pPr>
        <w:sectPr>
          <w:pgSz w:w="11900" w:h="16838" w:orient="portrait"/>
          <w:cols w:equalWidth="0" w:num="2">
            <w:col w:w="5740" w:space="220"/>
            <w:col w:w="5140"/>
          </w:cols>
          <w:pgMar w:left="320" w:top="455" w:right="47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Interested Shareholders</w:t>
      </w:r>
    </w:p>
    <w:p>
      <w:pPr>
        <w:spacing w:after="0" w:line="3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Section 203 of the Delaware General Corporation Law generally prohibits a Delaware corporation from engaging in specified corporate transactions (such as mergers, stock and asset sales, and loans) with an “interested stockholder” for three years following the time that the stockholder becomes an interested stockholder. Subject to specified exceptions, an “interested stockholder” is a person or group that owns 15% or more of the corporation’s outstanding voting stock (including any rights to acquire stock pursuant to an option, warrant, agreement, arrangement or understanding, or upon the exercise of conversion or exchange rights, and stock with respect to which the person has voting rights only), or is an affiliate or associate of the corporation and was the owner of 15% or more of the voting stock at any time within the previous three years.</w:t>
      </w:r>
    </w:p>
    <w:p>
      <w:pPr>
        <w:spacing w:after="0" w:line="98"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A Delaware corporation may elect to “opt out” of, and not be governed by, Section 203 through a provision in either its original certificate of incorporation, or an amendment to its original certificate or bylaws that was approved by majority stockholder vote. With a limited exception, this amendment would not become effective until 12 months following its adoption.</w:t>
      </w:r>
    </w:p>
    <w:p>
      <w:pPr>
        <w:spacing w:after="0" w:line="1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released by the shareholders of a company for breaches of duty to a company except in the case of fraud, illegality, insolvency of the company and oppression or disregard of minority interests.</w:t>
      </w:r>
    </w:p>
    <w:p>
      <w:pPr>
        <w:spacing w:after="0" w:line="8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Subject to the Singapore Companies Act and every other Singapore statute for the time being in force and affecting the Company, we may indemnify our directors against costs, charges, fees, and other expenses that may be incurred by any of them in defending any proceedings (whether civil or criminal) relating to anything done or omitted or alleged to be done or omitted by such person acting in his or her capacity as a director of our company, in which judgment is given in his or her favor, or in which he or she is acquitted or in which the courts have granted relief pursuant to the provisions of the Singapore Companies Act, provided that such indemnity shall not extend to any liability which by law would otherwise attach to him or her in respect of any negligence, default, breach of duty or breach of trust of which he may be guilty in relation to our company, or which would otherwise result in such indemnity being voided under applicable Singapore laws.</w:t>
      </w:r>
    </w:p>
    <w:p>
      <w:pPr>
        <w:spacing w:after="0" w:line="200" w:lineRule="exact"/>
        <w:rPr>
          <w:sz w:val="20"/>
          <w:szCs w:val="20"/>
          <w:color w:val="auto"/>
        </w:rPr>
      </w:pPr>
    </w:p>
    <w:p>
      <w:pPr>
        <w:spacing w:after="0" w:line="21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There are no comparable provisions under the Singapore Companies Act with respect to public companies which are not listed on the Singapore Exchange Securities Trading Limited.</w:t>
      </w:r>
    </w:p>
    <w:p>
      <w:pPr>
        <w:sectPr>
          <w:pgSz w:w="11900" w:h="16838" w:orient="portrait"/>
          <w:cols w:equalWidth="0" w:num="2">
            <w:col w:w="5720" w:space="240"/>
            <w:col w:w="514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Delaware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A typical certificate of incorporation and bylaws provide that, subject to the rights of holders of any preferred stock, directors may be removed at any time by the affirmative vote of the holders of at least a majority, or in some instances a supermajority, of the voting power of all of the then outstanding shares entitled to vote generally in the election of directors, voting together as a single class. A certificate of incorporation could also provide that such a right is only exercisable when a director is being removed for cause (removal of a director only for cause is the default rule in the case of a classified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Under the Singapore Companies Act, directors of a public company may be removed before expiration of their term of office, despite anything in its constitution or in any agreement between the public company and such directors, by ordinary resolution (i.e., a resolution which is passed by a simple majority of those shareholders present and voting in person or by proxy). Notice of the intention to move such a resolution has to be given to the company not less than 28 days before the meeting at which it is moved. The company must then give notice of such resolution to its shareholders not less than 14 days before the meeting. Where any director removed in this manner was appointed to represent the interests of any particular class of shareholders or debenture holders, the resolution to remove the director does not take effect until the director’s successor has been appointed.</w:t>
      </w:r>
    </w:p>
    <w:p>
      <w:pPr>
        <w:spacing w:after="0" w:line="172" w:lineRule="exact"/>
        <w:rPr>
          <w:sz w:val="20"/>
          <w:szCs w:val="20"/>
          <w:color w:val="auto"/>
        </w:rPr>
      </w:pPr>
    </w:p>
    <w:p>
      <w:pPr>
        <w:sectPr>
          <w:pgSz w:w="11900" w:h="16838" w:orient="portrait"/>
          <w:cols w:equalWidth="0" w:num="2">
            <w:col w:w="5740" w:space="220"/>
            <w:col w:w="5140"/>
          </w:cols>
          <w:pgMar w:left="320" w:top="455" w:right="479" w:bottom="1440" w:gutter="0" w:footer="0" w:header="0"/>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Filling Vacancies on the Board of Directors</w:t>
      </w:r>
    </w:p>
    <w:p>
      <w:pPr>
        <w:spacing w:after="0" w:line="3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A typical certificate of incorporation and bylaws provide that, subject to the rights of the holders of any preferred stock, any vacancy, whether arising through death, resignation, retirement, disqualification, removal, an increase in the number of directors or any other reason, may be filled by a majority vote of the remaining directors, even if such directors remaining in office constitute less than a quorum, or by the sole remaining director. Any newly elected director usually holds office for the remainder of the full term expiring at the annual meeting of stockholders at which the term of the class of directors to which the newly elected director has been elected expires.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constitution of a Singapore company typically provides that the directors have the power to appoint any person to be a director, either to fill a vacancy or as an addition to the existing directors, but so that the total number of directors shall not at any time exceed the maximum number (if any) fixed by or in accordance with the constitution. Any director so appointed shall hold office until the next following annual general meeting, where such director will then be eligible for re-election. Our constitution provides that the directors may appoint any person to be a director either to fill a casual vacancy or as an additional director but so that the total number of Directors shall not at any time exceed the maximum number fixed by or in accordance with the constitution.</w:t>
      </w:r>
    </w:p>
    <w:p>
      <w:pPr>
        <w:spacing w:after="0" w:line="186" w:lineRule="exact"/>
        <w:rPr>
          <w:sz w:val="20"/>
          <w:szCs w:val="20"/>
          <w:color w:val="auto"/>
        </w:rPr>
      </w:pPr>
    </w:p>
    <w:p>
      <w:pPr>
        <w:sectPr>
          <w:pgSz w:w="11900" w:h="16838" w:orient="portrait"/>
          <w:cols w:equalWidth="0" w:num="2">
            <w:col w:w="5620" w:space="340"/>
            <w:col w:w="514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Governing Documents</w:t>
      </w:r>
    </w:p>
    <w:p>
      <w:pPr>
        <w:spacing w:after="0" w:line="31"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Under the Delaware General Corporation Law, amendments to a corporation’s certificate of incorporation require the approval of stockholders holding a majority of the outstanding shares entitled to vote on the amendment. If a class vote on the amendment is required by the Delaware General Corporation Law, a majority of the outstanding stock of the class is required, unless a greater proportion is specified in the certificate of incorporation or by other provisions of the Delaware General Corporation Law.</w:t>
      </w: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constitution may be altered by special resolution (i.e., a resolution passed by at least a three-fourths majority of the shareholders entitled to vote, present in person or by proxy at a meeting for which not less than 21 days’ written notice is given). The board of directors has no right to amend the constitution.</w:t>
      </w:r>
    </w:p>
    <w:p>
      <w:pPr>
        <w:spacing w:after="0" w:line="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Under the Singapore Companies Act, an entrenching provision may be included in the constitution with which a company is formed and may at any time be</w:t>
      </w:r>
    </w:p>
    <w:p>
      <w:pPr>
        <w:sectPr>
          <w:pgSz w:w="11900" w:h="16838" w:orient="portrait"/>
          <w:cols w:equalWidth="0" w:num="2">
            <w:col w:w="5720" w:space="240"/>
            <w:col w:w="5140"/>
          </w:cols>
          <w:pgMar w:left="320" w:top="455" w:right="47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Delaware</w:t>
      </w:r>
    </w:p>
    <w:p>
      <w:pPr>
        <w:spacing w:after="0" w:line="2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the board of directors may amend bylaws if so authorized in the charter. The stockholders of a Delaware corporation also have the power to amend bylaws.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inserted into the constitution of a company only if all the shareholders of the company agree. An entrenching provision is a provision of the constitution of a company to the effect that other specified provisions of the constitution may not be altered in the manner provided by the Singapore Companies Act or may not be so altered except (i) by a resolution passed by a specified majority greater than 75% (the minimum majority required by the Singapore Companies Act for a special resolution) or (ii) where other specified conditions are met. The Singapore Companies Act provides that such entrenching provision may be removed or altered only if all the members of the company agree.</w:t>
      </w:r>
    </w:p>
    <w:p>
      <w:pPr>
        <w:spacing w:after="0" w:line="189" w:lineRule="exact"/>
        <w:rPr>
          <w:sz w:val="20"/>
          <w:szCs w:val="20"/>
          <w:color w:val="auto"/>
        </w:rPr>
      </w:pPr>
    </w:p>
    <w:p>
      <w:pPr>
        <w:sectPr>
          <w:pgSz w:w="11900" w:h="16838" w:orient="portrait"/>
          <w:cols w:equalWidth="0" w:num="2">
            <w:col w:w="5680" w:space="280"/>
            <w:col w:w="5140"/>
          </w:cols>
          <w:pgMar w:left="320" w:top="455" w:right="479" w:bottom="1440" w:gutter="0" w:footer="0" w:header="0"/>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Meetings of Shareholders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Annual and Special Meetings</w:t>
      </w:r>
    </w:p>
    <w:p>
      <w:pPr>
        <w:spacing w:after="0" w:line="11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Typical bylaws provide that annual meetings of stockholders are to be held on a date and at a time fixed by the board of directors. Under the Delaware General Corporation Law, a special meeting of stockholders may be called by the board of directors or by any other person authorized to do so in the certificate of incorporation or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Quorum Requirements</w:t>
      </w:r>
    </w:p>
    <w:p>
      <w:pPr>
        <w:spacing w:after="0" w:line="13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a corporation’s certificate of incorporation or bylaws can specify the number of shares which constitute the quorum required to conduct business at a meeting, provided that in no event shall a quorum consist of less than one-third of the shares entitled to vote at a meeting.</w:t>
      </w:r>
    </w:p>
    <w:p>
      <w:pPr>
        <w:spacing w:after="0" w:line="200" w:lineRule="exact"/>
        <w:rPr>
          <w:sz w:val="20"/>
          <w:szCs w:val="20"/>
          <w:color w:val="auto"/>
        </w:rPr>
      </w:pPr>
    </w:p>
    <w:p>
      <w:pPr>
        <w:spacing w:after="0" w:line="3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General Meetings</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companies are required to hold an annual general meeting after the end of each financial year within either 4 months (in the case of a public company that is listed on an exchange in Singapore approved by the Monetary Authority of Singapore) or 6 months (in the case of any other company).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Extraordinary General Meetings</w:t>
      </w:r>
    </w:p>
    <w:p>
      <w:pPr>
        <w:spacing w:after="0" w:line="13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Any general meeting other than the annual general meeting is called an “extraordinary general meeting.” Despite anything in the constitution, directors of a company must to convene an extraordinary general meeting if required to do so by requisition (i.e. written notice, requiring that a meeting be called, given to the directors) by shareholder(s) holding not less than 10% of the total number of paid-up shares as at the date of the deposit of the requisition carrying the right of voting at general meetings of the company. In addition, the constitution usually also provides that general meetings may be convened in accordance with the Singapore Companies Act by the directors.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Quorum Requirements</w:t>
      </w:r>
    </w:p>
    <w:p>
      <w:pPr>
        <w:spacing w:after="0" w:line="13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constitution provides that any two shareholders present in person or by proxy or by attorney or, in the case of a corporation, by a representative and entitled to vote thereat; in each case representing in aggregate not less than a majority of the total voting rights of all shareholders having the right to vote at a general meeting, shall constitute a quorum. In the event a quorum is not present, the meeting if not convened</w:t>
      </w:r>
    </w:p>
    <w:p>
      <w:pPr>
        <w:sectPr>
          <w:pgSz w:w="11900" w:h="16838" w:orient="portrait"/>
          <w:cols w:equalWidth="0" w:num="2">
            <w:col w:w="5740" w:space="220"/>
            <w:col w:w="5140"/>
          </w:cols>
          <w:pgMar w:left="320" w:top="455" w:right="47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of Officers, Directors and Employees</w:t>
      </w:r>
    </w:p>
    <w:p>
      <w:pPr>
        <w:spacing w:after="0" w:line="121"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Under the Delaware General Corporation Law, subject to specified limitations in the case of derivative suits brought by a corporation’s stockholders in its name, a corporation may indemnify any person who is made a party to any third-party action, suit or proceeding on account of being a director, officer, employee or agent of the corporation (or was serving at the request of the</w:t>
      </w:r>
    </w:p>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on the requisition of shareholders may be adjourned for one week. When reconvened, the quorum for the meeting will be the same and if at such adjourned meeting a quorum is not present, the meeting will be dissolved.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Shareholders’ Rights at Meetings</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Singapore Companies Act provides that every member has, despite any provision in the constitution, a right to attend any general meeting of the company and to speak on any resolution before the meeting. The company’s constitution may provide that a member shall not be entitled to vote unless all calls or other sums personally payable by the member in respect of shares in the company have been paid.</w:t>
      </w:r>
    </w:p>
    <w:p>
      <w:pPr>
        <w:spacing w:after="0" w:line="9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Public companies may issue non-voting shares and shares that confer special, limited and conditional voting rights, such that the holder of a share may vote on a resolution before a general meeting if, in accordance with the provisions of Section 64A of the Singapore Companies Act, the share confers on the holder a right to vote on the resolution.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Circulation of Shareholders’ Resolutions</w:t>
      </w:r>
    </w:p>
    <w:p>
      <w:pPr>
        <w:spacing w:after="0" w:line="13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Under the Singapore Companies Act, (a) any number of shareholders representing not less than 5% of the total voting rights of all the shareholders having at the date of requisition a right to vote at a meeting to which the requisition relates or (b) not less than 100 shareholders holding shares on which there has been paid up an average sum, per shareholder, of not less than S$500, may requisition the company to give to shareholders notice of any resolution which may properly be moved and is intended to be moved at the next annual general meeting, and circulate to shareholders any statement of not more than 1,000 words with respect to the matter referred to in any proposed resolution or the business to be dealt with at that meeting.</w:t>
      </w:r>
    </w:p>
    <w:p>
      <w:pPr>
        <w:spacing w:after="0" w:line="200" w:lineRule="exact"/>
        <w:rPr>
          <w:sz w:val="20"/>
          <w:szCs w:val="20"/>
          <w:color w:val="auto"/>
        </w:rPr>
      </w:pPr>
    </w:p>
    <w:p>
      <w:pPr>
        <w:spacing w:after="0" w:line="329"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7"/>
          <w:szCs w:val="17"/>
          <w:color w:val="auto"/>
        </w:rPr>
        <w:t>Under Section 172 of the Singapore Companies Act, any provision exempting or indemnifying the officers of a company (including directors) against liability, which by law would otherwise attach to them in connection with any negligence, default, breach of duty or breach of trust in relation to the company is void.</w:t>
      </w:r>
    </w:p>
    <w:p>
      <w:pPr>
        <w:sectPr>
          <w:pgSz w:w="11900" w:h="16838" w:orient="portrait"/>
          <w:cols w:equalWidth="0" w:num="2">
            <w:col w:w="5740" w:space="220"/>
            <w:col w:w="516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Delaware</w:t>
      </w:r>
    </w:p>
    <w:p>
      <w:pPr>
        <w:spacing w:after="0" w:line="27" w:lineRule="exact"/>
        <w:rPr>
          <w:sz w:val="20"/>
          <w:szCs w:val="20"/>
          <w:color w:val="auto"/>
        </w:rPr>
      </w:pPr>
    </w:p>
    <w:p>
      <w:pPr>
        <w:ind w:left="120" w:right="100"/>
        <w:spacing w:after="0" w:line="269" w:lineRule="auto"/>
        <w:rPr>
          <w:sz w:val="20"/>
          <w:szCs w:val="20"/>
          <w:color w:val="auto"/>
        </w:rPr>
      </w:pPr>
      <w:r>
        <w:rPr>
          <w:rFonts w:ascii="Times New Roman" w:cs="Times New Roman" w:eastAsia="Times New Roman" w:hAnsi="Times New Roman"/>
          <w:sz w:val="17"/>
          <w:szCs w:val="17"/>
          <w:color w:val="auto"/>
        </w:rPr>
        <w:t>corporation in such capacity for another corporation, partnership, joint venture, trust or other enterprise) against expenses, including attorney’s fees, judgments, fines and amounts paid in settlement actually and reasonably incurred by him or her in connection with the action, suit or proceeding through, among other things, a majority vote of a quorum consisting of directors who were not parties to the suit or proceeding, if the person:</w:t>
      </w:r>
    </w:p>
    <w:p>
      <w:pPr>
        <w:spacing w:after="0" w:line="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 acted in good faith and in a manner he or she reasonably believed to</w:t>
      </w:r>
    </w:p>
    <w:p>
      <w:pPr>
        <w:spacing w:after="0" w:line="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be in or not opposed to the best interests of the corporation or, in</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some circumstances, at least not opposed to its best interests; and</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 in a criminal proceeding, had no reasonable cause to believe his or</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her conduct was unlawful.</w:t>
      </w:r>
    </w:p>
    <w:p>
      <w:pPr>
        <w:spacing w:after="0" w:line="11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Delaware corporate law permits indemnification by a corporation under similar circumstances for expenses (including attorneys’ fees) actually and reasonably incurred by such persons in connection with the defense or settlement of a derivative action or suit, except that no indemnification may be made in respect of any claim, issue or matter as to which the person is adjudged to be liable to the corporation unless the Delaware Court of Chancery or the court in which the action or suit was brought determines upon application that the person is fairly and reasonably entitled to indemnity for the expenses which the court deems to be proper.</w:t>
      </w:r>
    </w:p>
    <w:p>
      <w:pPr>
        <w:spacing w:after="0" w:line="9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To the extent a director, officer, employee or agent is successful in the defense of such an action, suit or proceeding, the corporation is required by Delaware corporate law to indemnify such person for reasonable expenses incurred thereby. Expenses (including attorneys’ fees) incurred by such persons in defending any action, suit or proceeding may be paid in advance of the final disposition of such action, suit or proceeding upon receipt of an undertaking by or on behalf of that person to repay the amount if it is ultimately determined that that person is not entitled to be so indemnified.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Singapore Companies Act allows a company to:</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 purchase and maintain for any officer insurance against any</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liability which by law would otherwise attach to such officer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connection with any negligence, default, breach of duty or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breach of trust in relation to the company;</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 indemnify such officer against any liability incurred by him</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or her to a person other than the company except when the</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indemnity is against any liability (i) of the officer to pay a</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fine in criminal proceedings, (ii) of the officer to pay a</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penalty in respect of non-compliance with any regulatory</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requirements, (iii) incurred by the officer in defending</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criminal proceedings in which he or she is convicted, (iv)</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incurred by the officer in defending civil proceedings brought</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the company or a related company in which judgment is</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given against him or her, or (v) incurred by the officer in</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connection with an application for relief under Section</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76A(13) or Section 391 of the Singapore Companies Act in</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which the court refuses to grant him or her relief.</w:t>
      </w:r>
    </w:p>
    <w:p>
      <w:pPr>
        <w:spacing w:after="0" w:line="112"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In cases where a director is sued by the company, the Singapore Companies Act gives the court the power to relieve directors either wholly or partially from their liability for their negligence, default, breach of duty or breach of trust. In order for relief to be obtained, it must be shown that (i) the director acted reasonably and honestly; and</w:t>
      </w:r>
    </w:p>
    <w:p>
      <w:pPr>
        <w:spacing w:after="0" w:line="3" w:lineRule="exact"/>
        <w:rPr>
          <w:sz w:val="20"/>
          <w:szCs w:val="20"/>
          <w:color w:val="auto"/>
        </w:rPr>
      </w:pPr>
    </w:p>
    <w:p>
      <w:pPr>
        <w:ind w:right="20" w:firstLine="1"/>
        <w:spacing w:after="0" w:line="253" w:lineRule="auto"/>
        <w:tabs>
          <w:tab w:leader="none" w:pos="26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fair, having regard to all the circumstances of the case including those connected with such director’s appointment, to excuse the director. However, Singapore case law has indicated that such relief will not be granted to a director who has benefited as a result of his or her breach of trust.</w:t>
      </w:r>
    </w:p>
    <w:p>
      <w:pPr>
        <w:spacing w:after="0" w:line="9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constitution provides that subject to the provisions of the Singapore Companies Act and every other applicable statute for the time being in force concerning companies and affecting the company, the directors and officers are entitled to be indemnified against costs, charges, fees and other expenses that may be incurred by such person in defending any proceedings, whether civil or criminal, which relates to anything done or omitted or alleged</w:t>
      </w:r>
    </w:p>
    <w:p>
      <w:pPr>
        <w:sectPr>
          <w:pgSz w:w="11900" w:h="16838" w:orient="portrait"/>
          <w:cols w:equalWidth="0" w:num="2">
            <w:col w:w="5740" w:space="220"/>
            <w:col w:w="516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 Approval of Issuances of Shares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Under Delaware law, the board of directors has the authority to issue, from time to time, capital stock in its sole discretion, as long the number the shares to be issued, together with those shares that are already issued and outstanding and those shares reserved to be issued, do not exceed the authorized capital for the corporation as previously approved by the stockholders and set forth in the corporation’s certificate of incorporation. Under the foregoing circumstances, no additional stockholder approval is required for the issuance of capital stock. Under Delaware law, stockholder approval is required (i) for any amendment to the corporation’s certificate of incorporation to increase the authorized capital and (ii) for the issuance of stock in a direct merger transaction where the number of shares exceeds 20% of the corporation’s shares outstanding prior to the transaction, regardless of whether there is sufficient authorized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be done or omitted by such person as a director, officer or employee of the company and in which judgment is given in his or her favor or in which such person is acquitted or in which the courts have granted relief pursuant to the provisions of the Singapore Companies Act, provided that such indemnity shall not extend to any liability which by law would otherwise attach to him or her in respect of any negligence, default, breach of duty or breach of trust of which he or she may be guilty in relation to the company, or which would otherwise result in such indemnity being voided under applicable Singapore laws.</w:t>
      </w:r>
    </w:p>
    <w:p>
      <w:pPr>
        <w:spacing w:after="0" w:line="200" w:lineRule="exact"/>
        <w:rPr>
          <w:sz w:val="20"/>
          <w:szCs w:val="20"/>
          <w:color w:val="auto"/>
        </w:rPr>
      </w:pPr>
    </w:p>
    <w:p>
      <w:pPr>
        <w:spacing w:after="0" w:line="31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Section 161 of the Singapore Companies Act provides that despite anything in the company’s constitution, the directors must not exercise any power to issue shares without prior approval of Company’s shareholders in a general meeting. The affirmative vote of shareholders holding at least a majority of the ordinary shares held by the shareholders present in person or represented by proxy at the annual general meeting and entitled to vote is required for this authorization. Once this shareholders’ approval is obtained, unless previously revoked or varied by the company in general meeting, it continues in force until the conclusion of the next annual general meeting or the expiration of the period within which the next annual general meeting after that date is required by law to be held, whichever is earlier; but any approval may be revoked or varied by the company in general meeting. Notwithstanding this general authorization to allot and issue our ordinary shares, Wave will be required to seek shareholder approval with respect to future issuances of ordinary shares, where required under The Nasdaq Stock Market rules, such as if we were to propose an issuance of ordinary shares that would result in a change in control of Wave or in connection with a transaction involving the issuance of ordinary shares representing 20% or more of our outstanding ordinary shares.</w:t>
      </w:r>
    </w:p>
    <w:p>
      <w:pPr>
        <w:sectPr>
          <w:pgSz w:w="11900" w:h="16838" w:orient="portrait"/>
          <w:cols w:equalWidth="0" w:num="2">
            <w:col w:w="5720" w:space="240"/>
            <w:col w:w="514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Delaware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 Approval of Business Combinations</w:t>
      </w:r>
    </w:p>
    <w:p>
      <w:pPr>
        <w:spacing w:after="0" w:line="9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Generally, under the Delaware General Corporation Law, completion of a merger, consolidation, or the sale, lease or exchange of substantially all of a corporation’s assets or dissolution requires approval by the board of directors and by a majority (unless the certificate of incorporation requires a higher percentage) of outstanding stock of the corporation entitled to vote.</w:t>
      </w:r>
    </w:p>
    <w:p>
      <w:pPr>
        <w:spacing w:after="0" w:line="8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Delaware General Corporation Law also requires a special vote of stockholders in connection with a business combination with an “interested stockholder” as defined in section 203 of the Delaware General Corporation Law. See “—Interested Shareholders”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 Action Without A Meeting</w:t>
      </w:r>
    </w:p>
    <w:p>
      <w:pPr>
        <w:spacing w:after="0" w:line="3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Under the Delaware General Corporation Law, unless otherwise provided in a corporation’s certificate of incorporation, any action that may be taken at a meeting of stockholders may be taken without a meeting, without prior notice and without a vote if the holders of outstanding stock, having not less than the minimum number of votes that would be necessary to authorize such action, consent in writing. It is not uncommon for a corporation’s certificate of incorporation to prohibit such action.</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1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Singapore Companies Act and the Insolvency, Restructuring and Dissolution Act 2018 mandates that specified corporate actions require approval by the shareholders in a general meeting, notably:</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 despite anything in the company’s constitution, directors</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must not carry into effect any proposals for disposing of the</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whole or substantially the whole of the company’s</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undertaking or property unless those proposals have been</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approved by shareholders in a general meeting;</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 the company may by special resolution resolve that it be</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wound up voluntarily;</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 subject to the constitution of each amalgamating company, an</w:t>
      </w:r>
    </w:p>
    <w:p>
      <w:pPr>
        <w:spacing w:after="0" w:line="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amalgamation proposal must be approved by the</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shareholders of each amalgamating company via special</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resolution at a general meeting;</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 a compromise or arrangement proposed between a company</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and its shareholders, or any class of them, must, among other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things, be approved by a majority in number representing</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three-fourths in value of the shareholders or class of</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shareholders present and voting either in person or by proxy</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at the meeting ordered by the court; and</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 despite anything in the company’s constitution, the directors</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must not, without the prior approval of shareholders, issue</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shares, including shares being issued in connection with</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corporate actions.</w:t>
      </w:r>
    </w:p>
    <w:p>
      <w:pPr>
        <w:spacing w:after="0" w:line="200" w:lineRule="exact"/>
        <w:rPr>
          <w:sz w:val="20"/>
          <w:szCs w:val="20"/>
          <w:color w:val="auto"/>
        </w:rPr>
      </w:pPr>
    </w:p>
    <w:p>
      <w:pPr>
        <w:spacing w:after="0" w:line="2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are no equivalent provisions under the Singapore Companies Act in respect of public companies which are listed on a securities exchange, like our company.</w:t>
      </w:r>
    </w:p>
    <w:p>
      <w:pPr>
        <w:sectPr>
          <w:pgSz w:w="11900" w:h="16838" w:orient="portrait"/>
          <w:cols w:equalWidth="0" w:num="2">
            <w:col w:w="5740" w:space="220"/>
            <w:col w:w="516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Delaware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 Suits</w:t>
      </w:r>
    </w:p>
    <w:p>
      <w:pPr>
        <w:spacing w:after="0" w:line="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Under the Delaware General Corporation Law, a stockholder may bring a derivative action on behalf of the corporation to enforce the rights of the corporation. An individual also may commence a class action suit on behalf of himself or herself and other similarly situated stockholders where the requirements for maintaining a class action under the Delaware General Corporation Law have been met. A person may institute and maintain such a suit only if such person was a stockholder at the time of the transaction which is the subject of the suit or his or her shares thereafter devolved upon him or her by operation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Additionally, under Delaware case law, the plaintiff generally must be a stockholder not only at the time of the transaction which is the subject of the suit, but also through the duration of the derivative suit. The Delaware General Corporation Law also requires that the derivative plaintiff make a demand on the directors of the corporation to assert the corporate claim before the suit may be prosecuted by the derivative plaintiff, unless such demand would be futile.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Standing</w:t>
      </w:r>
    </w:p>
    <w:p>
      <w:pPr>
        <w:spacing w:after="0" w:line="1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Only registered shareholders of our company reflected in our register of members are recognized under Singapore law as shareholders of our company. As a result, only registered shareholders have legal standing to institute shareholder actions against us or otherwise seek to enforce their rights as shareholders. Holders of book-entry interests in our shares will be required to exchange their book-entry interests for certificated shares and to be registered as shareholders in our shareholder register in order to institute or enforce any legal proceedings or claims against us, our directors or our executive officers relating to shareholder rights. A holder of book-entry interests may become a registered shareholder of our company by exchanging its interest in our shares for certificated shares and being registered in our shareholder register.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Personal remedies in cases of oppression or injustice</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shareholder may apply to the court for an order under Section 216 of the Singapore Companies Act to remedy situations where (i) the company’s affairs are being conducted or the powers of the company’s directors are being exercised in a manner oppressive to, or in disregard of the interests of one or more of the shareholders or holders of debentures of the company, including the applicant; or (ii) the company has done an act, or threatens to do an act, or the shareholders or holders of debentures have passed some resolution, which unfairly discriminates against, or is otherwise prejudicial to, one or more of the company’s shareholders or holders of debentures, including the applicant.</w:t>
      </w:r>
    </w:p>
    <w:p>
      <w:pPr>
        <w:spacing w:after="0" w:line="9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Singapore courts have wide discretion as to the relief they may grant under such application, including, inter alia, directing or prohibiting any act or cancelling or varying any transaction or resolution, providing that the company be wound up, or authorizing civil proceedings to be brought in the name of or on behalf of the company by such person or persons and on such terms as the court directs.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actions and arbitrations</w:t>
      </w:r>
    </w:p>
    <w:p>
      <w:pPr>
        <w:spacing w:after="0" w:line="13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Singapore Companies Act has a provision which provides a mechanism enabling shareholders to apply to the court for leave to bring a derivative action or commence an arbitration on behalf of the company.</w:t>
      </w:r>
    </w:p>
    <w:p>
      <w:pPr>
        <w:sectPr>
          <w:pgSz w:w="11900" w:h="16838" w:orient="portrait"/>
          <w:cols w:equalWidth="0" w:num="2">
            <w:col w:w="5720" w:space="240"/>
            <w:col w:w="516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 and Dividends; Repurchases and Redemptions</w:t>
      </w:r>
    </w:p>
    <w:p>
      <w:pPr>
        <w:spacing w:after="0" w:line="31"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The Delaware General Corporation Law permits a corporation to declare and pay dividends out of statutory surplus or, if there is no surplus, out of net profits for the fiscal year in which the dividend is declared and/or for the preceding fiscal year as long as the amount of capital of the corporation following the declaration and payment of the dividend is not less than the aggregate amount of the capital represented by the issued and outstanding stock of all classes having a preference upon the distribution of assets.</w:t>
      </w: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actions are also allowed as a common law action.</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Applications are generally made by shareholders of the company, but courts are given the discretion to allow such persons as they deem proper to apply (e.g., beneficial owner of shares).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It should be noted that this provision of the Singapore Companies Act is primarily used by minority shareholders to bring an action or arbitration in the name and on behalf of the company or intervene in an action or arbitration to which the company is a party for the purpose of prosecuting, defending or discontinuing the action or arbitration on behalf of the company. Prior to commencing a derivative action or arbitration, the court must be satisfied that (i) 14 days’ notice has been given to the directors of the company of the party’s intention to commence such action or arbitration if the directors of the company do not bring, diligently prosecute or defend or discontinue the action, (ii) the party is acting in good faith and (iii) it appears to be prima facie in the interests of the company that the action be brought, prosecuted, defended or discontinued.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actions</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concept of class action suits in the United States, which allows individual shareholders to bring an action seeking to represent the class or classes of shareholders, does not exist in the same manner in Singapore. In Singapore, it is possible as a matter of procedure for a number of shareholders to begin proceedings on behalf of themselves and other shareholders who have the same interest in the proceedings whom they represent. These shareholders are known as “representative plaintiffs.”</w:t>
      </w:r>
    </w:p>
    <w:p>
      <w:pPr>
        <w:spacing w:after="0" w:line="200" w:lineRule="exact"/>
        <w:rPr>
          <w:sz w:val="20"/>
          <w:szCs w:val="20"/>
          <w:color w:val="auto"/>
        </w:rPr>
      </w:pPr>
    </w:p>
    <w:p>
      <w:pPr>
        <w:spacing w:after="0" w:line="221"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 Singapore Companies Act provides that no dividend is payable to the shareholders of any company except out of profits.</w:t>
      </w:r>
    </w:p>
    <w:p>
      <w:pPr>
        <w:spacing w:after="0" w:line="6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Singapore Companies Act does not provide a definition on when profits are deemed to be available for the purpose of paying dividends and this is accordingly governed by case law.</w:t>
      </w:r>
    </w:p>
    <w:p>
      <w:pPr>
        <w:spacing w:after="0" w:line="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constitution provides that no dividend can be paid otherwise than out of profits.</w:t>
      </w:r>
    </w:p>
    <w:p>
      <w:pPr>
        <w:sectPr>
          <w:pgSz w:w="11900" w:h="16838" w:orient="portrait"/>
          <w:cols w:equalWidth="0" w:num="2">
            <w:col w:w="5720" w:space="240"/>
            <w:col w:w="5140"/>
          </w:cols>
          <w:pgMar w:left="320" w:top="455"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Delaware</w:t>
      </w:r>
    </w:p>
    <w:p>
      <w:pPr>
        <w:spacing w:after="0" w:line="1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Under the Delaware General Corporation Law, any corporation may purchase or redeem its own shares, except that generally it may not purchase or redeem these 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a company’s own shares</w:t>
      </w:r>
    </w:p>
    <w:p>
      <w:pPr>
        <w:spacing w:after="0" w:line="13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Singapore Companies Act generally prohibits a company from acquiring its own shares or purporting to acquire the shares of its holding company or ultimate holding company, whether directly or indirectly, in any way, subject to certain exceptions. Any contract or transaction made or entered into in contravention of the aforementioned prohibition by which a company acquires or purports to acquire its own shares or shares in its holding company or ultimate holding company is void. However, provided that it is expressly permitted to do so by its constitution and subject to the special conditions of each permitted acquisition contained in the Singapore Companies Act, a company may:</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 redeem redeemable preferred shares on such terms and in</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such manner as is provided by its constitution. Preferred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shares may be redeemed out of capital only if all the directors</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make a solvency statement in relation to such redemption in</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accordance with the Singapore Companies Act, and the</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company lodges a copy of the statement with the Registrar of</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Companies;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 whether listed on an exchange in Singapore approved by the</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Monetary Authority of Singapore or any securities exchange</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outside Singapore, or not, make an off-market purchase of its</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own shares in accordance with an equal access scheme</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authorized in advance at a general meeting;</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 make a selective off-market purchase of its own shares in</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accordance with an agreement authorized in advance at a</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general meeting by a special resolution where persons whose</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shares are to be acquired and their associated persons have</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abstained from voting; and</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 whether listed on an exchange in Singapore approved by the</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Monetary Authority of Singapore or any securities exchange</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outside Singapore, or not, make an acquisition of its own</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shares under a contingent purchase contract which has been</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authorized in advance at a general meeting by a special</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resolution.</w:t>
      </w:r>
    </w:p>
    <w:p>
      <w:pPr>
        <w:sectPr>
          <w:pgSz w:w="11900" w:h="16838" w:orient="portrait"/>
          <w:cols w:equalWidth="0" w:num="2">
            <w:col w:w="5720" w:space="240"/>
            <w:col w:w="516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4"/>
          <w:szCs w:val="14"/>
          <w:b w:val="1"/>
          <w:bCs w:val="1"/>
          <w:u w:val="single" w:color="auto"/>
          <w:color w:val="auto"/>
        </w:rPr>
        <w:t>Delaware</w:t>
      </w:r>
      <w:r>
        <w:rPr>
          <w:sz w:val="20"/>
          <w:szCs w:val="20"/>
          <w:color w:val="auto"/>
        </w:rPr>
        <w:tab/>
      </w:r>
      <w:r>
        <w:rPr>
          <w:rFonts w:ascii="Times New Roman" w:cs="Times New Roman" w:eastAsia="Times New Roman" w:hAnsi="Times New Roman"/>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16510</wp:posOffset>
            </wp:positionV>
            <wp:extent cx="32829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2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 company may also purchase its own shares by an order of a</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Singapore court.</w:t>
      </w:r>
    </w:p>
    <w:p>
      <w:pPr>
        <w:spacing w:after="0" w:line="112"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7"/>
          <w:szCs w:val="17"/>
          <w:color w:val="auto"/>
        </w:rPr>
        <w:t>•    The total number of ordinary shares, stocks in any class and</w:t>
      </w:r>
    </w:p>
    <w:p>
      <w:pPr>
        <w:spacing w:after="0" w:line="3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non-redeemable preferred shares that may be acquired by a</w:t>
      </w:r>
    </w:p>
    <w:p>
      <w:pPr>
        <w:spacing w:after="0" w:line="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company in a relevant period must not exceed 20% (or such</w:t>
      </w:r>
    </w:p>
    <w:p>
      <w:pPr>
        <w:spacing w:after="0" w:line="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other prescribed percentage) of the total number of ordinary</w:t>
      </w:r>
    </w:p>
    <w:p>
      <w:pPr>
        <w:spacing w:after="0" w:line="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shares, stocks in any class or non-redeemable preferred</w:t>
      </w:r>
    </w:p>
    <w:p>
      <w:pPr>
        <w:spacing w:after="0" w:line="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shares (as the case may be) as of the date of the resolution to</w:t>
      </w:r>
    </w:p>
    <w:p>
      <w:pPr>
        <w:spacing w:after="0" w:line="2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acquire the shares. Where, however, a company has reduced</w:t>
      </w:r>
    </w:p>
    <w:p>
      <w:pPr>
        <w:spacing w:after="0" w:line="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its share capital by a special resolution or a Singapore court</w:t>
      </w:r>
    </w:p>
    <w:p>
      <w:pPr>
        <w:spacing w:after="0" w:line="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made an order to such effect, the total number of ordinary</w:t>
      </w:r>
    </w:p>
    <w:p>
      <w:pPr>
        <w:spacing w:after="0" w:line="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shares, stocks in any class or non-redeemable preferred</w:t>
      </w:r>
    </w:p>
    <w:p>
      <w:pPr>
        <w:spacing w:after="0" w:line="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shares shall be taken to be the total number of ordinary</w:t>
      </w:r>
    </w:p>
    <w:p>
      <w:pPr>
        <w:spacing w:after="0" w:line="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shares, stocks in any class or non-redeemable preferred</w:t>
      </w:r>
    </w:p>
    <w:p>
      <w:pPr>
        <w:spacing w:after="0" w:line="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shares (as the case may be) as altered by the special</w:t>
      </w:r>
    </w:p>
    <w:p>
      <w:pPr>
        <w:spacing w:after="0" w:line="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resolution or the order of the court. Payment, including any</w:t>
      </w:r>
    </w:p>
    <w:p>
      <w:pPr>
        <w:spacing w:after="0" w:line="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expenses (including brokerage or commission) incurred</w:t>
      </w:r>
    </w:p>
    <w:p>
      <w:pPr>
        <w:spacing w:after="0" w:line="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directly in the acquisition by the company of its own shares,</w:t>
      </w:r>
    </w:p>
    <w:p>
      <w:pPr>
        <w:spacing w:after="0" w:line="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may be made out of the company’s profits or capital,</w:t>
      </w:r>
    </w:p>
    <w:p>
      <w:pPr>
        <w:spacing w:after="0" w:line="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provided that the company is solvent.</w:t>
      </w:r>
    </w:p>
    <w:p>
      <w:pPr>
        <w:spacing w:after="0" w:line="11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Financial assistance for the acquisition of shares</w:t>
      </w:r>
    </w:p>
    <w:p>
      <w:pPr>
        <w:spacing w:after="0" w:line="13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 public company or a company whose holding company or ultimate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holding company is a public company must not give financial</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assistance to any person whether directly or indirectly for the purpose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of or in connection with:</w:t>
      </w:r>
    </w:p>
    <w:p>
      <w:pPr>
        <w:sectPr>
          <w:pgSz w:w="11900" w:h="16838" w:orient="portrait"/>
          <w:cols w:equalWidth="0" w:num="1">
            <w:col w:w="11040"/>
          </w:cols>
          <w:pgMar w:left="320" w:top="455" w:right="539" w:bottom="1440" w:gutter="0" w:footer="0" w:header="0"/>
        </w:sectPr>
      </w:pPr>
    </w:p>
    <w:p>
      <w:pPr>
        <w:spacing w:after="0" w:line="112"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440" w:hanging="26"/>
        <w:spacing w:after="0" w:line="282" w:lineRule="auto"/>
        <w:rPr>
          <w:sz w:val="20"/>
          <w:szCs w:val="20"/>
          <w:color w:val="auto"/>
        </w:rPr>
      </w:pPr>
      <w:r>
        <w:rPr>
          <w:rFonts w:ascii="Times New Roman" w:cs="Times New Roman" w:eastAsia="Times New Roman" w:hAnsi="Times New Roman"/>
          <w:sz w:val="18"/>
          <w:szCs w:val="18"/>
          <w:color w:val="auto"/>
        </w:rPr>
        <w:t> the acquisition or proposed acquisition of shares in the company or units of such shares; or</w:t>
      </w:r>
    </w:p>
    <w:p>
      <w:pPr>
        <w:spacing w:after="0" w:line="67" w:lineRule="exact"/>
        <w:rPr>
          <w:sz w:val="20"/>
          <w:szCs w:val="20"/>
          <w:color w:val="auto"/>
        </w:rPr>
      </w:pPr>
    </w:p>
    <w:p>
      <w:pPr>
        <w:sectPr>
          <w:pgSz w:w="11900" w:h="16838" w:orient="portrait"/>
          <w:cols w:equalWidth="0" w:num="2">
            <w:col w:w="6520" w:space="160"/>
            <w:col w:w="4360"/>
          </w:cols>
          <w:pgMar w:left="320" w:top="455" w:right="539" w:bottom="1440" w:gutter="0" w:footer="0" w:header="0"/>
          <w:type w:val="continuous"/>
        </w:sectPr>
      </w:pPr>
    </w:p>
    <w:p>
      <w:pPr>
        <w:ind w:left="6420"/>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ind w:right="160" w:hanging="26"/>
        <w:spacing w:after="0" w:line="266" w:lineRule="auto"/>
        <w:rPr>
          <w:sz w:val="20"/>
          <w:szCs w:val="20"/>
          <w:color w:val="auto"/>
        </w:rPr>
      </w:pPr>
      <w:r>
        <w:rPr>
          <w:rFonts w:ascii="Times New Roman" w:cs="Times New Roman" w:eastAsia="Times New Roman" w:hAnsi="Times New Roman"/>
          <w:sz w:val="18"/>
          <w:szCs w:val="18"/>
          <w:color w:val="auto"/>
        </w:rPr>
        <w:t> the acquisition or proposed acquisition of shares in its holding company or ultimate holding company, or units of such shares.</w:t>
      </w:r>
    </w:p>
    <w:p>
      <w:pPr>
        <w:spacing w:after="0" w:line="81" w:lineRule="exact"/>
        <w:rPr>
          <w:sz w:val="20"/>
          <w:szCs w:val="20"/>
          <w:color w:val="auto"/>
        </w:rPr>
      </w:pPr>
    </w:p>
    <w:p>
      <w:pPr>
        <w:sectPr>
          <w:pgSz w:w="11900" w:h="16838" w:orient="portrait"/>
          <w:cols w:equalWidth="0" w:num="2">
            <w:col w:w="6520" w:space="160"/>
            <w:col w:w="4360"/>
          </w:cols>
          <w:pgMar w:left="320" w:top="455" w:right="539" w:bottom="1440" w:gutter="0" w:footer="0" w:header="0"/>
          <w:type w:val="continuous"/>
        </w:sectPr>
      </w:pPr>
    </w:p>
    <w:p>
      <w:pPr>
        <w:ind w:left="5960"/>
        <w:spacing w:after="0"/>
        <w:rPr>
          <w:sz w:val="20"/>
          <w:szCs w:val="20"/>
          <w:color w:val="auto"/>
        </w:rPr>
      </w:pPr>
      <w:r>
        <w:rPr>
          <w:rFonts w:ascii="Times New Roman" w:cs="Times New Roman" w:eastAsia="Times New Roman" w:hAnsi="Times New Roman"/>
          <w:sz w:val="18"/>
          <w:szCs w:val="18"/>
          <w:color w:val="auto"/>
        </w:rPr>
        <w:t>Financial assistance may take the form of a loan, the giving of a</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guarantee, the provision of security, the release of an obligation, the</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release of a debt or otherwise.</w:t>
      </w:r>
    </w:p>
    <w:p>
      <w:pPr>
        <w:spacing w:after="0" w:line="1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However, it should be noted that a company may provide financial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assistance for the acquisition of its shares or shares in its holding</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company or ultimate holding company if it complies with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requirements</w:t>
      </w:r>
    </w:p>
    <w:p>
      <w:pPr>
        <w:spacing w:after="0" w:line="15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40"/>
          </w:cols>
          <w:pgMar w:left="320" w:top="455" w:right="5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with Officers or Directors</w:t>
      </w:r>
    </w:p>
    <w:p>
      <w:pPr>
        <w:spacing w:after="0" w:line="3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Under the Delaware General Corporation Law, some contracts or transactions in which one or more of a corporation’s directors has an interest are not void or voidable because of such interest provided that some conditions, such as obtaining the required approval and fulfilling the requirements of good faith and full disclosure, are met. Under the Delaware General Corporation Law, either (a) the stockholders or the board of directors of a corporation must approve in good faith any such contract or transaction after full disclosure of the material facts or (b) the contract or transaction must have been “fair” as to the corporation at the time it was approved. If board approval is sought, the contract or transaction must be approved in good faith by a majority of disinterested directors after full disclosure of material facts, even though less than a majority of a 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right="400"/>
        <w:spacing w:after="0" w:line="272" w:lineRule="auto"/>
        <w:rPr>
          <w:sz w:val="20"/>
          <w:szCs w:val="20"/>
          <w:color w:val="auto"/>
        </w:rPr>
      </w:pPr>
      <w:r>
        <w:rPr>
          <w:rFonts w:ascii="Times New Roman" w:cs="Times New Roman" w:eastAsia="Times New Roman" w:hAnsi="Times New Roman"/>
          <w:sz w:val="18"/>
          <w:szCs w:val="18"/>
          <w:color w:val="auto"/>
        </w:rPr>
        <w:t>(including approval by special resolution) set out in the Singapore Companies Act.</w:t>
      </w:r>
    </w:p>
    <w:p>
      <w:pPr>
        <w:spacing w:after="0" w:line="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constitution provides that subject to the provisions of the Singapore Companies Act, we may purchase or otherwise acquire our own shares upon such terms and subject to such conditions as we may deem fit. We may deal with any such shares which is so purchased or acquired by us in such manner as may be permitted under the Singapore Companies Act (including, without limitation, hold such shares as treasury shares).</w:t>
      </w:r>
    </w:p>
    <w:p>
      <w:pPr>
        <w:spacing w:after="0" w:line="200" w:lineRule="exact"/>
        <w:rPr>
          <w:sz w:val="20"/>
          <w:szCs w:val="20"/>
          <w:color w:val="auto"/>
        </w:rPr>
      </w:pPr>
    </w:p>
    <w:p>
      <w:pPr>
        <w:spacing w:after="0" w:line="21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Under the Singapore Companies Act, directors and the chief executive officer of the company are not prohibited from dealing with the company, but where they have an interest, whether directly or indirectly, in a transaction with the company, that interest must be disclosed to the board of directors. In particular, every director or chief executive officer who is in any way, whether directly or indirectly, interested in a transaction or proposed transaction with the company must, as soon as is practicable after the relevant facts have come to such director’s or, as the case may be, the chief executive officer’s knowledge, declare the nature of such interest at a meeting of the directors or send a written notice to the company detailing the nature, character and extent of the interest.</w:t>
      </w:r>
    </w:p>
    <w:p>
      <w:pPr>
        <w:spacing w:after="0" w:line="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a director or chief executive officer who holds any office or possesses any property which directly or indirectly might create interests in conflict with such director’s or, as the case may be, the chief executive officer’s duties as director or chief executive officer is required to declare the fact and the nature, character and extent of the conflict at a meeting of directors or send a written notice to the company detailing the nature, character and extent of the conflict.</w:t>
      </w:r>
    </w:p>
    <w:p>
      <w:pPr>
        <w:spacing w:after="0" w:line="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Singapore Companies Act extends the scope of this statutory duty of a director and chief executive officer to disclose any interests by pronouncing that an interest of a member of a director’s or, as the case may be, the chief executive officer’s family (including spouse, son, adopted son, step-son, daughter, adopted daughter and step-daughter) will be treated as an interest of the director or chief executive officer (as the case may be).</w:t>
      </w:r>
    </w:p>
    <w:p>
      <w:pPr>
        <w:sectPr>
          <w:pgSz w:w="11900" w:h="16838" w:orient="portrait"/>
          <w:cols w:equalWidth="0" w:num="2">
            <w:col w:w="5720" w:space="240"/>
            <w:col w:w="516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4"/>
          <w:szCs w:val="14"/>
          <w:b w:val="1"/>
          <w:bCs w:val="1"/>
          <w:u w:val="single" w:color="auto"/>
          <w:color w:val="auto"/>
        </w:rPr>
        <w:t>Delaware</w:t>
      </w:r>
      <w:r>
        <w:rPr>
          <w:sz w:val="20"/>
          <w:szCs w:val="20"/>
          <w:color w:val="auto"/>
        </w:rPr>
        <w:tab/>
      </w:r>
      <w:r>
        <w:rPr>
          <w:rFonts w:ascii="Times New Roman" w:cs="Times New Roman" w:eastAsia="Times New Roman" w:hAnsi="Times New Roman"/>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16510</wp:posOffset>
            </wp:positionV>
            <wp:extent cx="32829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2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A director or chief executive officer is not deemed to be interested or to</w:t>
      </w:r>
    </w:p>
    <w:p>
      <w:pPr>
        <w:spacing w:after="0" w:line="3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have been at any time interested in any transaction or proposed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transaction where the interest of the director or 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(as the case may be) consists only of being a member or creditor of a</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corporation which is interested in the transaction or proposed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transaction with the company if the interest may properly be regarded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as immaterial. Where the transaction or the proposed transaction relates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to any loan to the company, no disclosure need be made where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director or chief executive officer (as the case may be) has only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guaranteed the repayment of such loan, unless the constitution provides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otherwise.</w:t>
      </w:r>
    </w:p>
    <w:p>
      <w:pPr>
        <w:spacing w:after="0" w:line="1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Further, where any transaction or proposed transaction has been or will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be made with or for the benefit of a related corporation (i.e.,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holding company, subsidiary or subsidiary of a common holding</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company), the director or chief executive officer is not deemed to be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interested or to have been at any time interested in such transaction or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proposed transaction by virtue of only being a director or chief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officer (as the case may be) of the related corporation, unless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 constitution provides otherwise.</w:t>
      </w:r>
    </w:p>
    <w:p>
      <w:pPr>
        <w:spacing w:after="0" w:line="1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Subject to specified exceptions, the Singapore Companies Act prohibits</w:t>
      </w:r>
    </w:p>
    <w:p>
      <w:pPr>
        <w:spacing w:after="0" w:line="3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 company (other than an exempt private company) from, among</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others, (i) making a loan or a quasi-loan to its directors or to directors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of a related corporation, or giving a guarantee or security in connection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with such a loan or quasi-loan, (ii) entering into a credit transaction as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creditor for the benefit of its directors or the directors of a related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corporation, or giving a guarantee or any security in connection with</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such a credit transaction, (iii) arranging an assignment to or assumption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 us of any rights, obligations or liabilities under a transaction which,</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if it had been entered into by us, would have been a restricted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transaction, and (iv) taking part in an arrangement under which another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person enters into a transaction which, if entered into by us, would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have been a restricted transaction and such person obtains a benefit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from us or our related corporation pursuant thereto. Companies are also</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prohibited from entering into any of these transactions with the spouse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or children (whether adopted or natural or step-children) of its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directors.</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Dissenters’ Rights</w:t>
      </w:r>
    </w:p>
    <w:p>
      <w:pPr>
        <w:spacing w:after="0" w:line="3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Under the Delaware General Corporation Law, a stockholder of a corporation participating in some types of major corporate transactions may, under varying</w:t>
      </w:r>
    </w:p>
    <w:p>
      <w:pPr>
        <w:spacing w:after="0" w:line="1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Subject to specified exceptions, the Singapore Companies Act prohibits a company (other than an exempt private company) from making a loan or a quasi-loan to another company or a limited liability partnership or entering into any guarantee or providing any security in connection with a loan or a quasi-loan made to another company or a limited liability partnership by a person other than the first-mentioned company, entering into a credit transaction as a creditor for the benefit of another company or a limited liability partnership, or entering into any guarantee or provide any security in connection with a credit transaction entered into by any person for the benefit of another company or a limited liability partnership if a director or directors of the first-mentioned company is or together are interested in 20% or more of the total voting power in the other company or the limited liability partnership (as the case may be).</w:t>
      </w:r>
    </w:p>
    <w:p>
      <w:pPr>
        <w:spacing w:after="0" w:line="10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Such prohibition also applies to a loan, quasi-loan, credit transaction made by a company (other than an exempt private company), a credit transaction made by a company (other than an exempt private company) for the benefit of another company or limited liability partnership and a guarantee or security provided by a company (other than an exempt private company) in connection with a loan or quasi-loan made by a person other than the first-mentioned company to another company or a limited liability partnership where such other company or limited liability partnership is incorporated or formed (as the case may be) outside Singapore, if a director or directors of the first-mentioned company (a) is or together are interested in 20% or more of the total voting power in the other company or limited liability partnership or (b) in a case where the other company does not have a share capital, exercises or together exercise control over the other company whether by reason of having the power to appoint directors or otherwise.</w:t>
      </w:r>
    </w:p>
    <w:p>
      <w:pPr>
        <w:spacing w:after="0" w:line="1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Singapore Companies Act also provides that an interest of a member of a director’s family (including spouse, son, adopted son, step-son, daughter, adopted daughter and step-daughter) will be treated as an interest of the director.</w:t>
      </w:r>
    </w:p>
    <w:p>
      <w:pPr>
        <w:spacing w:after="0" w:line="200" w:lineRule="exact"/>
        <w:rPr>
          <w:sz w:val="20"/>
          <w:szCs w:val="20"/>
          <w:color w:val="auto"/>
        </w:rPr>
      </w:pPr>
    </w:p>
    <w:p>
      <w:pPr>
        <w:spacing w:after="0" w:line="20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are no equivalent provisions in Singapore under the Singapore Companies Act.</w:t>
      </w:r>
    </w:p>
    <w:p>
      <w:pPr>
        <w:sectPr>
          <w:pgSz w:w="11900" w:h="16838" w:orient="portrait"/>
          <w:cols w:equalWidth="0" w:num="2">
            <w:col w:w="5720" w:space="240"/>
            <w:col w:w="516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Delaware</w:t>
      </w:r>
    </w:p>
    <w:p>
      <w:pPr>
        <w:spacing w:after="0" w:line="2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circumstances, be entitled to appraisal rights pursuant to which the stockholder may receive cash in the amount of the fair market value of his or her shares in lieu of the consideration he or she would otherwise receive in the transaction.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Cumulative Voting</w:t>
      </w:r>
    </w:p>
    <w:p>
      <w:pPr>
        <w:spacing w:after="0" w:line="3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adopt in its bylaws that its directors shall be elected by cumulative voting. When directors are elected by cumulative voting, a stockholder has the number of votes equal to the number of shares held by such stockholder times the number of directors nominated for election. The stockholder may cast all of such votes for one director or among the directors in any proportion.</w:t>
      </w:r>
    </w:p>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 equivalent provisions in Singapore under the Singapore Companies Act.</w:t>
      </w:r>
    </w:p>
    <w:p>
      <w:pPr>
        <w:sectPr>
          <w:pgSz w:w="11900" w:h="16838" w:orient="portrait"/>
          <w:cols w:equalWidth="0" w:num="2">
            <w:col w:w="5720" w:space="240"/>
            <w:col w:w="4960"/>
          </w:cols>
          <w:pgMar w:left="320" w:top="455" w:right="6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offer securities under this prospectus from time to time pursuant to underwritten public offerings,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81"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may directly solicit offers to purchase the securities being offered by this prospectus and may also engage in “at the market” offerings as defined in Rule 415 of the Securities Act. We may also designate agents to solicit offers to purchase the securities from time to time. We will name in a prospectus supplement any underwriter or agent involved in the offer or sale of the securities.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89" w:lineRule="exact"/>
        <w:rPr>
          <w:sz w:val="20"/>
          <w:szCs w:val="20"/>
          <w:color w:val="auto"/>
        </w:rPr>
      </w:pPr>
    </w:p>
    <w:p>
      <w:pPr>
        <w:ind w:left="120" w:right="160" w:firstLine="440"/>
        <w:spacing w:after="0" w:line="274"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8" w:lineRule="exact"/>
        <w:rPr>
          <w:sz w:val="20"/>
          <w:szCs w:val="20"/>
          <w:color w:val="auto"/>
        </w:rPr>
      </w:pPr>
    </w:p>
    <w:p>
      <w:pPr>
        <w:ind w:left="1080" w:right="6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40"/>
          </w:cols>
          <w:pgMar w:left="320" w:top="455" w:right="5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Our ordinary shares sold pursuant to the registration statement of which this prospectus is a part will be authorized for quotation and trading on The Nasdaq Global Market. The applicable prospectus supplement will contain information, where applicable, as to any other listing, if any, on The Nasdaq Global Market or any securities market or other securities exchange of the securities covered by the prospectus supplement. We can make no assurance as to the liquidity of or the existence of trading markets for any of the securities.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Inc., or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55"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ENFORCEMENT OF CIVIL LIABILITIES UNDER UNITED STATES SECURITIES LAWS</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incorporated under the laws of the Republic of Singapore, and certain of our officers and directors are residents outside the United States. Moreover, a majority of our consolidated assets are located outside the United States. Although we are incorporated outside the United States, we have agreed to accept service of process in the United States through our agent designated for that purpose. Nevertheless, since a majority of the consolidated assets owned by us are located outside the United States any judgment obtained in the United States against us may not be enforceable within the United States. There is no treaty between the United States and Singapore providing for the reciprocal recognition and enforcement of judgments in civil and commercial matters and a final judgment for the payment of money rendered by any federal or state court in the United States based on civil liability, whether or not predicated solely upon the federal securities laws, would, therefore, not be automatically enforceable in Singapore.</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There is uncertainty as to whether judgments of courts in the United States based upon the civil liability provisions of the federal securities laws of the United States would be recognized or enforceable in Singapore. In making a determination as to enforceability of a judgment of the courts of the United States, and subject to the Singapore courts having jurisdiction over the judgment debtor, the Singapore courts would have regard to whether the judgment was final and conclusive and on the merits of the case, given by a court of law of competent jurisdiction, and was expressed to be for a fixed sum of money. In general, an </w:t>
      </w:r>
      <w:r>
        <w:rPr>
          <w:rFonts w:ascii="Times New Roman" w:cs="Times New Roman" w:eastAsia="Times New Roman" w:hAnsi="Times New Roman"/>
          <w:sz w:val="18"/>
          <w:szCs w:val="18"/>
          <w:i w:val="1"/>
          <w:iCs w:val="1"/>
          <w:color w:val="auto"/>
        </w:rPr>
        <w:t>in personam</w:t>
      </w:r>
      <w:r>
        <w:rPr>
          <w:rFonts w:ascii="Times New Roman" w:cs="Times New Roman" w:eastAsia="Times New Roman" w:hAnsi="Times New Roman"/>
          <w:sz w:val="18"/>
          <w:szCs w:val="18"/>
          <w:color w:val="auto"/>
        </w:rPr>
        <w:t xml:space="preserve"> foreign judgment that is final and conclusive (that is, in general, a judgment that makes a final determination of rights between the parties and cannot be re-opened or altered by the court that delivered it, or be overridden by another body not being an appellate or supervisory body, although it may be subject to an appeal), given by a competent court of law having jurisdiction over the parties subject to such judgment, and for a fixed and ascertainable sum of money, may be enforceable as a debt in the Singapore courts under common law unless procured by fraud, or the proceedings in which such judgments were obtained were not conducted in accordance with principles of natural justice, or the enforcement thereof would be contrary to fundamental public policy, or if the judgment would conflict with earlier judgment(s) from Singapore or earlier foreign judgment(s) recognized in Singapore, or if the judgment would amount to the direct or indirect enforcement of foreign penal, revenue or other public laws (save where any such component of the judgment can be duly severed from the rest of the judgment sought to be enforced). Civil liability provisions of the federal and state securities law of the United States permit the award of punitive damages against us, our directors and officers. Singapore courts would not recognize or enforce judgments against us, our directors and officers to the extent that doing so would amount to the direct or indirect enforcement of foreign penal, revenue or other public laws. It is uncertain as to whether a judgment of the courts of the United States under civil liability provisions of the federal securities law of the United States would be regarded by the Singapore courts as being pursuant to foreign, penal, revenue or other public laws. Such a determination has yet to be made by a Singapore court in a reported decision.</w:t>
      </w:r>
    </w:p>
    <w:p>
      <w:pPr>
        <w:spacing w:after="0" w:line="193"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holders of book-entry interests in our shares will be required to exchange such interests for certificated shares and to be registered as shareholders in our shareholder register in order to have standing to bring a shareholder suit and, if successful, to enforce a foreign judgment against us, our directors or our executive officers in the Singapore courts.</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 holder of book-entry interests in our shares may become a registered shareholder of our company by exchanging such holder’s interest in our shares for certificated shares and being registered in our shareholder register. The administrative process of becoming a registered shareholder could result in delays prejudicial to any legal proceeding or enforcement action.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validity of the securities offered pursuant to this prospectus and certain other matters of Singapore law will be passed upon for us by WongPartnership LLP. Selected legal matters as to U.S. law in connection with the offering of the debt securities offered pursuant to this prospectus will be passed upon for us by Mintz, Levin, Cohn, Ferris, Glovsky and Popeo, P.C., Boston, Massachusetts. Additional legal matters may be passed upon for us, or any underwriters, dealers or agents by counsel that we will name in the applicable prospectus supplement.</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Wave Life Sciences Ltd. as of December 31, 2021 and 2020 for the years then ended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of 1933, as amended,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obtain a copy of the registration statement, including the exhibits and schedules, from the SEC’s website.</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also maintain a website at http://www.wavelifesciences.com, through which you can access our SEC filings. The information set forth on our website is not part of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from the SEC’s website at http://www.sec.gov. The documents we are incorporating by reference are:</w:t>
      </w:r>
    </w:p>
    <w:p>
      <w:pPr>
        <w:spacing w:after="0" w:line="94"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4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that we filed with the SEC on March 3, 2022;</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6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that we filed with the SEC on November 9, 2015, including any amendment or report filed for the purpose of updating such description;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76"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001-37627.</w:t>
      </w:r>
    </w:p>
    <w:p>
      <w:pPr>
        <w:spacing w:after="0" w:line="225" w:lineRule="exact"/>
        <w:rPr>
          <w:rFonts w:ascii="Times New Roman" w:cs="Times New Roman" w:eastAsia="Times New Roman" w:hAnsi="Times New Roman"/>
          <w:sz w:val="18"/>
          <w:szCs w:val="18"/>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auto"/>
        </w:rPr>
      </w:pPr>
    </w:p>
    <w:p>
      <w:pPr>
        <w:ind w:left="120" w:right="440" w:firstLine="440"/>
        <w:spacing w:after="0" w:line="312" w:lineRule="auto"/>
        <w:rPr>
          <w:sz w:val="20"/>
          <w:szCs w:val="20"/>
          <w:color w:val="auto"/>
        </w:rPr>
      </w:pPr>
      <w:r>
        <w:rPr>
          <w:rFonts w:ascii="Times New Roman" w:cs="Times New Roman" w:eastAsia="Times New Roman" w:hAnsi="Times New Roman"/>
          <w:sz w:val="17"/>
          <w:szCs w:val="17"/>
          <w:color w:val="auto"/>
        </w:rPr>
        <w:t>In addition, all reports and other documents filed by us pursuant to the Exchange Act after the date of the registration statement of which this prospectus is a part and prior to effectiveness of the registration statement shall be deemed to be incorporated by reference into this prospectus.</w:t>
      </w:r>
    </w:p>
    <w:p>
      <w:pPr>
        <w:spacing w:after="0" w:line="140" w:lineRule="exact"/>
        <w:rPr>
          <w:rFonts w:ascii="Times New Roman" w:cs="Times New Roman" w:eastAsia="Times New Roman" w:hAnsi="Times New Roman"/>
          <w:sz w:val="18"/>
          <w:szCs w:val="18"/>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You may request, orally or in writing, a copy of any or all of the documents incorporated herein by reference. These documents will be provided to you at no cost, by contacting:</w:t>
      </w:r>
    </w:p>
    <w:p>
      <w:pPr>
        <w:spacing w:after="0" w:line="5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Wave Life Sciences Ltd.</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 733 Concord Avenue</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Cambridge, MA 02138, USA</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207" w:lineRule="exact"/>
        <w:rPr>
          <w:rFonts w:ascii="Times New Roman" w:cs="Times New Roman" w:eastAsia="Times New Roman" w:hAnsi="Times New Roman"/>
          <w:sz w:val="18"/>
          <w:szCs w:val="18"/>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You may also access these documents on our website, http://www.wavelifesciences.com. The information contained on, or that can be accessed through, our website is not a part of this prospectus. We have included our website address in this prospectus solely as an inactive textual reference.</w:t>
      </w:r>
    </w:p>
    <w:p>
      <w:pPr>
        <w:spacing w:after="0" w:line="140" w:lineRule="exact"/>
        <w:rPr>
          <w:rFonts w:ascii="Times New Roman" w:cs="Times New Roman" w:eastAsia="Times New Roman" w:hAnsi="Times New Roman"/>
          <w:sz w:val="18"/>
          <w:szCs w:val="18"/>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1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55"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25,464,483 Ordinary Shares</w:t>
      </w:r>
    </w:p>
    <w:p>
      <w:pPr>
        <w:spacing w:after="0" w:line="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Pre-Funded Warrants to Purchase 7,093,656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3071495</wp:posOffset>
            </wp:positionV>
            <wp:extent cx="1474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156845</wp:posOffset>
            </wp:positionV>
            <wp:extent cx="1903095" cy="12598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1903095"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i w:val="1"/>
          <w:iCs w:val="1"/>
          <w:color w:val="auto"/>
        </w:rPr>
        <w:t>Sole Bookrunning Manager</w:t>
      </w:r>
    </w:p>
    <w:p>
      <w:pPr>
        <w:spacing w:after="0" w:line="20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9"/>
          <w:szCs w:val="29"/>
          <w:b w:val="1"/>
          <w:bCs w:val="1"/>
          <w:color w:val="auto"/>
        </w:rPr>
        <w:t>SVB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729615</wp:posOffset>
            </wp:positionV>
            <wp:extent cx="1474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June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508635</wp:posOffset>
            </wp:positionV>
            <wp:extent cx="69951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568325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decimal"/>
      <w:start w:val="1"/>
    </w:lvl>
  </w:abstractNum>
  <w:abstractNum w:abstractNumId="1">
    <w:nsid w:val="1E7FF521"/>
    <w:multiLevelType w:val="hybridMultilevel"/>
    <w:lvl w:ilvl="0">
      <w:lvlJc w:val="left"/>
      <w:lvlText w:val="(%1)"/>
      <w:numFmt w:val="lowerLetter"/>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1)"/>
      <w:numFmt w:val="lowerRoman"/>
      <w:start w:val="4"/>
    </w:lvl>
    <w:lvl w:ilvl="1">
      <w:lvlJc w:val="left"/>
      <w:lvlText w:val="%2."/>
      <w:numFmt w:val="lowerRoman"/>
      <w:start w:val="1"/>
    </w:lvl>
  </w:abstractNum>
  <w:abstractNum w:abstractNumId="15">
    <w:nsid w:val="7724C67E"/>
    <w:multiLevelType w:val="hybridMultilevel"/>
    <w:lvl w:ilvl="0">
      <w:lvlJc w:val="left"/>
      <w:lvlText w:val="%1."/>
      <w:numFmt w:val="lowerRoman"/>
      <w:start w:val="3"/>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1."/>
      <w:numFmt w:val="upperLetter"/>
      <w:start w:val="1"/>
    </w:lvl>
  </w:abstractNum>
  <w:abstractNum w:abstractNumId="18">
    <w:nsid w:val="5E884ADC"/>
    <w:multiLevelType w:val="hybridMultilevel"/>
    <w:lvl w:ilvl="0">
      <w:lvlJc w:val="left"/>
      <w:lvlText w:val="%1."/>
      <w:numFmt w:val="upperLetter"/>
      <w:start w:val="1"/>
    </w:lvl>
  </w:abstractNum>
  <w:abstractNum w:abstractNumId="19">
    <w:nsid w:val="51EAD36B"/>
    <w:multiLevelType w:val="hybridMultilevel"/>
    <w:lvl w:ilvl="0">
      <w:lvlJc w:val="left"/>
      <w:lvlText w:val="%1."/>
      <w:numFmt w:val="upperLetter"/>
      <w:start w:val="2"/>
    </w:lvl>
  </w:abstractNum>
  <w:abstractNum w:abstractNumId="20">
    <w:nsid w:val="2D517796"/>
    <w:multiLevelType w:val="hybridMultilevel"/>
    <w:lvl w:ilvl="0">
      <w:lvlJc w:val="left"/>
      <w:lvlText w:val="(%1)"/>
      <w:numFmt w:val="lowerLetter"/>
      <w:start w:val="1"/>
    </w:lvl>
  </w:abstractNum>
  <w:abstractNum w:abstractNumId="21">
    <w:nsid w:val="580BD78F"/>
    <w:multiLevelType w:val="hybridMultilevel"/>
    <w:lvl w:ilvl="0">
      <w:lvlJc w:val="left"/>
      <w:lvlText w:val="(%1)"/>
      <w:numFmt w:val="lowerLetter"/>
      <w:start w:val="1"/>
    </w:lvl>
  </w:abstractNum>
  <w:abstractNum w:abstractNumId="22">
    <w:nsid w:val="153EA438"/>
    <w:multiLevelType w:val="hybridMultilevel"/>
    <w:lvl w:ilvl="0">
      <w:lvlJc w:val="left"/>
      <w:lvlText w:val="(%1)"/>
      <w:numFmt w:val="lowerRoman"/>
      <w:start w:val="3"/>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1)"/>
      <w:numFmt w:val="lowerLetter"/>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1)"/>
      <w:numFmt w:val="lowerRoman"/>
      <w:start w:val="2"/>
    </w:lvl>
  </w:abstractNum>
  <w:abstractNum w:abstractNumId="54">
    <w:nsid w:val="1CF10FD8"/>
    <w:multiLevelType w:val="hybridMultilevel"/>
    <w:lvl w:ilvl="0">
      <w:lvlJc w:val="left"/>
      <w:lvlText w:val="(%1)"/>
      <w:numFmt w:val="lowerRoman"/>
      <w:start w:val="2"/>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jpe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jpe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56" Type="http://schemas.openxmlformats.org/officeDocument/2006/relationships/hyperlink" Target="http://www.sec.gov/ix?doc=/Archives/edgar/data/1631574/000156459022008414/wve-10k_20211231.htm" TargetMode="External"/><Relationship Id="rId57" Type="http://schemas.openxmlformats.org/officeDocument/2006/relationships/hyperlink" Target="http://www.sec.gov/ix?doc=/Archives/edgar/data/1631574/000119312522127544/d320937d10ka.htm" TargetMode="External"/><Relationship Id="rId58" Type="http://schemas.openxmlformats.org/officeDocument/2006/relationships/hyperlink" Target="http://www.sec.gov/ix?doc=/Archives/edgar/data/1631574/000095017022009469/wve-20220331.htm" TargetMode="External"/><Relationship Id="rId59" Type="http://schemas.openxmlformats.org/officeDocument/2006/relationships/hyperlink" Target="http://www.sec.gov/ix?doc=/Archives/edgar/data/1631574/000119312522064309/d307023d8k.htm" TargetMode="External"/><Relationship Id="rId60" Type="http://schemas.openxmlformats.org/officeDocument/2006/relationships/hyperlink" Target="http://www.sec.gov/ix?doc=/Archives/edgar/data/1631574/000119312522094408/d345845d8k.htm" TargetMode="External"/><Relationship Id="rId61" Type="http://schemas.openxmlformats.org/officeDocument/2006/relationships/hyperlink" Target="http://www.sec.gov/Archives/edgar/data/1631574/000119312515371452/d57859d8a12b.htm" TargetMode="External"/><Relationship Id="rId141" Type="http://schemas.openxmlformats.org/officeDocument/2006/relationships/hyperlink" Target="http://www.sec.gov/ix?doc=/Archives/edgar/data/0001631574/000156459022008414/wve-10k_2021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2022-06-14T08:27:12Z</dcterms:created>
  <dcterms:modified xsi:type="dcterms:W3CDTF">2022-06-14T08:27:12Z</dcterms:modified>
</cp:coreProperties>
</file>