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Miura Koji</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ind w:left="8"/>
        <w:spacing w:after="0"/>
        <w:rPr>
          <w:sz w:val="20"/>
          <w:szCs w:val="20"/>
          <w:color w:val="auto"/>
        </w:rPr>
      </w:pPr>
      <w:r>
        <w:rPr>
          <w:rFonts w:ascii="Arial" w:cs="Arial" w:eastAsia="Arial" w:hAnsi="Arial"/>
          <w:sz w:val="18"/>
          <w:szCs w:val="18"/>
          <w:color w:val="0000FF"/>
        </w:rPr>
        <w:t>11/10/2015</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Wave Life Sciences Ltd.</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WVE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3">
            <w:col w:w="2772" w:space="720"/>
            <w:col w:w="1228"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WAVE LIFE SCIENCES LTD.,</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733 CONCORD AVE.</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02138</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0000FF"/>
              </w:rPr>
              <w:t>/s/ Koji Miura</w:t>
            </w:r>
          </w:p>
        </w:tc>
        <w:tc>
          <w:tcPr>
            <w:tcW w:w="900" w:type="dxa"/>
            <w:vAlign w:val="bottom"/>
          </w:tcPr>
          <w:p>
            <w:pPr>
              <w:spacing w:after="0"/>
              <w:rPr>
                <w:sz w:val="21"/>
                <w:szCs w:val="21"/>
                <w:color w:val="auto"/>
              </w:rPr>
            </w:pPr>
          </w:p>
        </w:tc>
        <w:tc>
          <w:tcPr>
            <w:tcW w:w="2520" w:type="dxa"/>
            <w:vAlign w:val="bottom"/>
            <w:gridSpan w:val="4"/>
          </w:tcPr>
          <w:p>
            <w:pPr>
              <w:ind w:left="260"/>
              <w:spacing w:after="0"/>
              <w:rPr>
                <w:sz w:val="20"/>
                <w:szCs w:val="20"/>
                <w:color w:val="auto"/>
              </w:rPr>
            </w:pPr>
            <w:r>
              <w:rPr>
                <w:rFonts w:ascii="Arial" w:cs="Arial" w:eastAsia="Arial" w:hAnsi="Arial"/>
                <w:sz w:val="18"/>
                <w:szCs w:val="18"/>
                <w:color w:val="0000FF"/>
              </w:rPr>
              <w:t>11/10/2015</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Know all by these present, that the undersigned hereby constitutes and appoints each of Matthew Gardella, Marc Mantell, Kanasha Herbert, Matthew Tikonoff, Sarita Malakar, Daniel Wilcox, Jacqueline Cannata, Anne Leland and Brenda Meyette of Mintz, Levin, Cohn, Ferris, Glovsky and Popeo, P.C., signing singly, with full power of substitution, the undersigned's true and lawful attorney-in-fact to:</w:t>
      </w:r>
    </w:p>
    <w:p>
      <w:pPr>
        <w:spacing w:after="0" w:line="210" w:lineRule="exact"/>
        <w:rPr>
          <w:sz w:val="20"/>
          <w:szCs w:val="20"/>
          <w:color w:val="auto"/>
        </w:rPr>
      </w:pPr>
    </w:p>
    <w:p>
      <w:pPr>
        <w:ind w:left="1700" w:right="2739" w:hanging="849"/>
        <w:spacing w:after="0" w:line="235" w:lineRule="auto"/>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and authentication documents for EDGAR Filing Access;</w:t>
      </w:r>
    </w:p>
    <w:p>
      <w:pPr>
        <w:spacing w:after="0" w:line="208" w:lineRule="exact"/>
        <w:rPr>
          <w:rFonts w:ascii="Courier New" w:cs="Courier New" w:eastAsia="Courier New" w:hAnsi="Courier New"/>
          <w:sz w:val="18"/>
          <w:szCs w:val="18"/>
          <w:color w:val="auto"/>
        </w:rPr>
      </w:pPr>
    </w:p>
    <w:p>
      <w:pPr>
        <w:ind w:left="1700" w:right="1999" w:hanging="849"/>
        <w:spacing w:after="0" w:line="268" w:lineRule="auto"/>
        <w:tabs>
          <w:tab w:leader="none" w:pos="17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director and/or 10% shareholder of WAVE Life Sciences Pte. Ltd. (or its successor, WAVE Life Sciences Ltd., as the case may be) (the "Company"), forms and authentication documents for EDGAR Filing</w:t>
      </w: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Access;</w:t>
      </w:r>
    </w:p>
    <w:p>
      <w:pPr>
        <w:spacing w:after="0" w:line="207" w:lineRule="exact"/>
        <w:rPr>
          <w:rFonts w:ascii="Courier New" w:cs="Courier New" w:eastAsia="Courier New" w:hAnsi="Courier New"/>
          <w:sz w:val="16"/>
          <w:szCs w:val="16"/>
          <w:color w:val="auto"/>
        </w:rPr>
      </w:pPr>
    </w:p>
    <w:p>
      <w:pPr>
        <w:ind w:left="1700" w:right="1879" w:hanging="849"/>
        <w:spacing w:after="0" w:line="236" w:lineRule="auto"/>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and authentication documents;</w:t>
      </w:r>
    </w:p>
    <w:p>
      <w:pPr>
        <w:spacing w:after="0" w:line="208" w:lineRule="exact"/>
        <w:rPr>
          <w:rFonts w:ascii="Courier New" w:cs="Courier New" w:eastAsia="Courier New" w:hAnsi="Courier New"/>
          <w:sz w:val="18"/>
          <w:szCs w:val="18"/>
          <w:color w:val="auto"/>
        </w:rPr>
      </w:pPr>
    </w:p>
    <w:p>
      <w:pPr>
        <w:ind w:left="1700" w:right="2319" w:hanging="849"/>
        <w:spacing w:after="0" w:line="237" w:lineRule="auto"/>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and/or 10% shareholder of the Company, Forms 3, 4 and 5 (including any amendments thereto) in accordance with Section 16(a) of the Securities Exchange Act of 1934, as amended, and the rules thereunder (collectively, the "Exchange Act");</w:t>
      </w:r>
    </w:p>
    <w:p>
      <w:pPr>
        <w:spacing w:after="0" w:line="209" w:lineRule="exact"/>
        <w:rPr>
          <w:rFonts w:ascii="Courier New" w:cs="Courier New" w:eastAsia="Courier New" w:hAnsi="Courier New"/>
          <w:sz w:val="18"/>
          <w:szCs w:val="18"/>
          <w:color w:val="auto"/>
        </w:rPr>
      </w:pPr>
    </w:p>
    <w:p>
      <w:pPr>
        <w:ind w:left="1700" w:right="1879" w:hanging="849"/>
        <w:spacing w:after="0" w:line="237" w:lineRule="auto"/>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prepare, complete and execute any amendment or amendments thereto, and timely file such form with the U.S.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left="1700" w:right="1879" w:hanging="849"/>
        <w:spacing w:after="0" w:line="237" w:lineRule="auto"/>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4"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w:t>
      </w:r>
    </w:p>
    <w:p>
      <w:pPr>
        <w:spacing w:after="0" w:line="194" w:lineRule="exact"/>
        <w:rPr>
          <w:sz w:val="20"/>
          <w:szCs w:val="20"/>
          <w:color w:val="auto"/>
        </w:rPr>
      </w:pPr>
    </w:p>
    <w:p>
      <w:pPr>
        <w:ind w:right="2199" w:firstLine="8"/>
        <w:spacing w:after="0" w:line="235" w:lineRule="auto"/>
        <w:tabs>
          <w:tab w:leader="none" w:pos="6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obligation or liability of the undersigned for profit disgorgement under Section 16(b) of the Exchange Act.</w:t>
      </w:r>
    </w:p>
    <w:p>
      <w:pPr>
        <w:spacing w:after="0" w:line="208" w:lineRule="exact"/>
        <w:rPr>
          <w:sz w:val="20"/>
          <w:szCs w:val="20"/>
          <w:color w:val="auto"/>
        </w:rPr>
      </w:pPr>
    </w:p>
    <w:p>
      <w:pPr>
        <w:ind w:right="1779" w:firstLine="843"/>
        <w:spacing w:after="0" w:line="272"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and execute authentication documents with respect to the undersigned's EDGAR Filing Access or to file Forms 3, 4 and 5 with respect to the undersigned's holdings of and transactions in securities issued by the Company, unless earlier revoked by the undersigned in a signed writing delivered to the foregoing attorneys-in-fact.</w:t>
      </w:r>
    </w:p>
    <w:p>
      <w:pPr>
        <w:spacing w:after="0" w:line="186"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set forth below.</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Signature:/s/ Koji Miura</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Koji Miura</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Date: November 5, 2015</w:t>
      </w:r>
    </w:p>
    <w:p>
      <w:pPr>
        <w:sectPr>
          <w:pgSz w:w="11900" w:h="16838" w:orient="portrait"/>
          <w:cols w:equalWidth="0" w:num="1">
            <w:col w:w="10219"/>
          </w:cols>
          <w:pgMar w:left="240" w:top="136" w:right="1440"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57766" TargetMode="External"/><Relationship Id="rId12" Type="http://schemas.openxmlformats.org/officeDocument/2006/relationships/hyperlink" Target="http://www.sec.gov/cgi-bin/browse-edgar?action=getcompany&amp;CIK=00016315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2019-12-09T05:50:12Z</dcterms:created>
  <dcterms:modified xsi:type="dcterms:W3CDTF">2019-12-09T05:50:12Z</dcterms:modified>
</cp:coreProperties>
</file>