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68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left="36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left="368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3" w:lineRule="exact"/>
        <w:rPr>
          <w:sz w:val="24"/>
          <w:szCs w:val="24"/>
          <w:color w:val="auto"/>
        </w:rPr>
      </w:pPr>
    </w:p>
    <w:p>
      <w:pPr>
        <w:jc w:val="center"/>
        <w:ind w:left="3680"/>
        <w:spacing w:after="0"/>
        <w:rPr>
          <w:sz w:val="20"/>
          <w:szCs w:val="20"/>
          <w:color w:val="auto"/>
        </w:rPr>
      </w:pPr>
      <w:r>
        <w:rPr>
          <w:rFonts w:ascii="Arial" w:cs="Arial" w:eastAsia="Arial" w:hAnsi="Arial"/>
          <w:sz w:val="18"/>
          <w:szCs w:val="18"/>
          <w:b w:val="1"/>
          <w:bCs w:val="1"/>
          <w:color w:val="auto"/>
        </w:rPr>
        <w:t>SCHEDULE 13D/A</w:t>
      </w:r>
    </w:p>
    <w:p>
      <w:pPr>
        <w:spacing w:after="0" w:line="225" w:lineRule="exact"/>
        <w:rPr>
          <w:sz w:val="24"/>
          <w:szCs w:val="24"/>
          <w:color w:val="auto"/>
        </w:rPr>
      </w:pPr>
    </w:p>
    <w:p>
      <w:pPr>
        <w:jc w:val="center"/>
        <w:ind w:left="36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(Amendment No. 5)*</w:t>
      </w:r>
    </w:p>
    <w:p>
      <w:pPr>
        <w:spacing w:after="0" w:line="20" w:lineRule="exact"/>
        <w:rPr>
          <w:sz w:val="24"/>
          <w:szCs w:val="24"/>
          <w:color w:val="auto"/>
        </w:rPr>
      </w:pPr>
      <w:r>
        <w:rPr>
          <w:sz w:val="24"/>
          <w:szCs w:val="24"/>
          <w:color w:val="auto"/>
        </w:rPr>
        <w:br w:type="column"/>
      </w:r>
    </w:p>
    <w:p>
      <w:pPr>
        <w:ind w:right="980" w:firstLine="886"/>
        <w:spacing w:after="0" w:line="282" w:lineRule="auto"/>
        <w:rPr>
          <w:sz w:val="20"/>
          <w:szCs w:val="20"/>
          <w:color w:val="auto"/>
        </w:rPr>
      </w:pPr>
      <w:r>
        <w:rPr>
          <w:rFonts w:ascii="Arial" w:cs="Arial" w:eastAsia="Arial" w:hAnsi="Arial"/>
          <w:sz w:val="17"/>
          <w:szCs w:val="17"/>
          <w:color w:val="auto"/>
        </w:rPr>
        <w:t>OMB APPROVAL OMB Number: 3235-0145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-290830</wp:posOffset>
            </wp:positionV>
            <wp:extent cx="2143125" cy="711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11200"/>
                    </a:xfrm>
                    <a:prstGeom prst="rect">
                      <a:avLst/>
                    </a:prstGeom>
                    <a:noFill/>
                  </pic:spPr>
                </pic:pic>
              </a:graphicData>
            </a:graphic>
          </wp:anchor>
        </w:drawing>
      </w:r>
    </w:p>
    <w:p>
      <w:pPr>
        <w:ind w:right="1280"/>
        <w:spacing w:after="0" w:line="302" w:lineRule="auto"/>
        <w:rPr>
          <w:sz w:val="20"/>
          <w:szCs w:val="20"/>
          <w:color w:val="auto"/>
        </w:rPr>
      </w:pPr>
      <w:r>
        <w:rPr>
          <w:rFonts w:ascii="Arial" w:cs="Arial" w:eastAsia="Arial" w:hAnsi="Arial"/>
          <w:sz w:val="16"/>
          <w:szCs w:val="16"/>
          <w:color w:val="auto"/>
        </w:rPr>
        <w:t>Expires: February 28, 2009 Estimated average burden hours per response… 10.4</w:t>
      </w:r>
    </w:p>
    <w:p>
      <w:pPr>
        <w:spacing w:after="0" w:line="1219" w:lineRule="exact"/>
        <w:rPr>
          <w:sz w:val="24"/>
          <w:szCs w:val="24"/>
          <w:color w:val="auto"/>
        </w:rPr>
      </w:pPr>
    </w:p>
    <w:p>
      <w:pPr>
        <w:sectPr>
          <w:pgSz w:w="11900" w:h="16838" w:orient="portrait"/>
          <w:cols w:equalWidth="0" w:num="2">
            <w:col w:w="7560" w:space="420"/>
            <w:col w:w="3240"/>
          </w:cols>
          <w:pgMar w:left="320" w:top="904" w:right="359" w:bottom="1440" w:gutter="0" w:footer="0" w:header="0"/>
        </w:sectPr>
      </w:pP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Wave Life Sciences Ltd.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Ordinary Shares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Y95308105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RA Capital Management, L.P.</w:t>
      </w:r>
    </w:p>
    <w:p>
      <w:pPr>
        <w:ind w:left="4500"/>
        <w:spacing w:after="0" w:line="202" w:lineRule="auto"/>
        <w:rPr>
          <w:sz w:val="20"/>
          <w:szCs w:val="20"/>
          <w:color w:val="auto"/>
        </w:rPr>
      </w:pPr>
      <w:r>
        <w:rPr>
          <w:rFonts w:ascii="Arial" w:cs="Arial" w:eastAsia="Arial" w:hAnsi="Arial"/>
          <w:sz w:val="18"/>
          <w:szCs w:val="18"/>
          <w:color w:val="auto"/>
        </w:rPr>
        <w:t>200 Berkeley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Boston, MA 02116</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Telephone: 617.778.2500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Attn: Peter Kolchinsky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Receive Notices and Communications)</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June 16, 2022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 ]</w:t>
      </w:r>
    </w:p>
    <w:p>
      <w:pPr>
        <w:spacing w:after="0" w:line="166"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firstLine="8"/>
        <w:spacing w:after="0" w:line="258"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 w:lineRule="exact"/>
        <w:rPr>
          <w:rFonts w:ascii="Arial" w:cs="Arial" w:eastAsia="Arial" w:hAnsi="Arial"/>
          <w:sz w:val="18"/>
          <w:szCs w:val="18"/>
          <w:color w:val="auto"/>
        </w:rPr>
      </w:pPr>
    </w:p>
    <w:p>
      <w:pPr>
        <w:ind w:right="160"/>
        <w:spacing w:after="0" w:line="255" w:lineRule="auto"/>
        <w:rPr>
          <w:rFonts w:ascii="Arial" w:cs="Arial" w:eastAsia="Arial" w:hAnsi="Arial"/>
          <w:sz w:val="18"/>
          <w:szCs w:val="18"/>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CUSIP No. Y95308105</w:t>
      </w:r>
    </w:p>
    <w:p>
      <w:pPr>
        <w:spacing w:after="0" w:line="55" w:lineRule="exact"/>
        <w:rPr>
          <w:sz w:val="20"/>
          <w:szCs w:val="20"/>
          <w:color w:val="auto"/>
        </w:rPr>
      </w:pPr>
    </w:p>
    <w:p>
      <w:pPr>
        <w:ind w:left="680" w:hanging="292"/>
        <w:spacing w:after="0"/>
        <w:tabs>
          <w:tab w:leader="none" w:pos="680" w:val="left"/>
        </w:tabs>
        <w:numPr>
          <w:ilvl w:val="0"/>
          <w:numId w:val="2"/>
        </w:numPr>
        <w:rPr>
          <w:rFonts w:ascii="Arial" w:cs="Arial" w:eastAsia="Arial" w:hAnsi="Arial"/>
          <w:sz w:val="36"/>
          <w:szCs w:val="36"/>
          <w:color w:val="auto"/>
          <w:vertAlign w:val="subscript"/>
        </w:rPr>
      </w:pPr>
      <w:r>
        <w:rPr>
          <w:rFonts w:ascii="Arial" w:cs="Arial" w:eastAsia="Arial" w:hAnsi="Arial"/>
          <w:sz w:val="18"/>
          <w:szCs w:val="18"/>
          <w:color w:val="auto"/>
        </w:rPr>
        <w:t>Names of Reporting Persons.</w:t>
      </w:r>
    </w:p>
    <w:p>
      <w:pPr>
        <w:spacing w:after="0" w:line="197" w:lineRule="exact"/>
        <w:rPr>
          <w:rFonts w:ascii="Arial" w:cs="Arial" w:eastAsia="Arial" w:hAnsi="Arial"/>
          <w:sz w:val="36"/>
          <w:szCs w:val="36"/>
          <w:color w:val="auto"/>
          <w:vertAlign w:val="subscript"/>
        </w:rPr>
      </w:pPr>
    </w:p>
    <w:p>
      <w:pPr>
        <w:ind w:left="68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RA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left="680" w:hanging="29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63" w:lineRule="exact"/>
        <w:rPr>
          <w:rFonts w:ascii="Arial" w:cs="Arial" w:eastAsia="Arial" w:hAnsi="Arial"/>
          <w:sz w:val="18"/>
          <w:szCs w:val="18"/>
          <w:color w:val="auto"/>
        </w:rPr>
      </w:pPr>
    </w:p>
    <w:p>
      <w:pPr>
        <w:ind w:left="920" w:hanging="248"/>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63" w:lineRule="exact"/>
        <w:rPr>
          <w:rFonts w:ascii="Arial" w:cs="Arial" w:eastAsia="Arial" w:hAnsi="Arial"/>
          <w:sz w:val="18"/>
          <w:szCs w:val="18"/>
          <w:color w:val="auto"/>
        </w:rPr>
      </w:pPr>
    </w:p>
    <w:p>
      <w:pPr>
        <w:ind w:left="920" w:hanging="248"/>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680" w:hanging="29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680" w:hanging="292"/>
        <w:spacing w:after="0" w:line="188" w:lineRule="auto"/>
        <w:tabs>
          <w:tab w:leader="none" w:pos="680" w:val="left"/>
        </w:tabs>
        <w:numPr>
          <w:ilvl w:val="0"/>
          <w:numId w:val="5"/>
        </w:numPr>
        <w:rPr>
          <w:rFonts w:ascii="Arial" w:cs="Arial" w:eastAsia="Arial" w:hAnsi="Arial"/>
          <w:sz w:val="28"/>
          <w:szCs w:val="28"/>
          <w:color w:val="auto"/>
          <w:vertAlign w:val="subscript"/>
        </w:rPr>
      </w:pPr>
      <w:r>
        <w:rPr>
          <w:rFonts w:ascii="Arial" w:cs="Arial" w:eastAsia="Arial" w:hAnsi="Arial"/>
          <w:sz w:val="15"/>
          <w:szCs w:val="15"/>
          <w:color w:val="auto"/>
        </w:rPr>
        <w:t>Source of Funds (See Instructions):</w:t>
      </w:r>
    </w:p>
    <w:p>
      <w:pPr>
        <w:spacing w:after="0" w:line="2" w:lineRule="exact"/>
        <w:rPr>
          <w:rFonts w:ascii="Arial" w:cs="Arial" w:eastAsia="Arial" w:hAnsi="Arial"/>
          <w:sz w:val="28"/>
          <w:szCs w:val="28"/>
          <w:color w:val="auto"/>
          <w:vertAlign w:val="subscript"/>
        </w:rPr>
      </w:pPr>
    </w:p>
    <w:p>
      <w:pPr>
        <w:ind w:left="680"/>
        <w:spacing w:after="0"/>
        <w:rPr>
          <w:rFonts w:ascii="Arial" w:cs="Arial" w:eastAsia="Arial" w:hAnsi="Arial"/>
          <w:sz w:val="28"/>
          <w:szCs w:val="28"/>
          <w:color w:val="auto"/>
          <w:vertAlign w:val="subscript"/>
        </w:rPr>
      </w:pPr>
      <w:r>
        <w:rPr>
          <w:rFonts w:ascii="Arial" w:cs="Arial" w:eastAsia="Arial" w:hAnsi="Arial"/>
          <w:sz w:val="18"/>
          <w:szCs w:val="18"/>
          <w:color w:val="auto"/>
        </w:rPr>
        <w:t>AF</w:t>
      </w:r>
    </w:p>
    <w:p>
      <w:pPr>
        <w:spacing w:after="0" w:line="223" w:lineRule="exact"/>
        <w:rPr>
          <w:sz w:val="20"/>
          <w:szCs w:val="20"/>
          <w:color w:val="auto"/>
        </w:rPr>
      </w:pPr>
    </w:p>
    <w:p>
      <w:pPr>
        <w:ind w:left="680" w:right="4640" w:hanging="292"/>
        <w:spacing w:after="0" w:line="182" w:lineRule="auto"/>
        <w:tabs>
          <w:tab w:leader="none" w:pos="680" w:val="left"/>
        </w:tabs>
        <w:numPr>
          <w:ilvl w:val="0"/>
          <w:numId w:val="6"/>
        </w:numPr>
        <w:rPr>
          <w:rFonts w:ascii="Arial" w:cs="Arial" w:eastAsia="Arial" w:hAnsi="Arial"/>
          <w:sz w:val="34"/>
          <w:szCs w:val="34"/>
          <w:color w:val="auto"/>
          <w:vertAlign w:val="subscript"/>
        </w:rPr>
      </w:pPr>
      <w:r>
        <w:rPr>
          <w:rFonts w:ascii="Arial" w:cs="Arial" w:eastAsia="Arial" w:hAnsi="Arial"/>
          <w:sz w:val="17"/>
          <w:szCs w:val="17"/>
          <w:color w:val="auto"/>
        </w:rPr>
        <w:t>Check if disclosure of legal proceedings is required pursuant to Items 2(d) or 2(e):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0"/>
          <w:szCs w:val="20"/>
          <w:color w:val="auto"/>
        </w:rPr>
      </w:pPr>
    </w:p>
    <w:p>
      <w:pPr>
        <w:ind w:left="680" w:hanging="292"/>
        <w:spacing w:after="0"/>
        <w:tabs>
          <w:tab w:leader="none" w:pos="680" w:val="left"/>
        </w:tabs>
        <w:numPr>
          <w:ilvl w:val="0"/>
          <w:numId w:val="7"/>
        </w:numPr>
        <w:rPr>
          <w:rFonts w:ascii="Arial" w:cs="Arial" w:eastAsia="Arial" w:hAnsi="Arial"/>
          <w:sz w:val="36"/>
          <w:szCs w:val="36"/>
          <w:color w:val="auto"/>
          <w:vertAlign w:val="subscript"/>
        </w:rPr>
      </w:pPr>
      <w:r>
        <w:rPr>
          <w:rFonts w:ascii="Arial" w:cs="Arial" w:eastAsia="Arial" w:hAnsi="Arial"/>
          <w:sz w:val="18"/>
          <w:szCs w:val="18"/>
          <w:color w:val="auto"/>
        </w:rPr>
        <w:t xml:space="preserve">Citizenship or Place of Organization. </w:t>
      </w:r>
      <w:r>
        <w:rPr>
          <w:rFonts w:ascii="Arial" w:cs="Arial" w:eastAsia="Arial" w:hAnsi="Arial"/>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Number</w:t>
            </w:r>
          </w:p>
        </w:tc>
        <w:tc>
          <w:tcPr>
            <w:tcW w:w="95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 xml:space="preserve">7 Sole Voting Power </w:t>
            </w: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89"/>
        </w:trPr>
        <w:tc>
          <w:tcPr>
            <w:tcW w:w="17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9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5"/>
              </w:rPr>
              <w:t>of Shares</w:t>
            </w:r>
          </w:p>
        </w:tc>
        <w:tc>
          <w:tcPr>
            <w:tcW w:w="460" w:type="dxa"/>
            <w:vAlign w:val="bottom"/>
            <w:tcBorders>
              <w:bottom w:val="single" w:sz="8" w:color="auto"/>
            </w:tcBorders>
          </w:tcPr>
          <w:p>
            <w:pPr>
              <w:spacing w:after="0"/>
              <w:rPr>
                <w:sz w:val="9"/>
                <w:szCs w:val="9"/>
                <w:color w:val="auto"/>
              </w:rPr>
            </w:pPr>
          </w:p>
        </w:tc>
        <w:tc>
          <w:tcPr>
            <w:tcW w:w="9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00" w:type="dxa"/>
            <w:vAlign w:val="bottom"/>
            <w:vMerge w:val="continue"/>
          </w:tcPr>
          <w:p>
            <w:pPr>
              <w:spacing w:after="0"/>
              <w:rPr>
                <w:sz w:val="7"/>
                <w:szCs w:val="7"/>
                <w:color w:val="auto"/>
              </w:rPr>
            </w:pPr>
          </w:p>
        </w:tc>
        <w:tc>
          <w:tcPr>
            <w:tcW w:w="9540" w:type="dxa"/>
            <w:vAlign w:val="bottom"/>
            <w:gridSpan w:val="2"/>
            <w:vMerge w:val="restart"/>
          </w:tcPr>
          <w:p>
            <w:pPr>
              <w:ind w:left="100"/>
              <w:spacing w:after="0"/>
              <w:rPr>
                <w:sz w:val="20"/>
                <w:szCs w:val="20"/>
                <w:color w:val="auto"/>
              </w:rPr>
            </w:pPr>
            <w:r>
              <w:rPr>
                <w:rFonts w:ascii="Arial" w:cs="Arial" w:eastAsia="Arial" w:hAnsi="Arial"/>
                <w:sz w:val="18"/>
                <w:szCs w:val="18"/>
                <w:color w:val="auto"/>
              </w:rPr>
              <w:t xml:space="preserve">8 Shared Voting Power </w:t>
            </w:r>
            <w:r>
              <w:rPr>
                <w:rFonts w:ascii="Arial" w:cs="Arial" w:eastAsia="Arial" w:hAnsi="Arial"/>
                <w:sz w:val="18"/>
                <w:szCs w:val="18"/>
                <w:b w:val="1"/>
                <w:bCs w:val="1"/>
                <w:color w:val="auto"/>
              </w:rPr>
              <w:t>17,269,811 shares</w:t>
            </w:r>
          </w:p>
        </w:tc>
        <w:tc>
          <w:tcPr>
            <w:tcW w:w="0" w:type="dxa"/>
            <w:vAlign w:val="bottom"/>
          </w:tcPr>
          <w:p>
            <w:pPr>
              <w:spacing w:after="0"/>
              <w:rPr>
                <w:sz w:val="1"/>
                <w:szCs w:val="1"/>
                <w:color w:val="auto"/>
              </w:rPr>
            </w:pPr>
          </w:p>
        </w:tc>
      </w:tr>
      <w:tr>
        <w:trPr>
          <w:trHeight w:val="141"/>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9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7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9540" w:type="dxa"/>
            <w:vAlign w:val="bottom"/>
            <w:gridSpan w:val="2"/>
            <w:vMerge w:val="restart"/>
          </w:tcPr>
          <w:p>
            <w:pPr>
              <w:ind w:left="100"/>
              <w:spacing w:after="0"/>
              <w:rPr>
                <w:sz w:val="20"/>
                <w:szCs w:val="20"/>
                <w:color w:val="auto"/>
              </w:rPr>
            </w:pPr>
            <w:r>
              <w:rPr>
                <w:rFonts w:ascii="Arial" w:cs="Arial" w:eastAsia="Arial" w:hAnsi="Arial"/>
                <w:sz w:val="18"/>
                <w:szCs w:val="18"/>
                <w:color w:val="auto"/>
              </w:rPr>
              <w:t xml:space="preserve">9 Sole Dispositive Power </w:t>
            </w: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54"/>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9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60" w:type="dxa"/>
            <w:vAlign w:val="bottom"/>
            <w:tcBorders>
              <w:bottom w:val="single" w:sz="8" w:color="auto"/>
            </w:tcBorders>
          </w:tcPr>
          <w:p>
            <w:pPr>
              <w:spacing w:after="0"/>
              <w:rPr>
                <w:sz w:val="11"/>
                <w:szCs w:val="11"/>
                <w:color w:val="auto"/>
              </w:rPr>
            </w:pPr>
          </w:p>
        </w:tc>
        <w:tc>
          <w:tcPr>
            <w:tcW w:w="9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700" w:type="dxa"/>
            <w:vAlign w:val="bottom"/>
            <w:vMerge w:val="continue"/>
          </w:tcPr>
          <w:p>
            <w:pPr>
              <w:spacing w:after="0"/>
              <w:rPr>
                <w:sz w:val="5"/>
                <w:szCs w:val="5"/>
                <w:color w:val="auto"/>
              </w:rPr>
            </w:pPr>
          </w:p>
        </w:tc>
        <w:tc>
          <w:tcPr>
            <w:tcW w:w="460" w:type="dxa"/>
            <w:vAlign w:val="bottom"/>
            <w:vMerge w:val="restart"/>
          </w:tcPr>
          <w:p>
            <w:pPr>
              <w:ind w:left="100"/>
              <w:spacing w:after="0"/>
              <w:rPr>
                <w:sz w:val="20"/>
                <w:szCs w:val="20"/>
                <w:color w:val="auto"/>
              </w:rPr>
            </w:pPr>
            <w:r>
              <w:rPr>
                <w:rFonts w:ascii="Arial" w:cs="Arial" w:eastAsia="Arial" w:hAnsi="Arial"/>
                <w:sz w:val="18"/>
                <w:szCs w:val="18"/>
                <w:color w:val="auto"/>
              </w:rPr>
              <w:t>10</w:t>
            </w:r>
          </w:p>
        </w:tc>
        <w:tc>
          <w:tcPr>
            <w:tcW w:w="9080" w:type="dxa"/>
            <w:vAlign w:val="bottom"/>
            <w:vMerge w:val="restart"/>
          </w:tcPr>
          <w:p>
            <w:pPr>
              <w:ind w:left="180"/>
              <w:spacing w:after="0"/>
              <w:rPr>
                <w:sz w:val="20"/>
                <w:szCs w:val="20"/>
                <w:color w:val="auto"/>
              </w:rPr>
            </w:pPr>
            <w:r>
              <w:rPr>
                <w:rFonts w:ascii="Arial" w:cs="Arial" w:eastAsia="Arial" w:hAnsi="Arial"/>
                <w:sz w:val="18"/>
                <w:szCs w:val="18"/>
                <w:color w:val="auto"/>
              </w:rPr>
              <w:t xml:space="preserve">Shared Dispositive Power </w:t>
            </w:r>
            <w:r>
              <w:rPr>
                <w:rFonts w:ascii="Arial" w:cs="Arial" w:eastAsia="Arial" w:hAnsi="Arial"/>
                <w:sz w:val="18"/>
                <w:szCs w:val="18"/>
                <w:b w:val="1"/>
                <w:bCs w:val="1"/>
                <w:color w:val="auto"/>
              </w:rPr>
              <w:t>17,269,811 shares</w:t>
            </w:r>
          </w:p>
        </w:tc>
        <w:tc>
          <w:tcPr>
            <w:tcW w:w="0" w:type="dxa"/>
            <w:vAlign w:val="bottom"/>
          </w:tcPr>
          <w:p>
            <w:pPr>
              <w:spacing w:after="0"/>
              <w:rPr>
                <w:sz w:val="1"/>
                <w:szCs w:val="1"/>
                <w:color w:val="auto"/>
              </w:rPr>
            </w:pPr>
          </w:p>
        </w:tc>
      </w:tr>
      <w:tr>
        <w:trPr>
          <w:trHeight w:val="168"/>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460" w:type="dxa"/>
            <w:vAlign w:val="bottom"/>
            <w:vMerge w:val="continue"/>
          </w:tcPr>
          <w:p>
            <w:pPr>
              <w:spacing w:after="0"/>
              <w:rPr>
                <w:sz w:val="14"/>
                <w:szCs w:val="14"/>
                <w:color w:val="auto"/>
              </w:rPr>
            </w:pPr>
          </w:p>
        </w:tc>
        <w:tc>
          <w:tcPr>
            <w:tcW w:w="9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7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80" w:hanging="375"/>
        <w:spacing w:after="0" w:line="211" w:lineRule="auto"/>
        <w:tabs>
          <w:tab w:leader="none" w:pos="680" w:val="left"/>
        </w:tabs>
        <w:numPr>
          <w:ilvl w:val="0"/>
          <w:numId w:val="8"/>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w:t>
      </w:r>
    </w:p>
    <w:p>
      <w:pPr>
        <w:spacing w:after="0" w:line="2" w:lineRule="exact"/>
        <w:rPr>
          <w:rFonts w:ascii="Arial" w:cs="Arial" w:eastAsia="Arial" w:hAnsi="Arial"/>
          <w:sz w:val="36"/>
          <w:szCs w:val="36"/>
          <w:color w:val="auto"/>
          <w:vertAlign w:val="subscript"/>
        </w:rPr>
      </w:pPr>
    </w:p>
    <w:p>
      <w:pPr>
        <w:ind w:left="74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17,269,811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300"/>
        <w:spacing w:after="0"/>
        <w:tabs>
          <w:tab w:leader="none" w:pos="660" w:val="left"/>
          <w:tab w:leader="none" w:pos="7220" w:val="left"/>
        </w:tabs>
        <w:rPr>
          <w:sz w:val="20"/>
          <w:szCs w:val="20"/>
          <w:color w:val="auto"/>
        </w:rPr>
      </w:pPr>
      <w:r>
        <w:rPr>
          <w:rFonts w:ascii="Arial" w:cs="Arial" w:eastAsia="Arial" w:hAnsi="Arial"/>
          <w:sz w:val="17"/>
          <w:szCs w:val="17"/>
          <w:color w:val="auto"/>
        </w:rPr>
        <w:t>12</w:t>
        <w:tab/>
        <w:t>Check if the Aggregate Amount in Row (11) Excludes Certain Shares (See Instructions)</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80" w:hanging="382"/>
        <w:spacing w:after="0" w:line="188" w:lineRule="auto"/>
        <w:tabs>
          <w:tab w:leader="none" w:pos="680" w:val="left"/>
        </w:tabs>
        <w:numPr>
          <w:ilvl w:val="0"/>
          <w:numId w:val="9"/>
        </w:numPr>
        <w:rPr>
          <w:rFonts w:ascii="Arial" w:cs="Arial" w:eastAsia="Arial" w:hAnsi="Arial"/>
          <w:sz w:val="28"/>
          <w:szCs w:val="28"/>
          <w:color w:val="auto"/>
          <w:vertAlign w:val="subscript"/>
        </w:rPr>
      </w:pPr>
      <w:r>
        <w:rPr>
          <w:rFonts w:ascii="Arial" w:cs="Arial" w:eastAsia="Arial" w:hAnsi="Arial"/>
          <w:sz w:val="15"/>
          <w:szCs w:val="15"/>
          <w:color w:val="auto"/>
        </w:rPr>
        <w:t>Percent of Class Represented by Amount in Row (11)</w:t>
      </w:r>
    </w:p>
    <w:p>
      <w:pPr>
        <w:spacing w:after="0" w:line="42" w:lineRule="exact"/>
        <w:rPr>
          <w:rFonts w:ascii="Arial" w:cs="Arial" w:eastAsia="Arial" w:hAnsi="Arial"/>
          <w:sz w:val="28"/>
          <w:szCs w:val="28"/>
          <w:color w:val="auto"/>
          <w:vertAlign w:val="subscript"/>
        </w:rPr>
      </w:pPr>
    </w:p>
    <w:p>
      <w:pPr>
        <w:ind w:left="680"/>
        <w:spacing w:after="0"/>
        <w:rPr>
          <w:rFonts w:ascii="Arial" w:cs="Arial" w:eastAsia="Arial" w:hAnsi="Arial"/>
          <w:sz w:val="28"/>
          <w:szCs w:val="28"/>
          <w:color w:val="auto"/>
          <w:vertAlign w:val="subscript"/>
        </w:rPr>
      </w:pPr>
      <w:r>
        <w:rPr>
          <w:rFonts w:ascii="Arial" w:cs="Arial" w:eastAsia="Arial" w:hAnsi="Arial"/>
          <w:sz w:val="18"/>
          <w:szCs w:val="18"/>
          <w:b w:val="1"/>
          <w:bCs w:val="1"/>
          <w:color w:val="auto"/>
        </w:rPr>
        <w:t>19.99%</w:t>
      </w:r>
      <w:r>
        <w:rPr>
          <w:rFonts w:ascii="Arial" w:cs="Arial" w:eastAsia="Arial" w:hAnsi="Arial"/>
          <w:sz w:val="29"/>
          <w:szCs w:val="29"/>
          <w:b w:val="1"/>
          <w:bCs w:val="1"/>
          <w:u w:val="single" w:color="auto"/>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2" w:lineRule="exact"/>
        <w:rPr>
          <w:sz w:val="20"/>
          <w:szCs w:val="20"/>
          <w:color w:val="auto"/>
        </w:rPr>
      </w:pPr>
    </w:p>
    <w:p>
      <w:pPr>
        <w:ind w:right="160" w:firstLine="8"/>
        <w:spacing w:after="0" w:line="239" w:lineRule="auto"/>
        <w:tabs>
          <w:tab w:leader="none" w:pos="120" w:val="left"/>
        </w:tabs>
        <w:numPr>
          <w:ilvl w:val="0"/>
          <w:numId w:val="10"/>
        </w:numPr>
        <w:rPr>
          <w:rFonts w:ascii="Arial" w:cs="Arial" w:eastAsia="Arial" w:hAnsi="Arial"/>
          <w:sz w:val="29"/>
          <w:szCs w:val="29"/>
          <w:color w:val="auto"/>
          <w:vertAlign w:val="superscript"/>
        </w:rPr>
      </w:pPr>
      <w:r>
        <w:rPr>
          <w:rFonts w:ascii="Arial" w:cs="Arial" w:eastAsia="Arial" w:hAnsi="Arial"/>
          <w:sz w:val="17"/>
          <w:szCs w:val="17"/>
          <w:color w:val="auto"/>
        </w:rPr>
        <w:t>The reporting person is the beneficial owner of 17,202,009 shares of the Issuer’s Ordinary Shares which constitute approximately 19.99% of the class outstanding. The percentage calculation reported on this cover page assumes that there are currently 86,324,451 outstanding shares of Ordinary Shares of the Issuer, based on the Issuer’s Prospectus as filed with the Securities and Exchange Commission (“SEC”) on June 14, 2022 and giving effect to 54,750 vested stock options (right to buy), an additional 5,250 stock options (right to buy) which will vest within 60 days held by Dr. Peter Kolchinsky for the benefit of RA Capital, and an additional 7,802 Ordinary Shares that the Reporting Persons beneficially own based on the right to acquire upon exercise of Pre-Funded Warrants subject to a Beneficial Ownership Blocker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Y95308105</w:t>
      </w:r>
    </w:p>
    <w:p>
      <w:pPr>
        <w:spacing w:after="0" w:line="55" w:lineRule="exact"/>
        <w:rPr>
          <w:sz w:val="20"/>
          <w:szCs w:val="20"/>
          <w:color w:val="auto"/>
        </w:rPr>
      </w:pPr>
    </w:p>
    <w:p>
      <w:pPr>
        <w:ind w:left="680" w:hanging="292"/>
        <w:spacing w:after="0"/>
        <w:tabs>
          <w:tab w:leader="none" w:pos="680" w:val="left"/>
        </w:tabs>
        <w:numPr>
          <w:ilvl w:val="0"/>
          <w:numId w:val="11"/>
        </w:numPr>
        <w:rPr>
          <w:rFonts w:ascii="Arial" w:cs="Arial" w:eastAsia="Arial" w:hAnsi="Arial"/>
          <w:sz w:val="36"/>
          <w:szCs w:val="36"/>
          <w:color w:val="auto"/>
          <w:vertAlign w:val="subscript"/>
        </w:rPr>
      </w:pPr>
      <w:r>
        <w:rPr>
          <w:rFonts w:ascii="Arial" w:cs="Arial" w:eastAsia="Arial" w:hAnsi="Arial"/>
          <w:sz w:val="18"/>
          <w:szCs w:val="18"/>
          <w:color w:val="auto"/>
        </w:rPr>
        <w:t>Names of Reporting Persons.</w:t>
      </w:r>
    </w:p>
    <w:p>
      <w:pPr>
        <w:spacing w:after="0" w:line="197" w:lineRule="exact"/>
        <w:rPr>
          <w:rFonts w:ascii="Arial" w:cs="Arial" w:eastAsia="Arial" w:hAnsi="Arial"/>
          <w:sz w:val="36"/>
          <w:szCs w:val="36"/>
          <w:color w:val="auto"/>
          <w:vertAlign w:val="subscript"/>
        </w:rPr>
      </w:pPr>
    </w:p>
    <w:p>
      <w:pPr>
        <w:ind w:left="68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left="680" w:hanging="29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63" w:lineRule="exact"/>
        <w:rPr>
          <w:rFonts w:ascii="Arial" w:cs="Arial" w:eastAsia="Arial" w:hAnsi="Arial"/>
          <w:sz w:val="18"/>
          <w:szCs w:val="18"/>
          <w:color w:val="auto"/>
        </w:rPr>
      </w:pPr>
    </w:p>
    <w:p>
      <w:pPr>
        <w:ind w:left="920" w:hanging="248"/>
        <w:spacing w:after="0"/>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w:t>
      </w:r>
    </w:p>
    <w:p>
      <w:pPr>
        <w:spacing w:after="0" w:line="63" w:lineRule="exact"/>
        <w:rPr>
          <w:rFonts w:ascii="Arial" w:cs="Arial" w:eastAsia="Arial" w:hAnsi="Arial"/>
          <w:sz w:val="18"/>
          <w:szCs w:val="18"/>
          <w:color w:val="auto"/>
        </w:rPr>
      </w:pPr>
    </w:p>
    <w:p>
      <w:pPr>
        <w:ind w:left="920" w:hanging="248"/>
        <w:spacing w:after="0"/>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680" w:hanging="292"/>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80" w:hanging="292"/>
        <w:spacing w:after="0" w:line="188" w:lineRule="auto"/>
        <w:tabs>
          <w:tab w:leader="none" w:pos="680" w:val="left"/>
        </w:tabs>
        <w:numPr>
          <w:ilvl w:val="0"/>
          <w:numId w:val="14"/>
        </w:numPr>
        <w:rPr>
          <w:rFonts w:ascii="Arial" w:cs="Arial" w:eastAsia="Arial" w:hAnsi="Arial"/>
          <w:sz w:val="28"/>
          <w:szCs w:val="28"/>
          <w:color w:val="auto"/>
          <w:vertAlign w:val="subscript"/>
        </w:rPr>
      </w:pPr>
      <w:r>
        <w:rPr>
          <w:rFonts w:ascii="Arial" w:cs="Arial" w:eastAsia="Arial" w:hAnsi="Arial"/>
          <w:sz w:val="15"/>
          <w:szCs w:val="15"/>
          <w:color w:val="auto"/>
        </w:rPr>
        <w:t>Source of Funds (See Instructions):</w:t>
      </w:r>
    </w:p>
    <w:p>
      <w:pPr>
        <w:spacing w:after="0" w:line="2" w:lineRule="exact"/>
        <w:rPr>
          <w:rFonts w:ascii="Arial" w:cs="Arial" w:eastAsia="Arial" w:hAnsi="Arial"/>
          <w:sz w:val="28"/>
          <w:szCs w:val="28"/>
          <w:color w:val="auto"/>
          <w:vertAlign w:val="subscript"/>
        </w:rPr>
      </w:pPr>
    </w:p>
    <w:p>
      <w:pPr>
        <w:ind w:left="680"/>
        <w:spacing w:after="0"/>
        <w:rPr>
          <w:rFonts w:ascii="Arial" w:cs="Arial" w:eastAsia="Arial" w:hAnsi="Arial"/>
          <w:sz w:val="28"/>
          <w:szCs w:val="28"/>
          <w:color w:val="auto"/>
          <w:vertAlign w:val="subscript"/>
        </w:rPr>
      </w:pPr>
      <w:r>
        <w:rPr>
          <w:rFonts w:ascii="Arial" w:cs="Arial" w:eastAsia="Arial" w:hAnsi="Arial"/>
          <w:sz w:val="18"/>
          <w:szCs w:val="18"/>
          <w:color w:val="auto"/>
        </w:rPr>
        <w:t>AF</w:t>
      </w:r>
    </w:p>
    <w:p>
      <w:pPr>
        <w:spacing w:after="0" w:line="223" w:lineRule="exact"/>
        <w:rPr>
          <w:sz w:val="20"/>
          <w:szCs w:val="20"/>
          <w:color w:val="auto"/>
        </w:rPr>
      </w:pPr>
    </w:p>
    <w:p>
      <w:pPr>
        <w:ind w:left="680" w:right="4640" w:hanging="292"/>
        <w:spacing w:after="0" w:line="182" w:lineRule="auto"/>
        <w:tabs>
          <w:tab w:leader="none" w:pos="680" w:val="left"/>
        </w:tabs>
        <w:numPr>
          <w:ilvl w:val="0"/>
          <w:numId w:val="15"/>
        </w:numPr>
        <w:rPr>
          <w:rFonts w:ascii="Arial" w:cs="Arial" w:eastAsia="Arial" w:hAnsi="Arial"/>
          <w:sz w:val="34"/>
          <w:szCs w:val="34"/>
          <w:color w:val="auto"/>
          <w:vertAlign w:val="subscript"/>
        </w:rPr>
      </w:pPr>
      <w:r>
        <w:rPr>
          <w:rFonts w:ascii="Arial" w:cs="Arial" w:eastAsia="Arial" w:hAnsi="Arial"/>
          <w:sz w:val="17"/>
          <w:szCs w:val="17"/>
          <w:color w:val="auto"/>
        </w:rPr>
        <w:t>Check if disclosure of legal proceedings is required pursuant to Items 2(d) or 2(e):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0"/>
          <w:szCs w:val="20"/>
          <w:color w:val="auto"/>
        </w:rPr>
      </w:pPr>
    </w:p>
    <w:p>
      <w:pPr>
        <w:ind w:left="680" w:hanging="292"/>
        <w:spacing w:after="0"/>
        <w:tabs>
          <w:tab w:leader="none" w:pos="680" w:val="left"/>
        </w:tabs>
        <w:numPr>
          <w:ilvl w:val="0"/>
          <w:numId w:val="16"/>
        </w:numPr>
        <w:rPr>
          <w:rFonts w:ascii="Arial" w:cs="Arial" w:eastAsia="Arial" w:hAnsi="Arial"/>
          <w:sz w:val="36"/>
          <w:szCs w:val="36"/>
          <w:color w:val="auto"/>
          <w:vertAlign w:val="subscript"/>
        </w:rPr>
      </w:pPr>
      <w:r>
        <w:rPr>
          <w:rFonts w:ascii="Arial" w:cs="Arial" w:eastAsia="Arial" w:hAnsi="Arial"/>
          <w:sz w:val="18"/>
          <w:szCs w:val="18"/>
          <w:color w:val="auto"/>
        </w:rPr>
        <w:t xml:space="preserve">Citizenship or Place of Organization. </w:t>
      </w:r>
      <w:r>
        <w:rPr>
          <w:rFonts w:ascii="Arial" w:cs="Arial" w:eastAsia="Arial" w:hAnsi="Arial"/>
          <w:sz w:val="18"/>
          <w:szCs w:val="18"/>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Number</w:t>
            </w:r>
          </w:p>
        </w:tc>
        <w:tc>
          <w:tcPr>
            <w:tcW w:w="95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 xml:space="preserve">7 Sole Voting Power </w:t>
            </w: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89"/>
        </w:trPr>
        <w:tc>
          <w:tcPr>
            <w:tcW w:w="17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9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5"/>
              </w:rPr>
              <w:t>of Shares</w:t>
            </w:r>
          </w:p>
        </w:tc>
        <w:tc>
          <w:tcPr>
            <w:tcW w:w="460" w:type="dxa"/>
            <w:vAlign w:val="bottom"/>
            <w:tcBorders>
              <w:bottom w:val="single" w:sz="8" w:color="auto"/>
            </w:tcBorders>
          </w:tcPr>
          <w:p>
            <w:pPr>
              <w:spacing w:after="0"/>
              <w:rPr>
                <w:sz w:val="9"/>
                <w:szCs w:val="9"/>
                <w:color w:val="auto"/>
              </w:rPr>
            </w:pPr>
          </w:p>
        </w:tc>
        <w:tc>
          <w:tcPr>
            <w:tcW w:w="9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00" w:type="dxa"/>
            <w:vAlign w:val="bottom"/>
            <w:vMerge w:val="continue"/>
          </w:tcPr>
          <w:p>
            <w:pPr>
              <w:spacing w:after="0"/>
              <w:rPr>
                <w:sz w:val="7"/>
                <w:szCs w:val="7"/>
                <w:color w:val="auto"/>
              </w:rPr>
            </w:pPr>
          </w:p>
        </w:tc>
        <w:tc>
          <w:tcPr>
            <w:tcW w:w="9540" w:type="dxa"/>
            <w:vAlign w:val="bottom"/>
            <w:gridSpan w:val="2"/>
            <w:vMerge w:val="restart"/>
          </w:tcPr>
          <w:p>
            <w:pPr>
              <w:ind w:left="100"/>
              <w:spacing w:after="0"/>
              <w:rPr>
                <w:sz w:val="20"/>
                <w:szCs w:val="20"/>
                <w:color w:val="auto"/>
              </w:rPr>
            </w:pPr>
            <w:r>
              <w:rPr>
                <w:rFonts w:ascii="Arial" w:cs="Arial" w:eastAsia="Arial" w:hAnsi="Arial"/>
                <w:sz w:val="18"/>
                <w:szCs w:val="18"/>
                <w:color w:val="auto"/>
              </w:rPr>
              <w:t xml:space="preserve">8 Shared Voting Power </w:t>
            </w:r>
            <w:r>
              <w:rPr>
                <w:rFonts w:ascii="Arial" w:cs="Arial" w:eastAsia="Arial" w:hAnsi="Arial"/>
                <w:sz w:val="18"/>
                <w:szCs w:val="18"/>
                <w:b w:val="1"/>
                <w:bCs w:val="1"/>
                <w:color w:val="auto"/>
              </w:rPr>
              <w:t>17,269,811 shares</w:t>
            </w:r>
          </w:p>
        </w:tc>
        <w:tc>
          <w:tcPr>
            <w:tcW w:w="0" w:type="dxa"/>
            <w:vAlign w:val="bottom"/>
          </w:tcPr>
          <w:p>
            <w:pPr>
              <w:spacing w:after="0"/>
              <w:rPr>
                <w:sz w:val="1"/>
                <w:szCs w:val="1"/>
                <w:color w:val="auto"/>
              </w:rPr>
            </w:pPr>
          </w:p>
        </w:tc>
      </w:tr>
      <w:tr>
        <w:trPr>
          <w:trHeight w:val="141"/>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9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7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9540" w:type="dxa"/>
            <w:vAlign w:val="bottom"/>
            <w:gridSpan w:val="2"/>
            <w:vMerge w:val="restart"/>
          </w:tcPr>
          <w:p>
            <w:pPr>
              <w:ind w:left="100"/>
              <w:spacing w:after="0"/>
              <w:rPr>
                <w:sz w:val="20"/>
                <w:szCs w:val="20"/>
                <w:color w:val="auto"/>
              </w:rPr>
            </w:pPr>
            <w:r>
              <w:rPr>
                <w:rFonts w:ascii="Arial" w:cs="Arial" w:eastAsia="Arial" w:hAnsi="Arial"/>
                <w:sz w:val="18"/>
                <w:szCs w:val="18"/>
                <w:color w:val="auto"/>
              </w:rPr>
              <w:t xml:space="preserve">9 Sole Dispositive Power </w:t>
            </w: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54"/>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9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60" w:type="dxa"/>
            <w:vAlign w:val="bottom"/>
            <w:tcBorders>
              <w:bottom w:val="single" w:sz="8" w:color="auto"/>
            </w:tcBorders>
          </w:tcPr>
          <w:p>
            <w:pPr>
              <w:spacing w:after="0"/>
              <w:rPr>
                <w:sz w:val="11"/>
                <w:szCs w:val="11"/>
                <w:color w:val="auto"/>
              </w:rPr>
            </w:pPr>
          </w:p>
        </w:tc>
        <w:tc>
          <w:tcPr>
            <w:tcW w:w="9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700" w:type="dxa"/>
            <w:vAlign w:val="bottom"/>
            <w:vMerge w:val="continue"/>
          </w:tcPr>
          <w:p>
            <w:pPr>
              <w:spacing w:after="0"/>
              <w:rPr>
                <w:sz w:val="5"/>
                <w:szCs w:val="5"/>
                <w:color w:val="auto"/>
              </w:rPr>
            </w:pPr>
          </w:p>
        </w:tc>
        <w:tc>
          <w:tcPr>
            <w:tcW w:w="460" w:type="dxa"/>
            <w:vAlign w:val="bottom"/>
            <w:vMerge w:val="restart"/>
          </w:tcPr>
          <w:p>
            <w:pPr>
              <w:ind w:left="100"/>
              <w:spacing w:after="0"/>
              <w:rPr>
                <w:sz w:val="20"/>
                <w:szCs w:val="20"/>
                <w:color w:val="auto"/>
              </w:rPr>
            </w:pPr>
            <w:r>
              <w:rPr>
                <w:rFonts w:ascii="Arial" w:cs="Arial" w:eastAsia="Arial" w:hAnsi="Arial"/>
                <w:sz w:val="18"/>
                <w:szCs w:val="18"/>
                <w:color w:val="auto"/>
              </w:rPr>
              <w:t>10</w:t>
            </w:r>
          </w:p>
        </w:tc>
        <w:tc>
          <w:tcPr>
            <w:tcW w:w="9080" w:type="dxa"/>
            <w:vAlign w:val="bottom"/>
            <w:vMerge w:val="restart"/>
          </w:tcPr>
          <w:p>
            <w:pPr>
              <w:ind w:left="180"/>
              <w:spacing w:after="0"/>
              <w:rPr>
                <w:sz w:val="20"/>
                <w:szCs w:val="20"/>
                <w:color w:val="auto"/>
              </w:rPr>
            </w:pPr>
            <w:r>
              <w:rPr>
                <w:rFonts w:ascii="Arial" w:cs="Arial" w:eastAsia="Arial" w:hAnsi="Arial"/>
                <w:sz w:val="18"/>
                <w:szCs w:val="18"/>
                <w:color w:val="auto"/>
              </w:rPr>
              <w:t xml:space="preserve">Shared Dispositive Power </w:t>
            </w:r>
            <w:r>
              <w:rPr>
                <w:rFonts w:ascii="Arial" w:cs="Arial" w:eastAsia="Arial" w:hAnsi="Arial"/>
                <w:sz w:val="18"/>
                <w:szCs w:val="18"/>
                <w:b w:val="1"/>
                <w:bCs w:val="1"/>
                <w:color w:val="auto"/>
              </w:rPr>
              <w:t>17,269,811 shares</w:t>
            </w:r>
          </w:p>
        </w:tc>
        <w:tc>
          <w:tcPr>
            <w:tcW w:w="0" w:type="dxa"/>
            <w:vAlign w:val="bottom"/>
          </w:tcPr>
          <w:p>
            <w:pPr>
              <w:spacing w:after="0"/>
              <w:rPr>
                <w:sz w:val="1"/>
                <w:szCs w:val="1"/>
                <w:color w:val="auto"/>
              </w:rPr>
            </w:pPr>
          </w:p>
        </w:tc>
      </w:tr>
      <w:tr>
        <w:trPr>
          <w:trHeight w:val="168"/>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460" w:type="dxa"/>
            <w:vAlign w:val="bottom"/>
            <w:vMerge w:val="continue"/>
          </w:tcPr>
          <w:p>
            <w:pPr>
              <w:spacing w:after="0"/>
              <w:rPr>
                <w:sz w:val="14"/>
                <w:szCs w:val="14"/>
                <w:color w:val="auto"/>
              </w:rPr>
            </w:pPr>
          </w:p>
        </w:tc>
        <w:tc>
          <w:tcPr>
            <w:tcW w:w="9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7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80" w:hanging="375"/>
        <w:spacing w:after="0" w:line="211" w:lineRule="auto"/>
        <w:tabs>
          <w:tab w:leader="none" w:pos="680" w:val="left"/>
        </w:tabs>
        <w:numPr>
          <w:ilvl w:val="0"/>
          <w:numId w:val="17"/>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w:t>
      </w:r>
    </w:p>
    <w:p>
      <w:pPr>
        <w:spacing w:after="0" w:line="2" w:lineRule="exact"/>
        <w:rPr>
          <w:rFonts w:ascii="Arial" w:cs="Arial" w:eastAsia="Arial" w:hAnsi="Arial"/>
          <w:sz w:val="36"/>
          <w:szCs w:val="36"/>
          <w:color w:val="auto"/>
          <w:vertAlign w:val="subscript"/>
        </w:rPr>
      </w:pPr>
    </w:p>
    <w:p>
      <w:pPr>
        <w:ind w:left="74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17,269,811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300"/>
        <w:spacing w:after="0"/>
        <w:tabs>
          <w:tab w:leader="none" w:pos="660" w:val="left"/>
          <w:tab w:leader="none" w:pos="7220" w:val="left"/>
        </w:tabs>
        <w:rPr>
          <w:sz w:val="20"/>
          <w:szCs w:val="20"/>
          <w:color w:val="auto"/>
        </w:rPr>
      </w:pPr>
      <w:r>
        <w:rPr>
          <w:rFonts w:ascii="Arial" w:cs="Arial" w:eastAsia="Arial" w:hAnsi="Arial"/>
          <w:sz w:val="17"/>
          <w:szCs w:val="17"/>
          <w:color w:val="auto"/>
        </w:rPr>
        <w:t>12</w:t>
        <w:tab/>
        <w:t>Check if the Aggregate Amount in Row (11) Excludes Certain Shares (See Instructions)</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80" w:hanging="382"/>
        <w:spacing w:after="0" w:line="188" w:lineRule="auto"/>
        <w:tabs>
          <w:tab w:leader="none" w:pos="680" w:val="left"/>
        </w:tabs>
        <w:numPr>
          <w:ilvl w:val="0"/>
          <w:numId w:val="18"/>
        </w:numPr>
        <w:rPr>
          <w:rFonts w:ascii="Arial" w:cs="Arial" w:eastAsia="Arial" w:hAnsi="Arial"/>
          <w:sz w:val="28"/>
          <w:szCs w:val="28"/>
          <w:color w:val="auto"/>
          <w:vertAlign w:val="subscript"/>
        </w:rPr>
      </w:pPr>
      <w:r>
        <w:rPr>
          <w:rFonts w:ascii="Arial" w:cs="Arial" w:eastAsia="Arial" w:hAnsi="Arial"/>
          <w:sz w:val="15"/>
          <w:szCs w:val="15"/>
          <w:color w:val="auto"/>
        </w:rPr>
        <w:t>Percent of Class Represented by Amount in Row (11)</w:t>
      </w:r>
    </w:p>
    <w:p>
      <w:pPr>
        <w:spacing w:after="0" w:line="42" w:lineRule="exact"/>
        <w:rPr>
          <w:rFonts w:ascii="Arial" w:cs="Arial" w:eastAsia="Arial" w:hAnsi="Arial"/>
          <w:sz w:val="28"/>
          <w:szCs w:val="28"/>
          <w:color w:val="auto"/>
          <w:vertAlign w:val="subscript"/>
        </w:rPr>
      </w:pPr>
    </w:p>
    <w:p>
      <w:pPr>
        <w:ind w:left="680"/>
        <w:spacing w:after="0" w:line="184" w:lineRule="auto"/>
        <w:rPr>
          <w:rFonts w:ascii="Arial" w:cs="Arial" w:eastAsia="Arial" w:hAnsi="Arial"/>
          <w:sz w:val="28"/>
          <w:szCs w:val="28"/>
          <w:color w:val="auto"/>
          <w:vertAlign w:val="subscript"/>
        </w:rPr>
      </w:pPr>
      <w:r>
        <w:rPr>
          <w:rFonts w:ascii="Arial" w:cs="Arial" w:eastAsia="Arial" w:hAnsi="Arial"/>
          <w:sz w:val="16"/>
          <w:szCs w:val="16"/>
          <w:b w:val="1"/>
          <w:bCs w:val="1"/>
          <w:color w:val="auto"/>
        </w:rPr>
        <w:t>19.99%</w:t>
      </w:r>
      <w:r>
        <w:rPr>
          <w:rFonts w:ascii="Arial" w:cs="Arial" w:eastAsia="Arial" w:hAnsi="Arial"/>
          <w:sz w:val="26"/>
          <w:szCs w:val="26"/>
          <w:b w:val="1"/>
          <w:bCs w:val="1"/>
          <w:u w:val="single" w:color="auto"/>
          <w:color w:val="auto"/>
          <w:vertAlign w:val="superscript"/>
        </w:rPr>
        <w:t>2</w:t>
      </w:r>
    </w:p>
    <w:p>
      <w:pPr>
        <w:ind w:left="680" w:hanging="382"/>
        <w:spacing w:after="0" w:line="186" w:lineRule="auto"/>
        <w:tabs>
          <w:tab w:leader="none" w:pos="680" w:val="left"/>
        </w:tabs>
        <w:numPr>
          <w:ilvl w:val="0"/>
          <w:numId w:val="18"/>
        </w:numPr>
        <w:rPr>
          <w:rFonts w:ascii="Arial" w:cs="Arial" w:eastAsia="Arial" w:hAnsi="Arial"/>
          <w:sz w:val="24"/>
          <w:szCs w:val="24"/>
          <w:color w:val="auto"/>
          <w:vertAlign w:val="subscript"/>
        </w:rPr>
      </w:pPr>
      <w:r>
        <w:rPr>
          <w:rFonts w:ascii="Arial" w:cs="Arial" w:eastAsia="Arial" w:hAnsi="Arial"/>
          <w:sz w:val="14"/>
          <w:szCs w:val="14"/>
          <w:color w:val="auto"/>
        </w:rPr>
        <w:t>Type of Reporting Person (See Instructions)</w:t>
      </w:r>
    </w:p>
    <w:p>
      <w:pPr>
        <w:spacing w:after="0" w:line="2" w:lineRule="exact"/>
        <w:rPr>
          <w:rFonts w:ascii="Arial" w:cs="Arial" w:eastAsia="Arial" w:hAnsi="Arial"/>
          <w:sz w:val="24"/>
          <w:szCs w:val="24"/>
          <w:color w:val="auto"/>
          <w:vertAlign w:val="subscript"/>
        </w:rPr>
      </w:pPr>
    </w:p>
    <w:p>
      <w:pPr>
        <w:ind w:left="680"/>
        <w:spacing w:after="0"/>
        <w:rPr>
          <w:rFonts w:ascii="Arial" w:cs="Arial" w:eastAsia="Arial" w:hAnsi="Arial"/>
          <w:sz w:val="24"/>
          <w:szCs w:val="24"/>
          <w:color w:val="auto"/>
          <w:vertAlign w:val="subscript"/>
        </w:rPr>
      </w:pPr>
      <w:r>
        <w:rPr>
          <w:rFonts w:ascii="Arial" w:cs="Arial" w:eastAsia="Arial" w:hAnsi="Arial"/>
          <w:sz w:val="18"/>
          <w:szCs w:val="18"/>
          <w:b w:val="1"/>
          <w:bCs w:val="1"/>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1783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60" w:firstLine="8"/>
        <w:spacing w:after="0" w:line="239" w:lineRule="auto"/>
        <w:tabs>
          <w:tab w:leader="none" w:pos="120" w:val="left"/>
        </w:tabs>
        <w:numPr>
          <w:ilvl w:val="0"/>
          <w:numId w:val="19"/>
        </w:numPr>
        <w:rPr>
          <w:rFonts w:ascii="Arial" w:cs="Arial" w:eastAsia="Arial" w:hAnsi="Arial"/>
          <w:sz w:val="29"/>
          <w:szCs w:val="29"/>
          <w:u w:val="single" w:color="auto"/>
          <w:color w:val="auto"/>
          <w:vertAlign w:val="superscript"/>
        </w:rPr>
      </w:pPr>
      <w:r>
        <w:rPr>
          <w:rFonts w:ascii="Arial" w:cs="Arial" w:eastAsia="Arial" w:hAnsi="Arial"/>
          <w:sz w:val="17"/>
          <w:szCs w:val="17"/>
          <w:color w:val="auto"/>
        </w:rPr>
        <w:t>The reporting person is the beneficial owner of 17,202,009 shares of the Issuer’s Ordinary Shares which constitute approximately 19.99% of the class outstanding. The percentage calculation reported on this cover page assumes that there are currently 86,324,451 outstanding shares of Ordinary Shares of the Issuer, based on the Issuer’s Prospectus as filed with the Securities and Exchange Commission (“SEC”) on June 14, 2022 and giving effect to 54,750 vested stock options (right to buy), an additional 5,250 stock options (right to buy) which will vest within 60 days held by Dr. Peter Kolchinsky for the benefit of RA Capital, and an additional 7,802 Ordinary Shares that the Reporting Persons beneficially own based on the right to acquire upon exercise of Pre-Funded Warrants subject to a Beneficial Ownership Blocker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Y95308105</w:t>
      </w:r>
    </w:p>
    <w:p>
      <w:pPr>
        <w:spacing w:after="0" w:line="55" w:lineRule="exact"/>
        <w:rPr>
          <w:sz w:val="20"/>
          <w:szCs w:val="20"/>
          <w:color w:val="auto"/>
        </w:rPr>
      </w:pPr>
    </w:p>
    <w:p>
      <w:pPr>
        <w:ind w:left="680" w:hanging="292"/>
        <w:spacing w:after="0"/>
        <w:tabs>
          <w:tab w:leader="none" w:pos="680" w:val="left"/>
        </w:tabs>
        <w:numPr>
          <w:ilvl w:val="0"/>
          <w:numId w:val="20"/>
        </w:numPr>
        <w:rPr>
          <w:rFonts w:ascii="Arial" w:cs="Arial" w:eastAsia="Arial" w:hAnsi="Arial"/>
          <w:sz w:val="36"/>
          <w:szCs w:val="36"/>
          <w:color w:val="auto"/>
          <w:vertAlign w:val="subscript"/>
        </w:rPr>
      </w:pPr>
      <w:r>
        <w:rPr>
          <w:rFonts w:ascii="Arial" w:cs="Arial" w:eastAsia="Arial" w:hAnsi="Arial"/>
          <w:sz w:val="18"/>
          <w:szCs w:val="18"/>
          <w:color w:val="auto"/>
        </w:rPr>
        <w:t>Names of Reporting Persons.</w:t>
      </w:r>
    </w:p>
    <w:p>
      <w:pPr>
        <w:spacing w:after="0" w:line="197" w:lineRule="exact"/>
        <w:rPr>
          <w:rFonts w:ascii="Arial" w:cs="Arial" w:eastAsia="Arial" w:hAnsi="Arial"/>
          <w:sz w:val="36"/>
          <w:szCs w:val="36"/>
          <w:color w:val="auto"/>
          <w:vertAlign w:val="subscript"/>
        </w:rPr>
      </w:pPr>
    </w:p>
    <w:p>
      <w:pPr>
        <w:ind w:left="68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left="680" w:hanging="292"/>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63" w:lineRule="exact"/>
        <w:rPr>
          <w:rFonts w:ascii="Arial" w:cs="Arial" w:eastAsia="Arial" w:hAnsi="Arial"/>
          <w:sz w:val="18"/>
          <w:szCs w:val="18"/>
          <w:color w:val="auto"/>
        </w:rPr>
      </w:pPr>
    </w:p>
    <w:p>
      <w:pPr>
        <w:ind w:left="920" w:hanging="248"/>
        <w:spacing w:after="0"/>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w:t>
      </w:r>
    </w:p>
    <w:p>
      <w:pPr>
        <w:spacing w:after="0" w:line="63" w:lineRule="exact"/>
        <w:rPr>
          <w:rFonts w:ascii="Arial" w:cs="Arial" w:eastAsia="Arial" w:hAnsi="Arial"/>
          <w:sz w:val="18"/>
          <w:szCs w:val="18"/>
          <w:color w:val="auto"/>
        </w:rPr>
      </w:pPr>
    </w:p>
    <w:p>
      <w:pPr>
        <w:ind w:left="920" w:hanging="248"/>
        <w:spacing w:after="0"/>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680" w:hanging="29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680" w:hanging="292"/>
        <w:spacing w:after="0" w:line="188" w:lineRule="auto"/>
        <w:tabs>
          <w:tab w:leader="none" w:pos="680" w:val="left"/>
        </w:tabs>
        <w:numPr>
          <w:ilvl w:val="0"/>
          <w:numId w:val="23"/>
        </w:numPr>
        <w:rPr>
          <w:rFonts w:ascii="Arial" w:cs="Arial" w:eastAsia="Arial" w:hAnsi="Arial"/>
          <w:sz w:val="28"/>
          <w:szCs w:val="28"/>
          <w:color w:val="auto"/>
          <w:vertAlign w:val="subscript"/>
        </w:rPr>
      </w:pPr>
      <w:r>
        <w:rPr>
          <w:rFonts w:ascii="Arial" w:cs="Arial" w:eastAsia="Arial" w:hAnsi="Arial"/>
          <w:sz w:val="15"/>
          <w:szCs w:val="15"/>
          <w:color w:val="auto"/>
        </w:rPr>
        <w:t>Source of Funds (See Instructions):</w:t>
      </w:r>
    </w:p>
    <w:p>
      <w:pPr>
        <w:spacing w:after="0" w:line="2" w:lineRule="exact"/>
        <w:rPr>
          <w:rFonts w:ascii="Arial" w:cs="Arial" w:eastAsia="Arial" w:hAnsi="Arial"/>
          <w:sz w:val="28"/>
          <w:szCs w:val="28"/>
          <w:color w:val="auto"/>
          <w:vertAlign w:val="subscript"/>
        </w:rPr>
      </w:pPr>
    </w:p>
    <w:p>
      <w:pPr>
        <w:ind w:left="680"/>
        <w:spacing w:after="0"/>
        <w:rPr>
          <w:rFonts w:ascii="Arial" w:cs="Arial" w:eastAsia="Arial" w:hAnsi="Arial"/>
          <w:sz w:val="28"/>
          <w:szCs w:val="28"/>
          <w:color w:val="auto"/>
          <w:vertAlign w:val="subscript"/>
        </w:rPr>
      </w:pPr>
      <w:r>
        <w:rPr>
          <w:rFonts w:ascii="Arial" w:cs="Arial" w:eastAsia="Arial" w:hAnsi="Arial"/>
          <w:sz w:val="18"/>
          <w:szCs w:val="18"/>
          <w:color w:val="auto"/>
        </w:rPr>
        <w:t>AF</w:t>
      </w:r>
    </w:p>
    <w:p>
      <w:pPr>
        <w:spacing w:after="0" w:line="223" w:lineRule="exact"/>
        <w:rPr>
          <w:sz w:val="20"/>
          <w:szCs w:val="20"/>
          <w:color w:val="auto"/>
        </w:rPr>
      </w:pPr>
    </w:p>
    <w:p>
      <w:pPr>
        <w:ind w:left="680" w:right="4640" w:hanging="292"/>
        <w:spacing w:after="0" w:line="182" w:lineRule="auto"/>
        <w:tabs>
          <w:tab w:leader="none" w:pos="680" w:val="left"/>
        </w:tabs>
        <w:numPr>
          <w:ilvl w:val="0"/>
          <w:numId w:val="24"/>
        </w:numPr>
        <w:rPr>
          <w:rFonts w:ascii="Arial" w:cs="Arial" w:eastAsia="Arial" w:hAnsi="Arial"/>
          <w:sz w:val="34"/>
          <w:szCs w:val="34"/>
          <w:color w:val="auto"/>
          <w:vertAlign w:val="subscript"/>
        </w:rPr>
      </w:pPr>
      <w:r>
        <w:rPr>
          <w:rFonts w:ascii="Arial" w:cs="Arial" w:eastAsia="Arial" w:hAnsi="Arial"/>
          <w:sz w:val="17"/>
          <w:szCs w:val="17"/>
          <w:color w:val="auto"/>
        </w:rPr>
        <w:t>Check if disclosure of legal proceedings is required pursuant to Items 2(d) or 2(e):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0"/>
          <w:szCs w:val="20"/>
          <w:color w:val="auto"/>
        </w:rPr>
      </w:pPr>
    </w:p>
    <w:p>
      <w:pPr>
        <w:ind w:left="680" w:hanging="292"/>
        <w:spacing w:after="0"/>
        <w:tabs>
          <w:tab w:leader="none" w:pos="680" w:val="left"/>
        </w:tabs>
        <w:numPr>
          <w:ilvl w:val="0"/>
          <w:numId w:val="25"/>
        </w:numPr>
        <w:rPr>
          <w:rFonts w:ascii="Arial" w:cs="Arial" w:eastAsia="Arial" w:hAnsi="Arial"/>
          <w:sz w:val="36"/>
          <w:szCs w:val="36"/>
          <w:color w:val="auto"/>
          <w:vertAlign w:val="subscript"/>
        </w:rPr>
      </w:pPr>
      <w:r>
        <w:rPr>
          <w:rFonts w:ascii="Arial" w:cs="Arial" w:eastAsia="Arial" w:hAnsi="Arial"/>
          <w:sz w:val="18"/>
          <w:szCs w:val="18"/>
          <w:color w:val="auto"/>
        </w:rPr>
        <w:t xml:space="preserve">Citizenship or Place of Organization. </w:t>
      </w:r>
      <w:r>
        <w:rPr>
          <w:rFonts w:ascii="Arial" w:cs="Arial" w:eastAsia="Arial" w:hAnsi="Arial"/>
          <w:sz w:val="18"/>
          <w:szCs w:val="18"/>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Number</w:t>
            </w:r>
          </w:p>
        </w:tc>
        <w:tc>
          <w:tcPr>
            <w:tcW w:w="95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 xml:space="preserve">7 Sole Voting Power </w:t>
            </w: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89"/>
        </w:trPr>
        <w:tc>
          <w:tcPr>
            <w:tcW w:w="17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9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5"/>
              </w:rPr>
              <w:t>of Shares</w:t>
            </w:r>
          </w:p>
        </w:tc>
        <w:tc>
          <w:tcPr>
            <w:tcW w:w="460" w:type="dxa"/>
            <w:vAlign w:val="bottom"/>
            <w:tcBorders>
              <w:bottom w:val="single" w:sz="8" w:color="auto"/>
            </w:tcBorders>
          </w:tcPr>
          <w:p>
            <w:pPr>
              <w:spacing w:after="0"/>
              <w:rPr>
                <w:sz w:val="9"/>
                <w:szCs w:val="9"/>
                <w:color w:val="auto"/>
              </w:rPr>
            </w:pPr>
          </w:p>
        </w:tc>
        <w:tc>
          <w:tcPr>
            <w:tcW w:w="9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00" w:type="dxa"/>
            <w:vAlign w:val="bottom"/>
            <w:vMerge w:val="continue"/>
          </w:tcPr>
          <w:p>
            <w:pPr>
              <w:spacing w:after="0"/>
              <w:rPr>
                <w:sz w:val="7"/>
                <w:szCs w:val="7"/>
                <w:color w:val="auto"/>
              </w:rPr>
            </w:pPr>
          </w:p>
        </w:tc>
        <w:tc>
          <w:tcPr>
            <w:tcW w:w="9540" w:type="dxa"/>
            <w:vAlign w:val="bottom"/>
            <w:gridSpan w:val="2"/>
            <w:vMerge w:val="restart"/>
          </w:tcPr>
          <w:p>
            <w:pPr>
              <w:ind w:left="100"/>
              <w:spacing w:after="0"/>
              <w:rPr>
                <w:sz w:val="20"/>
                <w:szCs w:val="20"/>
                <w:color w:val="auto"/>
              </w:rPr>
            </w:pPr>
            <w:r>
              <w:rPr>
                <w:rFonts w:ascii="Arial" w:cs="Arial" w:eastAsia="Arial" w:hAnsi="Arial"/>
                <w:sz w:val="18"/>
                <w:szCs w:val="18"/>
                <w:color w:val="auto"/>
              </w:rPr>
              <w:t xml:space="preserve">8 Shared Voting Power </w:t>
            </w:r>
            <w:r>
              <w:rPr>
                <w:rFonts w:ascii="Arial" w:cs="Arial" w:eastAsia="Arial" w:hAnsi="Arial"/>
                <w:sz w:val="18"/>
                <w:szCs w:val="18"/>
                <w:b w:val="1"/>
                <w:bCs w:val="1"/>
                <w:color w:val="auto"/>
              </w:rPr>
              <w:t>17,269,811 shares</w:t>
            </w:r>
          </w:p>
        </w:tc>
        <w:tc>
          <w:tcPr>
            <w:tcW w:w="0" w:type="dxa"/>
            <w:vAlign w:val="bottom"/>
          </w:tcPr>
          <w:p>
            <w:pPr>
              <w:spacing w:after="0"/>
              <w:rPr>
                <w:sz w:val="1"/>
                <w:szCs w:val="1"/>
                <w:color w:val="auto"/>
              </w:rPr>
            </w:pPr>
          </w:p>
        </w:tc>
      </w:tr>
      <w:tr>
        <w:trPr>
          <w:trHeight w:val="141"/>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9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7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9540" w:type="dxa"/>
            <w:vAlign w:val="bottom"/>
            <w:gridSpan w:val="2"/>
            <w:vMerge w:val="restart"/>
          </w:tcPr>
          <w:p>
            <w:pPr>
              <w:ind w:left="100"/>
              <w:spacing w:after="0"/>
              <w:rPr>
                <w:sz w:val="20"/>
                <w:szCs w:val="20"/>
                <w:color w:val="auto"/>
              </w:rPr>
            </w:pPr>
            <w:r>
              <w:rPr>
                <w:rFonts w:ascii="Arial" w:cs="Arial" w:eastAsia="Arial" w:hAnsi="Arial"/>
                <w:sz w:val="18"/>
                <w:szCs w:val="18"/>
                <w:color w:val="auto"/>
              </w:rPr>
              <w:t xml:space="preserve">9 Sole Dispositive Power </w:t>
            </w: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54"/>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9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60" w:type="dxa"/>
            <w:vAlign w:val="bottom"/>
            <w:tcBorders>
              <w:bottom w:val="single" w:sz="8" w:color="auto"/>
            </w:tcBorders>
          </w:tcPr>
          <w:p>
            <w:pPr>
              <w:spacing w:after="0"/>
              <w:rPr>
                <w:sz w:val="11"/>
                <w:szCs w:val="11"/>
                <w:color w:val="auto"/>
              </w:rPr>
            </w:pPr>
          </w:p>
        </w:tc>
        <w:tc>
          <w:tcPr>
            <w:tcW w:w="9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700" w:type="dxa"/>
            <w:vAlign w:val="bottom"/>
            <w:vMerge w:val="continue"/>
          </w:tcPr>
          <w:p>
            <w:pPr>
              <w:spacing w:after="0"/>
              <w:rPr>
                <w:sz w:val="5"/>
                <w:szCs w:val="5"/>
                <w:color w:val="auto"/>
              </w:rPr>
            </w:pPr>
          </w:p>
        </w:tc>
        <w:tc>
          <w:tcPr>
            <w:tcW w:w="460" w:type="dxa"/>
            <w:vAlign w:val="bottom"/>
            <w:vMerge w:val="restart"/>
          </w:tcPr>
          <w:p>
            <w:pPr>
              <w:ind w:left="100"/>
              <w:spacing w:after="0"/>
              <w:rPr>
                <w:sz w:val="20"/>
                <w:szCs w:val="20"/>
                <w:color w:val="auto"/>
              </w:rPr>
            </w:pPr>
            <w:r>
              <w:rPr>
                <w:rFonts w:ascii="Arial" w:cs="Arial" w:eastAsia="Arial" w:hAnsi="Arial"/>
                <w:sz w:val="18"/>
                <w:szCs w:val="18"/>
                <w:color w:val="auto"/>
              </w:rPr>
              <w:t>10</w:t>
            </w:r>
          </w:p>
        </w:tc>
        <w:tc>
          <w:tcPr>
            <w:tcW w:w="9080" w:type="dxa"/>
            <w:vAlign w:val="bottom"/>
            <w:vMerge w:val="restart"/>
          </w:tcPr>
          <w:p>
            <w:pPr>
              <w:ind w:left="180"/>
              <w:spacing w:after="0"/>
              <w:rPr>
                <w:sz w:val="20"/>
                <w:szCs w:val="20"/>
                <w:color w:val="auto"/>
              </w:rPr>
            </w:pPr>
            <w:r>
              <w:rPr>
                <w:rFonts w:ascii="Arial" w:cs="Arial" w:eastAsia="Arial" w:hAnsi="Arial"/>
                <w:sz w:val="18"/>
                <w:szCs w:val="18"/>
                <w:color w:val="auto"/>
              </w:rPr>
              <w:t xml:space="preserve">Shared Dispositive Power </w:t>
            </w:r>
            <w:r>
              <w:rPr>
                <w:rFonts w:ascii="Arial" w:cs="Arial" w:eastAsia="Arial" w:hAnsi="Arial"/>
                <w:sz w:val="18"/>
                <w:szCs w:val="18"/>
                <w:b w:val="1"/>
                <w:bCs w:val="1"/>
                <w:color w:val="auto"/>
              </w:rPr>
              <w:t>17,269,811 shares</w:t>
            </w:r>
          </w:p>
        </w:tc>
        <w:tc>
          <w:tcPr>
            <w:tcW w:w="0" w:type="dxa"/>
            <w:vAlign w:val="bottom"/>
          </w:tcPr>
          <w:p>
            <w:pPr>
              <w:spacing w:after="0"/>
              <w:rPr>
                <w:sz w:val="1"/>
                <w:szCs w:val="1"/>
                <w:color w:val="auto"/>
              </w:rPr>
            </w:pPr>
          </w:p>
        </w:tc>
      </w:tr>
      <w:tr>
        <w:trPr>
          <w:trHeight w:val="168"/>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460" w:type="dxa"/>
            <w:vAlign w:val="bottom"/>
            <w:vMerge w:val="continue"/>
          </w:tcPr>
          <w:p>
            <w:pPr>
              <w:spacing w:after="0"/>
              <w:rPr>
                <w:sz w:val="14"/>
                <w:szCs w:val="14"/>
                <w:color w:val="auto"/>
              </w:rPr>
            </w:pPr>
          </w:p>
        </w:tc>
        <w:tc>
          <w:tcPr>
            <w:tcW w:w="9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7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80" w:hanging="375"/>
        <w:spacing w:after="0" w:line="211" w:lineRule="auto"/>
        <w:tabs>
          <w:tab w:leader="none" w:pos="680" w:val="left"/>
        </w:tabs>
        <w:numPr>
          <w:ilvl w:val="0"/>
          <w:numId w:val="26"/>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w:t>
      </w:r>
    </w:p>
    <w:p>
      <w:pPr>
        <w:spacing w:after="0" w:line="2" w:lineRule="exact"/>
        <w:rPr>
          <w:rFonts w:ascii="Arial" w:cs="Arial" w:eastAsia="Arial" w:hAnsi="Arial"/>
          <w:sz w:val="36"/>
          <w:szCs w:val="36"/>
          <w:color w:val="auto"/>
          <w:vertAlign w:val="subscript"/>
        </w:rPr>
      </w:pPr>
    </w:p>
    <w:p>
      <w:pPr>
        <w:ind w:left="74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17,269,811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300"/>
        <w:spacing w:after="0"/>
        <w:tabs>
          <w:tab w:leader="none" w:pos="660" w:val="left"/>
          <w:tab w:leader="none" w:pos="7220" w:val="left"/>
        </w:tabs>
        <w:rPr>
          <w:sz w:val="20"/>
          <w:szCs w:val="20"/>
          <w:color w:val="auto"/>
        </w:rPr>
      </w:pPr>
      <w:r>
        <w:rPr>
          <w:rFonts w:ascii="Arial" w:cs="Arial" w:eastAsia="Arial" w:hAnsi="Arial"/>
          <w:sz w:val="17"/>
          <w:szCs w:val="17"/>
          <w:color w:val="auto"/>
        </w:rPr>
        <w:t>12</w:t>
        <w:tab/>
        <w:t>Check if the Aggregate Amount in Row (11) Excludes Certain Shares (See Instructions)</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80" w:hanging="382"/>
        <w:spacing w:after="0" w:line="188" w:lineRule="auto"/>
        <w:tabs>
          <w:tab w:leader="none" w:pos="680" w:val="left"/>
        </w:tabs>
        <w:numPr>
          <w:ilvl w:val="0"/>
          <w:numId w:val="27"/>
        </w:numPr>
        <w:rPr>
          <w:rFonts w:ascii="Arial" w:cs="Arial" w:eastAsia="Arial" w:hAnsi="Arial"/>
          <w:sz w:val="28"/>
          <w:szCs w:val="28"/>
          <w:color w:val="auto"/>
          <w:vertAlign w:val="subscript"/>
        </w:rPr>
      </w:pPr>
      <w:r>
        <w:rPr>
          <w:rFonts w:ascii="Arial" w:cs="Arial" w:eastAsia="Arial" w:hAnsi="Arial"/>
          <w:sz w:val="15"/>
          <w:szCs w:val="15"/>
          <w:color w:val="auto"/>
        </w:rPr>
        <w:t>Percent of Class Represented by Amount in Row (11)</w:t>
      </w:r>
    </w:p>
    <w:p>
      <w:pPr>
        <w:spacing w:after="0" w:line="42" w:lineRule="exact"/>
        <w:rPr>
          <w:rFonts w:ascii="Arial" w:cs="Arial" w:eastAsia="Arial" w:hAnsi="Arial"/>
          <w:sz w:val="28"/>
          <w:szCs w:val="28"/>
          <w:color w:val="auto"/>
          <w:vertAlign w:val="subscript"/>
        </w:rPr>
      </w:pPr>
    </w:p>
    <w:p>
      <w:pPr>
        <w:ind w:left="680"/>
        <w:spacing w:after="0" w:line="184" w:lineRule="auto"/>
        <w:rPr>
          <w:rFonts w:ascii="Arial" w:cs="Arial" w:eastAsia="Arial" w:hAnsi="Arial"/>
          <w:sz w:val="28"/>
          <w:szCs w:val="28"/>
          <w:color w:val="auto"/>
          <w:vertAlign w:val="subscript"/>
        </w:rPr>
      </w:pPr>
      <w:r>
        <w:rPr>
          <w:rFonts w:ascii="Arial" w:cs="Arial" w:eastAsia="Arial" w:hAnsi="Arial"/>
          <w:sz w:val="16"/>
          <w:szCs w:val="16"/>
          <w:b w:val="1"/>
          <w:bCs w:val="1"/>
          <w:color w:val="auto"/>
        </w:rPr>
        <w:t>19.99%</w:t>
      </w:r>
      <w:r>
        <w:rPr>
          <w:rFonts w:ascii="Arial" w:cs="Arial" w:eastAsia="Arial" w:hAnsi="Arial"/>
          <w:sz w:val="26"/>
          <w:szCs w:val="26"/>
          <w:b w:val="1"/>
          <w:bCs w:val="1"/>
          <w:u w:val="single" w:color="auto"/>
          <w:color w:val="auto"/>
          <w:vertAlign w:val="superscript"/>
        </w:rPr>
        <w:t>3</w:t>
      </w:r>
    </w:p>
    <w:p>
      <w:pPr>
        <w:ind w:left="680" w:hanging="382"/>
        <w:spacing w:after="0" w:line="186" w:lineRule="auto"/>
        <w:tabs>
          <w:tab w:leader="none" w:pos="680" w:val="left"/>
        </w:tabs>
        <w:numPr>
          <w:ilvl w:val="0"/>
          <w:numId w:val="27"/>
        </w:numPr>
        <w:rPr>
          <w:rFonts w:ascii="Arial" w:cs="Arial" w:eastAsia="Arial" w:hAnsi="Arial"/>
          <w:sz w:val="24"/>
          <w:szCs w:val="24"/>
          <w:color w:val="auto"/>
          <w:vertAlign w:val="subscript"/>
        </w:rPr>
      </w:pPr>
      <w:r>
        <w:rPr>
          <w:rFonts w:ascii="Arial" w:cs="Arial" w:eastAsia="Arial" w:hAnsi="Arial"/>
          <w:sz w:val="14"/>
          <w:szCs w:val="14"/>
          <w:color w:val="auto"/>
        </w:rPr>
        <w:t>Type of Reporting Person (See Instructions)</w:t>
      </w:r>
    </w:p>
    <w:p>
      <w:pPr>
        <w:spacing w:after="0" w:line="2" w:lineRule="exact"/>
        <w:rPr>
          <w:rFonts w:ascii="Arial" w:cs="Arial" w:eastAsia="Arial" w:hAnsi="Arial"/>
          <w:sz w:val="24"/>
          <w:szCs w:val="24"/>
          <w:color w:val="auto"/>
          <w:vertAlign w:val="subscript"/>
        </w:rPr>
      </w:pPr>
    </w:p>
    <w:p>
      <w:pPr>
        <w:ind w:left="680"/>
        <w:spacing w:after="0"/>
        <w:rPr>
          <w:rFonts w:ascii="Arial" w:cs="Arial" w:eastAsia="Arial" w:hAnsi="Arial"/>
          <w:sz w:val="24"/>
          <w:szCs w:val="24"/>
          <w:color w:val="auto"/>
          <w:vertAlign w:val="subscript"/>
        </w:rPr>
      </w:pPr>
      <w:r>
        <w:rPr>
          <w:rFonts w:ascii="Arial" w:cs="Arial" w:eastAsia="Arial" w:hAnsi="Arial"/>
          <w:sz w:val="18"/>
          <w:szCs w:val="18"/>
          <w:b w:val="1"/>
          <w:bCs w:val="1"/>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1783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60" w:firstLine="8"/>
        <w:spacing w:after="0" w:line="239" w:lineRule="auto"/>
        <w:tabs>
          <w:tab w:leader="none" w:pos="120" w:val="left"/>
        </w:tabs>
        <w:numPr>
          <w:ilvl w:val="0"/>
          <w:numId w:val="28"/>
        </w:numPr>
        <w:rPr>
          <w:rFonts w:ascii="Arial" w:cs="Arial" w:eastAsia="Arial" w:hAnsi="Arial"/>
          <w:sz w:val="29"/>
          <w:szCs w:val="29"/>
          <w:u w:val="single" w:color="auto"/>
          <w:color w:val="auto"/>
          <w:vertAlign w:val="superscript"/>
        </w:rPr>
      </w:pPr>
      <w:r>
        <w:rPr>
          <w:rFonts w:ascii="Arial" w:cs="Arial" w:eastAsia="Arial" w:hAnsi="Arial"/>
          <w:sz w:val="17"/>
          <w:szCs w:val="17"/>
          <w:color w:val="auto"/>
        </w:rPr>
        <w:t>The reporting person is the beneficial owner of 17,202,009 shares of the Issuer’s Ordinary Shares which constitute approximately 19.99% of the class outstanding. The percentage calculation reported on this cover page assumes that there are currently 86,324,451 outstanding shares of Ordinary Shares of the Issuer, based on the Issuer’s Prospectus as filed with the Securities and Exchange Commission (“SEC”) on June 14, 2022 and giving effect to 54,750 vested stock options (right to buy), an additional 5,250 stock options (right to buy) which will vest within 60 days held by Dr. Peter Kolchinsky for the benefit of RA Capital, and an additional 7,802 Ordinary Shares that the Reporting Persons beneficially own based on the right to acquire upon exercise of Pre-Funded Warrants subject to a Beneficial Ownership Blocker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Y95308105</w:t>
      </w:r>
    </w:p>
    <w:p>
      <w:pPr>
        <w:spacing w:after="0" w:line="55" w:lineRule="exact"/>
        <w:rPr>
          <w:sz w:val="20"/>
          <w:szCs w:val="20"/>
          <w:color w:val="auto"/>
        </w:rPr>
      </w:pPr>
    </w:p>
    <w:p>
      <w:pPr>
        <w:ind w:left="680" w:hanging="292"/>
        <w:spacing w:after="0"/>
        <w:tabs>
          <w:tab w:leader="none" w:pos="680" w:val="left"/>
        </w:tabs>
        <w:numPr>
          <w:ilvl w:val="0"/>
          <w:numId w:val="29"/>
        </w:numPr>
        <w:rPr>
          <w:rFonts w:ascii="Arial" w:cs="Arial" w:eastAsia="Arial" w:hAnsi="Arial"/>
          <w:sz w:val="36"/>
          <w:szCs w:val="36"/>
          <w:color w:val="auto"/>
          <w:vertAlign w:val="subscript"/>
        </w:rPr>
      </w:pPr>
      <w:r>
        <w:rPr>
          <w:rFonts w:ascii="Arial" w:cs="Arial" w:eastAsia="Arial" w:hAnsi="Arial"/>
          <w:sz w:val="18"/>
          <w:szCs w:val="18"/>
          <w:color w:val="auto"/>
        </w:rPr>
        <w:t>Names of Reporting Persons.</w:t>
      </w:r>
    </w:p>
    <w:p>
      <w:pPr>
        <w:spacing w:after="0" w:line="197" w:lineRule="exact"/>
        <w:rPr>
          <w:rFonts w:ascii="Arial" w:cs="Arial" w:eastAsia="Arial" w:hAnsi="Arial"/>
          <w:sz w:val="36"/>
          <w:szCs w:val="36"/>
          <w:color w:val="auto"/>
          <w:vertAlign w:val="subscript"/>
        </w:rPr>
      </w:pPr>
    </w:p>
    <w:p>
      <w:pPr>
        <w:ind w:left="68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RA Capital 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left="680" w:hanging="292"/>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63" w:lineRule="exact"/>
        <w:rPr>
          <w:rFonts w:ascii="Arial" w:cs="Arial" w:eastAsia="Arial" w:hAnsi="Arial"/>
          <w:sz w:val="18"/>
          <w:szCs w:val="18"/>
          <w:color w:val="auto"/>
        </w:rPr>
      </w:pPr>
    </w:p>
    <w:p>
      <w:pPr>
        <w:ind w:left="920" w:hanging="248"/>
        <w:spacing w:after="0"/>
        <w:tabs>
          <w:tab w:leader="none" w:pos="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w:t>
      </w:r>
    </w:p>
    <w:p>
      <w:pPr>
        <w:spacing w:after="0" w:line="63" w:lineRule="exact"/>
        <w:rPr>
          <w:rFonts w:ascii="Arial" w:cs="Arial" w:eastAsia="Arial" w:hAnsi="Arial"/>
          <w:sz w:val="18"/>
          <w:szCs w:val="18"/>
          <w:color w:val="auto"/>
        </w:rPr>
      </w:pPr>
    </w:p>
    <w:p>
      <w:pPr>
        <w:ind w:left="920" w:hanging="248"/>
        <w:spacing w:after="0"/>
        <w:tabs>
          <w:tab w:leader="none" w:pos="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680" w:hanging="292"/>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80" w:hanging="292"/>
        <w:spacing w:after="0" w:line="188" w:lineRule="auto"/>
        <w:tabs>
          <w:tab w:leader="none" w:pos="680" w:val="left"/>
        </w:tabs>
        <w:numPr>
          <w:ilvl w:val="0"/>
          <w:numId w:val="32"/>
        </w:numPr>
        <w:rPr>
          <w:rFonts w:ascii="Arial" w:cs="Arial" w:eastAsia="Arial" w:hAnsi="Arial"/>
          <w:sz w:val="28"/>
          <w:szCs w:val="28"/>
          <w:color w:val="auto"/>
          <w:vertAlign w:val="subscript"/>
        </w:rPr>
      </w:pPr>
      <w:r>
        <w:rPr>
          <w:rFonts w:ascii="Arial" w:cs="Arial" w:eastAsia="Arial" w:hAnsi="Arial"/>
          <w:sz w:val="15"/>
          <w:szCs w:val="15"/>
          <w:color w:val="auto"/>
        </w:rPr>
        <w:t>Source of Funds (See Instructions):</w:t>
      </w:r>
    </w:p>
    <w:p>
      <w:pPr>
        <w:spacing w:after="0" w:line="2" w:lineRule="exact"/>
        <w:rPr>
          <w:rFonts w:ascii="Arial" w:cs="Arial" w:eastAsia="Arial" w:hAnsi="Arial"/>
          <w:sz w:val="28"/>
          <w:szCs w:val="28"/>
          <w:color w:val="auto"/>
          <w:vertAlign w:val="subscript"/>
        </w:rPr>
      </w:pPr>
    </w:p>
    <w:p>
      <w:pPr>
        <w:ind w:left="680"/>
        <w:spacing w:after="0"/>
        <w:rPr>
          <w:rFonts w:ascii="Arial" w:cs="Arial" w:eastAsia="Arial" w:hAnsi="Arial"/>
          <w:sz w:val="28"/>
          <w:szCs w:val="28"/>
          <w:color w:val="auto"/>
          <w:vertAlign w:val="subscript"/>
        </w:rPr>
      </w:pPr>
      <w:r>
        <w:rPr>
          <w:rFonts w:ascii="Arial" w:cs="Arial" w:eastAsia="Arial" w:hAnsi="Arial"/>
          <w:sz w:val="18"/>
          <w:szCs w:val="18"/>
          <w:color w:val="auto"/>
        </w:rPr>
        <w:t>AF</w:t>
      </w:r>
    </w:p>
    <w:p>
      <w:pPr>
        <w:spacing w:after="0" w:line="223" w:lineRule="exact"/>
        <w:rPr>
          <w:sz w:val="20"/>
          <w:szCs w:val="20"/>
          <w:color w:val="auto"/>
        </w:rPr>
      </w:pPr>
    </w:p>
    <w:p>
      <w:pPr>
        <w:ind w:left="680" w:right="4640" w:hanging="292"/>
        <w:spacing w:after="0" w:line="182" w:lineRule="auto"/>
        <w:tabs>
          <w:tab w:leader="none" w:pos="680" w:val="left"/>
        </w:tabs>
        <w:numPr>
          <w:ilvl w:val="0"/>
          <w:numId w:val="33"/>
        </w:numPr>
        <w:rPr>
          <w:rFonts w:ascii="Arial" w:cs="Arial" w:eastAsia="Arial" w:hAnsi="Arial"/>
          <w:sz w:val="34"/>
          <w:szCs w:val="34"/>
          <w:color w:val="auto"/>
          <w:vertAlign w:val="subscript"/>
        </w:rPr>
      </w:pPr>
      <w:r>
        <w:rPr>
          <w:rFonts w:ascii="Arial" w:cs="Arial" w:eastAsia="Arial" w:hAnsi="Arial"/>
          <w:sz w:val="17"/>
          <w:szCs w:val="17"/>
          <w:color w:val="auto"/>
        </w:rPr>
        <w:t>Check if disclosure of legal proceedings is required pursuant to Items 2(d) or 2(e):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0"/>
          <w:szCs w:val="20"/>
          <w:color w:val="auto"/>
        </w:rPr>
      </w:pPr>
    </w:p>
    <w:p>
      <w:pPr>
        <w:ind w:left="680" w:hanging="292"/>
        <w:spacing w:after="0"/>
        <w:tabs>
          <w:tab w:leader="none" w:pos="680" w:val="left"/>
        </w:tabs>
        <w:numPr>
          <w:ilvl w:val="0"/>
          <w:numId w:val="34"/>
        </w:numPr>
        <w:rPr>
          <w:rFonts w:ascii="Arial" w:cs="Arial" w:eastAsia="Arial" w:hAnsi="Arial"/>
          <w:sz w:val="36"/>
          <w:szCs w:val="36"/>
          <w:color w:val="auto"/>
          <w:vertAlign w:val="subscript"/>
        </w:rPr>
      </w:pPr>
      <w:r>
        <w:rPr>
          <w:rFonts w:ascii="Arial" w:cs="Arial" w:eastAsia="Arial" w:hAnsi="Arial"/>
          <w:sz w:val="18"/>
          <w:szCs w:val="18"/>
          <w:color w:val="auto"/>
        </w:rPr>
        <w:t xml:space="preserve">Citizenship or Place of Organization. </w:t>
      </w:r>
      <w:r>
        <w:rPr>
          <w:rFonts w:ascii="Arial" w:cs="Arial" w:eastAsia="Arial" w:hAnsi="Arial"/>
          <w:sz w:val="18"/>
          <w:szCs w:val="18"/>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Number</w:t>
            </w:r>
          </w:p>
        </w:tc>
        <w:tc>
          <w:tcPr>
            <w:tcW w:w="95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 xml:space="preserve">7 Sole Voting Power </w:t>
            </w: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89"/>
        </w:trPr>
        <w:tc>
          <w:tcPr>
            <w:tcW w:w="17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9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5"/>
              </w:rPr>
              <w:t>of Shares</w:t>
            </w:r>
          </w:p>
        </w:tc>
        <w:tc>
          <w:tcPr>
            <w:tcW w:w="460" w:type="dxa"/>
            <w:vAlign w:val="bottom"/>
            <w:tcBorders>
              <w:bottom w:val="single" w:sz="8" w:color="auto"/>
            </w:tcBorders>
          </w:tcPr>
          <w:p>
            <w:pPr>
              <w:spacing w:after="0"/>
              <w:rPr>
                <w:sz w:val="9"/>
                <w:szCs w:val="9"/>
                <w:color w:val="auto"/>
              </w:rPr>
            </w:pPr>
          </w:p>
        </w:tc>
        <w:tc>
          <w:tcPr>
            <w:tcW w:w="9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00" w:type="dxa"/>
            <w:vAlign w:val="bottom"/>
            <w:vMerge w:val="continue"/>
          </w:tcPr>
          <w:p>
            <w:pPr>
              <w:spacing w:after="0"/>
              <w:rPr>
                <w:sz w:val="7"/>
                <w:szCs w:val="7"/>
                <w:color w:val="auto"/>
              </w:rPr>
            </w:pPr>
          </w:p>
        </w:tc>
        <w:tc>
          <w:tcPr>
            <w:tcW w:w="9540" w:type="dxa"/>
            <w:vAlign w:val="bottom"/>
            <w:gridSpan w:val="2"/>
            <w:vMerge w:val="restart"/>
          </w:tcPr>
          <w:p>
            <w:pPr>
              <w:ind w:left="100"/>
              <w:spacing w:after="0"/>
              <w:rPr>
                <w:sz w:val="20"/>
                <w:szCs w:val="20"/>
                <w:color w:val="auto"/>
              </w:rPr>
            </w:pPr>
            <w:r>
              <w:rPr>
                <w:rFonts w:ascii="Arial" w:cs="Arial" w:eastAsia="Arial" w:hAnsi="Arial"/>
                <w:sz w:val="18"/>
                <w:szCs w:val="18"/>
                <w:color w:val="auto"/>
              </w:rPr>
              <w:t xml:space="preserve">8 Shared Voting Power </w:t>
            </w:r>
            <w:r>
              <w:rPr>
                <w:rFonts w:ascii="Arial" w:cs="Arial" w:eastAsia="Arial" w:hAnsi="Arial"/>
                <w:sz w:val="18"/>
                <w:szCs w:val="18"/>
                <w:b w:val="1"/>
                <w:bCs w:val="1"/>
                <w:color w:val="auto"/>
              </w:rPr>
              <w:t>17,269,811 shares</w:t>
            </w:r>
          </w:p>
        </w:tc>
        <w:tc>
          <w:tcPr>
            <w:tcW w:w="0" w:type="dxa"/>
            <w:vAlign w:val="bottom"/>
          </w:tcPr>
          <w:p>
            <w:pPr>
              <w:spacing w:after="0"/>
              <w:rPr>
                <w:sz w:val="1"/>
                <w:szCs w:val="1"/>
                <w:color w:val="auto"/>
              </w:rPr>
            </w:pPr>
          </w:p>
        </w:tc>
      </w:tr>
      <w:tr>
        <w:trPr>
          <w:trHeight w:val="141"/>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9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7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00" w:type="dxa"/>
            <w:vAlign w:val="bottom"/>
            <w:vMerge w:val="continue"/>
          </w:tcPr>
          <w:p>
            <w:pPr>
              <w:spacing w:after="0"/>
              <w:rPr>
                <w:sz w:val="6"/>
                <w:szCs w:val="6"/>
                <w:color w:val="auto"/>
              </w:rPr>
            </w:pPr>
          </w:p>
        </w:tc>
        <w:tc>
          <w:tcPr>
            <w:tcW w:w="9540" w:type="dxa"/>
            <w:vAlign w:val="bottom"/>
            <w:gridSpan w:val="2"/>
            <w:vMerge w:val="restart"/>
          </w:tcPr>
          <w:p>
            <w:pPr>
              <w:ind w:left="100"/>
              <w:spacing w:after="0"/>
              <w:rPr>
                <w:sz w:val="20"/>
                <w:szCs w:val="20"/>
                <w:color w:val="auto"/>
              </w:rPr>
            </w:pPr>
            <w:r>
              <w:rPr>
                <w:rFonts w:ascii="Arial" w:cs="Arial" w:eastAsia="Arial" w:hAnsi="Arial"/>
                <w:sz w:val="18"/>
                <w:szCs w:val="18"/>
                <w:color w:val="auto"/>
              </w:rPr>
              <w:t xml:space="preserve">9 Sole Dispositive Power </w:t>
            </w: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54"/>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9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60" w:type="dxa"/>
            <w:vAlign w:val="bottom"/>
            <w:tcBorders>
              <w:bottom w:val="single" w:sz="8" w:color="auto"/>
            </w:tcBorders>
          </w:tcPr>
          <w:p>
            <w:pPr>
              <w:spacing w:after="0"/>
              <w:rPr>
                <w:sz w:val="11"/>
                <w:szCs w:val="11"/>
                <w:color w:val="auto"/>
              </w:rPr>
            </w:pPr>
          </w:p>
        </w:tc>
        <w:tc>
          <w:tcPr>
            <w:tcW w:w="9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700" w:type="dxa"/>
            <w:vAlign w:val="bottom"/>
            <w:vMerge w:val="continue"/>
          </w:tcPr>
          <w:p>
            <w:pPr>
              <w:spacing w:after="0"/>
              <w:rPr>
                <w:sz w:val="5"/>
                <w:szCs w:val="5"/>
                <w:color w:val="auto"/>
              </w:rPr>
            </w:pPr>
          </w:p>
        </w:tc>
        <w:tc>
          <w:tcPr>
            <w:tcW w:w="460" w:type="dxa"/>
            <w:vAlign w:val="bottom"/>
            <w:vMerge w:val="restart"/>
          </w:tcPr>
          <w:p>
            <w:pPr>
              <w:ind w:left="100"/>
              <w:spacing w:after="0"/>
              <w:rPr>
                <w:sz w:val="20"/>
                <w:szCs w:val="20"/>
                <w:color w:val="auto"/>
              </w:rPr>
            </w:pPr>
            <w:r>
              <w:rPr>
                <w:rFonts w:ascii="Arial" w:cs="Arial" w:eastAsia="Arial" w:hAnsi="Arial"/>
                <w:sz w:val="18"/>
                <w:szCs w:val="18"/>
                <w:color w:val="auto"/>
              </w:rPr>
              <w:t>10</w:t>
            </w:r>
          </w:p>
        </w:tc>
        <w:tc>
          <w:tcPr>
            <w:tcW w:w="9080" w:type="dxa"/>
            <w:vAlign w:val="bottom"/>
            <w:vMerge w:val="restart"/>
          </w:tcPr>
          <w:p>
            <w:pPr>
              <w:ind w:left="180"/>
              <w:spacing w:after="0"/>
              <w:rPr>
                <w:sz w:val="20"/>
                <w:szCs w:val="20"/>
                <w:color w:val="auto"/>
              </w:rPr>
            </w:pPr>
            <w:r>
              <w:rPr>
                <w:rFonts w:ascii="Arial" w:cs="Arial" w:eastAsia="Arial" w:hAnsi="Arial"/>
                <w:sz w:val="18"/>
                <w:szCs w:val="18"/>
                <w:color w:val="auto"/>
              </w:rPr>
              <w:t xml:space="preserve">Shared Dispositive Power </w:t>
            </w:r>
            <w:r>
              <w:rPr>
                <w:rFonts w:ascii="Arial" w:cs="Arial" w:eastAsia="Arial" w:hAnsi="Arial"/>
                <w:sz w:val="18"/>
                <w:szCs w:val="18"/>
                <w:b w:val="1"/>
                <w:bCs w:val="1"/>
                <w:color w:val="auto"/>
              </w:rPr>
              <w:t>17,269,811 shares</w:t>
            </w:r>
          </w:p>
        </w:tc>
        <w:tc>
          <w:tcPr>
            <w:tcW w:w="0" w:type="dxa"/>
            <w:vAlign w:val="bottom"/>
          </w:tcPr>
          <w:p>
            <w:pPr>
              <w:spacing w:after="0"/>
              <w:rPr>
                <w:sz w:val="1"/>
                <w:szCs w:val="1"/>
                <w:color w:val="auto"/>
              </w:rPr>
            </w:pPr>
          </w:p>
        </w:tc>
      </w:tr>
      <w:tr>
        <w:trPr>
          <w:trHeight w:val="168"/>
        </w:trPr>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460" w:type="dxa"/>
            <w:vAlign w:val="bottom"/>
            <w:vMerge w:val="continue"/>
          </w:tcPr>
          <w:p>
            <w:pPr>
              <w:spacing w:after="0"/>
              <w:rPr>
                <w:sz w:val="14"/>
                <w:szCs w:val="14"/>
                <w:color w:val="auto"/>
              </w:rPr>
            </w:pPr>
          </w:p>
        </w:tc>
        <w:tc>
          <w:tcPr>
            <w:tcW w:w="9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7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80" w:hanging="375"/>
        <w:spacing w:after="0" w:line="211" w:lineRule="auto"/>
        <w:tabs>
          <w:tab w:leader="none" w:pos="680" w:val="left"/>
        </w:tabs>
        <w:numPr>
          <w:ilvl w:val="0"/>
          <w:numId w:val="35"/>
        </w:numPr>
        <w:rPr>
          <w:rFonts w:ascii="Arial" w:cs="Arial" w:eastAsia="Arial" w:hAnsi="Arial"/>
          <w:sz w:val="36"/>
          <w:szCs w:val="36"/>
          <w:color w:val="auto"/>
          <w:vertAlign w:val="subscript"/>
        </w:rPr>
      </w:pPr>
      <w:r>
        <w:rPr>
          <w:rFonts w:ascii="Arial" w:cs="Arial" w:eastAsia="Arial" w:hAnsi="Arial"/>
          <w:sz w:val="18"/>
          <w:szCs w:val="18"/>
          <w:color w:val="auto"/>
        </w:rPr>
        <w:t>Aggregate Amount Beneficially Owned by Each Reporting Person</w:t>
      </w:r>
    </w:p>
    <w:p>
      <w:pPr>
        <w:spacing w:after="0" w:line="2" w:lineRule="exact"/>
        <w:rPr>
          <w:rFonts w:ascii="Arial" w:cs="Arial" w:eastAsia="Arial" w:hAnsi="Arial"/>
          <w:sz w:val="36"/>
          <w:szCs w:val="36"/>
          <w:color w:val="auto"/>
          <w:vertAlign w:val="subscript"/>
        </w:rPr>
      </w:pPr>
    </w:p>
    <w:p>
      <w:pPr>
        <w:ind w:left="740"/>
        <w:spacing w:after="0"/>
        <w:rPr>
          <w:rFonts w:ascii="Arial" w:cs="Arial" w:eastAsia="Arial" w:hAnsi="Arial"/>
          <w:sz w:val="36"/>
          <w:szCs w:val="36"/>
          <w:color w:val="auto"/>
          <w:vertAlign w:val="subscript"/>
        </w:rPr>
      </w:pPr>
      <w:r>
        <w:rPr>
          <w:rFonts w:ascii="Arial" w:cs="Arial" w:eastAsia="Arial" w:hAnsi="Arial"/>
          <w:sz w:val="18"/>
          <w:szCs w:val="18"/>
          <w:b w:val="1"/>
          <w:bCs w:val="1"/>
          <w:color w:val="auto"/>
        </w:rPr>
        <w:t>17,269,811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300"/>
        <w:spacing w:after="0"/>
        <w:tabs>
          <w:tab w:leader="none" w:pos="660" w:val="left"/>
          <w:tab w:leader="none" w:pos="7220" w:val="left"/>
        </w:tabs>
        <w:rPr>
          <w:sz w:val="20"/>
          <w:szCs w:val="20"/>
          <w:color w:val="auto"/>
        </w:rPr>
      </w:pPr>
      <w:r>
        <w:rPr>
          <w:rFonts w:ascii="Arial" w:cs="Arial" w:eastAsia="Arial" w:hAnsi="Arial"/>
          <w:sz w:val="17"/>
          <w:szCs w:val="17"/>
          <w:color w:val="auto"/>
        </w:rPr>
        <w:t>12</w:t>
        <w:tab/>
        <w:t>Check if the Aggregate Amount in Row (11) Excludes Certain Shares (See Instructions)</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80" w:hanging="382"/>
        <w:spacing w:after="0" w:line="188" w:lineRule="auto"/>
        <w:tabs>
          <w:tab w:leader="none" w:pos="680" w:val="left"/>
        </w:tabs>
        <w:numPr>
          <w:ilvl w:val="0"/>
          <w:numId w:val="36"/>
        </w:numPr>
        <w:rPr>
          <w:rFonts w:ascii="Arial" w:cs="Arial" w:eastAsia="Arial" w:hAnsi="Arial"/>
          <w:sz w:val="28"/>
          <w:szCs w:val="28"/>
          <w:color w:val="auto"/>
          <w:vertAlign w:val="subscript"/>
        </w:rPr>
      </w:pPr>
      <w:r>
        <w:rPr>
          <w:rFonts w:ascii="Arial" w:cs="Arial" w:eastAsia="Arial" w:hAnsi="Arial"/>
          <w:sz w:val="15"/>
          <w:szCs w:val="15"/>
          <w:color w:val="auto"/>
        </w:rPr>
        <w:t>Percent of Class Represented by Amount in Row (11)</w:t>
      </w:r>
    </w:p>
    <w:p>
      <w:pPr>
        <w:spacing w:after="0" w:line="42" w:lineRule="exact"/>
        <w:rPr>
          <w:rFonts w:ascii="Arial" w:cs="Arial" w:eastAsia="Arial" w:hAnsi="Arial"/>
          <w:sz w:val="28"/>
          <w:szCs w:val="28"/>
          <w:color w:val="auto"/>
          <w:vertAlign w:val="subscript"/>
        </w:rPr>
      </w:pPr>
    </w:p>
    <w:p>
      <w:pPr>
        <w:ind w:left="680"/>
        <w:spacing w:after="0" w:line="184" w:lineRule="auto"/>
        <w:rPr>
          <w:rFonts w:ascii="Arial" w:cs="Arial" w:eastAsia="Arial" w:hAnsi="Arial"/>
          <w:sz w:val="28"/>
          <w:szCs w:val="28"/>
          <w:color w:val="auto"/>
          <w:vertAlign w:val="subscript"/>
        </w:rPr>
      </w:pPr>
      <w:r>
        <w:rPr>
          <w:rFonts w:ascii="Arial" w:cs="Arial" w:eastAsia="Arial" w:hAnsi="Arial"/>
          <w:sz w:val="16"/>
          <w:szCs w:val="16"/>
          <w:b w:val="1"/>
          <w:bCs w:val="1"/>
          <w:color w:val="auto"/>
        </w:rPr>
        <w:t>19.99%</w:t>
      </w:r>
      <w:r>
        <w:rPr>
          <w:rFonts w:ascii="Arial" w:cs="Arial" w:eastAsia="Arial" w:hAnsi="Arial"/>
          <w:sz w:val="26"/>
          <w:szCs w:val="26"/>
          <w:b w:val="1"/>
          <w:bCs w:val="1"/>
          <w:u w:val="single" w:color="auto"/>
          <w:color w:val="auto"/>
          <w:vertAlign w:val="superscript"/>
        </w:rPr>
        <w:t>4</w:t>
      </w:r>
    </w:p>
    <w:p>
      <w:pPr>
        <w:ind w:left="680" w:hanging="382"/>
        <w:spacing w:after="0" w:line="186" w:lineRule="auto"/>
        <w:tabs>
          <w:tab w:leader="none" w:pos="680" w:val="left"/>
        </w:tabs>
        <w:numPr>
          <w:ilvl w:val="0"/>
          <w:numId w:val="36"/>
        </w:numPr>
        <w:rPr>
          <w:rFonts w:ascii="Arial" w:cs="Arial" w:eastAsia="Arial" w:hAnsi="Arial"/>
          <w:sz w:val="24"/>
          <w:szCs w:val="24"/>
          <w:color w:val="auto"/>
          <w:vertAlign w:val="subscript"/>
        </w:rPr>
      </w:pPr>
      <w:r>
        <w:rPr>
          <w:rFonts w:ascii="Arial" w:cs="Arial" w:eastAsia="Arial" w:hAnsi="Arial"/>
          <w:sz w:val="14"/>
          <w:szCs w:val="14"/>
          <w:color w:val="auto"/>
        </w:rPr>
        <w:t>Type of Reporting Person (See Instructions)</w:t>
      </w:r>
    </w:p>
    <w:p>
      <w:pPr>
        <w:spacing w:after="0" w:line="2" w:lineRule="exact"/>
        <w:rPr>
          <w:rFonts w:ascii="Arial" w:cs="Arial" w:eastAsia="Arial" w:hAnsi="Arial"/>
          <w:sz w:val="24"/>
          <w:szCs w:val="24"/>
          <w:color w:val="auto"/>
          <w:vertAlign w:val="subscript"/>
        </w:rPr>
      </w:pPr>
    </w:p>
    <w:p>
      <w:pPr>
        <w:ind w:left="680"/>
        <w:spacing w:after="0"/>
        <w:rPr>
          <w:rFonts w:ascii="Arial" w:cs="Arial" w:eastAsia="Arial" w:hAnsi="Arial"/>
          <w:sz w:val="24"/>
          <w:szCs w:val="24"/>
          <w:color w:val="auto"/>
          <w:vertAlign w:val="subscript"/>
        </w:rPr>
      </w:pPr>
      <w:r>
        <w:rPr>
          <w:rFonts w:ascii="Arial" w:cs="Arial" w:eastAsia="Arial" w:hAnsi="Arial"/>
          <w:sz w:val="18"/>
          <w:szCs w:val="18"/>
          <w:b w:val="1"/>
          <w:bCs w:val="1"/>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17830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both"/>
        <w:ind w:firstLine="8"/>
        <w:spacing w:after="0" w:line="239" w:lineRule="auto"/>
        <w:tabs>
          <w:tab w:leader="none" w:pos="135" w:val="left"/>
        </w:tabs>
        <w:numPr>
          <w:ilvl w:val="0"/>
          <w:numId w:val="37"/>
        </w:numPr>
        <w:rPr>
          <w:rFonts w:ascii="Arial" w:cs="Arial" w:eastAsia="Arial" w:hAnsi="Arial"/>
          <w:sz w:val="29"/>
          <w:szCs w:val="29"/>
          <w:u w:val="single" w:color="auto"/>
          <w:color w:val="auto"/>
          <w:vertAlign w:val="superscript"/>
        </w:rPr>
      </w:pPr>
      <w:r>
        <w:rPr>
          <w:rFonts w:ascii="Arial" w:cs="Arial" w:eastAsia="Arial" w:hAnsi="Arial"/>
          <w:sz w:val="17"/>
          <w:szCs w:val="17"/>
          <w:color w:val="auto"/>
        </w:rPr>
        <w:t>The reporting person is the beneficial owner of 17,202,009 shares of the Issuer’s Ordinary Shares which constitute approximately 19.99% of the class outstanding. The percentage calculation reported on this cover page assumes that there are currently 86,324,451 outstanding shares of Ordinary Shares of the Issuer, based on the Issuer’s Prospectus as filed with the Securities and Exchange Commission (“SEC”) on June 14, 2022 and giving effect to 54,750 vested stock options (right to buy), an additional 5,250 stock options (right to buy) which will vest within 60 days held by Dr. Peter Kolchinsky for the benefit of RA Capital, and an additional 7,802 Ordinary Shares that the Reporting Persons beneficially own based on the right to acquire upon exercise of Pre-Funded Warrants subject to a Beneficial Ownership Blocker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Y95308105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 13D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of the Statement is amended and supplemented as follows: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Amendment No. 5 amends and supplements the statement on Schedule 13D originally filed with the Securities and Exchange Commission (the “SEC”) on November 27, 2015, as amended by Amendment No. 1 filed on November 15, 2017, Amendment No. 2 filed on January 28, 2019, Amendment No. 3 filed on August 18, 2021 and Amendment No. 4 filed on November 12, 2021 (the “Statement”) by RA Capital Management, L.P., and Dr. Kolchinsky with respect to Ordinary Shares (the “Ordinary Shares”), of Wave Life Sciences Ltd., a Singapore public limited company (the “Issuer”). Unless otherwise defined herein, capitalized terms used in this Amendment No. 5 shall have the meanings ascribed to them in the Statement. Unless amended or supplemented below, the information in the Statement remains unchanged.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2 of the Statement is hereby amended and restated as follows:</w:t>
      </w:r>
    </w:p>
    <w:p>
      <w:pPr>
        <w:spacing w:after="0" w:line="225" w:lineRule="exact"/>
        <w:rPr>
          <w:sz w:val="20"/>
          <w:szCs w:val="20"/>
          <w:color w:val="auto"/>
        </w:rPr>
      </w:pPr>
    </w:p>
    <w:p>
      <w:pPr>
        <w:jc w:val="both"/>
        <w:ind w:firstLine="8"/>
        <w:spacing w:after="0" w:line="263" w:lineRule="auto"/>
        <w:tabs>
          <w:tab w:leader="none" w:pos="25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Amendment No. 5 to Schedule 13D is being filed on behalf of RA Capital Management, L.P. (“RA Capital”), RA Capital Healthcare Fund, L.P. (the “Fund”), Peter Kolchinsky, and Rajeev Shah. RA Capital, Dr. Kolchinsky, Mr. Shah, and the Fund are collectively referred to herein as the “Reporting Persons.”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Ordinary Shares reported herein includes (1) 17,202,009 Ordinary Shares held by the Fund, (2) a total of 63,750 vested stock options (right to buy), (3) 5,250 stock options (right to buy) which shall vest within 60 days of this filing. The Fund also holds Pre-funded warrants (“Pre-Funded Warrants”) through which it has a right to acquire 7,093,656 Ordinary Shares. The Pre-Funded Warrants contain a provision (the “Beneficial Ownership Blocker”) which precludes exercise of the warrants to the extent that, following exercise, the Reporting Person, together with its affiliates and other attribution parties, would own more that 19.99% of the Ordinary Shares outstanding.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Securities Exchange Act of 1934 (the “Act”), of any securities of the Issuer held by the Fund. The Fund has delegated to RA Capital the sole power to vote and the sole power to dispose of all securities held in the Fund’s portfolio, including the shares of the Issuer’s Ordinary Shares reported herein. Because the Fund has divested themselves of voting and investment power over the reported securities they hold and may not revoke that delegation on less than 61 days’ notice, the Fund disclaims beneficial ownership of the securities they hold for purposes of Section 13(d) of the Act and therefore disclaim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13D Statement (the “Statement”) other than for the purpose of determining their obligations under Section 13(d) of the Act, and the filing of the Statement shall not be deemed an admission that either RA Capital, Dr. Kolchinsky, or Mr. Shah is the beneficial owner of such securities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534670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Y95308105</w:t>
      </w:r>
    </w:p>
    <w:p>
      <w:pPr>
        <w:spacing w:after="0" w:line="200" w:lineRule="exact"/>
        <w:rPr>
          <w:sz w:val="20"/>
          <w:szCs w:val="20"/>
          <w:color w:val="auto"/>
        </w:rPr>
      </w:pPr>
    </w:p>
    <w:p>
      <w:pPr>
        <w:spacing w:after="0" w:line="241"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address of the principal business office of each of the Reporting Persons is 200 Berkeley Street, 18th Floor, Boston, MA 02116.</w:t>
      </w:r>
    </w:p>
    <w:p>
      <w:pPr>
        <w:spacing w:after="0" w:line="225" w:lineRule="exact"/>
        <w:rPr>
          <w:rFonts w:ascii="Arial" w:cs="Arial" w:eastAsia="Arial" w:hAnsi="Arial"/>
          <w:sz w:val="18"/>
          <w:szCs w:val="18"/>
          <w:color w:val="auto"/>
        </w:rPr>
      </w:pPr>
    </w:p>
    <w:p>
      <w:pPr>
        <w:ind w:right="20" w:firstLine="8"/>
        <w:spacing w:after="0" w:line="277" w:lineRule="auto"/>
        <w:tabs>
          <w:tab w:leader="none" w:pos="2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Fund is a private investment vehicle. RA Capital provides investment management services to the Fund. The principal occupation of Dr. Kolchinsky and Mr. Shah is investment management.</w:t>
      </w:r>
    </w:p>
    <w:p>
      <w:pPr>
        <w:spacing w:after="0" w:line="170" w:lineRule="exact"/>
        <w:rPr>
          <w:rFonts w:ascii="Arial" w:cs="Arial" w:eastAsia="Arial" w:hAnsi="Arial"/>
          <w:sz w:val="18"/>
          <w:szCs w:val="18"/>
          <w:color w:val="auto"/>
        </w:rPr>
      </w:pPr>
    </w:p>
    <w:p>
      <w:pPr>
        <w:ind w:firstLine="8"/>
        <w:spacing w:after="0" w:line="277" w:lineRule="auto"/>
        <w:tabs>
          <w:tab w:leader="none" w:pos="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has been convicted in a criminal proceeding (excluding traffic violations or similar misdemeanors).</w:t>
      </w:r>
    </w:p>
    <w:p>
      <w:pPr>
        <w:spacing w:after="0" w:line="170" w:lineRule="exact"/>
        <w:rPr>
          <w:rFonts w:ascii="Arial" w:cs="Arial" w:eastAsia="Arial" w:hAnsi="Arial"/>
          <w:sz w:val="18"/>
          <w:szCs w:val="18"/>
          <w:color w:val="auto"/>
        </w:rPr>
      </w:pPr>
    </w:p>
    <w:p>
      <w:pPr>
        <w:jc w:val="both"/>
        <w:ind w:right="20" w:firstLine="8"/>
        <w:spacing w:after="0" w:line="263" w:lineRule="auto"/>
        <w:tabs>
          <w:tab w:leader="none" w:pos="2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has been a party to a civil proceeding of a judicial or 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p>
      <w:pPr>
        <w:spacing w:after="0" w:line="183"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Item 6 of the cover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3 is hereby amended supplemented as follows: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Reporting Persons acquired additional securities of the Issuer in the transactions described in Item 5(c) of this Amendment No. 5 for an aggregate of $35,632,762. The purchases were for cash and were funded by the working capital of the Fund.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supplemented as follows: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Reporting Persons acquired the Ordinary Shares referred to in Item 3 for investment purposes and not with an intent, purpose or effect of changing control of the Issuer.</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Reporting Persons hold the securities of the Issuer for general investment purposes. The Reporting Persons reserve the right, based on all relevant factors and subject to applicable law or other restrictions, at any time and from time to time, to acquire additional Ordinary Shares or other securities of the Issuer, dispose of some or all of the Ordinary Shares or other securities of the Issuer that it may own from time to time, in each case in open market or private transactions, block sales or otherwise or pursuant to ordinary stock exchange transactions effected through one or more broker-dealers whether individually or utilizing specific pricing or other instructions (including by means of Rule 10b5-1 programs), and review or reconsider their position, change their purpose, take other actions or formulate and implement plans or proposals with respect to any of the foregoing.</w:t>
      </w:r>
    </w:p>
    <w:p>
      <w:pPr>
        <w:spacing w:after="0" w:line="16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Reporting Persons intend to review their investment in the Issuer from time to time on the basis of various factors, including the Issuer’s business, financial condition, results of operations and prospects, general economic and industry conditions, the securities markets in general and those for the Issuer’s stock in particular, as well as other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Y95308105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Statement is amended and restated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and (b) See Items 7-11 of the cover pages and Item 2 above.</w:t>
      </w:r>
    </w:p>
    <w:p>
      <w:pPr>
        <w:spacing w:after="0" w:line="225" w:lineRule="exact"/>
        <w:rPr>
          <w:sz w:val="20"/>
          <w:szCs w:val="20"/>
          <w:color w:val="auto"/>
        </w:rPr>
      </w:pPr>
    </w:p>
    <w:p>
      <w:pPr>
        <w:ind w:left="3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table lists the Reporting Persons’ transactions in Common Stock that have not previously been reported during the sixty day period prior to the filing of this amended Schedule 13D:</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Transaction</w:t>
            </w:r>
          </w:p>
        </w:tc>
        <w:tc>
          <w:tcPr>
            <w:tcW w:w="22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Purchaser</w:t>
            </w:r>
          </w:p>
        </w:tc>
        <w:tc>
          <w:tcPr>
            <w:tcW w:w="22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Date</w:t>
            </w:r>
          </w:p>
        </w:tc>
        <w:tc>
          <w:tcPr>
            <w:tcW w:w="22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Shares</w:t>
            </w:r>
          </w:p>
        </w:tc>
        <w:tc>
          <w:tcPr>
            <w:tcW w:w="22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Price</w:t>
            </w: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Purchase</w:t>
            </w: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Fund</w:t>
            </w: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16-June-2022</w:t>
            </w: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9,480,052</w:t>
            </w: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$2.15</w:t>
            </w:r>
          </w:p>
        </w:tc>
      </w:tr>
      <w:tr>
        <w:trPr>
          <w:trHeight w:val="209"/>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Purchase**</w:t>
            </w: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Fund</w:t>
            </w: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16-June-2022</w:t>
            </w: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7,093,656</w:t>
            </w: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$2.1499</w:t>
            </w:r>
          </w:p>
        </w:tc>
      </w:tr>
    </w:tbl>
    <w:p>
      <w:pPr>
        <w:spacing w:after="0" w:line="202" w:lineRule="exact"/>
        <w:rPr>
          <w:sz w:val="20"/>
          <w:szCs w:val="20"/>
          <w:color w:val="auto"/>
        </w:rPr>
      </w:pPr>
    </w:p>
    <w:p>
      <w:pPr>
        <w:ind w:left="240" w:hanging="232"/>
        <w:spacing w:after="0"/>
        <w:tabs>
          <w:tab w:leader="none" w:pos="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Pre-Funded Warrants subject to Beneficial Ownership Blocker as detailed above.</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 Not applicable.</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 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Pre-Funded Warrants contain a Beneficial Ownership Blocker provision which precludes exercise of the warrants to the extent that, following exercise, the Reporting Person, together with its affiliates and other attribution parties, would own more that 19.99% of the Ordinary Shares outstanding. The exercise price of the Pre-Funded Warrants is $0.0001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7 of the Statement is hereby amended and supplemented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rFonts w:ascii="Arial" w:cs="Arial" w:eastAsia="Arial" w:hAnsi="Arial"/>
                <w:sz w:val="18"/>
                <w:szCs w:val="18"/>
                <w:color w:val="0000EE"/>
                <w:w w:val="95"/>
              </w:rPr>
            </w:pPr>
            <w:hyperlink w:anchor="page10">
              <w:r>
                <w:rPr>
                  <w:rFonts w:ascii="Arial" w:cs="Arial" w:eastAsia="Arial" w:hAnsi="Arial"/>
                  <w:sz w:val="18"/>
                  <w:szCs w:val="18"/>
                  <w:color w:val="0000EE"/>
                  <w:w w:val="95"/>
                </w:rPr>
                <w:t>Exhibit 1</w:t>
              </w:r>
            </w:hyperlink>
          </w:p>
        </w:tc>
        <w:tc>
          <w:tcPr>
            <w:tcW w:w="10560" w:type="dxa"/>
            <w:vAlign w:val="bottom"/>
            <w:gridSpan w:val="4"/>
          </w:tcPr>
          <w:p>
            <w:pPr>
              <w:ind w:left="1020"/>
              <w:spacing w:after="0"/>
              <w:rPr>
                <w:rFonts w:ascii="Arial" w:cs="Arial" w:eastAsia="Arial" w:hAnsi="Arial"/>
                <w:sz w:val="18"/>
                <w:szCs w:val="18"/>
                <w:color w:val="0000EE"/>
              </w:rPr>
            </w:pPr>
            <w:hyperlink w:anchor="page10">
              <w:r>
                <w:rPr>
                  <w:rFonts w:ascii="Arial" w:cs="Arial" w:eastAsia="Arial" w:hAnsi="Arial"/>
                  <w:sz w:val="18"/>
                  <w:szCs w:val="18"/>
                  <w:color w:val="0000EE"/>
                </w:rPr>
                <w:t>Joint Filing Agreement by and among the Reporting Persons, dated as of June 21, 2022 (filed herewith).</w:t>
              </w:r>
            </w:hyperlink>
          </w:p>
        </w:tc>
      </w:tr>
      <w:tr>
        <w:trPr>
          <w:trHeight w:val="20"/>
        </w:trPr>
        <w:tc>
          <w:tcPr>
            <w:tcW w:w="6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84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12"/>
        </w:trPr>
        <w:tc>
          <w:tcPr>
            <w:tcW w:w="680" w:type="dxa"/>
            <w:vAlign w:val="bottom"/>
          </w:tcPr>
          <w:p>
            <w:pPr>
              <w:spacing w:after="0"/>
              <w:rPr>
                <w:rFonts w:ascii="Arial" w:cs="Arial" w:eastAsia="Arial" w:hAnsi="Arial"/>
                <w:sz w:val="18"/>
                <w:szCs w:val="18"/>
                <w:color w:val="0000EE"/>
                <w:w w:val="95"/>
              </w:rPr>
            </w:pPr>
            <w:hyperlink r:id="rId63">
              <w:r>
                <w:rPr>
                  <w:rFonts w:ascii="Arial" w:cs="Arial" w:eastAsia="Arial" w:hAnsi="Arial"/>
                  <w:sz w:val="18"/>
                  <w:szCs w:val="18"/>
                  <w:color w:val="0000EE"/>
                  <w:w w:val="95"/>
                </w:rPr>
                <w:t>Exhibit 2</w:t>
              </w:r>
            </w:hyperlink>
          </w:p>
        </w:tc>
        <w:tc>
          <w:tcPr>
            <w:tcW w:w="10560" w:type="dxa"/>
            <w:vAlign w:val="bottom"/>
            <w:gridSpan w:val="4"/>
          </w:tcPr>
          <w:p>
            <w:pPr>
              <w:ind w:left="1020"/>
              <w:spacing w:after="0"/>
              <w:rPr>
                <w:rFonts w:ascii="Arial" w:cs="Arial" w:eastAsia="Arial" w:hAnsi="Arial"/>
                <w:sz w:val="18"/>
                <w:szCs w:val="18"/>
                <w:color w:val="0000EE"/>
                <w:w w:val="94"/>
              </w:rPr>
            </w:pPr>
            <w:hyperlink r:id="rId63">
              <w:r>
                <w:rPr>
                  <w:rFonts w:ascii="Arial" w:cs="Arial" w:eastAsia="Arial" w:hAnsi="Arial"/>
                  <w:sz w:val="18"/>
                  <w:szCs w:val="18"/>
                  <w:color w:val="0000EE"/>
                  <w:w w:val="94"/>
                </w:rPr>
                <w:t>Form of Pre-Funded Warrant (incorporated by reference to Exhibit 4.1 to the Issuer’s Current Report on Form 8-K filed with the</w:t>
              </w:r>
            </w:hyperlink>
          </w:p>
        </w:tc>
      </w:tr>
      <w:tr>
        <w:trPr>
          <w:trHeight w:val="20"/>
        </w:trPr>
        <w:tc>
          <w:tcPr>
            <w:tcW w:w="6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880" w:type="dxa"/>
            <w:vAlign w:val="bottom"/>
            <w:gridSpan w:val="2"/>
            <w:shd w:val="clear" w:color="auto" w:fill="0000EE"/>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0560" w:type="dxa"/>
            <w:vAlign w:val="bottom"/>
            <w:gridSpan w:val="4"/>
          </w:tcPr>
          <w:p>
            <w:pPr>
              <w:ind w:left="1020"/>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SEC on June 14, 2022)</w:t>
              </w:r>
            </w:hyperlink>
          </w:p>
        </w:tc>
      </w:tr>
      <w:tr>
        <w:trPr>
          <w:trHeight w:val="885"/>
        </w:trPr>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60" w:type="dxa"/>
            <w:vAlign w:val="bottom"/>
            <w:tcBorders>
              <w:top w:val="single" w:sz="8" w:color="0000EE"/>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Y95308105</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21,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Peter Kolchinsky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Peter Kolchinsky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Rajeev Shah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RA Capital Healthcare Fund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Peter Kolchinsky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Peter Kolchinsky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Y95308105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Joint Filing Agreement, dated as of June 21, 2022, is by and among RA Capital Management, L.P., Peter Kolchinsky, Rajeev Shah, and RA Capital Healthcare Fund, L.P. (the foregoing are collectively referred to herein as the “Filers”).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of the Filers may be required to file with the United States Securities and Exchange Commission a statement on Schedule 13G and/or 13D with respect to Ordinary Shares, no par value Wave Life Sciences Ltd. beneficially owned by them from time to time.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Joint Filing Agreement may be terminated by any of the Filers upon one week’s prior written notice or such lesser period of notice as the Filers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Peter Kolchinsky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Peter Kolchinsky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Rajeev Shah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RA Capital Healthcare Fund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Peter Kolchinsky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Peter Kolchinsky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bullet"/>
      <w:start w:val="1"/>
    </w:lvl>
  </w:abstractNum>
  <w:abstractNum w:abstractNumId="2">
    <w:nsid w:val="721DA317"/>
    <w:multiLevelType w:val="hybridMultilevel"/>
    <w:lvl w:ilvl="0">
      <w:lvlJc w:val="left"/>
      <w:lvlText w:val="2"/>
      <w:numFmt w:val="bullet"/>
      <w:start w:val="1"/>
    </w:lvl>
    <w:lvl w:ilvl="1">
      <w:lvlJc w:val="left"/>
      <w:lvlText w:val="(%2)"/>
      <w:numFmt w:val="lowerLetter"/>
      <w:start w:val="1"/>
    </w:lvl>
  </w:abstractNum>
  <w:abstractNum w:abstractNumId="3">
    <w:nsid w:val="2443A858"/>
    <w:multiLevelType w:val="hybridMultilevel"/>
    <w:lvl w:ilvl="0">
      <w:lvlJc w:val="left"/>
      <w:lvlText w:val="3"/>
      <w:numFmt w:val="bullet"/>
      <w:start w:val="1"/>
    </w:lvl>
  </w:abstractNum>
  <w:abstractNum w:abstractNumId="4">
    <w:nsid w:val="2D1D5AE9"/>
    <w:multiLevelType w:val="hybridMultilevel"/>
    <w:lvl w:ilvl="0">
      <w:lvlJc w:val="left"/>
      <w:lvlText w:val="4"/>
      <w:numFmt w:val="bullet"/>
      <w:start w:val="1"/>
    </w:lvl>
  </w:abstractNum>
  <w:abstractNum w:abstractNumId="5">
    <w:nsid w:val="6763845E"/>
    <w:multiLevelType w:val="hybridMultilevel"/>
    <w:lvl w:ilvl="0">
      <w:lvlJc w:val="left"/>
      <w:lvlText w:val="5"/>
      <w:numFmt w:val="bullet"/>
      <w:start w:val="1"/>
    </w:lvl>
  </w:abstractNum>
  <w:abstractNum w:abstractNumId="6">
    <w:nsid w:val="75A2A8D4"/>
    <w:multiLevelType w:val="hybridMultilevel"/>
    <w:lvl w:ilvl="0">
      <w:lvlJc w:val="left"/>
      <w:lvlText w:val="6"/>
      <w:numFmt w:val="bullet"/>
      <w:start w:val="1"/>
    </w:lvl>
  </w:abstractNum>
  <w:abstractNum w:abstractNumId="7">
    <w:nsid w:val="8EDBDAB"/>
    <w:multiLevelType w:val="hybridMultilevel"/>
    <w:lvl w:ilvl="0">
      <w:lvlJc w:val="left"/>
      <w:lvlText w:val="%1"/>
      <w:numFmt w:val="decimal"/>
      <w:start w:val="11"/>
    </w:lvl>
  </w:abstractNum>
  <w:abstractNum w:abstractNumId="8">
    <w:nsid w:val="79838CB2"/>
    <w:multiLevelType w:val="hybridMultilevel"/>
    <w:lvl w:ilvl="0">
      <w:lvlJc w:val="left"/>
      <w:lvlText w:val="%1"/>
      <w:numFmt w:val="decimal"/>
      <w:start w:val="13"/>
    </w:lvl>
  </w:abstractNum>
  <w:abstractNum w:abstractNumId="9">
    <w:nsid w:val="4353D0CD"/>
    <w:multiLevelType w:val="hybridMultilevel"/>
    <w:lvl w:ilvl="0">
      <w:lvlJc w:val="left"/>
      <w:lvlText w:val="1"/>
      <w:numFmt w:val="bullet"/>
      <w:start w:val="1"/>
    </w:lvl>
  </w:abstractNum>
  <w:abstractNum w:abstractNumId="10">
    <w:nsid w:val="B03E0C6"/>
    <w:multiLevelType w:val="hybridMultilevel"/>
    <w:lvl w:ilvl="0">
      <w:lvlJc w:val="left"/>
      <w:lvlText w:val="1"/>
      <w:numFmt w:val="bullet"/>
      <w:start w:val="1"/>
    </w:lvl>
  </w:abstractNum>
  <w:abstractNum w:abstractNumId="11">
    <w:nsid w:val="189A769B"/>
    <w:multiLevelType w:val="hybridMultilevel"/>
    <w:lvl w:ilvl="0">
      <w:lvlJc w:val="left"/>
      <w:lvlText w:val="2"/>
      <w:numFmt w:val="bullet"/>
      <w:start w:val="1"/>
    </w:lvl>
    <w:lvl w:ilvl="1">
      <w:lvlJc w:val="left"/>
      <w:lvlText w:val="(%2)"/>
      <w:numFmt w:val="lowerLetter"/>
      <w:start w:val="1"/>
    </w:lvl>
  </w:abstractNum>
  <w:abstractNum w:abstractNumId="12">
    <w:nsid w:val="54E49EB4"/>
    <w:multiLevelType w:val="hybridMultilevel"/>
    <w:lvl w:ilvl="0">
      <w:lvlJc w:val="left"/>
      <w:lvlText w:val="3"/>
      <w:numFmt w:val="bullet"/>
      <w:start w:val="1"/>
    </w:lvl>
  </w:abstractNum>
  <w:abstractNum w:abstractNumId="13">
    <w:nsid w:val="71F32454"/>
    <w:multiLevelType w:val="hybridMultilevel"/>
    <w:lvl w:ilvl="0">
      <w:lvlJc w:val="left"/>
      <w:lvlText w:val="4"/>
      <w:numFmt w:val="bullet"/>
      <w:start w:val="1"/>
    </w:lvl>
  </w:abstractNum>
  <w:abstractNum w:abstractNumId="14">
    <w:nsid w:val="2CA88611"/>
    <w:multiLevelType w:val="hybridMultilevel"/>
    <w:lvl w:ilvl="0">
      <w:lvlJc w:val="left"/>
      <w:lvlText w:val="5"/>
      <w:numFmt w:val="bullet"/>
      <w:start w:val="1"/>
    </w:lvl>
  </w:abstractNum>
  <w:abstractNum w:abstractNumId="15">
    <w:nsid w:val="836C40E"/>
    <w:multiLevelType w:val="hybridMultilevel"/>
    <w:lvl w:ilvl="0">
      <w:lvlJc w:val="left"/>
      <w:lvlText w:val="6"/>
      <w:numFmt w:val="bullet"/>
      <w:start w:val="1"/>
    </w:lvl>
  </w:abstractNum>
  <w:abstractNum w:abstractNumId="16">
    <w:nsid w:val="2901D82"/>
    <w:multiLevelType w:val="hybridMultilevel"/>
    <w:lvl w:ilvl="0">
      <w:lvlJc w:val="left"/>
      <w:lvlText w:val="%1"/>
      <w:numFmt w:val="decimal"/>
      <w:start w:val="11"/>
    </w:lvl>
  </w:abstractNum>
  <w:abstractNum w:abstractNumId="17">
    <w:nsid w:val="3A95F874"/>
    <w:multiLevelType w:val="hybridMultilevel"/>
    <w:lvl w:ilvl="0">
      <w:lvlJc w:val="left"/>
      <w:lvlText w:val="%1"/>
      <w:numFmt w:val="decimal"/>
      <w:start w:val="13"/>
    </w:lvl>
  </w:abstractNum>
  <w:abstractNum w:abstractNumId="18">
    <w:nsid w:val="8138641"/>
    <w:multiLevelType w:val="hybridMultilevel"/>
    <w:lvl w:ilvl="0">
      <w:lvlJc w:val="left"/>
      <w:lvlText w:val="2"/>
      <w:numFmt w:val="bullet"/>
      <w:start w:val="1"/>
    </w:lvl>
  </w:abstractNum>
  <w:abstractNum w:abstractNumId="19">
    <w:nsid w:val="1E7FF521"/>
    <w:multiLevelType w:val="hybridMultilevel"/>
    <w:lvl w:ilvl="0">
      <w:lvlJc w:val="left"/>
      <w:lvlText w:val="1"/>
      <w:numFmt w:val="bullet"/>
      <w:start w:val="1"/>
    </w:lvl>
  </w:abstractNum>
  <w:abstractNum w:abstractNumId="20">
    <w:nsid w:val="7C3DBD3D"/>
    <w:multiLevelType w:val="hybridMultilevel"/>
    <w:lvl w:ilvl="0">
      <w:lvlJc w:val="left"/>
      <w:lvlText w:val="2"/>
      <w:numFmt w:val="bullet"/>
      <w:start w:val="1"/>
    </w:lvl>
    <w:lvl w:ilvl="1">
      <w:lvlJc w:val="left"/>
      <w:lvlText w:val="(%2)"/>
      <w:numFmt w:val="lowerLetter"/>
      <w:start w:val="1"/>
    </w:lvl>
  </w:abstractNum>
  <w:abstractNum w:abstractNumId="21">
    <w:nsid w:val="737B8DDC"/>
    <w:multiLevelType w:val="hybridMultilevel"/>
    <w:lvl w:ilvl="0">
      <w:lvlJc w:val="left"/>
      <w:lvlText w:val="3"/>
      <w:numFmt w:val="bullet"/>
      <w:start w:val="1"/>
    </w:lvl>
  </w:abstractNum>
  <w:abstractNum w:abstractNumId="22">
    <w:nsid w:val="6CEAF087"/>
    <w:multiLevelType w:val="hybridMultilevel"/>
    <w:lvl w:ilvl="0">
      <w:lvlJc w:val="left"/>
      <w:lvlText w:val="4"/>
      <w:numFmt w:val="bullet"/>
      <w:start w:val="1"/>
    </w:lvl>
  </w:abstractNum>
  <w:abstractNum w:abstractNumId="23">
    <w:nsid w:val="22221A70"/>
    <w:multiLevelType w:val="hybridMultilevel"/>
    <w:lvl w:ilvl="0">
      <w:lvlJc w:val="left"/>
      <w:lvlText w:val="5"/>
      <w:numFmt w:val="bullet"/>
      <w:start w:val="1"/>
    </w:lvl>
  </w:abstractNum>
  <w:abstractNum w:abstractNumId="24">
    <w:nsid w:val="4516DDE9"/>
    <w:multiLevelType w:val="hybridMultilevel"/>
    <w:lvl w:ilvl="0">
      <w:lvlJc w:val="left"/>
      <w:lvlText w:val="6"/>
      <w:numFmt w:val="bullet"/>
      <w:start w:val="1"/>
    </w:lvl>
  </w:abstractNum>
  <w:abstractNum w:abstractNumId="25">
    <w:nsid w:val="3006C83E"/>
    <w:multiLevelType w:val="hybridMultilevel"/>
    <w:lvl w:ilvl="0">
      <w:lvlJc w:val="left"/>
      <w:lvlText w:val="%1"/>
      <w:numFmt w:val="decimal"/>
      <w:start w:val="11"/>
    </w:lvl>
  </w:abstractNum>
  <w:abstractNum w:abstractNumId="26">
    <w:nsid w:val="614FD4A1"/>
    <w:multiLevelType w:val="hybridMultilevel"/>
    <w:lvl w:ilvl="0">
      <w:lvlJc w:val="left"/>
      <w:lvlText w:val="%1"/>
      <w:numFmt w:val="decimal"/>
      <w:start w:val="13"/>
    </w:lvl>
  </w:abstractNum>
  <w:abstractNum w:abstractNumId="27">
    <w:nsid w:val="419AC241"/>
    <w:multiLevelType w:val="hybridMultilevel"/>
    <w:lvl w:ilvl="0">
      <w:lvlJc w:val="left"/>
      <w:lvlText w:val="3"/>
      <w:numFmt w:val="bullet"/>
      <w:start w:val="1"/>
    </w:lvl>
  </w:abstractNum>
  <w:abstractNum w:abstractNumId="28">
    <w:nsid w:val="5577F8E1"/>
    <w:multiLevelType w:val="hybridMultilevel"/>
    <w:lvl w:ilvl="0">
      <w:lvlJc w:val="left"/>
      <w:lvlText w:val="1"/>
      <w:numFmt w:val="bullet"/>
      <w:start w:val="1"/>
    </w:lvl>
  </w:abstractNum>
  <w:abstractNum w:abstractNumId="29">
    <w:nsid w:val="440BADFC"/>
    <w:multiLevelType w:val="hybridMultilevel"/>
    <w:lvl w:ilvl="0">
      <w:lvlJc w:val="left"/>
      <w:lvlText w:val="2"/>
      <w:numFmt w:val="bullet"/>
      <w:start w:val="1"/>
    </w:lvl>
    <w:lvl w:ilvl="1">
      <w:lvlJc w:val="left"/>
      <w:lvlText w:val="(%2)"/>
      <w:numFmt w:val="lowerLetter"/>
      <w:start w:val="1"/>
    </w:lvl>
  </w:abstractNum>
  <w:abstractNum w:abstractNumId="30">
    <w:nsid w:val="5072367"/>
    <w:multiLevelType w:val="hybridMultilevel"/>
    <w:lvl w:ilvl="0">
      <w:lvlJc w:val="left"/>
      <w:lvlText w:val="3"/>
      <w:numFmt w:val="bullet"/>
      <w:start w:val="1"/>
    </w:lvl>
  </w:abstractNum>
  <w:abstractNum w:abstractNumId="31">
    <w:nsid w:val="3804823E"/>
    <w:multiLevelType w:val="hybridMultilevel"/>
    <w:lvl w:ilvl="0">
      <w:lvlJc w:val="left"/>
      <w:lvlText w:val="4"/>
      <w:numFmt w:val="bullet"/>
      <w:start w:val="1"/>
    </w:lvl>
  </w:abstractNum>
  <w:abstractNum w:abstractNumId="32">
    <w:nsid w:val="77465F01"/>
    <w:multiLevelType w:val="hybridMultilevel"/>
    <w:lvl w:ilvl="0">
      <w:lvlJc w:val="left"/>
      <w:lvlText w:val="5"/>
      <w:numFmt w:val="bullet"/>
      <w:start w:val="1"/>
    </w:lvl>
  </w:abstractNum>
  <w:abstractNum w:abstractNumId="33">
    <w:nsid w:val="7724C67E"/>
    <w:multiLevelType w:val="hybridMultilevel"/>
    <w:lvl w:ilvl="0">
      <w:lvlJc w:val="left"/>
      <w:lvlText w:val="6"/>
      <w:numFmt w:val="bullet"/>
      <w:start w:val="1"/>
    </w:lvl>
  </w:abstractNum>
  <w:abstractNum w:abstractNumId="34">
    <w:nsid w:val="5C482A97"/>
    <w:multiLevelType w:val="hybridMultilevel"/>
    <w:lvl w:ilvl="0">
      <w:lvlJc w:val="left"/>
      <w:lvlText w:val="%1"/>
      <w:numFmt w:val="decimal"/>
      <w:start w:val="11"/>
    </w:lvl>
  </w:abstractNum>
  <w:abstractNum w:abstractNumId="35">
    <w:nsid w:val="2463B9EA"/>
    <w:multiLevelType w:val="hybridMultilevel"/>
    <w:lvl w:ilvl="0">
      <w:lvlJc w:val="left"/>
      <w:lvlText w:val="%1"/>
      <w:numFmt w:val="decimal"/>
      <w:start w:val="13"/>
    </w:lvl>
  </w:abstractNum>
  <w:abstractNum w:abstractNumId="36">
    <w:nsid w:val="5E884ADC"/>
    <w:multiLevelType w:val="hybridMultilevel"/>
    <w:lvl w:ilvl="0">
      <w:lvlJc w:val="left"/>
      <w:lvlText w:val="4"/>
      <w:numFmt w:val="bullet"/>
      <w:start w:val="1"/>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lowerLetter"/>
      <w:start w:val="2"/>
    </w:lvl>
  </w:abstractNum>
  <w:abstractNum w:abstractNumId="39">
    <w:nsid w:val="580BD78F"/>
    <w:multiLevelType w:val="hybridMultilevel"/>
    <w:lvl w:ilvl="0">
      <w:lvlJc w:val="left"/>
      <w:lvlText w:val="(%1)"/>
      <w:numFmt w:val="lowerLetter"/>
      <w:start w:val="3"/>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3" Type="http://schemas.openxmlformats.org/officeDocument/2006/relationships/hyperlink" Target="https://www.sec.gov/Archives/edgar/data/1631574/000119312522173529/d36421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2022-06-21T15:39:41Z</dcterms:created>
  <dcterms:modified xsi:type="dcterms:W3CDTF">2022-06-21T15:39:41Z</dcterms:modified>
</cp:coreProperties>
</file>