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80" w:right="2980" w:hanging="4072"/>
        <w:spacing w:after="0" w:line="264" w:lineRule="auto"/>
        <w:tabs>
          <w:tab w:leader="none" w:pos="33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3653790</wp:posOffset>
            </wp:positionH>
            <wp:positionV relativeFrom="paragraph">
              <wp:posOffset>-15875</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No. 001-37627</w:t>
      </w:r>
    </w:p>
    <w:p>
      <w:pPr>
        <w:spacing w:after="0" w:line="22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WAVE LIFE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4920" w:type="dxa"/>
            <w:vAlign w:val="bottom"/>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Singapore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98-1356880</w:t>
            </w:r>
          </w:p>
        </w:tc>
      </w:tr>
      <w:tr>
        <w:trPr>
          <w:trHeight w:val="203"/>
        </w:trPr>
        <w:tc>
          <w:tcPr>
            <w:tcW w:w="4920" w:type="dxa"/>
            <w:vAlign w:val="bottom"/>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92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22"/>
        </w:trPr>
        <w:tc>
          <w:tcPr>
            <w:tcW w:w="492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7 Straits View #12-00, Marina One East Tower</w:t>
            </w:r>
          </w:p>
        </w:tc>
        <w:tc>
          <w:tcPr>
            <w:tcW w:w="2940" w:type="dxa"/>
            <w:vAlign w:val="bottom"/>
          </w:tcPr>
          <w:p>
            <w:pPr>
              <w:spacing w:after="0"/>
              <w:rPr>
                <w:sz w:val="24"/>
                <w:szCs w:val="24"/>
                <w:color w:val="auto"/>
              </w:rPr>
            </w:pPr>
          </w:p>
        </w:tc>
      </w:tr>
      <w:tr>
        <w:trPr>
          <w:trHeight w:val="216"/>
        </w:trPr>
        <w:tc>
          <w:tcPr>
            <w:tcW w:w="4920" w:type="dxa"/>
            <w:vAlign w:val="bottom"/>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Singapore</w:t>
            </w:r>
          </w:p>
        </w:tc>
        <w:tc>
          <w:tcPr>
            <w:tcW w:w="2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018936</w:t>
            </w:r>
          </w:p>
        </w:tc>
      </w:tr>
      <w:tr>
        <w:trPr>
          <w:trHeight w:val="212"/>
        </w:trPr>
        <w:tc>
          <w:tcPr>
            <w:tcW w:w="492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 6236 3388</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180" w:type="dxa"/>
            <w:vAlign w:val="bottom"/>
            <w:vMerge w:val="restart"/>
          </w:tcPr>
          <w:p>
            <w:pPr>
              <w:jc w:val="center"/>
              <w:ind w:left="486"/>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ind w:left="880"/>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c>
          <w:tcPr>
            <w:tcW w:w="0" w:type="dxa"/>
            <w:vAlign w:val="bottom"/>
          </w:tcPr>
          <w:p>
            <w:pPr>
              <w:spacing w:after="0"/>
              <w:rPr>
                <w:sz w:val="1"/>
                <w:szCs w:val="1"/>
                <w:color w:val="auto"/>
              </w:rPr>
            </w:pPr>
          </w:p>
        </w:tc>
      </w:tr>
      <w:tr>
        <w:trPr>
          <w:trHeight w:val="225"/>
        </w:trPr>
        <w:tc>
          <w:tcPr>
            <w:tcW w:w="31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c>
          <w:tcPr>
            <w:tcW w:w="0" w:type="dxa"/>
            <w:vAlign w:val="bottom"/>
          </w:tcPr>
          <w:p>
            <w:pPr>
              <w:spacing w:after="0"/>
              <w:rPr>
                <w:sz w:val="1"/>
                <w:szCs w:val="1"/>
                <w:color w:val="auto"/>
              </w:rPr>
            </w:pPr>
          </w:p>
        </w:tc>
      </w:tr>
      <w:tr>
        <w:trPr>
          <w:trHeight w:val="413"/>
        </w:trPr>
        <w:tc>
          <w:tcPr>
            <w:tcW w:w="3180" w:type="dxa"/>
            <w:vAlign w:val="bottom"/>
          </w:tcPr>
          <w:p>
            <w:pPr>
              <w:jc w:val="center"/>
              <w:ind w:left="506"/>
              <w:spacing w:after="0"/>
              <w:rPr>
                <w:sz w:val="20"/>
                <w:szCs w:val="20"/>
                <w:color w:val="auto"/>
              </w:rPr>
            </w:pPr>
            <w:r>
              <w:rPr>
                <w:rFonts w:ascii="Times New Roman" w:cs="Times New Roman" w:eastAsia="Times New Roman" w:hAnsi="Times New Roman"/>
                <w:sz w:val="16"/>
                <w:szCs w:val="16"/>
                <w:b w:val="1"/>
                <w:bCs w:val="1"/>
                <w:color w:val="auto"/>
              </w:rPr>
              <w:t>$0 Par Value Ordinary Shares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WVE</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2"/>
                <w:szCs w:val="22"/>
                <w:color w:val="auto"/>
              </w:rPr>
            </w:pPr>
          </w:p>
        </w:tc>
        <w:tc>
          <w:tcPr>
            <w:tcW w:w="8060" w:type="dxa"/>
            <w:vAlign w:val="bottom"/>
            <w:gridSpan w:val="9"/>
          </w:tcPr>
          <w:p>
            <w:pPr>
              <w:ind w:left="2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35"/>
        </w:trPr>
        <w:tc>
          <w:tcPr>
            <w:tcW w:w="4520" w:type="dxa"/>
            <w:vAlign w:val="bottom"/>
            <w:gridSpan w:val="4"/>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500" w:type="dxa"/>
            <w:vAlign w:val="bottom"/>
            <w:gridSpan w:val="3"/>
            <w:vMerge w:val="restart"/>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6"/>
        </w:trPr>
        <w:tc>
          <w:tcPr>
            <w:tcW w:w="64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Yes</w:t>
            </w:r>
          </w:p>
        </w:tc>
        <w:tc>
          <w:tcPr>
            <w:tcW w:w="40" w:type="dxa"/>
            <w:vAlign w:val="bottom"/>
          </w:tcPr>
          <w:p>
            <w:pPr>
              <w:spacing w:after="0"/>
              <w:rPr>
                <w:sz w:val="17"/>
                <w:szCs w:val="17"/>
                <w:color w:val="auto"/>
              </w:rPr>
            </w:pPr>
          </w:p>
        </w:tc>
        <w:tc>
          <w:tcPr>
            <w:tcW w:w="45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4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  Yes</w:t>
            </w:r>
          </w:p>
        </w:tc>
        <w:tc>
          <w:tcPr>
            <w:tcW w:w="30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454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30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6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6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6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12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260" w:val="left"/>
          <w:tab w:leader="none" w:pos="67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28, 2024) was $488,707,919.</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outstanding ordinary shares of the registrant as of March 31, 2025 was 154,089,713.</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 on Form 10-K/A (this “Amendment”) amends the Annual Report on Form 10-K of Wave Life Sciences Ltd. (the “Company,” “we,” “our,” “us” or “Wave”) for the fiscal year ended December 31, 2024, as originally filed with the Securities and Exchange Commission (the “SEC”) on March 4, 2025 (the “Original 10-K”). The purpose of this Amendment is to include information required by Part III of the Annual Report on Form 10-K that was intentionally omitted from Part III of the Original 10-K. In addition, this Amendment amends Item 15 of Part IV of the Original 10-K to update the exhibit list and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Except as described above, no other changes have been made to the Original 10-K. The Original 10-K continues to speak as of the dates described in the Original 10-K, and we have not updated the disclosures contained therein to reflect any events that occurred subsequent to such dates. Accordingly, this Amendment should be read in conjunction with our filings made with the SEC subsequent to the filing of the Original 10-K, as information in such filings may update or supersede certain information contained in this Amendment. As used in this Amendment, unless otherwise stated or the context otherwise indicates, references to “Wave,” the “Company,” “we,” “our,” “us” or similar terms refer to Wave Life Sciences Ltd. and our wholly owned subsidiaries.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The Wave Life Sciences Ltd. and Wave Life Sciences Pte. Ltd. names, the Wave Life Sciences mark, PRISM and the other registered and pending trademarks, trade names and service marks of Wave Life Sciences Ltd. appearing in this Amendment are the property of Wave Life Sciences Ltd. This Amendment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Amendment are referred to without the </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symbols, but such reference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Amendment contains forward-looking statements within the meaning of Section 27A of the Securities Act of 1933, as amended (the “Securities Act”), and Section 21E of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Forward-looking statements include statements, other than statements of historical fact, about, among other things: our ability to fund our future operations; our financial position, revenues, 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the impact of tariffs on our business and operations; and our expectations regarding the impact of any local and global health epidemics on our business, including our research and development activities, preclinical studies and clinical trials, supply of drug product, and our workforce.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believe that we have a reasonable basis for each forward-looking statement contained in this Amendment,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These risks, uncertainties and other factors include, among other things, our critical accounting policies; the ability of our preclinical studies to produce data sufficient to support the filing of global clinical trial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t>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including the recent workforce reductions implemented at various U.S.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and any impacts on our business as a result of or related to any local and global health epidemics, the conflict involving Russia and Ukraine, the conflict in the Middle East, global economic uncertainty, trade wars, volatility in inflation, volatility in interest rates or market disruptions on our business, as well as other risks and uncertainties under the “Risk Factors” section of the Original 10-K and in other filings we make with the SEC.</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forward-looking statement contained in this Amendment is based on a combination of facts and factors currently known by us and our expectations of the future, about which we cannot be certain.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these factors, we cannot assure you that the forward-looking statements in this Amendment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any forward-looking statement in this Amendment represents our views only as of the date of this Amendment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u w:val="single" w:color="auto"/>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01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1650" cy="8890"/>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10.</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11.</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12.</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13.</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95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15.</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 16.</w:t>
      </w:r>
    </w:p>
    <w:p>
      <w:pPr>
        <w:spacing w:after="0" w:line="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-10795</wp:posOffset>
            </wp:positionV>
            <wp:extent cx="511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600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1455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3" w:lineRule="exact"/>
        <w:rPr>
          <w:sz w:val="20"/>
          <w:szCs w:val="20"/>
          <w:color w:val="auto"/>
        </w:rPr>
      </w:pPr>
    </w:p>
    <w:p>
      <w:pPr>
        <w:ind w:right="1360"/>
        <w:spacing w:after="0" w:line="279" w:lineRule="auto"/>
        <w:rPr>
          <w:sz w:val="20"/>
          <w:szCs w:val="20"/>
          <w:color w:val="auto"/>
        </w:rPr>
      </w:pPr>
      <w:r>
        <w:rPr>
          <w:rFonts w:ascii="Times New Roman" w:cs="Times New Roman" w:eastAsia="Times New Roman" w:hAnsi="Times New Roman"/>
          <w:sz w:val="18"/>
          <w:szCs w:val="18"/>
          <w:u w:val="single" w:color="auto"/>
          <w:color w:val="0000FF"/>
        </w:rPr>
        <w:t>Security Ownership of Certain Beneficial Owners and Management and Related Stockholder Matters Certain Relationships and Related Transactions, and Director Independence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4629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-191770</wp:posOffset>
            </wp:positionV>
            <wp:extent cx="3464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645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-46355</wp:posOffset>
            </wp:positionV>
            <wp:extent cx="18148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1483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005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1073150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983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3">
            <w:col w:w="1240" w:space="440"/>
            <w:col w:w="8660" w:space="720"/>
            <w:col w:w="180"/>
          </w:cols>
          <w:pgMar w:left="320" w:top="1022"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there is no maximum number of directors that may hold office at any time. Our Board of Directors (our “Board”) currently consists of nine members and each of our directors is elected annually. Our Constitution requires that each of our directors retire at each annual general meeting of our shareholders, and each retiring director is then eligible for re-election. Pursuant to the Companies Act 1967 of Singapore (the “Singapore Companies Act”) and our Constitution, our Board must have at least one director who is ordinarily resident in Singapore. Aik Na Tan is currently our Singapore resident director.</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Set forth below are the names of our directors, their ages as of March 31, 2025, their offices in our Company, if any, their principal occupations or employment for at least the past five years, the length of their tenure as directors and the names of other public companies in which they hold or have held directorships during the past five years. In addition, information about the specific experience, qualifications, attributes or skills that led to our Board’s conclusion at the time of filing of this Amendment that each person listed below should serve as a director, is set forth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51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36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Paul B. Bolno, M.D., MBA</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51</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Christian Henry</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57</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 of the Board</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Mark H. N. Corrigan, M.D.</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67</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Peter Kolchinsky, Ph.D.</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48</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Adrian Rawcliffe</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52</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Ken Takanashi</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60</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Aik Na Tan</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54</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Gregory L. Verdine, Ph.D.</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65</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Heidi L. Wagner, J.D.</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60</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Paul B. Bolno, M.D.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MBA </w:t>
      </w:r>
      <w:r>
        <w:rPr>
          <w:rFonts w:ascii="Times New Roman" w:cs="Times New Roman" w:eastAsia="Times New Roman" w:hAnsi="Times New Roman"/>
          <w:sz w:val="18"/>
          <w:szCs w:val="18"/>
          <w:color w:val="auto"/>
        </w:rPr>
        <w:t>has served as our President and Chief Executive Officer since December 2013 and as a director since April 2014. Since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Dr. Bolno has served as Chairman of the Scientific Advisory Group for the Nucleic Acid Therapy Accelerator (NATA) in the United Kingdom, and since December 2024, as Chairman of the Board of Directors to ExpressionEdits, a privately-held biotechnology company. From June 2020 through March 2024, Dr. Bolno served on the board of directors of SQZ Biotechnologies, a publicly-traded life sciences company that was acquired by STEMCELL Technologies Canada Acquisitions, Inc. in March 2024. Prior to joining us, he served at GlaxoSmithKline plc from 2009 to 2013 in various roles, including Vice President, Worldwide Business Development—Head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since 2013, his medical degree and clinical training in cardiothoracic surgery, his business degree and experience evaluating life sciences companies in healthcare private equity, and his extensive business development and operating experience working in various roles at one of the world’s largest global healthcare companies qualify him to serve on our Board.</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Henry </w:t>
      </w:r>
      <w:r>
        <w:rPr>
          <w:rFonts w:ascii="Times New Roman" w:cs="Times New Roman" w:eastAsia="Times New Roman" w:hAnsi="Times New Roman"/>
          <w:sz w:val="18"/>
          <w:szCs w:val="18"/>
          <w:color w:val="auto"/>
        </w:rPr>
        <w:t>has served as a director since November 2016, and as Chair of our Board since October 2017. Mr. Henry currently serves as the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of Pacific Biosciences, a publicly traded life sciences company, a position he has held since September 2020, and has also served on its board of directors since 2018. Mr. Henry has served on the board of directors of Ginkgo Bioworks, a publicly-traded synthetic biology company, since 2016, and previously served on the board of directors CM Life Sciences III Inc., a publicly-traded special purpose acquisition company, from April 2021 through December 2021. Mr. Henry served as Executive Vice President &amp; Chief Commercial Officer of Illumina, Inc.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 President, Corporate Development &amp; Chief Financial Officer from 2009 to 2010, Senior Vice President &amp; Chief Financial Officer from 2007 to 2009, and Vice President &amp; Chief Financial Officer from 2005 to 2006. Prior to joining Illumina, Inc., Mr. Henry served as the Chief Financial Officer of Tickets.com, Inc. from 2003 to 2005. From 1999 to 2003, Mr. Henry served as Vice President, Finance &amp; Corporate Controller of Affymetrix, Inc. (acquired by Thermo Fisher Scientific in 2016). In 1997, Mr. Henry joined Nektar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ind w:right="100"/>
        <w:spacing w:after="0" w:line="255" w:lineRule="auto"/>
        <w:rPr>
          <w:sz w:val="20"/>
          <w:szCs w:val="20"/>
          <w:color w:val="auto"/>
        </w:rPr>
      </w:pPr>
      <w:r>
        <w:rPr>
          <w:rFonts w:ascii="Times New Roman" w:cs="Times New Roman" w:eastAsia="Times New Roman" w:hAnsi="Times New Roman"/>
          <w:sz w:val="18"/>
          <w:szCs w:val="18"/>
          <w:color w:val="auto"/>
        </w:rPr>
        <w:t>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earned his B.A. in biochemistry and cell biology from the University of California, San Diego, and his M.B.A., with a concentration in finance, from the University of California, Irvine. We believe he is qualified to serve on our Board and as our Chair because of his proven strengths in corporate strategy, finance and operations, along with his extensive experience leading various functions at one of the largest and most innovative genetic healthcare companies, and his experience as a board member, board committee member and chief executive officer of publicly-traded life sciences companies.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H. N. Corrigan, M.D. </w:t>
      </w:r>
      <w:r>
        <w:rPr>
          <w:rFonts w:ascii="Times New Roman" w:cs="Times New Roman" w:eastAsia="Times New Roman" w:hAnsi="Times New Roman"/>
          <w:sz w:val="18"/>
          <w:szCs w:val="18"/>
          <w:color w:val="auto"/>
        </w:rPr>
        <w:t>has served as a director since September 2019. Dr. Corrigan currently serves on the board of directors of Silver Creek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and AstronauTx LLC, both privately-held companies. Dr. Corrigan also serves as a Strategic Advisor to Ceretype Neuromedicine. Dr. Corrigan served as a member of the board of directors of Nabriva Therapeutics plc, a publicly traded commercial-stage biopharmaceutical company, from June 2021 to December 2023, and previously served on its board of directors from June 2017 to May 2020. Dr. Corrigan also served as chairman of the board of directors of Elios Therapeutics, LLC, a privately-held development-stage immuno-oncology company. Dr. Corrigan served as the Chief Executive Officer of Correvio Pharma Corp. (“Correvio”), from March 2019 to May 2020. Prior to joining Correvio, Dr. Corrigan was President of Research and Development at Tremeau Pharmaceuticals (of which he is also a co-founder) from 2016 to March 2019. Dr. Corrigan served as President and Chief Executive Officer of Zalicus, Inc. (formerly CombinatoRx) from 2010 to 2014. Prior to that time, from 2003 to 2009, Dr. Corrigan held the role of Executive Vice President, Research and Development at Sepracor Inc. From 2000 to 2003, Dr. Corrigan served as Group Vice President, Clinical Research</w:t>
      </w:r>
    </w:p>
    <w:p>
      <w:pPr>
        <w:spacing w:after="0" w:line="6" w:lineRule="exact"/>
        <w:rPr>
          <w:sz w:val="20"/>
          <w:szCs w:val="20"/>
          <w:color w:val="auto"/>
        </w:rPr>
      </w:pPr>
    </w:p>
    <w:p>
      <w:pPr>
        <w:ind w:right="80" w:firstLine="8"/>
        <w:spacing w:after="0" w:line="252"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Experimental Medicine at Pharmacia Corporation. Prior to this, Dr. Corrigan held various roles at The Upjohn Company, The University of North Carolina, and the National Institute of Mental Health Center for Psychoneuroendocrinology in Adults and Children at Dorthea Dix Hospital. Dr. Corrigan previously served as a member of the board of directors of Avanir Pharmaceuticals, Inc., CoLucid Pharmaceuticals, Inc., Correvio Pharma Corp., and Cubist Pharmaceuticals, Inc. Dr. Corrigan holds an M.D. from the University of Virginia and received specialty training in psychiatry at Maine Medical Center and Cornell University. He received a Bachelor of Arts in Psychology from the University of Virginia. We believe he is qualified to serve on our Board because of his extensive experience working with clinical-stage, publicly-traded biopharmaceutical companies as a board member, board committee member and chief executive officer, his medical degree and clinical training in psychiatry, and his clinical and regulatory expertise.</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Kolchinsky, Ph.D. </w:t>
      </w:r>
      <w:r>
        <w:rPr>
          <w:rFonts w:ascii="Times New Roman" w:cs="Times New Roman" w:eastAsia="Times New Roman" w:hAnsi="Times New Roman"/>
          <w:sz w:val="18"/>
          <w:szCs w:val="18"/>
          <w:color w:val="auto"/>
        </w:rPr>
        <w:t>has served as a director since January 2015. Dr. Kolchinsky is a founder and Managing Partner of RA Capital, a multi-stage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investment manager which is dedicated to evidence-based investing in healthcare and life science companies that are developing drugs, medical devices, diagnostics, services and research tools, where he has worked since 2001. RA Capital is the investment manager of RA Capital Healthcare Fund, L.P. Dr. Kolchinsky has served as a member of the board of directors of ARS Pharmaceuticals Inc., a publicly-traded biopharmaceutical company, since August 2021, in addition to serving as a member of the board of directors of a number of privately-held companies. Dr. Kolchinsky previously served as a member of the board of directors of Forma Therapeutics Holdings, Inc., from December 2019 through October 2022, Dicerna Pharmaceuticals, Inc., from July 2013 to December 2019, </w:t>
      </w:r>
      <w:r>
        <w:rPr>
          <w:rFonts w:ascii="Times New Roman" w:cs="Times New Roman" w:eastAsia="Times New Roman" w:hAnsi="Times New Roman"/>
          <w:sz w:val="18"/>
          <w:szCs w:val="18"/>
          <w:color w:val="231F20"/>
        </w:rPr>
        <w:t>Icosavax, Inc. from July 2021 to December 2023, Research Alliance Corporation I from April 2020 to June 2021, Research Alliance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Corporation II from July 2020 to December 2022, </w:t>
      </w:r>
      <w:r>
        <w:rPr>
          <w:rFonts w:ascii="Times New Roman" w:cs="Times New Roman" w:eastAsia="Times New Roman" w:hAnsi="Times New Roman"/>
          <w:sz w:val="18"/>
          <w:szCs w:val="18"/>
          <w:color w:val="000000"/>
        </w:rPr>
        <w:t>and Synthorx, Inc., from May 2018 to January 2020, all of which were publicly-traded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biopharmaceutical companies. Dr. Kolchinsky also leads RA Capital’s engagement and publishing efforts, which aim to make a positive social impact and spark collaboration among healthcare stakeholders, including patients, physicians, researchers, policymakers, and industry. He served on the Board of Global Science and Technology for the National Academy of Sciences from 2009 to 2012, is the author of “The Great American Drug Deal” and “The Entrepreneur’s Guide to a Biotech Startup”, and frequently writes and speaks on the future of biotechnology innovation. Dr. Kolchinsky earned his Ph.D. in virology from Harvard University and earned his bachelor’s degree in Biology from Cornell University. We believe he is qualified to serve on our Board because of his scientific acumen, his strong reputation as a thought leader in the life sciences industry, his extensive experience investing in and forming, building and growing life sciences companies and mentoring their management teams, as well as his experience as an institutional investor and his experience serving as a board member, board committee member, and board observer of various publicly-traded and privately-held healthcare and life science companies.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Adrian Rawcliffe </w:t>
      </w:r>
      <w:r>
        <w:rPr>
          <w:rFonts w:ascii="Times New Roman" w:cs="Times New Roman" w:eastAsia="Times New Roman" w:hAnsi="Times New Roman"/>
          <w:sz w:val="18"/>
          <w:szCs w:val="18"/>
          <w:color w:val="auto"/>
        </w:rPr>
        <w:t>has served as a director since February 2017. Since September 2019, Mr. Rawcliffe has served as the Chief Executive Officer and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of Adaptimmune Therapeutics plc. (“Adaptimmune”), a publicly traded clinical-stage biopharmaceutical company. Mr. Rawcliffe also serves on the board of directors of Adaptimmune Ltd., a privately-held company and subsidiary of Adaptimmune. From 2015 to September 2019, he served as Adaptimmune’s Chief Financial Officer. Prior to joining Adaptimmune, Mr. Rawcliffe served in various roles at GlaxoSmithKline plc, including Senior Vice President Finance, North America Pharmaceuticals and Global Franchises from 2011 to 2015; Senior Vice President, Worldwide Business Development and R&amp;D Finance from 2006 to 2011; Vice President, Worldwide Business Development Transactions and Ventures from 2003 to 2005; and Vice President, Deal Structuring from 2001 to 2003. From 2005 to 2006, Mr. Rawcliffe served as the President and Managing Partner of SR One Ltd. Mr. Rawcliffe began his career as a supervisor at Coopers &amp; Lybrand (now PricewaterhouseCoopers) from 1993 to 1997. Mr. Rawcliffe received his B.Sc. in Natural Sciences from the University of Durham, England. Mr. Rawcliffe also</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received Chartered Accountancy training through The Institute of Chartered Accountants in England and Wales (ICAEW). We believe he is qualified to serve on our Board because of his global operating and business leadership experience working in the biopharmaceutical industry, his experience as a board member, board committee member, chief financial officer and chief executive officer of publicly-traded biotechnology companies, and his extensive operating and corporate development experience working in various roles at one of the world’s largest global healthcare companies.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 Takanashi </w:t>
      </w:r>
      <w:r>
        <w:rPr>
          <w:rFonts w:ascii="Times New Roman" w:cs="Times New Roman" w:eastAsia="Times New Roman" w:hAnsi="Times New Roman"/>
          <w:sz w:val="18"/>
          <w:szCs w:val="18"/>
          <w:color w:val="auto"/>
        </w:rPr>
        <w:t>has served as a director since July 2012. Since 2002, Mr. Takanashi has served in various executive management and director roles at Shin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Nippon Biomedical Laboratories Ltd. (“SNBL”) and its affiliates and currently serves as its Executive Vice President, Representative Director. Mr. Takanashi was the Chief Financial Officer of SNBL USA, Ltd., a subsidiary of Shin Nippon Biomedical Laboratories, from 2012 to 2014. Since 2016, Mr. Takanashi has also served on the board of directors of Satsuma Pharmaceuticals, Inc., a biopharmaceutical company that was previously publicly-traded and became a privately-held company and wholly-owned subsidiary of SNBL on June 8, 2023. Mr. Takanashi also serves as a member of the board of directors of TMS Co., Ltd., a biopharmaceutical company listed on the Tokyo Stock Exchange, since March 2022. Mr. Takanashi earned an M.B.A. from the University of Warwick and received his bachelor’s degree from the University of Tokyo and is a Chartered Public Accountant. We believe he is qualified to serve on our Board because of his extensive experience leading global research and development organizations in the biopharmaceutical industry, his experience forming, building and taking life sciences companies public, his experience serving as a board member and board committee member of various publicly-traded life sciences companies, his long-standing history with Wave, his close familiarity with our Japanese operations, and his business, financial and accounting credentials.</w:t>
      </w:r>
    </w:p>
    <w:p>
      <w:pPr>
        <w:spacing w:after="0" w:line="1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Aik Na Tan </w:t>
      </w:r>
      <w:r>
        <w:rPr>
          <w:rFonts w:ascii="Times New Roman" w:cs="Times New Roman" w:eastAsia="Times New Roman" w:hAnsi="Times New Roman"/>
          <w:sz w:val="18"/>
          <w:szCs w:val="18"/>
          <w:color w:val="auto"/>
        </w:rPr>
        <w:t>has served as a director since August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Tan currently serves as Senior Vice-President (Administration) at Nanyang Technological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Singapore (NTU), a position she has held since January 2020. From when she joined NTU in August 2016 to December 2017, she served as NTU’s Chief Financial Officer. She also served as NTU’s Chief Administrative Officer from April 2017 to December 2017 and as NTU’s Vice-President (Administration) from January 2018 to December 2019. Prior to joining NTU, Ms. Tan served as Global Finance Transformation Leader &amp; Managing Director of the Chemours Company Singapore Pte Ltd, a spin-off from DuPont, from 2015 to 2016. From 1994 to 2015, Ms. Tan held numerous global and regional leadership roles at DuPont in accounting, corporate treasury, six sigma, financial systems, supply chain, operations, financial and strategic planning, including various positions at DuPont Company (Singapore) Pte Ltd, most recently serving as the Chief Financial Officer of DuPont Titanium Technologies from November 2011 to February 2015. Ms. Tan began her professional career as a tax assistant at Price Waterhouse. Ms. Tan holds a Bachelor of Accountancy degree from the Nanyang Technological University, Singapore, and is a member of the Institute of Singapore Chartered Accountants. We believe she is qualified to serve on our Board because of her extensive experience as a chief financial officer and chief administrative officer, her broad operations experience working in Singapore corporations, her experience working on boards of directors and committees thereof, as well as her business, financial and accounting credentials.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L. Verdine, Ph.D. </w:t>
      </w:r>
      <w:r>
        <w:rPr>
          <w:rFonts w:ascii="Times New Roman" w:cs="Times New Roman" w:eastAsia="Times New Roman" w:hAnsi="Times New Roman"/>
          <w:sz w:val="18"/>
          <w:szCs w:val="18"/>
          <w:color w:val="auto"/>
        </w:rPr>
        <w:t>is one of our founders and has served as a director since July 2013. He was our President, Chief Executive Officer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Scientific Officer from our inception through December 2013 and served as Chairman of our Board from July 2013 through September 2017. Since 1989, Dr. Verdine has served as the Erving Professor of Chemistry in the Department of Stem Cell and Regenerative Biology and the Department of Chemistry and Chemical Biology at Harvard University and Harvard Medical School; he is now Erving Professor of Chemistry, Emeritus. Dr. Verdine co-founded the non-profit Gloucester Marine Genomics Institute and Gloucester Biotechnology Academy in 2013 and served as the Founding President until 2016. He is the co-founder of Parabilis Medicines (formerly Fog Pharmaceuticals Inc.), a privately-held company, and served as President and Chief Executive Officer of the company from October 2015 to June 2023 </w:t>
      </w:r>
      <w:r>
        <w:rPr>
          <w:rFonts w:ascii="Times New Roman" w:cs="Times New Roman" w:eastAsia="Times New Roman" w:hAnsi="Times New Roman"/>
          <w:sz w:val="18"/>
          <w:szCs w:val="18"/>
          <w:color w:val="231F20"/>
        </w:rPr>
        <w:t>and Vice Chairman of the Board of Directors from June 2023 to June 2024</w:t>
      </w:r>
      <w:r>
        <w:rPr>
          <w:rFonts w:ascii="Times New Roman" w:cs="Times New Roman" w:eastAsia="Times New Roman" w:hAnsi="Times New Roman"/>
          <w:sz w:val="18"/>
          <w:szCs w:val="18"/>
          <w:color w:val="auto"/>
        </w:rPr>
        <w:t xml:space="preserve">. He is also President and Chief Executive Officer and serves on the board of directors of LifeMine Therapeutics Inc., a privately-held company. Since August 2024, Dr. Verdine has served as Executive Chair at Biggie Bio, LLC and as sole Director of wholly-owned subsidiary VidaVinci, Inc., both privately held companies.. Dr. Verdine also serves as Managing General Partner of LoLa Capital Partners, a new modality venture capital fund. He is also the founder of Warp Drive Bio (merged with Revolution Medicines, Inc. (Nasdaq: RVMD)) and served in various roles, from Chief Scientific Officer to Chief Executive Officer, from the company’s inception in 2012 until April 2016. Dr. Verdine founded Enanta Pharmaceuticals and served as a member of its board of directors from 1990 through its initial public offering in 2013. He has served as a Venture Partner at WuXi Healthcare Ventures, AppleTree Ventures, TPG Biotech and Third Rock Ventures, </w:t>
      </w:r>
      <w:r>
        <w:rPr>
          <w:rFonts w:ascii="Times New Roman" w:cs="Times New Roman" w:eastAsia="Times New Roman" w:hAnsi="Times New Roman"/>
          <w:sz w:val="18"/>
          <w:szCs w:val="18"/>
          <w:color w:val="231F20"/>
        </w:rPr>
        <w:t>and he is currently a Venture Partner at Andreessen Horowitz</w:t>
      </w:r>
      <w:r>
        <w:rPr>
          <w:rFonts w:ascii="Times New Roman" w:cs="Times New Roman" w:eastAsia="Times New Roman" w:hAnsi="Times New Roman"/>
          <w:sz w:val="18"/>
          <w:szCs w:val="18"/>
          <w:color w:val="auto"/>
        </w:rPr>
        <w:t>. He has served on the Board of Scientific Counselors of the National Cancer Institute, and on the Board of Scientific Consultants of the Memorial Sloan Kettering Cancer Center, and was a Senior Advisor to Shin Nippon Biomedical Laboratories Ltd, Hofmann La Roche, Pfizer and Merck. Dr. Verdine is also a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 Dr. Verdine received his Ph.D. in Chemistry from Columbia University and completed postdoctoral work in Molecular Biology at the Massachusetts Institute of Technology and Harvard Medical School. We believe he is qualified to serve on our Board because of his expertise and deep knowledge of our technology as one of our co-founders, his vast expertise in new modality therapeutics, including as a co-inventor of the core Wave Life Sciences stereochemistry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 w:name="page8"/>
    <w:bookmarkEnd w:id="7"/>
    <w:p>
      <w:pPr>
        <w:ind w:right="180"/>
        <w:spacing w:after="0" w:line="282" w:lineRule="auto"/>
        <w:rPr>
          <w:sz w:val="20"/>
          <w:szCs w:val="20"/>
          <w:color w:val="auto"/>
        </w:rPr>
      </w:pPr>
      <w:r>
        <w:rPr>
          <w:rFonts w:ascii="Times New Roman" w:cs="Times New Roman" w:eastAsia="Times New Roman" w:hAnsi="Times New Roman"/>
          <w:sz w:val="18"/>
          <w:szCs w:val="18"/>
          <w:color w:val="auto"/>
        </w:rPr>
        <w:t>technology and leading expert in the field of stereopure oligonucleotide therapeutics, and his long track record of founding, advising and leading multiple successful biopharmaceutical companies.</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Heidi L. Wagner, J.D. </w:t>
      </w:r>
      <w:r>
        <w:rPr>
          <w:rFonts w:ascii="Times New Roman" w:cs="Times New Roman" w:eastAsia="Times New Roman" w:hAnsi="Times New Roman"/>
          <w:sz w:val="18"/>
          <w:szCs w:val="18"/>
          <w:color w:val="auto"/>
        </w:rPr>
        <w:t>has served as a director since September 2019. Ms. Wagner currently serves as Global Head of Government Affairs at ElevateBio,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 privately-held biopharmaceutical company, a position she has held since March 2023. Ms. Wagner served as Senior Vice President, Government Affairs and Policy at Global Blood Therapeutics, Inc., from 2018 through January 2021. Prior to joining Global Blood Therapeutics, Ms. Wagner served as Senior Vice President, Global Governmental Affairs and a member of the Executive Committee at Alexion Pharmaceuticals, Inc. from 2012 to 2018, and as Vice President, Global Government Affairs from 2009 to 2012. Ms. Wagner held the role of Senior Director of Government Affairs at Genentech, Inc. from 2000 to 2009, and as Director, Government Affairs from 1998 to 1999. Prior to that time, she served as Health Policy Director and Consultant at Healthcare Leadership Council, and in various roles at Epstein Becker &amp; Green and Groom &amp; Nordberg, and the U.S. House of Representatives. Ms. Wagner currently serves as a member of the board of directors of the Lieber Institute for Brain Development, and as an advisory board member of the University of Colorado, College of Media, Communication and Information. Ms. Wagner also serves as a member of the board of directors and as a Trustee for the University of Colorado Foundation. From 2015 to 2018, she also served as a member of the board of directors of the European Confederation of Pharmaceutical Entrepreneurs. Ms. Wagner earned a J.D. from George Mason University School of Law and received a Bachelor of Science in Journalism and Mass Communication from the University of Colorado. We believe she is qualified to serve on our Board because of her enterprise leadership experience and her extensive experience as a government affairs executive driving strategy for government policy, pricing, reimbursement and patient access for various biopharmaceutical companies, including leading the pricing and reimbursement strategy, and implementing the global compliance programs for leading rare disease biopharmaceutical organizations.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Meeting Attendance</w:t>
      </w:r>
      <w:r>
        <w:rPr>
          <w:rFonts w:ascii="Times New Roman" w:cs="Times New Roman" w:eastAsia="Times New Roman" w:hAnsi="Times New Roman"/>
          <w:sz w:val="18"/>
          <w:szCs w:val="18"/>
          <w:color w:val="auto"/>
        </w:rPr>
        <w:t>. During the fiscal year ended December 31, 2024, our Board held four meetings, and the various committees of the Board met a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18 times. No director attended fewer than 75% of the total number of meetings of the Board and of committees of the Board on which such director served during 2024. The Board has adopted a policy under which our directors make reasonable efforts to attend our annual general meetings of shareholders. As a Singapore company, we are required to prepare annual Singapore statutory audited financial statements (our “second annual audit”) and to deliver them to our shareholders in connection with our annual general meetings of shareholders. Our second annual audit can only be conducted following our first annual audit, which requires our preparation and filing of annual U.S. generally accepted accounting principles (GAAP) audited consolidated financial statements with the SEC. As a result, these multiple audits do not allow us to schedule our quarterly board meetings at the same time as our annual general meetings of shareholders and we typically hold our annual general meetings during the summertime.</w:t>
      </w:r>
    </w:p>
    <w:p>
      <w:pPr>
        <w:spacing w:after="0" w:line="18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Audit Committee held seven meetings during the fiscal year ended December 31, 2024. Our Audit Committee currently has four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members: Mr. Rawcliffe (Chair), Dr. Corrigan, Mr. Henry, and Ms. Tan. Our Audit Committee’s role and responsibilities are set forth in the Audit Committee’s written charter and include the responsibility to retain and terminate the services of our independent registered public accounting firm. In addition, the Audit </w:t>
      </w:r>
      <w:r>
        <w:rPr>
          <w:rFonts w:ascii="Times New Roman" w:cs="Times New Roman" w:eastAsia="Times New Roman" w:hAnsi="Times New Roman"/>
          <w:sz w:val="18"/>
          <w:szCs w:val="18"/>
          <w:color w:val="231F20"/>
        </w:rPr>
        <w:t>Committee’s enumerated role and responsibilities include the review of</w:t>
      </w:r>
      <w:r>
        <w:rPr>
          <w:rFonts w:ascii="Times New Roman" w:cs="Times New Roman" w:eastAsia="Times New Roman" w:hAnsi="Times New Roman"/>
          <w:sz w:val="18"/>
          <w:szCs w:val="18"/>
          <w:color w:val="auto"/>
        </w:rPr>
        <w:t xml:space="preserve"> annual financial statements and oversight of data privacy and cybersecurity matters, consideration of </w:t>
      </w:r>
      <w:r>
        <w:rPr>
          <w:rFonts w:ascii="Times New Roman" w:cs="Times New Roman" w:eastAsia="Times New Roman" w:hAnsi="Times New Roman"/>
          <w:sz w:val="18"/>
          <w:szCs w:val="18"/>
          <w:color w:val="231F20"/>
        </w:rPr>
        <w:t>matters relating to accounting policy and internal controls, and review of the scope of annual audits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Dr. Corrigan, Messrs. Henry and Rawcliffe, and Ms. Tan satisfy the current independence standards promulgated by the SEC and by The Nasdaq Stock Market, as such standards apply specifically to members of audit committees. The Board has determined that each member of the Audit Committee meets the financial literacy requirements of The Nasdaq Stock Market Rules and that each of Messrs. Henry and Rawcliffe and Ms. Tan qualifies as an “audit committee financial expert,” as the SEC has defined that term in Item 407 of Regulation 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written charter is publicly available on our website at www.wavelifesciences.com.</w:t>
      </w:r>
    </w:p>
    <w:p>
      <w:pPr>
        <w:spacing w:after="0" w:line="2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Compensation Committee met four times during the fiscal year ended December 31, 2024.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has three members: Mr. Henry (Chair), Mr. Rawcliffe, and Ms. Wagner. 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are carried out and that such policies, practices and procedures contribute to our success. Our Compensation Committee also administers our 2021 Equity Incentive Plan, as amended on August 6, 2024, our 2014 Equity Incentive Plan, as amended, and our 2019 Employee Share Purchase Plan, as amended. The Compensation Committee is responsible for determining the compensation of our executive officers.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member of the Compensation Committee qualifies as independent under the definition promulgated by The Nasdaq Stock Market.</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Compensation Committee’s written charter is publicly available on our website at www.wavelifesciences.com.</w:t>
      </w:r>
    </w:p>
    <w:p>
      <w:pPr>
        <w:spacing w:after="0" w:line="2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Nominating and Corporate Governance Committee met four times during the fiscal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The Nominating and Corporate Governance Committee currently has three members: Ms. Wagner (Chair), Mr. Takanashi and Dr. Corrigan. The Nominating and Corporate Governance Committee’s role and responsibilities are set forth in the Nominating and Corporate Governance Committee’s written charter and include evaluating and making recommendations to the full Board as to the size and composition of the Board and its committees, evaluating and making recommendations as to potential candidates, and evaluating current Board members’ performance, and overseeing our practices related to human capital management.</w:t>
      </w:r>
    </w:p>
    <w:p>
      <w:pPr>
        <w:spacing w:after="0" w:line="1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member of the Nominating and Corporate Governance Committee qualifies as independent under the definition promulgated by The Nasdaq Stock Market.</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qualified to serve as directors on our Board, consistent with criteria approved by the Board, and recommending the persons to be nominated for election as directors, except where we are legally required by contract, law or otherwise to provide third parties with the right to nominate.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process followed by the Nominating and Corporate Governance Committee to identify and evaluate director candidates includes making requests to Board members and others for recommendations, holding meetings from time to time to evaluate biographical information and reviewing background material relating to potential candidates and interviews of selected candidates by members of the committee and the Board. The Nominating and Corporate Governance Committee is also authorized by its charter to retain search firms to identify director candidates. The qualifications, qualities and skills that the committee believes must be met by a committee-recommended nominee for a position on our Board are as follows:</w:t>
      </w:r>
    </w:p>
    <w:p>
      <w:pPr>
        <w:spacing w:after="0" w:line="75" w:lineRule="exact"/>
        <w:rPr>
          <w:sz w:val="20"/>
          <w:szCs w:val="20"/>
          <w:color w:val="auto"/>
        </w:rPr>
      </w:pPr>
    </w:p>
    <w:p>
      <w:pPr>
        <w:ind w:left="1640" w:hanging="35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17" w:lineRule="exact"/>
        <w:rPr>
          <w:rFonts w:ascii="Times New Roman" w:cs="Times New Roman" w:eastAsia="Times New Roman" w:hAnsi="Times New Roman"/>
          <w:sz w:val="18"/>
          <w:szCs w:val="18"/>
          <w:color w:val="auto"/>
        </w:rPr>
      </w:pPr>
    </w:p>
    <w:p>
      <w:pPr>
        <w:ind w:left="1660" w:right="220" w:hanging="379"/>
        <w:spacing w:after="0" w:line="282" w:lineRule="auto"/>
        <w:tabs>
          <w:tab w:leader="none" w:pos="1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3" w:lineRule="exact"/>
        <w:rPr>
          <w:rFonts w:ascii="Times New Roman" w:cs="Times New Roman" w:eastAsia="Times New Roman" w:hAnsi="Times New Roman"/>
          <w:sz w:val="18"/>
          <w:szCs w:val="18"/>
          <w:color w:val="auto"/>
        </w:rPr>
      </w:pPr>
    </w:p>
    <w:p>
      <w:pPr>
        <w:ind w:left="1660" w:right="60" w:hanging="379"/>
        <w:spacing w:after="0" w:line="282" w:lineRule="auto"/>
        <w:tabs>
          <w:tab w:leader="none" w:pos="1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 Wave and our industry and to regularly attend and participate in meetings of the Board and its committees.</w:t>
      </w:r>
    </w:p>
    <w:p>
      <w:pPr>
        <w:spacing w:after="0" w:line="53" w:lineRule="exact"/>
        <w:rPr>
          <w:rFonts w:ascii="Times New Roman" w:cs="Times New Roman" w:eastAsia="Times New Roman" w:hAnsi="Times New Roman"/>
          <w:sz w:val="18"/>
          <w:szCs w:val="18"/>
          <w:color w:val="auto"/>
        </w:rPr>
      </w:pPr>
    </w:p>
    <w:p>
      <w:pPr>
        <w:ind w:left="1660" w:right="100" w:hanging="379"/>
        <w:spacing w:after="0" w:line="266" w:lineRule="auto"/>
        <w:tabs>
          <w:tab w:leader="none" w:pos="1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interest and ability to understand the sometimes conflicting interests of our various constituencies, which include shareholders, employees, customers, governmental units, creditors and the general public, and to act in the interests of all shareholders.</w:t>
      </w:r>
    </w:p>
    <w:p>
      <w:pPr>
        <w:spacing w:after="0" w:line="67" w:lineRule="exact"/>
        <w:rPr>
          <w:rFonts w:ascii="Times New Roman" w:cs="Times New Roman" w:eastAsia="Times New Roman" w:hAnsi="Times New Roman"/>
          <w:sz w:val="18"/>
          <w:szCs w:val="18"/>
          <w:color w:val="auto"/>
        </w:rPr>
      </w:pPr>
    </w:p>
    <w:p>
      <w:pPr>
        <w:ind w:left="1660" w:right="40" w:hanging="379"/>
        <w:spacing w:after="0" w:line="282" w:lineRule="auto"/>
        <w:tabs>
          <w:tab w:leader="none" w:pos="1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 conflict of interest that would impair the nominee’s ability to represent the interests of all of our shareholders and to fulfill the responsibilities of a director.</w:t>
      </w:r>
    </w:p>
    <w:p>
      <w:pPr>
        <w:spacing w:after="0" w:line="53" w:lineRule="exact"/>
        <w:rPr>
          <w:rFonts w:ascii="Times New Roman" w:cs="Times New Roman" w:eastAsia="Times New Roman" w:hAnsi="Times New Roman"/>
          <w:sz w:val="18"/>
          <w:szCs w:val="18"/>
          <w:color w:val="auto"/>
        </w:rPr>
      </w:pPr>
    </w:p>
    <w:p>
      <w:pPr>
        <w:ind w:left="1660" w:right="220" w:hanging="379"/>
        <w:spacing w:after="0" w:line="266" w:lineRule="auto"/>
        <w:tabs>
          <w:tab w:leader="none" w:pos="1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shall not be discriminated against on the basis of race, religion, national origin, sex, sexual orientation, disability or any other basis proscribed by law. Diversity of thought, background and experience on our Board is highly valued and is actively considered in the nomination process as well as in the Board’s annual performance evaluation.</w:t>
      </w:r>
    </w:p>
    <w:p>
      <w:pPr>
        <w:spacing w:after="0" w:line="67" w:lineRule="exact"/>
        <w:rPr>
          <w:rFonts w:ascii="Times New Roman" w:cs="Times New Roman" w:eastAsia="Times New Roman" w:hAnsi="Times New Roman"/>
          <w:sz w:val="18"/>
          <w:szCs w:val="18"/>
          <w:color w:val="auto"/>
        </w:rPr>
      </w:pPr>
    </w:p>
    <w:p>
      <w:pPr>
        <w:ind w:left="1640" w:hanging="35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generally be able to serve for at least five years before reaching the age of 70.</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strives to achieve a balance of backgrounds, perspectives, and experiences on the Board and its committees. We believe that our current Board represents diversity of thought, background and most importantly, experience, which has and continues to serve us well as we grow and have transitioned from a preclinical to clinical-stage company and now to a late-stage development and commercial company. The Board and management seek out highly qualified candidates with diverse backgrounds, skills and experiences as part of each search they conduct for qualified directors and executive officers, respectively.</w:t>
      </w:r>
    </w:p>
    <w:p>
      <w:pPr>
        <w:spacing w:after="0" w:line="18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written charter and our Corporate Governance Guidelines, which set forth our nominee requirements, are publicly available on our website at www.wavelifesciences.com.</w:t>
      </w:r>
    </w:p>
    <w:p>
      <w:pPr>
        <w:spacing w:after="0" w:line="15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r>
        <w:rPr>
          <w:rFonts w:ascii="Times New Roman" w:cs="Times New Roman" w:eastAsia="Times New Roman" w:hAnsi="Times New Roman"/>
          <w:sz w:val="18"/>
          <w:szCs w:val="18"/>
          <w:color w:val="auto"/>
        </w:rPr>
        <w:t>. Our Research and Development Committee met three times during the fiscal year ended December 31,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Committee currently has three members: Drs. Corrigan (Chair), Kolchinsky and Verdine. Our Research and Development Committee’s role and responsibilities are set forth in the Research and Development Committee’s written charter and generally include assisting us in evaluating research, development and technology (“R&amp;D”) issues and decisions; reviewing and providing feedback to our R&amp;D management on our current and planned R&amp;D programs and initiatives;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 w:name="page10"/>
    <w:bookmarkEnd w:id="9"/>
    <w:p>
      <w:pPr>
        <w:ind w:right="360"/>
        <w:spacing w:after="0" w:line="282" w:lineRule="auto"/>
        <w:rPr>
          <w:sz w:val="20"/>
          <w:szCs w:val="20"/>
          <w:color w:val="auto"/>
        </w:rPr>
      </w:pPr>
      <w:r>
        <w:rPr>
          <w:rFonts w:ascii="Times New Roman" w:cs="Times New Roman" w:eastAsia="Times New Roman" w:hAnsi="Times New Roman"/>
          <w:sz w:val="18"/>
          <w:szCs w:val="18"/>
          <w:color w:val="auto"/>
        </w:rPr>
        <w:t>serving as a sounding board for our R&amp;D organization on research and development matters; and identifying and discussing with the Board significant emerging scientific and clinical issues and trends.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by which Shareholders may Nominate Directors</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Nominating and Corporate Governance Committee shall review and evaluate information available to it regarding candidates proposed by shareholders and shall apply the same criteria, and shall follow substantially the same process in considering them, as it does in considering other candidates. The factors generally considered by the Nominating and Corporate Governance Committee are set out in our Corporate Governance Guidelines, which are publicly available on our website at http://ir.wavelifesciences.com/ under the heading “Corporate Governance.” If a shareholder wishes to nominate a candidate to be considered by the Nominating and Corporate Governance Committee for election as a director at our 2026 Annual General Meeting of Shareholders, it must give timely notice of the nomination in writing to our General Counsel not less than 45 days prior to the date that is one year following the date on which we first mail our proxy statement relating to our 2025 Annual General Meeting of Shareholders (the “2025 AGM”). All shareholder proposals should be marked for the attention of General Counsel, Wave Life Sciences Ltd., 733 Concord Avenue, Cambridge, MA 02138.</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during the last fiscal year (which included Mr. Henry (Chair), Mr. Rawcliffe, and Ms. Wagner) was an officer or employee of our Company. During the last fiscal year, none of our executive officers served as a member of the board of directors or compensation committee of any entity that has one or more executive officers serving on our Board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Familial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familial relationships between any of our executive officers and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positions of Chair of the Board and Chief Executive Officer of Wave are presently separate. We believe that separating these positions allows our Chief Executive Officer to focus on our day-to-day business operations and strategy, while allowing our Chair of the Board to lead the Board in its fundamental role of providing advice to, and independent oversight of, management. Our Board recognizes the time, effort and energy that the Chief Executive Officer is required to devote to their position in the current business environment, as well as the commitment required to serve as our Chair, particularly as the Board’s oversight responsibilities continue to grow. Our Board also believes that this structure ensures a greater role for the independent directors in the oversight of Wave and active participation of the independent directors in setting agendas and establishing priorities and procedures for the work of our Board. The Board retains the authority to modify this leadership structure as and when appropriate to best address our unique circumstances at any given time and to serve the best interests of our shareholders.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and considers specific risks, including, for example, risks associated with our strategic plan, business operations, and capital structure. Our Board executes its oversight responsibility for risk management both directly and through delegating oversight of certain of these risks to its committees. The committees oversee and regularly report to our Board with respect to the risks delegated to them or when a matter rises to the level of a material or enterprise level risk. In addition, our Board receives regular reports from members of our management team and other personnel that include assessments and potential mitigation of the risks and exposures involved with their respective areas of responsibility. Some examples of these risks include matters relating to our operations, research and development efforts, clinical trials, manufacturing capabilities, financial position and liquidity, and our communications strategy.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Board delegates to the Audit Committee oversight of certain aspects of our risk management process. Specifically, the Audit Committee receives regular reports from members of senior management on areas of material risk to us, including operational, financial, legal, regulatory, strategic and reputational risks, and risks related to IT, data privacy and cyber security. Our Compensation Committee assists the Board in fulfilling its oversight responsibilities with respect to the management of risks arising from our executive compensation policies, practices and goal setting, including whether such policies balance risk and reward appropriately, align with shareholder interests, and are consistent with best practices. Our Nominating and Corporate Governance Committee assists the Board in fulfilling its oversight responsibilities with respect to the management of risks associated with Board organization, membership and structure, succession planning for our directors and executive officers, corporate governance and human capital practices.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Hedging and Pledging Policies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maintain a policy that, among other things, prohibits all officers, including our executive officers, directors and employees from engaging in “hedging” transactions with respect to our ordinary shares. This includes short sales, hedging of share ownership positions, transactions in straddles, collars or other similar risk reduction or hedging devices, and transactions involving derivative securities relating to our ordinary shares. In addition, they are also prohibited from pledging our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2, 2023, our Board adopted a Clawback Policy to comply with the new clawback rules and listing standards promulgated by the SEC and Nasdaq Stock Market, respectively.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adopted a policy regarding trading by Company Personnel in our securities (the “Insider Trading Policy”) that applies to all “Company Personnel,” which includes our Board, officers, employees, consultants, contractors, and certain other covered persons of our Company and our subsidiaries. Our Insider Trading Policy governs the purchase, sale, and/or other disposition of our securities by all Company Personnel and is designed to promote compliance with insider trading laws, rules, and regulations and any applicable listing standards. The overarching requirement of our Insider Trading Policy is that all transactions in our securities by Company Personnel must be conducted pursuant to Rule 10b5-1 trading plans.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we have not adopted a formal policy governing the purchase, sale, and/or other disposition of our securities by the Company, as part of the oversight of risk, our Board, or one or more of its committees, approves any transaction, plan or arrangement by or with the Company with respect to our securities on a case-by-case basis, and as part of their procedures to review and approve any such transaction, plan or arrangement, our Board or committee consults with legal counsel to ensure compliance with applicable insider trading laws, rules and regulations, and listing standards. A copy of our Insider Trading Policy is filed as Exhibit 19.1 to our Original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to the Board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Generally, shareholders who have questions or concerns or who wish to address questions regarding our business directly with the Board, or any individual director, should direct their questions in writing to InvestorRelations@wavelifesci.com.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Set forth below is information as of March 31, 2025 regarding our executive officers who are not also directors. We have employment agreements with our executive officers and all of our executive officers are at-will employees.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638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6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Francis, Ph.D.</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Corporate Development, Head of Emerging Areas</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54</w:t>
            </w:r>
          </w:p>
        </w:tc>
        <w:tc>
          <w:tcPr>
            <w:tcW w:w="6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63</w:t>
            </w:r>
          </w:p>
        </w:tc>
        <w:tc>
          <w:tcPr>
            <w:tcW w:w="6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Technology Officer, Head of Platform Discovery Sciences</w:t>
            </w:r>
          </w:p>
        </w:tc>
      </w:tr>
    </w:tbl>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Francis, Ph.D. </w:t>
      </w:r>
      <w:r>
        <w:rPr>
          <w:rFonts w:ascii="Times New Roman" w:cs="Times New Roman" w:eastAsia="Times New Roman" w:hAnsi="Times New Roman"/>
          <w:sz w:val="18"/>
          <w:szCs w:val="18"/>
          <w:color w:val="auto"/>
        </w:rPr>
        <w:t>has served as our Senior Vice President, Corporate Development, Head of Emerging Areas since May 2017.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2017 to May 2017, Dr. Francis served as our Senior Vice President, Corporate Development &amp; Portfolio Management. Prior to that, Dr. Francis served as our Vice President, Head of Business Development since April 2014. Prior to joining us, Dr. Francis held 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Dr. Francis has served as a Member of the Investment Review Committee for WEHI Ventures in Australia since 2023.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Kyle Moran, CFA </w:t>
      </w:r>
      <w:r>
        <w:rPr>
          <w:rFonts w:ascii="Times New Roman" w:cs="Times New Roman" w:eastAsia="Times New Roman" w:hAnsi="Times New Roman"/>
          <w:sz w:val="18"/>
          <w:szCs w:val="18"/>
          <w:color w:val="auto"/>
        </w:rPr>
        <w:t>has served as our Chief Financial Officer since December 2020. Prior to this appointment, Mr. Moran served as our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Finance from July 2014 to August 2016; Vice President, Technical Operations from August 2016 to December 2017; Senior Vice President, Technical Operations, from December 2017 to November 2018; Senior Vice President, Operations and Business Analytics from November 2018 to January 2020; and most recently as Senior Vice President, Finance and Operations from January 2020 through his promotion to Chief Financial Officer in December 2020. Prior to joining us, Mr. Moran served as Chief Financial Officer and 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Chandra Vargeese, Ph.D. </w:t>
      </w:r>
      <w:r>
        <w:rPr>
          <w:rFonts w:ascii="Times New Roman" w:cs="Times New Roman" w:eastAsia="Times New Roman" w:hAnsi="Times New Roman"/>
          <w:sz w:val="18"/>
          <w:szCs w:val="18"/>
          <w:color w:val="auto"/>
        </w:rPr>
        <w:t>has served as our Chief Technology Officer, Head of Platform Discovery Sciences since May 2020. During the period of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to April 2020, Dr. Vargeese served as Senior Vice President, Head of Drug Discovery. Before joining us, Dr. Vargeese served as Novartis’ Executive Director and Head of RNA Chemistry and Delivery, a position she held from 2008 to 2014. Prior to joining Novartis, Dr. Vargeese led siRNA delivery in the RNA Therapeutics division at Merck &amp; Co., where she served as Senior Director and Head of RNA Chemistry and Delivery. Dr. Vargeese joined Merck through its acquisition of Sirna Therapeutics (“Sirna”), where she was Vice President of Chemistry. Before Sirna, Dr. Vargeese served as Associate Director of Chemistry at NeXstar Pharmaceuticals and is the co-inventor of Macugen (pegaptanib), an approved therapy for treating wet Age-Related Macular Degeneration (AMD). Dr. Vargeese earned a Ph.D. in Organic Chemistry at the Indian Institute of Science, Bangalore, India and completed post-doctoral work at the University of Rhode Island.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employees, including our principal executive officer and principal financial and accounting officer. The text of the code of conduct and ethics is posted on our website at </w:t>
      </w:r>
      <w:r>
        <w:rPr>
          <w:rFonts w:ascii="Times New Roman" w:cs="Times New Roman" w:eastAsia="Times New Roman" w:hAnsi="Times New Roman"/>
          <w:sz w:val="18"/>
          <w:szCs w:val="18"/>
          <w:i w:val="1"/>
          <w:iCs w:val="1"/>
          <w:color w:val="auto"/>
        </w:rPr>
        <w:t>www.wavelifesciences.com</w:t>
      </w:r>
      <w:r>
        <w:rPr>
          <w:rFonts w:ascii="Times New Roman" w:cs="Times New Roman" w:eastAsia="Times New Roman" w:hAnsi="Times New Roman"/>
          <w:sz w:val="18"/>
          <w:szCs w:val="18"/>
          <w:color w:val="auto"/>
        </w:rPr>
        <w:t>. Disclosure regarding any amendments to, or waivers from, provisions of the code of conduct and ethics that apply to our directors, principal executive officer or principal financial officer will be included in a Current Report on Form 8-K filed with the SEC within four business days following the date of the amendment or waiver, unless website posting or the issuance of a press release of such amendments or waivers is then permitted by the rules of The Nasdaq Stock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9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the paragraphs that follow, we have provided an overview and analysis of our compensation program and policies, the material compensation decisions we have made under those programs and policies, and the material factors that we considered in making those decisions. Following this section, you will find a series of tables containing specific information about the compensation earned or paid in the fiscal year ended December 31, 2024 to the following executive officers, who we will refer to throughout as our “named executive officers” or “NEOs”: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Name</w:t>
            </w:r>
          </w:p>
        </w:tc>
        <w:tc>
          <w:tcPr>
            <w:tcW w:w="74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i w:val="1"/>
                <w:iCs w:val="1"/>
                <w:color w:val="auto"/>
              </w:rPr>
              <w:t>Principal Position</w:t>
            </w: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B. Bolno, M.D., MBA</w:t>
            </w:r>
          </w:p>
        </w:tc>
        <w:tc>
          <w:tcPr>
            <w:tcW w:w="7440" w:type="dxa"/>
            <w:vAlign w:val="bottom"/>
            <w:shd w:val="clear" w:color="auto" w:fill="CFF0FC"/>
          </w:tcPr>
          <w:p>
            <w:pPr>
              <w:ind w:left="18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Francis, Ph.D.</w:t>
            </w:r>
          </w:p>
        </w:tc>
        <w:tc>
          <w:tcPr>
            <w:tcW w:w="74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Senior Vice President, Corporate Development, Head of Emerging Areas</w:t>
            </w: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7440" w:type="dxa"/>
            <w:vAlign w:val="bottom"/>
            <w:shd w:val="clear" w:color="auto" w:fill="CFF0FC"/>
          </w:tcPr>
          <w:p>
            <w:pPr>
              <w:ind w:left="18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74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Chief Technology Officer, Head of Platform Discovery Sciences</w:t>
            </w:r>
          </w:p>
        </w:tc>
      </w:tr>
    </w:tbl>
    <w:p>
      <w:pPr>
        <w:spacing w:after="0" w:line="1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our 2024 Annual General Meeting (“2024 AGM”), our shareholders approved, on an advisory basis, the compensation of the NEOs, as disclosed in the proxy statement for that meeting, pursuant to the compensation disclosure rules of the SEC. The proposal was supported by over 99% of the total votes cast. Our Compensation Committee reviewed the advisory vote results and, based on the strong level of support, determined that no significant changes to our executive compensation program were necessary for 2024. Our Compensation Committee will continue to monitor and evaluate our executive compensation program going forward in light of our shareholders’ views and our transforming business needs. Our Compensation Committee expects to continue to consider the outcome of our say-on-pay votes and our shareholders’ views when making future compensation decisions for the NEOs.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Executive Compensation Philosophy</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Compensation Committee regularly reviews the elements of the individual compensation packages for our Chief Executive Officer and our other executive officers to achieve the following primary objectives:</w:t>
      </w:r>
    </w:p>
    <w:p>
      <w:pPr>
        <w:spacing w:after="0" w:line="54" w:lineRule="exact"/>
        <w:rPr>
          <w:sz w:val="20"/>
          <w:szCs w:val="20"/>
          <w:color w:val="auto"/>
        </w:rPr>
      </w:pPr>
    </w:p>
    <w:p>
      <w:pPr>
        <w:ind w:left="1160" w:hanging="389"/>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superior executive talent across all areas of our business;</w:t>
      </w:r>
    </w:p>
    <w:p>
      <w:pPr>
        <w:spacing w:after="0" w:line="117" w:lineRule="exact"/>
        <w:rPr>
          <w:rFonts w:ascii="Times New Roman" w:cs="Times New Roman" w:eastAsia="Times New Roman" w:hAnsi="Times New Roman"/>
          <w:sz w:val="18"/>
          <w:szCs w:val="18"/>
          <w:color w:val="auto"/>
        </w:rPr>
      </w:pPr>
    </w:p>
    <w:p>
      <w:pPr>
        <w:ind w:left="1160" w:right="40" w:hanging="389"/>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reward the achievement of performance goals that directly correlate to the enhancement of shareholder value, which we seek to achieve through the discovery, development and potential commercialization of transformative medicines;</w:t>
      </w:r>
    </w:p>
    <w:p>
      <w:pPr>
        <w:spacing w:after="0" w:line="53" w:lineRule="exact"/>
        <w:rPr>
          <w:rFonts w:ascii="Times New Roman" w:cs="Times New Roman" w:eastAsia="Times New Roman" w:hAnsi="Times New Roman"/>
          <w:sz w:val="18"/>
          <w:szCs w:val="18"/>
          <w:color w:val="auto"/>
        </w:rPr>
      </w:pPr>
    </w:p>
    <w:p>
      <w:pPr>
        <w:ind w:left="1160" w:hanging="389"/>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majority of compensation is performance-based and “at-risk”; and</w:t>
      </w:r>
    </w:p>
    <w:p>
      <w:pPr>
        <w:spacing w:after="0" w:line="117" w:lineRule="exact"/>
        <w:rPr>
          <w:rFonts w:ascii="Times New Roman" w:cs="Times New Roman" w:eastAsia="Times New Roman" w:hAnsi="Times New Roman"/>
          <w:sz w:val="18"/>
          <w:szCs w:val="18"/>
          <w:color w:val="auto"/>
        </w:rPr>
      </w:pPr>
    </w:p>
    <w:p>
      <w:pPr>
        <w:ind w:left="1160" w:hanging="389"/>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 officers’ interests with those of our shareholders through long-term incentives linked to specific performance.</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aim for simplicity in our compensation program so that it is easy for our employees and our shareholders to understand the various components of the program and the incentives designed to drive our Company performance. The three key components of our executive compensation program are base salary, annual cash performance-based incentives and equity-based long-term incentive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Business Highlights</w:t>
      </w:r>
    </w:p>
    <w:p>
      <w:pPr>
        <w:spacing w:after="0" w:line="11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2024, we delivered on multiple key milestones across our pipeline, elucidating the potential of our best-in-class platform to advance transformative medicines. Highlights of our accomplishments and milestones that informed the annual cash performance-based incentive component of our executive compensation program are described below.</w:t>
      </w:r>
    </w:p>
    <w:p>
      <w:pPr>
        <w:spacing w:after="0" w:line="66" w:lineRule="exact"/>
        <w:rPr>
          <w:sz w:val="20"/>
          <w:szCs w:val="20"/>
          <w:color w:val="auto"/>
        </w:rPr>
      </w:pPr>
    </w:p>
    <w:p>
      <w:pPr>
        <w:ind w:left="1140" w:right="60" w:hanging="369"/>
        <w:spacing w:after="0" w:line="26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Obesity </w:t>
      </w:r>
      <w:r>
        <w:rPr>
          <w:rFonts w:ascii="Times New Roman" w:cs="Times New Roman" w:eastAsia="Times New Roman" w:hAnsi="Times New Roman"/>
          <w:sz w:val="18"/>
          <w:szCs w:val="18"/>
          <w:color w:val="auto"/>
        </w:rPr>
        <w:t>-- Executed our WVE-007 development strategy on time and on budget by delivering candidate selection for INHBE, submitting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multiple clinical trial applications (CTAs) for our Phase 1 clinical trial for obesity (INLIGHT), preparing to </w:t>
      </w:r>
      <w:r>
        <w:rPr>
          <w:rFonts w:ascii="Times New Roman" w:cs="Times New Roman" w:eastAsia="Times New Roman" w:hAnsi="Times New Roman"/>
          <w:sz w:val="18"/>
          <w:szCs w:val="18"/>
          <w:color w:val="383838"/>
        </w:rPr>
        <w:t>initiate dosing in the INLIGHT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83838"/>
        </w:rPr>
        <w:t>trial in the first quarter of 2025 and to deliver proof-of-concept clinical data in 2025.</w:t>
      </w:r>
    </w:p>
    <w:p>
      <w:pPr>
        <w:spacing w:after="0" w:line="65" w:lineRule="exact"/>
        <w:rPr>
          <w:rFonts w:ascii="Times New Roman" w:cs="Times New Roman" w:eastAsia="Times New Roman" w:hAnsi="Times New Roman"/>
          <w:sz w:val="18"/>
          <w:szCs w:val="18"/>
          <w:color w:val="auto"/>
        </w:rPr>
      </w:pPr>
    </w:p>
    <w:p>
      <w:pPr>
        <w:ind w:left="1140" w:right="80" w:hanging="369"/>
        <w:spacing w:after="0" w:line="258" w:lineRule="auto"/>
        <w:tabs>
          <w:tab w:leader="none" w:pos="1140" w:val="left"/>
        </w:tabs>
        <w:numPr>
          <w:ilvl w:val="0"/>
          <w:numId w:val="6"/>
        </w:numPr>
        <w:rPr>
          <w:rFonts w:ascii="Times New Roman" w:cs="Times New Roman" w:eastAsia="Times New Roman" w:hAnsi="Times New Roman"/>
          <w:sz w:val="18"/>
          <w:szCs w:val="18"/>
          <w:color w:val="383838"/>
        </w:rPr>
      </w:pPr>
      <w:r>
        <w:rPr>
          <w:rFonts w:ascii="Times New Roman" w:cs="Times New Roman" w:eastAsia="Times New Roman" w:hAnsi="Times New Roman"/>
          <w:sz w:val="18"/>
          <w:szCs w:val="18"/>
          <w:i w:val="1"/>
          <w:iCs w:val="1"/>
          <w:color w:val="383838"/>
        </w:rPr>
        <w:t xml:space="preserve">Alpha-1 antitrypsin deficiency </w:t>
      </w:r>
      <w:r>
        <w:rPr>
          <w:rFonts w:ascii="Times New Roman" w:cs="Times New Roman" w:eastAsia="Times New Roman" w:hAnsi="Times New Roman"/>
          <w:sz w:val="18"/>
          <w:szCs w:val="18"/>
          <w:color w:val="000000"/>
        </w:rPr>
        <w:t>-- Executed our WVE-006 development strategy on time and on budget by completing first patient cohort in</w:t>
      </w:r>
      <w:r>
        <w:rPr>
          <w:rFonts w:ascii="Times New Roman" w:cs="Times New Roman" w:eastAsia="Times New Roman" w:hAnsi="Times New Roman"/>
          <w:sz w:val="18"/>
          <w:szCs w:val="18"/>
          <w:i w:val="1"/>
          <w:iCs w:val="1"/>
          <w:color w:val="383838"/>
        </w:rPr>
        <w:t xml:space="preserve"> </w:t>
      </w:r>
      <w:r>
        <w:rPr>
          <w:rFonts w:ascii="Times New Roman" w:cs="Times New Roman" w:eastAsia="Times New Roman" w:hAnsi="Times New Roman"/>
          <w:sz w:val="18"/>
          <w:szCs w:val="18"/>
          <w:color w:val="000000"/>
        </w:rPr>
        <w:t>RestorAATion-2; delivering proof-of-mechanism data from a single dose of WVE-006 in the RestorAATion-2 clinical trial of Pi*ZZ AATD patients, representing the first-ever clinical demonstration of RNA editing in humans; and completing multi-dosing of healthy volunteers in the top cohort of RestorAATion-1 at a dose level greater than those planned for any cohort of the RestorAATion-2 patient study.</w:t>
      </w:r>
    </w:p>
    <w:p>
      <w:pPr>
        <w:spacing w:after="0" w:line="75" w:lineRule="exact"/>
        <w:rPr>
          <w:rFonts w:ascii="Times New Roman" w:cs="Times New Roman" w:eastAsia="Times New Roman" w:hAnsi="Times New Roman"/>
          <w:sz w:val="18"/>
          <w:szCs w:val="18"/>
          <w:color w:val="383838"/>
        </w:rPr>
      </w:pPr>
    </w:p>
    <w:p>
      <w:pPr>
        <w:ind w:left="1140" w:hanging="369"/>
        <w:spacing w:after="0" w:line="25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Duchenne muscular dystrophy </w:t>
      </w:r>
      <w:r>
        <w:rPr>
          <w:rFonts w:ascii="Times New Roman" w:cs="Times New Roman" w:eastAsia="Times New Roman" w:hAnsi="Times New Roman"/>
          <w:sz w:val="18"/>
          <w:szCs w:val="18"/>
          <w:color w:val="auto"/>
        </w:rPr>
        <w:t>-- Executed our WVE-N531 development strategy on time and on budget by delivering positive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Phase 2 FORWARD-53 trial that demonstrated highly consistent dystrophin expression, best-in-class muscle delivery, multiple indicators of improved muscle health, and safe and well-tolerated profile; all patients having elected to continue treatment in the planned extension portion with monthly dosing of WVE-N531; and preparations to deliver 48-week data and feedback from regulators on a pathway to accelerated approval in first quarter of 2025.</w:t>
      </w:r>
    </w:p>
    <w:p>
      <w:pPr>
        <w:spacing w:after="0" w:line="75" w:lineRule="exact"/>
        <w:rPr>
          <w:rFonts w:ascii="Times New Roman" w:cs="Times New Roman" w:eastAsia="Times New Roman" w:hAnsi="Times New Roman"/>
          <w:sz w:val="18"/>
          <w:szCs w:val="18"/>
          <w:color w:val="auto"/>
        </w:rPr>
      </w:pPr>
    </w:p>
    <w:p>
      <w:pPr>
        <w:ind w:left="1140" w:right="200" w:hanging="369"/>
        <w:spacing w:after="0" w:line="25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Huntington’s disease </w:t>
      </w:r>
      <w:r>
        <w:rPr>
          <w:rFonts w:ascii="Times New Roman" w:cs="Times New Roman" w:eastAsia="Times New Roman" w:hAnsi="Times New Roman"/>
          <w:sz w:val="18"/>
          <w:szCs w:val="18"/>
          <w:color w:val="auto"/>
        </w:rPr>
        <w:t>-- Executed our WVE-003 development strategy on time and on budget by delivering SELECT-HD multi-dose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WVE-003 that </w:t>
      </w:r>
      <w:r>
        <w:rPr>
          <w:rFonts w:ascii="Times New Roman" w:cs="Times New Roman" w:eastAsia="Times New Roman" w:hAnsi="Times New Roman"/>
          <w:sz w:val="18"/>
          <w:szCs w:val="18"/>
          <w:color w:val="383838"/>
        </w:rPr>
        <w:t>demonstrated the first-ever allele-selective reduction in CSF mutant huntingtin (mHTT) protein and preservation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83838"/>
        </w:rPr>
        <w:t xml:space="preserve">healthy, wild-type huntingtin (wtHTT) protein, as well as a statistically significant correlation between mHTT reduction and slowing of caudate atrophy. </w:t>
      </w:r>
      <w:r>
        <w:rPr>
          <w:rFonts w:ascii="Times New Roman" w:cs="Times New Roman" w:eastAsia="Times New Roman" w:hAnsi="Times New Roman"/>
          <w:sz w:val="18"/>
          <w:szCs w:val="18"/>
          <w:color w:val="000000"/>
        </w:rPr>
        <w:t>Received supportive initial feedback from FDA, who are receptive to and engaged with Wave regarding a potential</w:t>
      </w:r>
      <w:r>
        <w:rPr>
          <w:rFonts w:ascii="Times New Roman" w:cs="Times New Roman" w:eastAsia="Times New Roman" w:hAnsi="Times New Roman"/>
          <w:sz w:val="18"/>
          <w:szCs w:val="18"/>
          <w:color w:val="383838"/>
        </w:rPr>
        <w:t xml:space="preserve"> </w:t>
      </w:r>
      <w:r>
        <w:rPr>
          <w:rFonts w:ascii="Times New Roman" w:cs="Times New Roman" w:eastAsia="Times New Roman" w:hAnsi="Times New Roman"/>
          <w:sz w:val="18"/>
          <w:szCs w:val="18"/>
          <w:color w:val="000000"/>
        </w:rPr>
        <w:t>pathway to accelerated approval.</w:t>
      </w:r>
    </w:p>
    <w:p>
      <w:pPr>
        <w:spacing w:after="0" w:line="75" w:lineRule="exact"/>
        <w:rPr>
          <w:rFonts w:ascii="Times New Roman" w:cs="Times New Roman" w:eastAsia="Times New Roman" w:hAnsi="Times New Roman"/>
          <w:sz w:val="18"/>
          <w:szCs w:val="18"/>
          <w:color w:val="auto"/>
        </w:rPr>
      </w:pPr>
    </w:p>
    <w:p>
      <w:pPr>
        <w:ind w:left="1140" w:right="40" w:hanging="369"/>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Discovery pipeline </w:t>
      </w:r>
      <w:r>
        <w:rPr>
          <w:rFonts w:ascii="Times New Roman" w:cs="Times New Roman" w:eastAsia="Times New Roman" w:hAnsi="Times New Roman"/>
          <w:sz w:val="18"/>
          <w:szCs w:val="18"/>
          <w:color w:val="auto"/>
        </w:rPr>
        <w:t>– Advanced and announced three wholly owned GalNAc-AIMer programs that offer first-in-class approaches to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unmet needs in cardiometabolic diseases. These new programs include PNPLA3, which aims to use mRNA correction for those at high risk for a variety of liver diseases, and LDLR and APOB, which utilize first-in-class mRNA upregulation and mRNA correction (respectively) to achieve target LDL-c levels in heterozygous familial hypercholesterolemia patients.</w:t>
      </w:r>
    </w:p>
    <w:p>
      <w:pPr>
        <w:spacing w:after="0" w:line="71" w:lineRule="exact"/>
        <w:rPr>
          <w:rFonts w:ascii="Times New Roman" w:cs="Times New Roman" w:eastAsia="Times New Roman" w:hAnsi="Times New Roman"/>
          <w:sz w:val="18"/>
          <w:szCs w:val="18"/>
          <w:color w:val="auto"/>
        </w:rPr>
      </w:pPr>
    </w:p>
    <w:p>
      <w:pPr>
        <w:ind w:left="1140" w:right="160" w:hanging="369"/>
        <w:spacing w:after="0" w:line="26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GSK collaboration </w:t>
      </w:r>
      <w:r>
        <w:rPr>
          <w:rFonts w:ascii="Times New Roman" w:cs="Times New Roman" w:eastAsia="Times New Roman" w:hAnsi="Times New Roman"/>
          <w:sz w:val="18"/>
          <w:szCs w:val="18"/>
          <w:color w:val="auto"/>
        </w:rPr>
        <w:t>-- Advanced our strategic collaboration with GSK by advancing first two GSK collaboration programs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 target validation and earning milestones in connection therewith. Both programs use Wave’s GalNAc-siRNA format, while the discovery collaboration continues to encompass all Wave modalities, including RNA editing.</w:t>
      </w:r>
    </w:p>
    <w:p>
      <w:pPr>
        <w:spacing w:after="0" w:line="65" w:lineRule="exact"/>
        <w:rPr>
          <w:rFonts w:ascii="Times New Roman" w:cs="Times New Roman" w:eastAsia="Times New Roman" w:hAnsi="Times New Roman"/>
          <w:sz w:val="18"/>
          <w:szCs w:val="18"/>
          <w:color w:val="auto"/>
        </w:rPr>
      </w:pPr>
    </w:p>
    <w:p>
      <w:pPr>
        <w:ind w:left="1140" w:right="700" w:hanging="369"/>
        <w:spacing w:after="0" w:line="284"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Publications </w:t>
      </w:r>
      <w:r>
        <w:rPr>
          <w:rFonts w:ascii="Times New Roman" w:cs="Times New Roman" w:eastAsia="Times New Roman" w:hAnsi="Times New Roman"/>
          <w:sz w:val="18"/>
          <w:szCs w:val="18"/>
          <w:color w:val="auto"/>
        </w:rPr>
        <w:t>– Executed on publication strategy by publishing two new manuscripts, submitting an additional new manuscript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28 oral presentations during 2024.</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3" w:name="page14"/>
    <w:bookmarkEnd w:id="13"/>
    <w:p>
      <w:pPr>
        <w:ind w:left="1140" w:right="420" w:hanging="369"/>
        <w:spacing w:after="0" w:line="284"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Resourced for sustainability </w:t>
      </w:r>
      <w:r>
        <w:rPr>
          <w:rFonts w:ascii="Times New Roman" w:cs="Times New Roman" w:eastAsia="Times New Roman" w:hAnsi="Times New Roman"/>
          <w:sz w:val="18"/>
          <w:szCs w:val="18"/>
          <w:color w:val="auto"/>
        </w:rPr>
        <w:t>-- Raised approximately $230 million in our September 2024 public offering, which was catalyzed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positive interim data from our FORWARD-53 trial, thereby extending our cash runway into 2027.</w:t>
      </w:r>
    </w:p>
    <w:p>
      <w:pPr>
        <w:spacing w:after="0" w:line="50" w:lineRule="exact"/>
        <w:rPr>
          <w:rFonts w:ascii="Times New Roman" w:cs="Times New Roman" w:eastAsia="Times New Roman" w:hAnsi="Times New Roman"/>
          <w:sz w:val="18"/>
          <w:szCs w:val="18"/>
          <w:color w:val="auto"/>
        </w:rPr>
      </w:pPr>
    </w:p>
    <w:p>
      <w:pPr>
        <w:ind w:left="1140" w:right="400" w:hanging="369"/>
        <w:spacing w:after="0" w:line="284"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Human capital </w:t>
      </w:r>
      <w:r>
        <w:rPr>
          <w:rFonts w:ascii="Times New Roman" w:cs="Times New Roman" w:eastAsia="Times New Roman" w:hAnsi="Times New Roman"/>
          <w:sz w:val="18"/>
          <w:szCs w:val="18"/>
          <w:color w:val="auto"/>
        </w:rPr>
        <w:t>-- Implemented a talent and culture strategy designed to support our organizational evolution, added key, critical, high-caliber talent throughout the organization, and maintained low employee turnover.</w:t>
      </w:r>
    </w:p>
    <w:p>
      <w:pPr>
        <w:spacing w:after="0" w:line="50"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Fiscal responsibility </w:t>
      </w:r>
      <w:r>
        <w:rPr>
          <w:rFonts w:ascii="Times New Roman" w:cs="Times New Roman" w:eastAsia="Times New Roman" w:hAnsi="Times New Roman"/>
          <w:sz w:val="18"/>
          <w:szCs w:val="18"/>
          <w:color w:val="auto"/>
        </w:rPr>
        <w:t>-- Actively managed spend and delivered well beyond our 2024 corporate goals within our 2024 budget.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Roles and Responsibilities in the Decision-making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its charter, our Compensation Committee creates the policies that govern base salary, annual cash performance-based incentives, our long-term incentive program and other compensation and benefits for our executive officers. Our Compensation Committee also oversees various executive and employee compensation plans and programs and is responsible for monitoring these plans and programs to confirm that they adhere to our compensation philosophy and objectives. Our Compensation Committee determines the appropriate compensation levels for our executive officers, evaluates officer and director compensation plans, policies and programs, and reviews benefit plans for our executive officers. Our Compensation Committee believes that the total compensation paid to our executive officers should be fair, reasonable and competitive, and that a significant portion of the total compensation should be tied to our Company’s annual and long-term performance. Each year, our Compensation Committee reviews and discusses our executive officers’ proposed compensation with the Chief Executive Officer for all executives other than the Chief Executive Officer. The Chief Executive Officer’s compensation is determined solely by the Compensation Committee.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Compensation Committee works with members of our management, including our Chief Executive Officer (except with respect to his own compensation), and our human resources, finance and legal professionals. Typically, our management assists the Compensation Committee by providing information on corporate and individual performance and management’s perspective and recommendations on compensation matters for each executive officer. Our Chief Executive Officer provides recommendations to the Compensation Committee regarding most compensation matters, including executive compensation and our annual and long-term incentive programs. However, the Compensation Committee does not delegate any of its functions to others in setting the compensation of our NEOs.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Compensation Committee has the authority to retain the services and obtain the advice of external advisors, including compensation consultants, legal counsel and other advisors to assist in the evaluation of executive officer compensation. Our Compensation Committee engaged Aon Consulting Inc. (“Aon”), through its Human Capital Solutions, a division of Aon plc., and an independent executive compensation consulting firm, to review our executive compensation policies and practices and to conduct an executive compensation market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Aon reviewed and advised on all principal aspects of our executive compensation program, including:</w:t>
      </w:r>
    </w:p>
    <w:p>
      <w:pPr>
        <w:spacing w:after="0" w:line="117" w:lineRule="exact"/>
        <w:rPr>
          <w:sz w:val="20"/>
          <w:szCs w:val="20"/>
          <w:color w:val="auto"/>
        </w:rPr>
      </w:pPr>
    </w:p>
    <w:p>
      <w:pPr>
        <w:ind w:left="1160" w:hanging="389"/>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developing a peer group of publicly traded companies to be used to help assess executive compensation;</w:t>
      </w:r>
    </w:p>
    <w:p>
      <w:pPr>
        <w:spacing w:after="0" w:line="117" w:lineRule="exact"/>
        <w:rPr>
          <w:rFonts w:ascii="Times New Roman" w:cs="Times New Roman" w:eastAsia="Times New Roman" w:hAnsi="Times New Roman"/>
          <w:sz w:val="18"/>
          <w:szCs w:val="18"/>
          <w:color w:val="auto"/>
        </w:rPr>
      </w:pPr>
    </w:p>
    <w:p>
      <w:pPr>
        <w:jc w:val="both"/>
        <w:ind w:left="1160" w:right="400" w:hanging="389"/>
        <w:spacing w:after="0" w:line="266"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developing a competitive compensation strategy and consistent executive compensation assessment practices relevant to a public company, including review and recommendation of the annual performance-based cash incentive program as well as the equity strategy for the Company covering dilution, grant levels and type of equity; and</w:t>
      </w:r>
    </w:p>
    <w:p>
      <w:pPr>
        <w:spacing w:after="0" w:line="67" w:lineRule="exact"/>
        <w:rPr>
          <w:rFonts w:ascii="Times New Roman" w:cs="Times New Roman" w:eastAsia="Times New Roman" w:hAnsi="Times New Roman"/>
          <w:sz w:val="18"/>
          <w:szCs w:val="18"/>
          <w:color w:val="auto"/>
        </w:rPr>
      </w:pPr>
    </w:p>
    <w:p>
      <w:pPr>
        <w:ind w:left="1160" w:right="160" w:hanging="389"/>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the Compensation Committee to review elements of executive compensation including the competitiveness of the executive compensation program.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Compensation Committee has assessed the independence of Aon consistent with The Nasdaq Stock Market listing requirements and has concluded that the engagement of Aon does not raise any conflicts of interest.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Companies and Use of Market Data</w:t>
      </w:r>
    </w:p>
    <w:p>
      <w:pPr>
        <w:spacing w:after="0" w:line="11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In determining market competitiveness of executive officer compensation, our Compensation Committee, with the assistance of its independent compensation consultant, Aon, evaluates the market competitiveness of compensation for each of our executive officers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t>in order to guide target compensation decisions for the coming year. Our Compensation Committee references a peer group of publicly 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November 2023, our Compensation Committee determined that our peer group for purposes of setting 2024 executive compensation would consist of the following 15 companies that were selected among publicly traded biopharmaceutical companies: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Alector, Inc.</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Intellia Therapeutics, Inc.</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Arcturus Therapeutics Holdings, Inc.</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Ionis Pharmaceuticals,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Arrowhead Pharmaceuticals, Inc.</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Prime Medicine,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Biosciences, Inc.</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PTC Therapeutics,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Beam Therapeutics, Inc.</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Sangamo Therapeutics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Denali Therapeutics, Inc.</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Stoke Therapeutics, Inc.</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Dyne Therapeutics, Inc.</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Verve Therapeutics, Inc.</w:t>
            </w:r>
          </w:p>
        </w:tc>
      </w:tr>
    </w:tbl>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Editas Medicine, Inc.</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Practices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evaluating, designing and implementing our executive compensation program, the Compensation Committee considers the latest industry trends in compensation governance and compensation best practices. As a result of our review of our executive compensation program, we have adopted a number of best practices that we believe reflect the high standards our Compensation Committee seeks to attain to support our compensation philosophy.</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Pay practices we use</w:t>
      </w:r>
      <w:r>
        <w:rPr>
          <w:rFonts w:ascii="Times New Roman" w:cs="Times New Roman" w:eastAsia="Times New Roman" w:hAnsi="Times New Roman"/>
          <w:sz w:val="18"/>
          <w:szCs w:val="18"/>
          <w:i w:val="1"/>
          <w:iCs w:val="1"/>
          <w:u w:val="single" w:color="auto"/>
          <w:color w:val="auto"/>
        </w:rPr>
        <w:t>:</w:t>
      </w:r>
    </w:p>
    <w:p>
      <w:pPr>
        <w:spacing w:after="0" w:line="117" w:lineRule="exact"/>
        <w:rPr>
          <w:sz w:val="20"/>
          <w:szCs w:val="20"/>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 Our Compensation Committee is comprised of all independent directors.</w:t>
      </w:r>
    </w:p>
    <w:p>
      <w:pPr>
        <w:spacing w:after="0" w:line="117" w:lineRule="exact"/>
        <w:rPr>
          <w:rFonts w:ascii="Times New Roman" w:cs="Times New Roman" w:eastAsia="Times New Roman" w:hAnsi="Times New Roman"/>
          <w:sz w:val="18"/>
          <w:szCs w:val="18"/>
          <w:color w:val="auto"/>
        </w:rPr>
      </w:pPr>
    </w:p>
    <w:p>
      <w:pPr>
        <w:ind w:left="1140" w:right="440" w:hanging="369"/>
        <w:spacing w:after="0" w:line="284"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compensation review </w:t>
      </w:r>
      <w:r>
        <w:rPr>
          <w:rFonts w:ascii="Times New Roman" w:cs="Times New Roman" w:eastAsia="Times New Roman" w:hAnsi="Times New Roman"/>
          <w:sz w:val="18"/>
          <w:szCs w:val="18"/>
          <w:color w:val="auto"/>
        </w:rPr>
        <w:t>- Our Compensation Committee undertakes a comprehensive review of compensation of our executives,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named executive officers, on an annual basis.</w:t>
      </w:r>
    </w:p>
    <w:p>
      <w:pPr>
        <w:spacing w:after="0" w:line="50" w:lineRule="exact"/>
        <w:rPr>
          <w:rFonts w:ascii="Times New Roman" w:cs="Times New Roman" w:eastAsia="Times New Roman" w:hAnsi="Times New Roman"/>
          <w:sz w:val="18"/>
          <w:szCs w:val="18"/>
          <w:color w:val="auto"/>
        </w:rPr>
      </w:pPr>
    </w:p>
    <w:p>
      <w:pPr>
        <w:ind w:left="1140" w:right="880" w:hanging="369"/>
        <w:spacing w:after="0" w:line="284"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compensation consultant</w:t>
      </w:r>
      <w:r>
        <w:rPr>
          <w:rFonts w:ascii="Times New Roman" w:cs="Times New Roman" w:eastAsia="Times New Roman" w:hAnsi="Times New Roman"/>
          <w:sz w:val="18"/>
          <w:szCs w:val="18"/>
          <w:color w:val="auto"/>
        </w:rPr>
        <w:t>- Our Compensation Committee engages its own compensation consultant and reviews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from management.</w:t>
      </w:r>
    </w:p>
    <w:p>
      <w:pPr>
        <w:spacing w:after="0" w:line="50" w:lineRule="exact"/>
        <w:rPr>
          <w:rFonts w:ascii="Times New Roman" w:cs="Times New Roman" w:eastAsia="Times New Roman" w:hAnsi="Times New Roman"/>
          <w:sz w:val="18"/>
          <w:szCs w:val="18"/>
          <w:color w:val="auto"/>
        </w:rPr>
      </w:pPr>
    </w:p>
    <w:p>
      <w:pPr>
        <w:ind w:left="1140" w:right="240" w:hanging="369"/>
        <w:spacing w:after="0" w:line="284"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Avoids inappropriate risk-taking </w:t>
      </w:r>
      <w:r>
        <w:rPr>
          <w:rFonts w:ascii="Times New Roman" w:cs="Times New Roman" w:eastAsia="Times New Roman" w:hAnsi="Times New Roman"/>
          <w:sz w:val="18"/>
          <w:szCs w:val="18"/>
          <w:color w:val="auto"/>
        </w:rPr>
        <w:t>- We review the structure of our executive compensation program to minimize the risk of inappropriate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risk-taking by our executive officers.</w:t>
      </w:r>
    </w:p>
    <w:p>
      <w:pPr>
        <w:spacing w:after="0" w:line="50" w:lineRule="exact"/>
        <w:rPr>
          <w:rFonts w:ascii="Times New Roman" w:cs="Times New Roman" w:eastAsia="Times New Roman" w:hAnsi="Times New Roman"/>
          <w:sz w:val="18"/>
          <w:szCs w:val="18"/>
          <w:color w:val="auto"/>
        </w:rPr>
      </w:pPr>
    </w:p>
    <w:p>
      <w:pPr>
        <w:ind w:left="1140" w:right="380" w:hanging="369"/>
        <w:spacing w:after="0" w:line="284"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w:t>
      </w:r>
      <w:r>
        <w:rPr>
          <w:rFonts w:ascii="Times New Roman" w:cs="Times New Roman" w:eastAsia="Times New Roman" w:hAnsi="Times New Roman"/>
          <w:sz w:val="18"/>
          <w:szCs w:val="18"/>
          <w:color w:val="auto"/>
        </w:rPr>
        <w:t>- The equity awards granted to our executive officers generally vest over multi-year periods, consistent with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practice and our retention objectives.</w:t>
      </w:r>
    </w:p>
    <w:p>
      <w:pPr>
        <w:spacing w:after="0" w:line="50" w:lineRule="exact"/>
        <w:rPr>
          <w:rFonts w:ascii="Times New Roman" w:cs="Times New Roman" w:eastAsia="Times New Roman" w:hAnsi="Times New Roman"/>
          <w:sz w:val="18"/>
          <w:szCs w:val="18"/>
          <w:color w:val="auto"/>
        </w:rPr>
      </w:pPr>
    </w:p>
    <w:p>
      <w:pPr>
        <w:ind w:left="1140" w:right="860" w:hanging="369"/>
        <w:spacing w:after="0" w:line="284"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Robust clawback policy </w:t>
      </w:r>
      <w:r>
        <w:rPr>
          <w:rFonts w:ascii="Times New Roman" w:cs="Times New Roman" w:eastAsia="Times New Roman" w:hAnsi="Times New Roman"/>
          <w:sz w:val="18"/>
          <w:szCs w:val="18"/>
          <w:color w:val="auto"/>
        </w:rPr>
        <w:t>- Our Clawback Policy complies with SEC and Nasdaq rules requiring recovery from certain officers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erroneously awarded incentive compensation in the event of a covered restatement of our financial statements.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Pay practices we do NOT use:</w:t>
      </w:r>
    </w:p>
    <w:p>
      <w:pPr>
        <w:spacing w:after="0" w:line="117" w:lineRule="exact"/>
        <w:rPr>
          <w:sz w:val="20"/>
          <w:szCs w:val="20"/>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share options and other awards without shareholder approval.</w:t>
      </w:r>
    </w:p>
    <w:p>
      <w:pPr>
        <w:spacing w:after="0" w:line="117" w:lineRule="exact"/>
        <w:rPr>
          <w:rFonts w:ascii="Times New Roman" w:cs="Times New Roman" w:eastAsia="Times New Roman" w:hAnsi="Times New Roman"/>
          <w:sz w:val="18"/>
          <w:szCs w:val="18"/>
          <w:color w:val="auto"/>
        </w:rPr>
      </w:pPr>
    </w:p>
    <w:p>
      <w:pPr>
        <w:jc w:val="center"/>
        <w:ind w:left="5540" w:right="1500" w:hanging="4769"/>
        <w:spacing w:after="0" w:line="407" w:lineRule="auto"/>
        <w:tabs>
          <w:tab w:leader="none" w:pos="11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employees or Board members to engage in short sales, purchasing or pledging our ordinary shares on margin, or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 w:name="page16"/>
    <w:bookmarkEnd w:id="15"/>
    <w:p>
      <w:pPr>
        <w:ind w:left="1140"/>
        <w:spacing w:after="0"/>
        <w:rPr>
          <w:sz w:val="20"/>
          <w:szCs w:val="20"/>
          <w:color w:val="auto"/>
        </w:rPr>
      </w:pPr>
      <w:r>
        <w:rPr>
          <w:rFonts w:ascii="Times New Roman" w:cs="Times New Roman" w:eastAsia="Times New Roman" w:hAnsi="Times New Roman"/>
          <w:sz w:val="18"/>
          <w:szCs w:val="18"/>
          <w:color w:val="auto"/>
        </w:rPr>
        <w:t>entering into any hedging, derivative, or similar transactions.</w:t>
      </w:r>
    </w:p>
    <w:p>
      <w:pPr>
        <w:spacing w:after="0" w:line="117" w:lineRule="exact"/>
        <w:rPr>
          <w:sz w:val="20"/>
          <w:szCs w:val="20"/>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tax gross-ups.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excessive perquisites (perquisites are limited to those with a clear business-related rationale).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underwater share options.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mega-grants, discounted share options, in-the-money share options or immediately vested equity.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Executive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elements of our executive compensation program are:</w:t>
      </w:r>
    </w:p>
    <w:p>
      <w:pPr>
        <w:spacing w:after="0" w:line="117" w:lineRule="exact"/>
        <w:rPr>
          <w:sz w:val="20"/>
          <w:szCs w:val="20"/>
          <w:color w:val="auto"/>
        </w:rPr>
      </w:pPr>
    </w:p>
    <w:p>
      <w:pPr>
        <w:ind w:left="1160" w:hanging="389"/>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160" w:hanging="389"/>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performance-based cash incentive compensation; and</w:t>
      </w:r>
    </w:p>
    <w:p>
      <w:pPr>
        <w:spacing w:after="0" w:line="117" w:lineRule="exact"/>
        <w:rPr>
          <w:rFonts w:ascii="Times New Roman" w:cs="Times New Roman" w:eastAsia="Times New Roman" w:hAnsi="Times New Roman"/>
          <w:sz w:val="18"/>
          <w:szCs w:val="18"/>
          <w:color w:val="auto"/>
        </w:rPr>
      </w:pPr>
    </w:p>
    <w:p>
      <w:pPr>
        <w:ind w:left="1160" w:hanging="389"/>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awards.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provide broad-based health and welfare benefits and have certain severance and change-in-control benefits. Our intention is to structure these components of our executive compensation program in a way that achieves the objectives of the program of linking and emphasizing pay to performance over both the short- and long-term, aligning executives’ interests with the interests of shareholders and attracting, motivating and retaining highly skilled and experienced executives.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Annual base salary is designed to provide a competitive fixed rate of pay, recognizing different levels of responsibility and performance. Actual salaries reflect the judgment and consideration of numerous factors by the Compensation Committee. These factors include the NEO’s experience, importance of position, expected future contributions, performance, comparative survey data, internal pay equity, scope of responsibilities, expertise, the criticality of the NEO’s position within the Company, the other elements of compensation received by the NEO, and the NEO’s compensation in comparison to similarly situated executive officers at comparable companies in our peer group.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salary increases for 2024 for all of our NEOs were made to ensure better alignment with market data and in consideration of internal pay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annual base salaries of our NEOs in effect for 2023 and 2024:</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58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432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240" w:type="dxa"/>
            <w:vAlign w:val="bottom"/>
          </w:tcPr>
          <w:p>
            <w:pPr>
              <w:spacing w:after="0"/>
              <w:rPr>
                <w:sz w:val="14"/>
                <w:szCs w:val="14"/>
                <w:color w:val="auto"/>
              </w:rPr>
            </w:pPr>
          </w:p>
        </w:tc>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 Increase</w:t>
            </w:r>
          </w:p>
        </w:tc>
        <w:tc>
          <w:tcPr>
            <w:tcW w:w="160" w:type="dxa"/>
            <w:vAlign w:val="bottom"/>
          </w:tcPr>
          <w:p>
            <w:pPr>
              <w:spacing w:after="0"/>
              <w:rPr>
                <w:sz w:val="14"/>
                <w:szCs w:val="14"/>
                <w:color w:val="auto"/>
              </w:rPr>
            </w:pPr>
          </w:p>
        </w:tc>
      </w:tr>
      <w:tr>
        <w:trPr>
          <w:trHeight w:val="142"/>
        </w:trPr>
        <w:tc>
          <w:tcPr>
            <w:tcW w:w="4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Paul B. Bolno, M.D., MBA</w:t>
            </w:r>
          </w:p>
        </w:tc>
        <w:tc>
          <w:tcPr>
            <w:tcW w:w="1580" w:type="dxa"/>
            <w:vAlign w:val="bottom"/>
            <w:gridSpan w:val="2"/>
            <w:shd w:val="clear" w:color="auto" w:fill="CFF0FC"/>
          </w:tcPr>
          <w:p>
            <w:pPr>
              <w:jc w:val="right"/>
              <w:ind w:right="12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636,400</w:t>
            </w:r>
          </w:p>
        </w:tc>
        <w:tc>
          <w:tcPr>
            <w:tcW w:w="5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655,500</w:t>
            </w:r>
          </w:p>
        </w:tc>
        <w:tc>
          <w:tcPr>
            <w:tcW w:w="1740" w:type="dxa"/>
            <w:vAlign w:val="bottom"/>
            <w:gridSpan w:val="3"/>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3%</w:t>
            </w:r>
          </w:p>
        </w:tc>
      </w:tr>
      <w:tr>
        <w:trPr>
          <w:trHeight w:val="148"/>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Christopher Francis, Ph.D.</w:t>
            </w:r>
          </w:p>
        </w:tc>
        <w:tc>
          <w:tcPr>
            <w:tcW w:w="1580" w:type="dxa"/>
            <w:vAlign w:val="bottom"/>
            <w:gridSpan w:val="2"/>
          </w:tcPr>
          <w:p>
            <w:pPr>
              <w:jc w:val="right"/>
              <w:ind w:right="125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425,500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438,300</w:t>
            </w: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r>
      <w:tr>
        <w:trPr>
          <w:trHeight w:val="148"/>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Kyle Moran, CFA</w:t>
            </w:r>
          </w:p>
        </w:tc>
        <w:tc>
          <w:tcPr>
            <w:tcW w:w="1580" w:type="dxa"/>
            <w:vAlign w:val="bottom"/>
            <w:gridSpan w:val="2"/>
            <w:shd w:val="clear" w:color="auto" w:fill="CFF0FC"/>
          </w:tcPr>
          <w:p>
            <w:pPr>
              <w:jc w:val="right"/>
              <w:ind w:right="125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471,300</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497,200</w:t>
            </w:r>
          </w:p>
        </w:tc>
        <w:tc>
          <w:tcPr>
            <w:tcW w:w="1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5.5%</w:t>
            </w:r>
          </w:p>
        </w:tc>
      </w:tr>
      <w:tr>
        <w:trPr>
          <w:trHeight w:val="174"/>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Chandra Vargeese, Ph.D.</w:t>
            </w:r>
          </w:p>
        </w:tc>
        <w:tc>
          <w:tcPr>
            <w:tcW w:w="1580" w:type="dxa"/>
            <w:vAlign w:val="bottom"/>
            <w:gridSpan w:val="2"/>
          </w:tcPr>
          <w:p>
            <w:pPr>
              <w:jc w:val="right"/>
              <w:ind w:right="125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473,340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487,540</w:t>
            </w: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Performance-Based Cash Incentive Compensation</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in order to reward performance and overall Company success, a portion of an executive officer’s compensation should be tied to the achievement of the Company’s goals in the form of an annual cash incentive payment. Our executive officers are eligible to receive annual cash incentive awards, with the target bonus opportunity determined as a percentage of their base salary. We established this program in order to focus and incentivize our executives to achieve short-term strategic business objectives.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the target bonus opportunity for each NEO was the same as for 2023.</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executive officers are eligible to receive annual cash incentive awards, with the target bonus opportunity for 2024 determined as a percentage of their base salary. At the end of 2024, our Board approved ambitious corporate goals and objectives that our Compensation Committee then used to design our annual cash incentive program for 2024. Under this program, the Compensation Committee determined that the corporate goals would apply uniformly to all of our executive officers. Our 2024 corporate goals that were set by our Board to determine our 2024 corporate performance, plus our additional achievements that proved to be helpful or</w:t>
      </w:r>
    </w:p>
    <w:p>
      <w:pPr>
        <w:spacing w:after="0" w:line="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important to our operations during 2024, are described above in “Compensation Discussion and Analysis — 2024 Business Highlights.”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our Board’s assessment and consideration of the relative weighting and importance of our goals, our Board determined that we achieved 125% of our 2024 corporate goals. The Compensation Committee then determined that bonuses for 2024 performance be paid to our NEOs based on these results.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early 2025, our Chief Executive Officer and other NEOs were awarded their incentive payouts in connection with meeting the 2024 corporate goals at 125% of their incentive target amounts with the exception of Dr. Vargeese, who received 131% of the target incentive amount. The following table sets forth the cash bonus payments for 2024 performance: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Incentive Target Amount</w:t>
            </w: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5"/>
        </w:trPr>
        <w:tc>
          <w:tcPr>
            <w:tcW w:w="4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(as a % of Base Salary)</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Actual Award</w:t>
            </w:r>
          </w:p>
        </w:tc>
        <w:tc>
          <w:tcPr>
            <w:tcW w:w="320" w:type="dxa"/>
            <w:vAlign w:val="bottom"/>
          </w:tcPr>
          <w:p>
            <w:pPr>
              <w:spacing w:after="0"/>
              <w:rPr>
                <w:sz w:val="14"/>
                <w:szCs w:val="14"/>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Paul B. Bolno, M.D., MBA</w:t>
            </w:r>
          </w:p>
        </w:tc>
        <w:tc>
          <w:tcPr>
            <w:tcW w:w="322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65%</w:t>
            </w:r>
          </w:p>
        </w:tc>
        <w:tc>
          <w:tcPr>
            <w:tcW w:w="300" w:type="dxa"/>
            <w:vAlign w:val="bottom"/>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532,600</w:t>
            </w:r>
          </w:p>
        </w:tc>
        <w:tc>
          <w:tcPr>
            <w:tcW w:w="320" w:type="dxa"/>
            <w:vAlign w:val="bottom"/>
            <w:shd w:val="clear" w:color="auto" w:fill="CFF0FC"/>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Christopher Francis, Ph.D.</w:t>
            </w:r>
          </w:p>
        </w:tc>
        <w:tc>
          <w:tcPr>
            <w:tcW w:w="32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45%</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246,550</w:t>
            </w:r>
          </w:p>
        </w:tc>
        <w:tc>
          <w:tcPr>
            <w:tcW w:w="320" w:type="dxa"/>
            <w:vAlign w:val="bottom"/>
          </w:tcPr>
          <w:p>
            <w:pPr>
              <w:spacing w:after="0"/>
              <w:rPr>
                <w:sz w:val="12"/>
                <w:szCs w:val="12"/>
                <w:color w:val="auto"/>
              </w:rPr>
            </w:pPr>
          </w:p>
        </w:tc>
      </w:tr>
      <w:tr>
        <w:trPr>
          <w:trHeight w:val="14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Kyle Moran, CFA</w:t>
            </w:r>
          </w:p>
        </w:tc>
        <w:tc>
          <w:tcPr>
            <w:tcW w:w="3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45%</w:t>
            </w:r>
          </w:p>
        </w:tc>
        <w:tc>
          <w:tcPr>
            <w:tcW w:w="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279,675</w:t>
            </w:r>
          </w:p>
        </w:tc>
        <w:tc>
          <w:tcPr>
            <w:tcW w:w="320" w:type="dxa"/>
            <w:vAlign w:val="bottom"/>
            <w:shd w:val="clear" w:color="auto" w:fill="CFF0FC"/>
          </w:tcPr>
          <w:p>
            <w:pPr>
              <w:spacing w:after="0"/>
              <w:rPr>
                <w:sz w:val="12"/>
                <w:szCs w:val="12"/>
                <w:color w:val="auto"/>
              </w:rPr>
            </w:pPr>
          </w:p>
        </w:tc>
      </w:tr>
      <w:tr>
        <w:trPr>
          <w:trHeight w:val="174"/>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Chandra Vargeese, Ph.D.</w:t>
            </w:r>
          </w:p>
        </w:tc>
        <w:tc>
          <w:tcPr>
            <w:tcW w:w="32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45%</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287,975</w:t>
            </w:r>
          </w:p>
        </w:tc>
        <w:tc>
          <w:tcPr>
            <w:tcW w:w="320" w:type="dxa"/>
            <w:vAlign w:val="bottom"/>
          </w:tcPr>
          <w:p>
            <w:pPr>
              <w:spacing w:after="0"/>
              <w:rPr>
                <w:sz w:val="15"/>
                <w:szCs w:val="15"/>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view long-term incentive compensation in the form of equity awards as a critical element of our executive compensation program. Our program is designed to reward demonstrated leadership and performance, align our executive officers’ interests with those of our shareholders through sustained, long-term value creation while retaining and motivating our executive officers for future performance.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Long-Term Incentive Program</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2025, the long-term incentive component of the compensation of our NEOs consisted of a mix of share options and time-based restricted share units (“RSUs”). We changed the type of awards granted to a mix of two types of equity awards to combine the retention and downside risk benefits inherent in RSUs with the shareholder-value-creation benefits inherent in share options, while mitigating the potential risk that may manifest itself through using a single type of award. The share options were granted to each of our NEOs by our Compensation Committee on February 4, 2025, at an exercise price of $11.74 per share, and vest over a four year term, with 25% vesting on February 8, 2026, and the remainder vesting quarterly thereafter. The RSUs were granted to each of our NEOs by our Compensation Committee on February 4, 2025 and vest annually in equal installments of 25% over a four-year term beginning on February 8,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Long-Term Incentive Program</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2024, the long-term incentive component of the compensation of our NEOs consisted solely of share options. These share options were granted to each of our NEOs by our Compensation Committee on February 5, 2024, at an exercise price of $3.87 per share, and vest over a four-year term, with 25% vesting on February 5, 2025, and the remainder vesting quarterly thereafter. The Compensation Committee determined to grant share options to best align employees, including NEOs, with investors’ interests to build long-term shareholder value in our Company.</w:t>
      </w:r>
    </w:p>
    <w:p>
      <w:pPr>
        <w:spacing w:after="0" w:line="1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 broad-based equity compensation program designed to reward and motivate our employees, including our NEOs. Equity awards help align the interests of our NEOs and other employees with the long-term interests of our shareholders and provide an opportunity for employees to acquire an ownership interest in our Company. The granting of equity awards is also consistent with our compensation philosophy of attracting, retaining and motivating our NEOs to deliver sustainable long-term value and aligning the interests of our executives with those of our shareholders. In determining the size and type of equity awards to grant, our Compensation Committee considered evolving market practices, as well as the retentive value provided by our equity grants.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2021 Equity Incentive Plan, as amended on August 6, 2024 (the “2021 Plan”) allows for the grant of options, restricted share awards, RSUs, and other share or cash-based awards and dividend equivalent awards to employees, non-employee directors and consultants. Equity grants during the 2024, 2023, and 2022 fiscal years were made in the form of share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details regarding our 2024 equity awards, see the “2024 Fiscal Year Grants of Plan-Based Awards” table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Benefits offered to our NEOs serve a different purpose than do the other elements of total compensation. In general, they are designed to provide a safety net of protection against the financial catastrophes that can result from illness, disability or death and provide for some benefits upon retirement. Benefits offered to our NEOs are the same as those offered to the general employee population, except</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7" w:name="page18"/>
    <w:bookmarkEnd w:id="17"/>
    <w:p>
      <w:pPr>
        <w:ind w:right="80"/>
        <w:spacing w:after="0" w:line="261" w:lineRule="auto"/>
        <w:rPr>
          <w:sz w:val="20"/>
          <w:szCs w:val="20"/>
          <w:color w:val="auto"/>
        </w:rPr>
      </w:pPr>
      <w:r>
        <w:rPr>
          <w:rFonts w:ascii="Times New Roman" w:cs="Times New Roman" w:eastAsia="Times New Roman" w:hAnsi="Times New Roman"/>
          <w:sz w:val="18"/>
          <w:szCs w:val="18"/>
          <w:color w:val="auto"/>
        </w:rPr>
        <w:t>for the car service provided to our Chief Executive Officer, which is reflected in the “All Other Compensation” column in the “Summary Compensation Table” below. The Compensation Committee determined it is in the best interest of our Company to provide car service for our Chief Executive Officer in order to promote the efficient use of his work time for our Company and to provide safe transportation given the demands of his role, which often require the participation on conference calls during commuting hours, as well as extended work hours.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a defined contribution 401(k) plan that is intended to qualify under Section 401(k) of the Internal Revenue Code of 1986, as amended (the “Code”). In general, all of our U.S. employees, including our NEOs, are eligible to participate in the 401(k) plan. Under the 401(k) plan, employees may elect to reduce their current compensation by up to the statutorily prescribed annual limit, which was equal to $23,000 in 2024, and to have the amount of such reduction contributed to the 401(k) plan. In addition, employees who turn age 50 before the end of the 2024 calendar year may also defer up to an additional $7,500. We currently match 50% of an employee’s 401(k) contributions up to a maximum of 6% of the participant’s includable compensation. Matching contributions are 100% vested upon completion of one year of service with our Company. Matching contributions made to each of our NEOs are included in the “Summary Compensation Table” below. We do not provide defined benefit retirement plans, post-retirement health coverage, or any other supplemental retiree benefits for our NEOs.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Wave Life Sciences Ltd. Employee Share Purchase Plan, as amended (“ESPP”), allows full-time and certain part-time employees to purchase the Company’s ordinary shares at a discount to fair market value. Eligible employees may enroll in a six-month offering period beginning every January 15th and July 15th. Shares are purchased at a price equal to 85% of the lower of the fair market value of the Company’s ordinary shares on the first business day or the last business day of an offering period. As of December 31, 2024, there were 2,314,002 ordinary shares available for issuance under the ESPP.</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and Severance Benefits with Our Named Executive Officers</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Each of our NEOs entered into an employment agreement with us in connection with the commencement of his or her employment. All employment agreements generally provide for at-will employment and that our NEOs are eligible to participate in employee benefit plans of general applicability to other employees, which we maintain from time to time.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Paul B. Bolno, M.D., MBA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2020, we entered into an amended and restated employment agreement with Dr. Bolno, pursuant to which he serves as our President and Chief Executive Officer. The employment agreement amends and restates the prior employment arrangement between us and Dr. Bolno. As of January 1, 2024, Dr. Bolno’s annual base salary was $655,500 and the Compensation Committee established his annual target bonus percentage at 65% of his annual base salary, with the actual amount to be paid determined based on the achievement of annual performance milestones defined by our Board in its sole discretion. Effective January 1, 2025, the Compensation Committee approved an increase of Dr. Bolno’s annual base salary to $700,000. In February 2025, in recognition of his 2024 performance supporting the achievement of our corporate goals, as discussed above, the Compensation Committee authorized a cash bonus for Dr. Bolno of $532,600 that was equal to 125% of his 2024 target bonus. In addition, in February 2025, the Compensation Committee approved an award to Dr. Bolno of an option to purchase 1,000,000 of our ordinary shares and 121,000 RSUs under our 2021 Plan as a 2025 long-term incentive plan (“2025 LTIP”) award, with such options and RSUs vesting over a four-year period, with 25% vesting on the first anniversary of the date of grant and the remainder vesting quarterly thereafter.</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Dr. Bolno’s employment agreement, if we terminate his employment without cause or if he terminates his employment for good reason, Dr. Bolno will be entitled to receive continued payment of his then-current annual base salary for 18 months following termination; continued payment of health insurance premiums at our then-normal rate of contribution until the earlier of 18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Bolno is terminated without cause or if Dr. Bolno terminates his employment for good reason, he will be entitled to receive a lump sum cash payment equal to 18 months of his then-current annual base salary; continued payment of health insurance premiums at our then-normal rate of contribution until the earlier of 18 months following termination or until he commences new employment; and the payment of a separation bonus equal to his then annual target bonus opportunity. Pursuant to applicable equity agreements with Dr. Bolno,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Chris Francis, Ph.D.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November 2022, we entered into an amended and restated employment agreement with Dr. Francis, pursuant to which he serves as our Senior Vice President, Corporate Development, Head of Emerging Areas. The employment agreement amends and restates the prior employment arrangement between us and Dr. Francis. As of January 1, 2024, Dr. Francis’s annual base salary was $438,300,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2025, the Compensation Committee approved an increase of Dr. Francis’s annual base salary to $451,400. In February 2025, in recognition of his 2024 performance supporting the achievement of our corporate goals, as discussed above, the Compensation Committee authorized a cash bonus for Dr. Francis of $246,550 that was equal to 125% of his 2024 target bonus. In addition, in February 2025, the Compensation Committee approved an award to Dr. Francis of an option to purchase 151,000 of our ordinary shares and 25,000 RSUs under our 2021 Plan as a 2025 LTIP award, with such options and RSUs vesting over a four-year period, with 25% vesting on the first anniversary of the date of grant and the remainder vesting quarterly thereafter.</w:t>
      </w:r>
    </w:p>
    <w:p>
      <w:pPr>
        <w:spacing w:after="0" w:line="3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Dr. Francis’s employment agreement, if we terminate his employment without cause or if he terminates his employment for good reason, Dr. Francis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Francis is terminated without cause or if Dr. Francis terminates his employment for good reason, he will be entitled to receive a lump sum cash payment equal to 12 months of his then-current annual base salary; continued payment 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Dr. Francis,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Kyle Moran, CFA</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January 2021, we entered into an amended and restated employment agreement with Mr. Moran, pursuant to which he serves as our Chief Financial Officer. The employment agreement amends and restates the prior employment arrangement between us and Mr. Moran. As of January 1, 2024, Mr. Moran’s annual base salary was $497,200,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2025, the Compensation Committee approved an increase of Mr. Moran’s annual base salary to $520,100. In February 2025, in recognition of his 2024 performance supporting the achievement of our corporate goals, as discussed below, the Compensation Committee authorized a cash bonus for Mr. Moran of $279,675 that was equal to 125% of his 2024 target bonus. In addition, in February 2025, the Compensation Committee approved an award to Mr. Moran of an option to purchase 252,000 of our ordinary shares and 42,000 RSUs under our 2021 Plan as a 2025 LTIP award, with such options and RSUs vesting over a four-year period, with 25% vesting on the first anniversary of the date of grant and the remainder vesting quarterly thereafter.</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Mr. Moran’s employment agreement, if we terminate his employment without cause or if he terminates his employment for good reason, Mr. Moran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Mr. Moran is terminated without cause or if Mr. Moran terminates his employment for good reason, he will be entitled to receive a lump sum cash payment equal to 12 months of his then current annual base salary; continued payment 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Mr. Moran,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Chandra Vargeese, Ph.D.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May 2020, we entered into an amended and restated employment agreement with Dr. Vargeese, pursuant to which she serves as our Chief Technology Officer, Head of Platform Discovery Sciences. The employment agreement amends and restates the prior employment arrangement between us and Dr. Vargeese. As of January 1, 2024, Dr. Vargeese’s annual base salary was $487,540, and the Compensation Committee established her annual target bonus percentage at 45% of her annual base salary, with the actual amount to be paid determined based on the achievement of annual performance milestones defined by our Board in its sole discretion. Effective January 1, 2025, the Compensation Committee approved an increase of Dr. Vargeese’s annual base salary to $502,200. In February 2025, in recognition of her 2024 performance supporting the achievement of our corporate goals, as discussed below, the Compensation Committee authorized a cash bonus for Dr. Vargeese of $287,975 that was equal to 131% of her 2024 target bonus. In addition, in February 2025, the Compensation Committee approved an award to Dr. Vargeese of an option to purchase 224,000 of our ordinary shares and 37,000 RSUs under our 2021 Plan as a 2025 LTIP award, with such options and RSUs vesting over a four-year period, with 25% vesting on the first anniversary of the date of grant and the remainder vesting quarterly thereafter.</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Dr. Vargeese’s employment agreement, if we terminate her employment without cause or if she terminates her employment for good reason, Dr. Vargeese will be entitled to receive continued payment of her then-current annual base salary for 12 months following termination; continued payment of health insurance premiums at our then-normal rate of contribution until the earlier of 12 months following termination or until she commences new employment; and the payment of a separation bonus equal to her then annual target bonus opportunity prorated through the termination date. In addition, if a change of control occurs and within one year following the change of control Dr. Vargeese is terminated without cause or if Dr. Vargeese terminates her employment for good reason, she will be entitled to receive a lump sum cash payment equal to 12 months of her then-current annual base salary; continued payment of health insurance premiums at our then-normal rate of contribution until the earlier of 12 months following termination or until she commences new employment; and the payment of a separation bonus equal to her then annual target bonus opportunity. Pursuant to applicable equity agreements with Dr. Vargeese, all unvested shares underlying outstanding options and RSUs that were granted to her on or after January 1, 2018 will become fully vested upon her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her employment.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Applicable to Named Executive Officers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as a condition of their employment, each of our NEOs has entered into a non-competition and non-solicitation agreement pursuant to which he or she has agreed not to compete with us for a period of 12 months following the termination of their employment with us. All agreements generally provide for at-will employment and that our NEOs are eligible to participate in employee benefit plans of general applicability to other senior executives, which we maintain from time to time.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change of control benefits included in our employment agreements with our NEOs, change of control is defined as follows: (A)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Analysis of Our Compensation Plans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Compensation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Compensation Committee regularly evaluates the risks involved with our compensation programs and does not believe that any of our compensation programs create risks that are reasonably likely to have a material adverse effect on us now or in the future. Our Compensation Committee considered the compensation structure of the Company for its employees including executive officers, which is based on an annual salary, annual bonus (for bonus-eligible employees), and equity incentive compensation in the form of share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Compensation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Timing of Grants of Certain Equity Awards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grant share options and RSUs to our employees, including our NEOs. We award new hire equity grants on or soon after a new hire’s start date of employment with us. We also provide annual long-term incentive grants consisting of our share options and/or RSUs. Our process is to grant the annual long-term incentive awards on the date following the conclusion of our annual compensation cycle, as determined when the Chief Executive Officer and Chief Financial Officer approve all non-executive compensation. That specific date for Chief Executive Officer approval is set and determined in advance based on the entirety of the performance management and compensation cycles.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a regularly scheduled meeting of our Board and Compensation Committee, which is typically held in December of each year, our Board and Compensation Committee have a long-standing practice of reviewing our results for the most recently completed fiscal year, and reviewing our financial plan and strategy for the upcoming fiscal year. At these meetings, the Compensation Committee also reviews the performance of our NEOs with the Chief Executive Officer and based on those reviews, approves the grant of cash bonuses and equity awards for each individual’s performance (other than the Chief Executive Officer) on the most recently completed fiscal year and establish their salaries for the current fiscal year. The Compensation Committee, without the Chief Executive Officer present, recommends to the Board grants of cash bonuses and equity awards for the Chief Executive Officer on the most recently completed fiscal year and any change to the Chief Executive Officer’s salary for the current fiscal year. After further reviews and discussions, the Board determines whether to approve the Compensation Committee’s recommendations as to grants of cash bonuses and equity awards for the Chief Executive Officer on the most recently completed fiscal year and any change to the Chief Executive Officer’s salary for the current fiscal year. The Compensation Committee considers whether there is any material nonpublic information (“MNPI”) about us when determining the timing of grants and generally does not time grants of share options in relation to our public disclosure of MNPI. During the year ended December 31, 2024, we did not time the release of MNPI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has reviewed and discussed the Compensation Discussion and Analysis required by Item 402(b) of Regulation S-K, which appears elsewhere in this report, with our management. Based on this review and discussion, the Compensation Committee has recommended to our Board that the Compensation Discussion and Analysis be included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Wave Life Sciences Ltd. 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Henry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Rawcliffe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Heidi Wagner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last three fiscal years ended December 31, 2024, 2023, and 2022 to our (i) our President and Chief Executive Officer, (ii) our Chief Financial Officer, and (iii) our two next most highly compensated executive officers, who earned more than $100,000 during the fiscal year ended December 31, 2024 and were serving as executive officers as of such date, as applicable. Collectively, these four individuals are our NEOs for purposes of this Amendment.</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2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33"/>
              <w:spacing w:after="0" w:line="139" w:lineRule="exact"/>
              <w:rPr>
                <w:sz w:val="20"/>
                <w:szCs w:val="20"/>
                <w:color w:val="auto"/>
              </w:rPr>
            </w:pPr>
            <w:r>
              <w:rPr>
                <w:rFonts w:ascii="Times New Roman" w:cs="Times New Roman" w:eastAsia="Times New Roman" w:hAnsi="Times New Roman"/>
                <w:sz w:val="13"/>
                <w:szCs w:val="13"/>
                <w:b w:val="1"/>
                <w:bCs w:val="1"/>
                <w:color w:val="auto"/>
              </w:rPr>
              <w:t>Salary</w:t>
            </w:r>
          </w:p>
        </w:tc>
        <w:tc>
          <w:tcPr>
            <w:tcW w:w="22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0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20" w:type="dxa"/>
            <w:vAlign w:val="bottom"/>
          </w:tcPr>
          <w:p>
            <w:pPr>
              <w:spacing w:after="0"/>
              <w:rPr>
                <w:sz w:val="12"/>
                <w:szCs w:val="12"/>
                <w:color w:val="auto"/>
              </w:rPr>
            </w:pPr>
          </w:p>
        </w:tc>
        <w:tc>
          <w:tcPr>
            <w:tcW w:w="1220" w:type="dxa"/>
            <w:vAlign w:val="bottom"/>
            <w:gridSpan w:val="2"/>
          </w:tcPr>
          <w:p>
            <w:pPr>
              <w:ind w:left="400"/>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7"/>
                <w:szCs w:val="17"/>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(1)</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Paul B. Bolno, M.D., MBA</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2024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655,500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3,064,934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532,600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4,272,299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636,400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2,744,529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475,700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3,874,300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617,900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1,565,220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461,900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2,667,997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Kyle Moran, CFA</w:t>
            </w:r>
          </w:p>
        </w:tc>
        <w:tc>
          <w:tcPr>
            <w:tcW w:w="120" w:type="dxa"/>
            <w:vAlign w:val="bottom"/>
          </w:tcPr>
          <w:p>
            <w:pPr>
              <w:spacing w:after="0"/>
              <w:rPr>
                <w:sz w:val="11"/>
                <w:szCs w:val="11"/>
                <w:color w:val="auto"/>
              </w:rPr>
            </w:pPr>
          </w:p>
        </w:tc>
        <w:tc>
          <w:tcPr>
            <w:tcW w:w="1000" w:type="dxa"/>
            <w:vAlign w:val="bottom"/>
          </w:tcPr>
          <w:p>
            <w:pPr>
              <w:ind w:left="360"/>
              <w:spacing w:after="0" w:line="134" w:lineRule="exact"/>
              <w:rPr>
                <w:sz w:val="20"/>
                <w:szCs w:val="20"/>
                <w:color w:val="auto"/>
              </w:rPr>
            </w:pPr>
            <w:r>
              <w:rPr>
                <w:rFonts w:ascii="Times New Roman" w:cs="Times New Roman" w:eastAsia="Times New Roman" w:hAnsi="Times New Roman"/>
                <w:sz w:val="13"/>
                <w:szCs w:val="13"/>
                <w:color w:val="auto"/>
              </w:rPr>
              <w:t>2024</w:t>
            </w:r>
          </w:p>
        </w:tc>
        <w:tc>
          <w:tcPr>
            <w:tcW w:w="10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497,200</w:t>
            </w: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1,128,914</w:t>
            </w: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279,675</w:t>
            </w: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11,592</w:t>
            </w:r>
          </w:p>
        </w:tc>
        <w:tc>
          <w:tcPr>
            <w:tcW w:w="134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1,917,381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471,300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970,730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243,900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1,697,072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439,875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470,923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227,600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10,392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1,148,790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Chandra Vargeese, Ph.D.</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2024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487,540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1,099,134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1,888,563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i w:val="1"/>
                <w:iCs w:val="1"/>
                <w:color w:val="auto"/>
              </w:rPr>
              <w:t>Chief Technology Officer, Head of Platform Discovery Sciences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473,340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1,051,535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1,783,339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459,540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521,740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1,231,794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Christopher Francis, Ph.D.</w:t>
            </w:r>
          </w:p>
        </w:tc>
        <w:tc>
          <w:tcPr>
            <w:tcW w:w="120" w:type="dxa"/>
            <w:vAlign w:val="bottom"/>
          </w:tcPr>
          <w:p>
            <w:pPr>
              <w:spacing w:after="0"/>
              <w:rPr>
                <w:sz w:val="11"/>
                <w:szCs w:val="11"/>
                <w:color w:val="auto"/>
              </w:rPr>
            </w:pPr>
          </w:p>
        </w:tc>
        <w:tc>
          <w:tcPr>
            <w:tcW w:w="1000" w:type="dxa"/>
            <w:vAlign w:val="bottom"/>
          </w:tcPr>
          <w:p>
            <w:pPr>
              <w:ind w:left="360"/>
              <w:spacing w:after="0" w:line="134" w:lineRule="exact"/>
              <w:rPr>
                <w:sz w:val="20"/>
                <w:szCs w:val="20"/>
                <w:color w:val="auto"/>
              </w:rPr>
            </w:pPr>
            <w:r>
              <w:rPr>
                <w:rFonts w:ascii="Times New Roman" w:cs="Times New Roman" w:eastAsia="Times New Roman" w:hAnsi="Times New Roman"/>
                <w:sz w:val="13"/>
                <w:szCs w:val="13"/>
                <w:color w:val="auto"/>
              </w:rPr>
              <w:t>2024</w:t>
            </w:r>
          </w:p>
        </w:tc>
        <w:tc>
          <w:tcPr>
            <w:tcW w:w="10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438,300</w:t>
            </w: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870,312</w:t>
            </w: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246,550</w:t>
            </w: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11,260</w:t>
            </w:r>
          </w:p>
        </w:tc>
        <w:tc>
          <w:tcPr>
            <w:tcW w:w="134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1,566,422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Senior Vice President, Corporate Development and Head of Emerging</w:t>
            </w:r>
          </w:p>
        </w:tc>
        <w:tc>
          <w:tcPr>
            <w:tcW w:w="11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2023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425,500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871,059</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220,200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10,710</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1,527,469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000" w:type="dxa"/>
            <w:vAlign w:val="bottom"/>
            <w:vMerge w:val="restart"/>
          </w:tcPr>
          <w:p>
            <w:pPr>
              <w:ind w:left="80"/>
              <w:spacing w:after="0"/>
              <w:rPr>
                <w:sz w:val="20"/>
                <w:szCs w:val="20"/>
                <w:color w:val="auto"/>
              </w:rPr>
            </w:pPr>
            <w:r>
              <w:rPr>
                <w:rFonts w:ascii="Times New Roman" w:cs="Times New Roman" w:eastAsia="Times New Roman" w:hAnsi="Times New Roman"/>
                <w:sz w:val="13"/>
                <w:szCs w:val="13"/>
                <w:i w:val="1"/>
                <w:iCs w:val="1"/>
                <w:color w:val="auto"/>
              </w:rPr>
              <w:t>Areas</w:t>
            </w:r>
          </w:p>
        </w:tc>
        <w:tc>
          <w:tcPr>
            <w:tcW w:w="112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000" w:type="dxa"/>
            <w:vAlign w:val="bottom"/>
            <w:vMerge w:val="continue"/>
          </w:tcPr>
          <w:p>
            <w:pPr>
              <w:spacing w:after="0"/>
              <w:rPr>
                <w:sz w:val="7"/>
                <w:szCs w:val="7"/>
                <w:color w:val="auto"/>
              </w:rPr>
            </w:pPr>
          </w:p>
        </w:tc>
        <w:tc>
          <w:tcPr>
            <w:tcW w:w="11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2022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407,800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391,305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1,010,645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20" w:right="160" w:hanging="512"/>
        <w:spacing w:after="0" w:line="257"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for the option awards identified, computed in accordance with FASB ASC Topic 718. A discussion of the assumptions used in determining grant date fair value may be found in Note 7 to the financial statements included in our Original 10-K.</w:t>
      </w:r>
    </w:p>
    <w:p>
      <w:pPr>
        <w:spacing w:after="0" w:line="1" w:lineRule="exact"/>
        <w:rPr>
          <w:rFonts w:ascii="Times New Roman" w:cs="Times New Roman" w:eastAsia="Times New Roman" w:hAnsi="Times New Roman"/>
          <w:sz w:val="18"/>
          <w:szCs w:val="18"/>
          <w:color w:val="auto"/>
        </w:rPr>
      </w:pPr>
    </w:p>
    <w:p>
      <w:pPr>
        <w:ind w:left="520" w:right="120" w:hanging="512"/>
        <w:spacing w:after="0" w:line="255"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the amounts include 401(k) matching contributions of $10,350 made to each of Drs. Bolno, Vargeese, and Francis and Mr. Moran, as well as the value of annual premiums paid by us with respect to a life insurance policy for the benefit of each of the NEOs. For 2024, the amount for Dr. Bolno also includes reimbursement of commuting expenses of $6,052 and the related tax gross up of $1,431.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Fiscal Year Grants of Plan-Based Awards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grants of non-equity incentive plan awards and grants of equity awards that we made during the fiscal year ended December 31, 2024 to each of our NEOs.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2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22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w:t>
            </w:r>
          </w:p>
        </w:tc>
        <w:tc>
          <w:tcPr>
            <w:tcW w:w="2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w:t>
            </w:r>
          </w:p>
        </w:tc>
        <w:tc>
          <w:tcPr>
            <w:tcW w:w="2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2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0" w:type="dxa"/>
            <w:vAlign w:val="bottom"/>
          </w:tcPr>
          <w:p>
            <w:pPr>
              <w:spacing w:after="0"/>
              <w:rPr>
                <w:sz w:val="1"/>
                <w:szCs w:val="1"/>
                <w:color w:val="auto"/>
              </w:rPr>
            </w:pPr>
          </w:p>
        </w:tc>
      </w:tr>
      <w:tr>
        <w:trPr>
          <w:trHeight w:val="146"/>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4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2"/>
                <w:szCs w:val="12"/>
                <w:color w:val="auto"/>
              </w:rPr>
            </w:pPr>
          </w:p>
        </w:tc>
        <w:tc>
          <w:tcPr>
            <w:tcW w:w="12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Target ($)</w:t>
            </w:r>
            <w:r>
              <w:rPr>
                <w:rFonts w:ascii="Times New Roman" w:cs="Times New Roman" w:eastAsia="Times New Roman" w:hAnsi="Times New Roman"/>
                <w:sz w:val="19"/>
                <w:szCs w:val="19"/>
                <w:b w:val="1"/>
                <w:bCs w:val="1"/>
                <w:color w:val="auto"/>
                <w:w w:val="95"/>
                <w:vertAlign w:val="superscript"/>
              </w:rPr>
              <w:t>(1)</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68"/>
              <w:spacing w:after="0" w:line="175" w:lineRule="exact"/>
              <w:rPr>
                <w:sz w:val="20"/>
                <w:szCs w:val="20"/>
                <w:color w:val="auto"/>
              </w:rPr>
            </w:pPr>
            <w:r>
              <w:rPr>
                <w:rFonts w:ascii="Times New Roman" w:cs="Times New Roman" w:eastAsia="Times New Roman" w:hAnsi="Times New Roman"/>
                <w:sz w:val="14"/>
                <w:szCs w:val="14"/>
                <w:b w:val="1"/>
                <w:bCs w:val="1"/>
                <w:color w:val="auto"/>
                <w:w w:val="94"/>
              </w:rPr>
              <w:t>($/Sh)</w:t>
            </w:r>
            <w:r>
              <w:rPr>
                <w:rFonts w:ascii="Times New Roman" w:cs="Times New Roman" w:eastAsia="Times New Roman" w:hAnsi="Times New Roman"/>
                <w:sz w:val="19"/>
                <w:szCs w:val="19"/>
                <w:b w:val="1"/>
                <w:bCs w:val="1"/>
                <w:color w:val="auto"/>
                <w:w w:val="94"/>
                <w:vertAlign w:val="superscript"/>
              </w:rPr>
              <w:t>(3)</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Paul B. Bolno, M.D., MBA</w:t>
            </w: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426,075</w:t>
            </w:r>
          </w:p>
        </w:tc>
        <w:tc>
          <w:tcPr>
            <w:tcW w:w="22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2/5/2024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1,008,600</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3,064,934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Kyle Moran, CFA</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2/5/2024</w:t>
            </w:r>
          </w:p>
        </w:tc>
        <w:tc>
          <w:tcPr>
            <w:tcW w:w="1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223,740</w:t>
            </w:r>
          </w:p>
        </w:tc>
        <w:tc>
          <w:tcPr>
            <w:tcW w:w="22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371,500</w:t>
            </w:r>
          </w:p>
        </w:tc>
        <w:tc>
          <w:tcPr>
            <w:tcW w:w="360" w:type="dxa"/>
            <w:vAlign w:val="bottom"/>
            <w:gridSpan w:val="2"/>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1,128,914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Chandra Vargeese, Ph.D.</w:t>
            </w: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219,393</w:t>
            </w:r>
          </w:p>
        </w:tc>
        <w:tc>
          <w:tcPr>
            <w:tcW w:w="22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2/5/2024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361,700</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1,099,134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Christopher Francis, Ph.D.</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2/5/2024</w:t>
            </w:r>
          </w:p>
        </w:tc>
        <w:tc>
          <w:tcPr>
            <w:tcW w:w="1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197,235</w:t>
            </w:r>
          </w:p>
        </w:tc>
        <w:tc>
          <w:tcPr>
            <w:tcW w:w="22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286,400</w:t>
            </w:r>
          </w:p>
        </w:tc>
        <w:tc>
          <w:tcPr>
            <w:tcW w:w="360" w:type="dxa"/>
            <w:vAlign w:val="bottom"/>
            <w:gridSpan w:val="2"/>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870,312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20" w:right="260" w:hanging="512"/>
        <w:spacing w:after="0" w:line="254"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potential 2025 cash incentive bonus payouts assuming target achievement of corporate goals, based upon the NEO's cash incentive bonus target and base salary in effect on December 31, 2024. No minimum threshold amount or maximum amount beyond the target amount was established. See the column entitled “Non-Equity Incentive Plan Compensation” in the “Summary Compensation Table” for the cash incentive bonuses earned by the NEOs in 2024. See “Compensation Discussion and Analysis — Components of Executive Compensation — </w:t>
      </w:r>
      <w:r>
        <w:rPr>
          <w:rFonts w:ascii="Times New Roman" w:cs="Times New Roman" w:eastAsia="Times New Roman" w:hAnsi="Times New Roman"/>
          <w:sz w:val="18"/>
          <w:szCs w:val="18"/>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Performance-Based Cash Incentive Compensation</w:t>
      </w:r>
      <w:r>
        <w:rPr>
          <w:rFonts w:ascii="Times New Roman" w:cs="Times New Roman" w:eastAsia="Times New Roman" w:hAnsi="Times New Roman"/>
          <w:sz w:val="18"/>
          <w:szCs w:val="18"/>
          <w:color w:val="auto"/>
        </w:rPr>
        <w:t>” for a description of the target amount applicable to each NEO.</w:t>
      </w:r>
    </w:p>
    <w:p>
      <w:pPr>
        <w:spacing w:after="0" w:line="3"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of share options made in 2024. Such awards have a four-year vesting period, with 25% of the shares subject to the award vesting on February 5, 2025 and the remainder vesting quarterly in equal installments over the following 12 quarters, subject to such NEO's continued service with us on each vesting date.</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the shares on the grant date.</w:t>
      </w:r>
    </w:p>
    <w:p>
      <w:pPr>
        <w:spacing w:after="0" w:line="9" w:lineRule="exact"/>
        <w:rPr>
          <w:rFonts w:ascii="Times New Roman" w:cs="Times New Roman" w:eastAsia="Times New Roman" w:hAnsi="Times New Roman"/>
          <w:sz w:val="18"/>
          <w:szCs w:val="18"/>
          <w:color w:val="auto"/>
        </w:rPr>
      </w:pPr>
    </w:p>
    <w:p>
      <w:pPr>
        <w:ind w:left="520" w:right="40" w:hanging="512"/>
        <w:spacing w:after="0" w:line="255"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represents the aggregate grant date fair value for the options and restricted share unit awards, as applicable, computed in accordance with FASB ASC Topic 718. A discussion of the assumptions used in determining grant date fair value may be found in Note 7 to the financial statements included in the Original 10-K.</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Compensation Committee creates the policies that govern base salary, annual cash performance-based incentives, our long-term incentive program and other compensation and benefits for our NEOs. Our Compensation Committee reviews and discusses our executive officers’ proposed compensation with the Chief Executive Officer for all executives other than the Chief Executive Officer. The Chief Executive Officer’s compensation is determined solely by the Compensation Committee without the Chief Executive Officer present for the discussions.</w:t>
      </w:r>
    </w:p>
    <w:p>
      <w:pPr>
        <w:spacing w:after="0" w:line="13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determining executive officer compensation, our Compensation Committee, with the assistance of its independent compensation consultant, Aon and an independent executive compensation consulting firm, evaluates the market competitiveness of compensation for each of our NEOs in order to guide target compensation decisions for the coming year. Our Compensation Committee references a peer group of publicly-traded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 competitors for executive talent and that are similar to us in terms of their stage of development,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 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 Our Compensation Committee retains flexibility to structure compensation based on good governance practices, our objectives of building our Company and creating value for our shareholders, and, most importantly, discovering, developing, and delivering life-changing treatments for people battling devastating diseases.</w:t>
      </w:r>
    </w:p>
    <w:p>
      <w:pPr>
        <w:spacing w:after="0" w:line="190"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employment arrangements with each of our NEOs, please refer to “Compensation Discussion and Analysis —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and Severance Benefits with Our Named Executive Officers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2021 Plan was most recently amended on August 6, 2024, following receipt of shareholder approval at our 2024 AGM to authorize an additional 5,000,000 ordinary shares, for an aggregate of 22,950,000 ordinary shares, for the granting of incentive options, non-qualified options (“NQSOs”), share appreciation rights and restricted share unit awards to our eligible employees and directors. The 2021 Plan serves as the successor to our 2014 Equity Incentive Plan, as amended (the “2014 Plan”), such that outstanding awards granted under the 2014 Plan continue to be governed by the terms of the 2014 Plan, but no awards may be issued under the 2014 Plan after August 10, 2021. Any outstanding awards under the 2014 Plan that are forfeited, cancelled or otherwise terminated (other than by exercise or withheld by us to satisfy any tax withholding obligation) on or after August 10, 2021 may be reissued under the 2021 Plan and any shares subject to an award that is canceled, forfeited or expires prior to exercise or realization, either in full or in part, under the 2021 Plan will again become available for issuance under the 2021 Plan. However, shares subject to an award under the 2021 Plan will not again be made available for issuance or delivery under the 2021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5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If we are acquired, our Board or Compensation Committee will with respect to share options and share appreciation rights: (i) make appropriate provision for the continuation of the share option or share appreciation right by substituting on an equitable basis for the ordinary shares then subject to such share option or share appreciation right either the consideration payable with respect to the outstanding ordinary shares in connection with the corporate transaction or securities of any successor or acquiring entity; (ii) cancel or arrange for the cancellation of the share options or share appreciation rights, to the extent not vested or exercised prior to the effective time of the transaction, in exchange for a payment in cash or ordinary shares as determined by our Board, in an amount equal to the amount by which the then fair market value of the ordinary shares subject to such vested share option or share appreciation right exceeds the exercise price; or (iii) after giving holders an opportunity to exercise to the extent vested their outstanding share options or share appreciation rights, terminate any or all unexercised share options and share appreciation rights at such time as the Board deems appropriate. If we are acquired, with respect to outstanding restricted share unit awards, our Board or Compensation Committee shall make appropriate provision for the continuation of such restricted awards on the same terms and conditions by substituting on an equitable basis for the ordinary shares then subject to such restricted awards either the consideration payable with respect to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8"/>
          <w:szCs w:val="18"/>
          <w:color w:val="auto"/>
        </w:rPr>
        <w:t>outstanding ordinary shares in connection with the transaction or securities of any successor or acquiring entity. In lieu of the foregoing, if we are acquired, our Board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 extent then vested.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grants of options and unvested restricted share unit awards outstanding on the last day of the fiscal year ended December 31, 2024 to each of the NEOs.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Share Awards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 Awards:</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2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Payout Value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2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Units That</w:t>
            </w:r>
          </w:p>
        </w:tc>
        <w:tc>
          <w:tcPr>
            <w:tcW w:w="2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Units That</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Rights</w:t>
            </w:r>
          </w:p>
        </w:tc>
        <w:tc>
          <w:tcPr>
            <w:tcW w:w="2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2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3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260" w:type="dxa"/>
            <w:vAlign w:val="bottom"/>
          </w:tcPr>
          <w:p>
            <w:pPr>
              <w:spacing w:after="0"/>
              <w:rPr>
                <w:sz w:val="12"/>
                <w:szCs w:val="12"/>
                <w:color w:val="auto"/>
              </w:rPr>
            </w:pPr>
          </w:p>
        </w:tc>
        <w:tc>
          <w:tcPr>
            <w:tcW w:w="10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Unexercisable</w:t>
            </w:r>
          </w:p>
        </w:tc>
        <w:tc>
          <w:tcPr>
            <w:tcW w:w="2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Price</w:t>
            </w:r>
          </w:p>
        </w:tc>
        <w:tc>
          <w:tcPr>
            <w:tcW w:w="2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22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Vested</w:t>
            </w:r>
          </w:p>
        </w:tc>
        <w:tc>
          <w:tcPr>
            <w:tcW w:w="22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Vested</w:t>
            </w: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Not Vested</w:t>
            </w:r>
          </w:p>
        </w:tc>
        <w:tc>
          <w:tcPr>
            <w:tcW w:w="2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tbl>
      <w:tblPr>
        <w:tblLayout w:type="fixed"/>
        <w:tblInd w:w="0" w:type="dxa"/>
        <w:tblCellMar>
          <w:top w:w="0" w:type="dxa"/>
          <w:left w:w="0" w:type="dxa"/>
          <w:bottom w:w="0" w:type="dxa"/>
          <w:right w:w="0" w:type="dxa"/>
        </w:tblCellMar>
      </w:tblPr>
      <w:tr>
        <w:trPr>
          <w:trHeight w:val="14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Paul B. Bolno, M.D., MBA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3/10/2015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169,025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6/16/2016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236,400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1/25/2017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72,500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1/23/2018</w:t>
            </w:r>
          </w:p>
        </w:tc>
        <w:tc>
          <w:tcPr>
            <w:tcW w:w="120" w:type="dxa"/>
            <w:vAlign w:val="bottom"/>
            <w:shd w:val="clear" w:color="auto" w:fill="CCEEFF"/>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2/1/2021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200,000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1/1/2022</w:t>
            </w: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412,500</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3"/>
                <w:szCs w:val="13"/>
                <w:color w:val="auto"/>
              </w:rPr>
              <w:t>187,500</w:t>
            </w:r>
            <w:r>
              <w:rPr>
                <w:rFonts w:ascii="Times New Roman" w:cs="Times New Roman" w:eastAsia="Times New Roman" w:hAnsi="Times New Roman"/>
                <w:sz w:val="18"/>
                <w:szCs w:val="18"/>
                <w:color w:val="auto"/>
                <w:vertAlign w:val="superscript"/>
              </w:rPr>
              <w:t>(1)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7/25/2022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180,000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337,312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433,688</w:t>
            </w:r>
            <w:r>
              <w:rPr>
                <w:rFonts w:ascii="Times New Roman" w:cs="Times New Roman" w:eastAsia="Times New Roman" w:hAnsi="Times New Roman"/>
                <w:sz w:val="17"/>
                <w:szCs w:val="17"/>
                <w:color w:val="auto"/>
                <w:vertAlign w:val="superscript"/>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2/5/2024</w:t>
            </w: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vMerge w:val="restart"/>
          </w:tcPr>
          <w:p>
            <w:pPr>
              <w:jc w:val="right"/>
              <w:spacing w:after="0" w:line="163" w:lineRule="exact"/>
              <w:rPr>
                <w:sz w:val="20"/>
                <w:szCs w:val="20"/>
                <w:color w:val="auto"/>
              </w:rPr>
            </w:pPr>
            <w:r>
              <w:rPr>
                <w:rFonts w:ascii="Times New Roman" w:cs="Times New Roman" w:eastAsia="Times New Roman" w:hAnsi="Times New Roman"/>
                <w:sz w:val="13"/>
                <w:szCs w:val="13"/>
                <w:color w:val="auto"/>
              </w:rPr>
              <w:t>1,008,600</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36"/>
        </w:trPr>
        <w:tc>
          <w:tcPr>
            <w:tcW w:w="2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Kyle Moran, CFA</w:t>
            </w: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6/16/2016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21,647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1/23/2018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3/3/2020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9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2/1/2021</w:t>
            </w:r>
          </w:p>
        </w:tc>
        <w:tc>
          <w:tcPr>
            <w:tcW w:w="90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50,000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1/1/2022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120,312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3" w:lineRule="exact"/>
              <w:rPr>
                <w:sz w:val="20"/>
                <w:szCs w:val="20"/>
                <w:color w:val="auto"/>
              </w:rPr>
            </w:pPr>
            <w:r>
              <w:rPr>
                <w:rFonts w:ascii="Times New Roman" w:cs="Times New Roman" w:eastAsia="Times New Roman" w:hAnsi="Times New Roman"/>
                <w:sz w:val="13"/>
                <w:szCs w:val="13"/>
                <w:color w:val="auto"/>
              </w:rPr>
              <w:t>54,688</w:t>
            </w:r>
            <w:r>
              <w:rPr>
                <w:rFonts w:ascii="Times New Roman" w:cs="Times New Roman" w:eastAsia="Times New Roman" w:hAnsi="Times New Roman"/>
                <w:sz w:val="18"/>
                <w:szCs w:val="18"/>
                <w:color w:val="auto"/>
                <w:vertAlign w:val="superscript"/>
              </w:rPr>
              <w:t>(1)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9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7/25/2022</w:t>
            </w:r>
          </w:p>
        </w:tc>
        <w:tc>
          <w:tcPr>
            <w:tcW w:w="90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60,000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2/17/2023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119,306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153,394</w:t>
            </w:r>
            <w:r>
              <w:rPr>
                <w:rFonts w:ascii="Times New Roman" w:cs="Times New Roman" w:eastAsia="Times New Roman" w:hAnsi="Times New Roman"/>
                <w:sz w:val="17"/>
                <w:szCs w:val="17"/>
                <w:color w:val="auto"/>
                <w:vertAlign w:val="superscript"/>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2/5/2024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3" w:lineRule="exact"/>
              <w:rPr>
                <w:sz w:val="20"/>
                <w:szCs w:val="20"/>
                <w:color w:val="auto"/>
              </w:rPr>
            </w:pPr>
            <w:r>
              <w:rPr>
                <w:rFonts w:ascii="Times New Roman" w:cs="Times New Roman" w:eastAsia="Times New Roman" w:hAnsi="Times New Roman"/>
                <w:sz w:val="13"/>
                <w:szCs w:val="13"/>
                <w:color w:val="auto"/>
              </w:rPr>
              <w:t>371,500</w:t>
            </w:r>
            <w:r>
              <w:rPr>
                <w:rFonts w:ascii="Times New Roman" w:cs="Times New Roman" w:eastAsia="Times New Roman" w:hAnsi="Times New Roman"/>
                <w:sz w:val="18"/>
                <w:szCs w:val="18"/>
                <w:color w:val="auto"/>
                <w:vertAlign w:val="superscript"/>
              </w:rPr>
              <w:t>(3)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Chandra Vargeese, Ph.D.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3/10/2015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137,754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6/16/2016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49,600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1/25/2017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1/23/2018</w:t>
            </w:r>
          </w:p>
        </w:tc>
        <w:tc>
          <w:tcPr>
            <w:tcW w:w="120" w:type="dxa"/>
            <w:vAlign w:val="bottom"/>
            <w:shd w:val="clear" w:color="auto" w:fill="CCEEFF"/>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2/1/2021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1/1/2022</w:t>
            </w: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137,500</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3"/>
                <w:szCs w:val="13"/>
                <w:color w:val="auto"/>
              </w:rPr>
              <w:t>625,00</w:t>
            </w:r>
            <w:r>
              <w:rPr>
                <w:rFonts w:ascii="Times New Roman" w:cs="Times New Roman" w:eastAsia="Times New Roman" w:hAnsi="Times New Roman"/>
                <w:sz w:val="18"/>
                <w:szCs w:val="18"/>
                <w:color w:val="auto"/>
                <w:vertAlign w:val="superscript"/>
              </w:rPr>
              <w:t>(1)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7/25/2022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60,000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166,163</w:t>
            </w:r>
            <w:r>
              <w:rPr>
                <w:rFonts w:ascii="Times New Roman" w:cs="Times New Roman" w:eastAsia="Times New Roman" w:hAnsi="Times New Roman"/>
                <w:sz w:val="17"/>
                <w:szCs w:val="17"/>
                <w:color w:val="auto"/>
                <w:vertAlign w:val="superscript"/>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2/5/2024</w:t>
            </w: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vMerge w:val="restart"/>
          </w:tcPr>
          <w:p>
            <w:pPr>
              <w:jc w:val="right"/>
              <w:spacing w:after="0" w:line="163" w:lineRule="exact"/>
              <w:rPr>
                <w:sz w:val="20"/>
                <w:szCs w:val="20"/>
                <w:color w:val="auto"/>
              </w:rPr>
            </w:pPr>
            <w:r>
              <w:rPr>
                <w:rFonts w:ascii="Times New Roman" w:cs="Times New Roman" w:eastAsia="Times New Roman" w:hAnsi="Times New Roman"/>
                <w:sz w:val="13"/>
                <w:szCs w:val="13"/>
                <w:color w:val="auto"/>
              </w:rPr>
              <w:t>361,700</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36"/>
        </w:trPr>
        <w:tc>
          <w:tcPr>
            <w:tcW w:w="2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Christopher Francis, Ph.D.</w:t>
            </w: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6/16/2016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37,100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1/25/2017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1/23/2018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9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2/1/2021</w:t>
            </w:r>
          </w:p>
        </w:tc>
        <w:tc>
          <w:tcPr>
            <w:tcW w:w="90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50,000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1/1/2022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3" w:lineRule="exact"/>
              <w:rPr>
                <w:sz w:val="20"/>
                <w:szCs w:val="20"/>
                <w:color w:val="auto"/>
              </w:rPr>
            </w:pPr>
            <w:r>
              <w:rPr>
                <w:rFonts w:ascii="Times New Roman" w:cs="Times New Roman" w:eastAsia="Times New Roman" w:hAnsi="Times New Roman"/>
                <w:sz w:val="13"/>
                <w:szCs w:val="13"/>
                <w:color w:val="auto"/>
              </w:rPr>
              <w:t>46,875</w:t>
            </w:r>
            <w:r>
              <w:rPr>
                <w:rFonts w:ascii="Times New Roman" w:cs="Times New Roman" w:eastAsia="Times New Roman" w:hAnsi="Times New Roman"/>
                <w:sz w:val="18"/>
                <w:szCs w:val="18"/>
                <w:color w:val="auto"/>
                <w:vertAlign w:val="superscript"/>
              </w:rPr>
              <w:t>(1)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9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7/25/2022</w:t>
            </w:r>
          </w:p>
        </w:tc>
        <w:tc>
          <w:tcPr>
            <w:tcW w:w="90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22,500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2/17/2023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107,056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137,644</w:t>
            </w:r>
            <w:r>
              <w:rPr>
                <w:rFonts w:ascii="Times New Roman" w:cs="Times New Roman" w:eastAsia="Times New Roman" w:hAnsi="Times New Roman"/>
                <w:sz w:val="17"/>
                <w:szCs w:val="17"/>
                <w:color w:val="auto"/>
                <w:vertAlign w:val="superscript"/>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2/5/2024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3" w:lineRule="exact"/>
              <w:rPr>
                <w:sz w:val="20"/>
                <w:szCs w:val="20"/>
                <w:color w:val="auto"/>
              </w:rPr>
            </w:pPr>
            <w:r>
              <w:rPr>
                <w:rFonts w:ascii="Times New Roman" w:cs="Times New Roman" w:eastAsia="Times New Roman" w:hAnsi="Times New Roman"/>
                <w:sz w:val="13"/>
                <w:szCs w:val="13"/>
                <w:color w:val="auto"/>
              </w:rPr>
              <w:t>286,400</w:t>
            </w:r>
            <w:r>
              <w:rPr>
                <w:rFonts w:ascii="Times New Roman" w:cs="Times New Roman" w:eastAsia="Times New Roman" w:hAnsi="Times New Roman"/>
                <w:sz w:val="18"/>
                <w:szCs w:val="18"/>
                <w:color w:val="auto"/>
                <w:vertAlign w:val="superscript"/>
              </w:rPr>
              <w:t>(3)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560" w:type="dxa"/>
            <w:vAlign w:val="bottom"/>
          </w:tcPr>
          <w:p>
            <w:pPr>
              <w:jc w:val="right"/>
              <w:ind w:right="193"/>
              <w:spacing w:after="0" w:line="136" w:lineRule="exact"/>
              <w:rPr>
                <w:sz w:val="20"/>
                <w:szCs w:val="20"/>
                <w:color w:val="auto"/>
              </w:rPr>
            </w:pPr>
            <w:r>
              <w:rPr>
                <w:rFonts w:ascii="Times New Roman" w:cs="Times New Roman" w:eastAsia="Times New Roman" w:hAnsi="Times New Roman"/>
                <w:sz w:val="13"/>
                <w:szCs w:val="13"/>
                <w:color w:val="auto"/>
              </w:rPr>
              <w:t>2.48</w:t>
            </w:r>
          </w:p>
        </w:tc>
        <w:tc>
          <w:tcPr>
            <w:tcW w:w="1240" w:type="dxa"/>
            <w:vAlign w:val="bottom"/>
          </w:tcPr>
          <w:p>
            <w:pPr>
              <w:jc w:val="right"/>
              <w:ind w:right="353"/>
              <w:spacing w:after="0" w:line="136" w:lineRule="exact"/>
              <w:rPr>
                <w:sz w:val="20"/>
                <w:szCs w:val="20"/>
                <w:color w:val="auto"/>
              </w:rPr>
            </w:pPr>
            <w:r>
              <w:rPr>
                <w:rFonts w:ascii="Times New Roman" w:cs="Times New Roman" w:eastAsia="Times New Roman" w:hAnsi="Times New Roman"/>
                <w:sz w:val="13"/>
                <w:szCs w:val="13"/>
                <w:color w:val="auto"/>
              </w:rPr>
              <w:t>3/10/2025</w:t>
            </w:r>
          </w:p>
        </w:tc>
        <w:tc>
          <w:tcPr>
            <w:tcW w:w="920" w:type="dxa"/>
            <w:vAlign w:val="bottom"/>
          </w:tcPr>
          <w:p>
            <w:pPr>
              <w:jc w:val="right"/>
              <w:ind w:right="373"/>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18.79</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6/16/2026</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29.05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1/25/2027</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40.05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1/23/2028</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8.17</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3/3/2030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10.48</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2/1/2031</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3.14</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1/1/2032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2.83</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7/25/2032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4.75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2/17/2033</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4"/>
        </w:trPr>
        <w:tc>
          <w:tcPr>
            <w:tcW w:w="560" w:type="dxa"/>
            <w:vAlign w:val="bottom"/>
          </w:tcPr>
          <w:p>
            <w:pPr>
              <w:jc w:val="right"/>
              <w:ind w:right="193"/>
              <w:spacing w:after="0" w:line="134" w:lineRule="exact"/>
              <w:rPr>
                <w:sz w:val="20"/>
                <w:szCs w:val="20"/>
                <w:color w:val="auto"/>
              </w:rPr>
            </w:pPr>
            <w:r>
              <w:rPr>
                <w:rFonts w:ascii="Times New Roman" w:cs="Times New Roman" w:eastAsia="Times New Roman" w:hAnsi="Times New Roman"/>
                <w:sz w:val="13"/>
                <w:szCs w:val="13"/>
                <w:color w:val="auto"/>
              </w:rPr>
              <w:t>3.87</w:t>
            </w:r>
          </w:p>
        </w:tc>
        <w:tc>
          <w:tcPr>
            <w:tcW w:w="1240" w:type="dxa"/>
            <w:vAlign w:val="bottom"/>
          </w:tcPr>
          <w:p>
            <w:pPr>
              <w:jc w:val="right"/>
              <w:ind w:right="353"/>
              <w:spacing w:after="0" w:line="134" w:lineRule="exact"/>
              <w:rPr>
                <w:sz w:val="20"/>
                <w:szCs w:val="20"/>
                <w:color w:val="auto"/>
              </w:rPr>
            </w:pPr>
            <w:r>
              <w:rPr>
                <w:rFonts w:ascii="Times New Roman" w:cs="Times New Roman" w:eastAsia="Times New Roman" w:hAnsi="Times New Roman"/>
                <w:sz w:val="13"/>
                <w:szCs w:val="13"/>
                <w:color w:val="auto"/>
              </w:rPr>
              <w:t>2/5/2034</w:t>
            </w:r>
          </w:p>
        </w:tc>
        <w:tc>
          <w:tcPr>
            <w:tcW w:w="920" w:type="dxa"/>
            <w:vAlign w:val="bottom"/>
          </w:tcPr>
          <w:p>
            <w:pPr>
              <w:jc w:val="right"/>
              <w:ind w:right="373"/>
              <w:spacing w:after="0" w:line="134"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line="134"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r>
      <w:tr>
        <w:trPr>
          <w:trHeight w:val="163"/>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63" w:lineRule="exact"/>
              <w:rPr>
                <w:sz w:val="20"/>
                <w:szCs w:val="20"/>
                <w:color w:val="auto"/>
              </w:rPr>
            </w:pPr>
            <w:r>
              <w:rPr>
                <w:rFonts w:ascii="Times New Roman" w:cs="Times New Roman" w:eastAsia="Times New Roman" w:hAnsi="Times New Roman"/>
                <w:sz w:val="13"/>
                <w:szCs w:val="13"/>
                <w:color w:val="auto"/>
              </w:rPr>
              <w:t>92,500</w:t>
            </w:r>
            <w:r>
              <w:rPr>
                <w:rFonts w:ascii="Times New Roman" w:cs="Times New Roman" w:eastAsia="Times New Roman" w:hAnsi="Times New Roman"/>
                <w:sz w:val="18"/>
                <w:szCs w:val="18"/>
                <w:color w:val="auto"/>
                <w:vertAlign w:val="superscript"/>
              </w:rPr>
              <w:t>(4)</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1,144,225</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18.79</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6/16/2026</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40.05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1/23/2028</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8.17</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3/3/2030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10.48</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2/1/2031</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3.14</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1/1/2032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2.83</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7/25/2032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4.75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2/17/2033</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4"/>
        </w:trPr>
        <w:tc>
          <w:tcPr>
            <w:tcW w:w="560" w:type="dxa"/>
            <w:vAlign w:val="bottom"/>
          </w:tcPr>
          <w:p>
            <w:pPr>
              <w:jc w:val="right"/>
              <w:ind w:right="193"/>
              <w:spacing w:after="0" w:line="134" w:lineRule="exact"/>
              <w:rPr>
                <w:sz w:val="20"/>
                <w:szCs w:val="20"/>
                <w:color w:val="auto"/>
              </w:rPr>
            </w:pPr>
            <w:r>
              <w:rPr>
                <w:rFonts w:ascii="Times New Roman" w:cs="Times New Roman" w:eastAsia="Times New Roman" w:hAnsi="Times New Roman"/>
                <w:sz w:val="13"/>
                <w:szCs w:val="13"/>
                <w:color w:val="auto"/>
              </w:rPr>
              <w:t>3.87</w:t>
            </w:r>
          </w:p>
        </w:tc>
        <w:tc>
          <w:tcPr>
            <w:tcW w:w="1240" w:type="dxa"/>
            <w:vAlign w:val="bottom"/>
          </w:tcPr>
          <w:p>
            <w:pPr>
              <w:jc w:val="right"/>
              <w:ind w:right="353"/>
              <w:spacing w:after="0" w:line="134" w:lineRule="exact"/>
              <w:rPr>
                <w:sz w:val="20"/>
                <w:szCs w:val="20"/>
                <w:color w:val="auto"/>
              </w:rPr>
            </w:pPr>
            <w:r>
              <w:rPr>
                <w:rFonts w:ascii="Times New Roman" w:cs="Times New Roman" w:eastAsia="Times New Roman" w:hAnsi="Times New Roman"/>
                <w:sz w:val="13"/>
                <w:szCs w:val="13"/>
                <w:color w:val="auto"/>
              </w:rPr>
              <w:t>2/5/2034</w:t>
            </w:r>
          </w:p>
        </w:tc>
        <w:tc>
          <w:tcPr>
            <w:tcW w:w="920" w:type="dxa"/>
            <w:vAlign w:val="bottom"/>
          </w:tcPr>
          <w:p>
            <w:pPr>
              <w:jc w:val="right"/>
              <w:ind w:right="373"/>
              <w:spacing w:after="0" w:line="134"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line="134"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r>
      <w:tr>
        <w:trPr>
          <w:trHeight w:val="163"/>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63" w:lineRule="exact"/>
              <w:rPr>
                <w:sz w:val="20"/>
                <w:szCs w:val="20"/>
                <w:color w:val="auto"/>
              </w:rPr>
            </w:pPr>
            <w:r>
              <w:rPr>
                <w:rFonts w:ascii="Times New Roman" w:cs="Times New Roman" w:eastAsia="Times New Roman" w:hAnsi="Times New Roman"/>
                <w:sz w:val="13"/>
                <w:szCs w:val="13"/>
                <w:color w:val="auto"/>
              </w:rPr>
              <w:t>15,000</w:t>
            </w:r>
            <w:r>
              <w:rPr>
                <w:rFonts w:ascii="Times New Roman" w:cs="Times New Roman" w:eastAsia="Times New Roman" w:hAnsi="Times New Roman"/>
                <w:sz w:val="18"/>
                <w:szCs w:val="18"/>
                <w:color w:val="auto"/>
                <w:vertAlign w:val="superscript"/>
              </w:rPr>
              <w:t>(4)</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185,550</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2.48</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3/10/2025</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18.79</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6/16/2026</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29.05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1/25/2027</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40.05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1/23/2028</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8.17</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3/3/2030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10.48</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2/1/2031</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3.14</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1/1/2032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2.83</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7/25/2032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4.75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2/17/2033</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4"/>
        </w:trPr>
        <w:tc>
          <w:tcPr>
            <w:tcW w:w="560" w:type="dxa"/>
            <w:vAlign w:val="bottom"/>
          </w:tcPr>
          <w:p>
            <w:pPr>
              <w:jc w:val="right"/>
              <w:ind w:right="193"/>
              <w:spacing w:after="0" w:line="134" w:lineRule="exact"/>
              <w:rPr>
                <w:sz w:val="20"/>
                <w:szCs w:val="20"/>
                <w:color w:val="auto"/>
              </w:rPr>
            </w:pPr>
            <w:r>
              <w:rPr>
                <w:rFonts w:ascii="Times New Roman" w:cs="Times New Roman" w:eastAsia="Times New Roman" w:hAnsi="Times New Roman"/>
                <w:sz w:val="13"/>
                <w:szCs w:val="13"/>
                <w:color w:val="auto"/>
              </w:rPr>
              <w:t>3.87</w:t>
            </w:r>
          </w:p>
        </w:tc>
        <w:tc>
          <w:tcPr>
            <w:tcW w:w="1240" w:type="dxa"/>
            <w:vAlign w:val="bottom"/>
          </w:tcPr>
          <w:p>
            <w:pPr>
              <w:jc w:val="right"/>
              <w:ind w:right="353"/>
              <w:spacing w:after="0" w:line="134" w:lineRule="exact"/>
              <w:rPr>
                <w:sz w:val="20"/>
                <w:szCs w:val="20"/>
                <w:color w:val="auto"/>
              </w:rPr>
            </w:pPr>
            <w:r>
              <w:rPr>
                <w:rFonts w:ascii="Times New Roman" w:cs="Times New Roman" w:eastAsia="Times New Roman" w:hAnsi="Times New Roman"/>
                <w:sz w:val="13"/>
                <w:szCs w:val="13"/>
                <w:color w:val="auto"/>
              </w:rPr>
              <w:t>2/5/2034</w:t>
            </w:r>
          </w:p>
        </w:tc>
        <w:tc>
          <w:tcPr>
            <w:tcW w:w="920" w:type="dxa"/>
            <w:vAlign w:val="bottom"/>
          </w:tcPr>
          <w:p>
            <w:pPr>
              <w:jc w:val="right"/>
              <w:ind w:right="373"/>
              <w:spacing w:after="0" w:line="134"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line="134"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r>
      <w:tr>
        <w:trPr>
          <w:trHeight w:val="163"/>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63" w:lineRule="exact"/>
              <w:rPr>
                <w:sz w:val="20"/>
                <w:szCs w:val="20"/>
                <w:color w:val="auto"/>
              </w:rPr>
            </w:pPr>
            <w:r>
              <w:rPr>
                <w:rFonts w:ascii="Times New Roman" w:cs="Times New Roman" w:eastAsia="Times New Roman" w:hAnsi="Times New Roman"/>
                <w:sz w:val="13"/>
                <w:szCs w:val="13"/>
                <w:color w:val="auto"/>
              </w:rPr>
              <w:t>50,000</w:t>
            </w:r>
            <w:r>
              <w:rPr>
                <w:rFonts w:ascii="Times New Roman" w:cs="Times New Roman" w:eastAsia="Times New Roman" w:hAnsi="Times New Roman"/>
                <w:sz w:val="18"/>
                <w:szCs w:val="18"/>
                <w:color w:val="auto"/>
                <w:vertAlign w:val="superscript"/>
              </w:rPr>
              <w:t>(4)</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618,500</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18.79</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6/16/2026</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29.05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1/25/2027</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40.05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1/23/2028</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5"/>
              </w:rPr>
              <w:t>10.48</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2/1/2031</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3.14</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1/1/2032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2.83</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7/25/2032</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4.75</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2/17/2033</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4"/>
        </w:trPr>
        <w:tc>
          <w:tcPr>
            <w:tcW w:w="560" w:type="dxa"/>
            <w:vAlign w:val="bottom"/>
          </w:tcPr>
          <w:p>
            <w:pPr>
              <w:jc w:val="right"/>
              <w:ind w:right="193"/>
              <w:spacing w:after="0" w:line="134" w:lineRule="exact"/>
              <w:rPr>
                <w:sz w:val="20"/>
                <w:szCs w:val="20"/>
                <w:color w:val="auto"/>
              </w:rPr>
            </w:pPr>
            <w:r>
              <w:rPr>
                <w:rFonts w:ascii="Times New Roman" w:cs="Times New Roman" w:eastAsia="Times New Roman" w:hAnsi="Times New Roman"/>
                <w:sz w:val="13"/>
                <w:szCs w:val="13"/>
                <w:color w:val="auto"/>
              </w:rPr>
              <w:t>3.87</w:t>
            </w:r>
          </w:p>
        </w:tc>
        <w:tc>
          <w:tcPr>
            <w:tcW w:w="1240" w:type="dxa"/>
            <w:vAlign w:val="bottom"/>
          </w:tcPr>
          <w:p>
            <w:pPr>
              <w:jc w:val="right"/>
              <w:ind w:right="353"/>
              <w:spacing w:after="0" w:line="134" w:lineRule="exact"/>
              <w:rPr>
                <w:sz w:val="20"/>
                <w:szCs w:val="20"/>
                <w:color w:val="auto"/>
              </w:rPr>
            </w:pPr>
            <w:r>
              <w:rPr>
                <w:rFonts w:ascii="Times New Roman" w:cs="Times New Roman" w:eastAsia="Times New Roman" w:hAnsi="Times New Roman"/>
                <w:sz w:val="13"/>
                <w:szCs w:val="13"/>
                <w:color w:val="auto"/>
              </w:rPr>
              <w:t>2/5/2034</w:t>
            </w:r>
          </w:p>
        </w:tc>
        <w:tc>
          <w:tcPr>
            <w:tcW w:w="920" w:type="dxa"/>
            <w:vAlign w:val="bottom"/>
          </w:tcPr>
          <w:p>
            <w:pPr>
              <w:jc w:val="right"/>
              <w:ind w:right="373"/>
              <w:spacing w:after="0" w:line="134"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line="13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153"/>
              <w:spacing w:after="0" w:line="134"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r>
      <w:tr>
        <w:trPr>
          <w:trHeight w:val="237"/>
        </w:trPr>
        <w:tc>
          <w:tcPr>
            <w:tcW w:w="5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32,500</w:t>
            </w:r>
            <w:r>
              <w:rPr>
                <w:rFonts w:ascii="Times New Roman" w:cs="Times New Roman" w:eastAsia="Times New Roman" w:hAnsi="Times New Roman"/>
                <w:sz w:val="18"/>
                <w:szCs w:val="18"/>
                <w:color w:val="auto"/>
                <w:vertAlign w:val="superscript"/>
              </w:rPr>
              <w:t>(4)</w:t>
            </w:r>
          </w:p>
        </w:tc>
        <w:tc>
          <w:tcPr>
            <w:tcW w:w="4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-3716020</wp:posOffset>
            </wp:positionV>
            <wp:extent cx="5863590" cy="942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3590" cy="94297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-1924685</wp:posOffset>
            </wp:positionV>
            <wp:extent cx="7132320" cy="1036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320"/>
            <w:col w:w="5420"/>
          </w:cols>
          <w:pgMar w:left="320" w:top="1012" w:right="379" w:bottom="1440" w:gutter="0" w:footer="0" w:header="0"/>
          <w:type w:val="continuous"/>
        </w:sectPr>
      </w:pP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24" w:name="page25"/>
    <w:bookmarkEnd w:id="24"/>
    <w:p>
      <w:pPr>
        <w:ind w:left="520" w:right="80" w:hanging="512"/>
        <w:spacing w:after="0" w:line="257" w:lineRule="auto"/>
        <w:tabs>
          <w:tab w:leader="none" w:pos="4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8572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8255"/>
                    </a:xfrm>
                    <a:prstGeom prst="rect">
                      <a:avLst/>
                    </a:prstGeom>
                    <a:noFill/>
                  </pic:spPr>
                </pic:pic>
              </a:graphicData>
            </a:graphic>
          </wp:anchor>
        </w:drawing>
        <w:t>25% vested on January 1, 2023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spacing w:after="0" w:line="1" w:lineRule="exact"/>
        <w:rPr>
          <w:rFonts w:ascii="Times New Roman" w:cs="Times New Roman" w:eastAsia="Times New Roman" w:hAnsi="Times New Roman"/>
          <w:sz w:val="18"/>
          <w:szCs w:val="18"/>
          <w:color w:val="auto"/>
        </w:rPr>
      </w:pPr>
    </w:p>
    <w:p>
      <w:pPr>
        <w:ind w:left="520" w:right="80" w:hanging="512"/>
        <w:spacing w:after="0" w:line="250" w:lineRule="auto"/>
        <w:tabs>
          <w:tab w:leader="none" w:pos="4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vested on February 17, 2024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spacing w:after="0" w:line="1" w:lineRule="exact"/>
        <w:rPr>
          <w:rFonts w:ascii="Times New Roman" w:cs="Times New Roman" w:eastAsia="Times New Roman" w:hAnsi="Times New Roman"/>
          <w:sz w:val="18"/>
          <w:szCs w:val="18"/>
          <w:color w:val="auto"/>
        </w:rPr>
      </w:pPr>
    </w:p>
    <w:p>
      <w:pPr>
        <w:ind w:left="520" w:right="80" w:hanging="512"/>
        <w:spacing w:after="0" w:line="250"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vests on February 5, 2025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spacing w:after="0" w:line="1"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2022, 50% of the 2019 performance-based RSUs vested upon the achievement of the PN chemistry milestone and of the shares listed, if prior to March 7, 2029 the regulatory approval milestone is achieved, 80% of the unvested performance-based RSUs will be earned and vest, and if the commercial sale milestone is achieved, 20% of the unvested 2019 performance-based RSUs will be earned and vest.</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2019 Performance-Based RSUs is based on the closing price of our ordinary shares of $12.37 per share at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in 2024</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exercises of options to purchase our ordinary shares held by each of our NEOs during the fiscal year ended December 31, 2024.</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2"/>
          </w:tcPr>
          <w:p>
            <w:pPr>
              <w:ind w:left="19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80"/>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20" w:type="dxa"/>
            <w:vAlign w:val="bottom"/>
          </w:tcPr>
          <w:p>
            <w:pPr>
              <w:spacing w:after="0"/>
              <w:rPr>
                <w:sz w:val="24"/>
                <w:szCs w:val="24"/>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Value Realized</w:t>
            </w:r>
          </w:p>
        </w:tc>
      </w:tr>
      <w:tr>
        <w:trPr>
          <w:trHeight w:val="140"/>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3"/>
                <w:szCs w:val="13"/>
                <w:b w:val="1"/>
                <w:bCs w:val="1"/>
                <w:color w:val="auto"/>
              </w:rPr>
              <w:t>Acquired on Exercise</w:t>
            </w:r>
          </w:p>
        </w:tc>
        <w:tc>
          <w:tcPr>
            <w:tcW w:w="220" w:type="dxa"/>
            <w:vAlign w:val="bottom"/>
          </w:tcPr>
          <w:p>
            <w:pPr>
              <w:spacing w:after="0"/>
              <w:rPr>
                <w:sz w:val="12"/>
                <w:szCs w:val="12"/>
                <w:color w:val="auto"/>
              </w:rPr>
            </w:pPr>
          </w:p>
        </w:tc>
        <w:tc>
          <w:tcPr>
            <w:tcW w:w="160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3"/>
                <w:szCs w:val="13"/>
                <w:b w:val="1"/>
                <w:bCs w:val="1"/>
                <w:color w:val="auto"/>
              </w:rPr>
              <w:t>on Exercise</w:t>
            </w:r>
          </w:p>
        </w:tc>
      </w:tr>
      <w:tr>
        <w:trPr>
          <w:trHeight w:val="194"/>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line="174" w:lineRule="exact"/>
              <w:rPr>
                <w:sz w:val="20"/>
                <w:szCs w:val="20"/>
                <w:color w:val="auto"/>
              </w:rPr>
            </w:pPr>
            <w:r>
              <w:rPr>
                <w:rFonts w:ascii="Times New Roman" w:cs="Times New Roman" w:eastAsia="Times New Roman" w:hAnsi="Times New Roman"/>
                <w:sz w:val="13"/>
                <w:szCs w:val="13"/>
                <w:b w:val="1"/>
                <w:bCs w:val="1"/>
                <w:color w:val="auto"/>
                <w:w w:val="89"/>
              </w:rPr>
              <w:t>($)</w:t>
            </w:r>
            <w:r>
              <w:rPr>
                <w:rFonts w:ascii="Times New Roman" w:cs="Times New Roman" w:eastAsia="Times New Roman" w:hAnsi="Times New Roman"/>
                <w:sz w:val="18"/>
                <w:szCs w:val="18"/>
                <w:b w:val="1"/>
                <w:bCs w:val="1"/>
                <w:color w:val="auto"/>
                <w:w w:val="89"/>
                <w:vertAlign w:val="superscript"/>
              </w:rPr>
              <w:t>(1)</w:t>
            </w:r>
          </w:p>
        </w:tc>
        <w:tc>
          <w:tcPr>
            <w:tcW w:w="200" w:type="dxa"/>
            <w:vAlign w:val="bottom"/>
          </w:tcPr>
          <w:p>
            <w:pPr>
              <w:spacing w:after="0"/>
              <w:rPr>
                <w:sz w:val="16"/>
                <w:szCs w:val="16"/>
                <w:color w:val="auto"/>
              </w:rPr>
            </w:pPr>
          </w:p>
        </w:tc>
      </w:tr>
      <w:tr>
        <w:trPr>
          <w:trHeight w:val="148"/>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Paul B. Bolno, M.D., MBA</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626,000</w:t>
            </w:r>
          </w:p>
        </w:tc>
        <w:tc>
          <w:tcPr>
            <w:tcW w:w="200" w:type="dxa"/>
            <w:vAlign w:val="bottom"/>
            <w:shd w:val="clear" w:color="auto" w:fill="CCEEFF"/>
          </w:tcPr>
          <w:p>
            <w:pPr>
              <w:spacing w:after="0"/>
              <w:rPr>
                <w:sz w:val="12"/>
                <w:szCs w:val="12"/>
                <w:color w:val="auto"/>
              </w:rPr>
            </w:pPr>
          </w:p>
        </w:tc>
      </w:tr>
      <w:tr>
        <w:trPr>
          <w:trHeight w:val="148"/>
        </w:trPr>
        <w:tc>
          <w:tcPr>
            <w:tcW w:w="5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Kyle Moran, CFA</w:t>
            </w:r>
          </w:p>
        </w:tc>
        <w:tc>
          <w:tcPr>
            <w:tcW w:w="2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00" w:type="dxa"/>
            <w:vAlign w:val="bottom"/>
          </w:tcPr>
          <w:p>
            <w:pPr>
              <w:spacing w:after="0"/>
              <w:rPr>
                <w:sz w:val="12"/>
                <w:szCs w:val="12"/>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153,250</w:t>
            </w:r>
          </w:p>
        </w:tc>
        <w:tc>
          <w:tcPr>
            <w:tcW w:w="200" w:type="dxa"/>
            <w:vAlign w:val="bottom"/>
          </w:tcPr>
          <w:p>
            <w:pPr>
              <w:spacing w:after="0"/>
              <w:rPr>
                <w:sz w:val="12"/>
                <w:szCs w:val="12"/>
                <w:color w:val="auto"/>
              </w:rPr>
            </w:pPr>
          </w:p>
        </w:tc>
      </w:tr>
      <w:tr>
        <w:trPr>
          <w:trHeight w:val="149"/>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Chandra Vargeese, Ph.D.</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252,036</w:t>
            </w:r>
          </w:p>
        </w:tc>
        <w:tc>
          <w:tcPr>
            <w:tcW w:w="200" w:type="dxa"/>
            <w:vAlign w:val="bottom"/>
            <w:shd w:val="clear" w:color="auto" w:fill="CCEEFF"/>
          </w:tcPr>
          <w:p>
            <w:pPr>
              <w:spacing w:after="0"/>
              <w:rPr>
                <w:sz w:val="12"/>
                <w:szCs w:val="12"/>
                <w:color w:val="auto"/>
              </w:rPr>
            </w:pPr>
          </w:p>
        </w:tc>
      </w:tr>
      <w:tr>
        <w:trPr>
          <w:trHeight w:val="174"/>
        </w:trPr>
        <w:tc>
          <w:tcPr>
            <w:tcW w:w="5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Christopher Francis, Ph.D.</w:t>
            </w:r>
          </w:p>
        </w:tc>
        <w:tc>
          <w:tcPr>
            <w:tcW w:w="2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165,122</w:t>
            </w:r>
          </w:p>
        </w:tc>
        <w:tc>
          <w:tcPr>
            <w:tcW w:w="2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1,648,690</w:t>
            </w:r>
          </w:p>
        </w:tc>
        <w:tc>
          <w:tcPr>
            <w:tcW w:w="2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8572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2" w:lineRule="exact"/>
        <w:rPr>
          <w:sz w:val="20"/>
          <w:szCs w:val="20"/>
          <w:color w:val="auto"/>
        </w:rPr>
      </w:pPr>
    </w:p>
    <w:p>
      <w:pPr>
        <w:ind w:left="520" w:right="340" w:hanging="512"/>
        <w:spacing w:after="0" w:line="282"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the exercise of options was calculated by multiplying the number of options exercised on the applicable exercise date by the difference between the sale price of the shares and the exercise price of the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NEOs participate in employee benefit programs available to our employees generally, including medical and dental insurance, and a tax-qualified 401(k)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2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following table sets out the estimated potential payments upon termination or a change in control for each of our NEOs, based on the assumptions discussed above and assuming such event occurred on December 31, 2024, the last business day of 2024. In accordance with SEC rules, the potential payments were determined under the terms of our contracts, agreements, plans and arrangements as in effect on December 31, 2024. The tables do not include any previously vested equity awards or accrued benefits. Because the payments to be made to an NEO depend on several factors, the actual amounts to be paid out upon a triggering event can only be determined at the time of the triggering event.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Acceleration</w:t>
            </w:r>
          </w:p>
        </w:tc>
        <w:tc>
          <w:tcPr>
            <w:tcW w:w="440" w:type="dxa"/>
            <w:vAlign w:val="bottom"/>
          </w:tcPr>
          <w:p>
            <w:pPr>
              <w:spacing w:after="0"/>
              <w:rPr>
                <w:sz w:val="12"/>
                <w:szCs w:val="12"/>
                <w:color w:val="auto"/>
              </w:rPr>
            </w:pPr>
          </w:p>
        </w:tc>
        <w:tc>
          <w:tcPr>
            <w:tcW w:w="15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Without Cause or</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Involuntary</w:t>
            </w:r>
          </w:p>
        </w:tc>
        <w:tc>
          <w:tcPr>
            <w:tcW w:w="124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rPr>
              <w:t>Voluntary for</w:t>
            </w: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Vesting</w:t>
            </w:r>
          </w:p>
        </w:tc>
        <w:tc>
          <w:tcPr>
            <w:tcW w:w="440" w:type="dxa"/>
            <w:vAlign w:val="bottom"/>
          </w:tcPr>
          <w:p>
            <w:pPr>
              <w:spacing w:after="0"/>
              <w:rPr>
                <w:sz w:val="12"/>
                <w:szCs w:val="12"/>
                <w:color w:val="auto"/>
              </w:rPr>
            </w:pPr>
          </w:p>
        </w:tc>
        <w:tc>
          <w:tcPr>
            <w:tcW w:w="15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For Good Reason</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Not for Cause</w:t>
            </w:r>
          </w:p>
        </w:tc>
        <w:tc>
          <w:tcPr>
            <w:tcW w:w="124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rPr>
              <w:t>Good Reason</w:t>
            </w: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Upon a</w:t>
            </w:r>
          </w:p>
        </w:tc>
        <w:tc>
          <w:tcPr>
            <w:tcW w:w="440" w:type="dxa"/>
            <w:vAlign w:val="bottom"/>
          </w:tcPr>
          <w:p>
            <w:pPr>
              <w:spacing w:after="0"/>
              <w:rPr>
                <w:sz w:val="12"/>
                <w:szCs w:val="12"/>
                <w:color w:val="auto"/>
              </w:rPr>
            </w:pPr>
          </w:p>
        </w:tc>
        <w:tc>
          <w:tcPr>
            <w:tcW w:w="15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Within 12 Months</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124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 of</w:t>
            </w:r>
          </w:p>
        </w:tc>
        <w:tc>
          <w:tcPr>
            <w:tcW w:w="440" w:type="dxa"/>
            <w:vAlign w:val="bottom"/>
          </w:tcPr>
          <w:p>
            <w:pPr>
              <w:spacing w:after="0"/>
              <w:rPr>
                <w:sz w:val="12"/>
                <w:szCs w:val="12"/>
                <w:color w:val="auto"/>
              </w:rPr>
            </w:pPr>
          </w:p>
        </w:tc>
        <w:tc>
          <w:tcPr>
            <w:tcW w:w="15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Following a Change</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6"/>
                <w:szCs w:val="16"/>
                <w:color w:val="auto"/>
              </w:rPr>
            </w:pPr>
          </w:p>
        </w:tc>
        <w:tc>
          <w:tcPr>
            <w:tcW w:w="3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Compensation Component</w:t>
            </w:r>
          </w:p>
        </w:tc>
        <w:tc>
          <w:tcPr>
            <w:tcW w:w="1160" w:type="dxa"/>
            <w:vAlign w:val="bottom"/>
            <w:gridSpan w:val="2"/>
          </w:tcPr>
          <w:p>
            <w:pPr>
              <w:jc w:val="center"/>
              <w:ind w:left="56"/>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Control ($)</w:t>
            </w:r>
          </w:p>
        </w:tc>
        <w:tc>
          <w:tcPr>
            <w:tcW w:w="440" w:type="dxa"/>
            <w:vAlign w:val="bottom"/>
          </w:tcPr>
          <w:p>
            <w:pPr>
              <w:spacing w:after="0"/>
              <w:rPr>
                <w:sz w:val="16"/>
                <w:szCs w:val="16"/>
                <w:color w:val="auto"/>
              </w:rPr>
            </w:pPr>
          </w:p>
        </w:tc>
        <w:tc>
          <w:tcPr>
            <w:tcW w:w="152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of Control ($)</w:t>
            </w:r>
          </w:p>
        </w:tc>
        <w:tc>
          <w:tcPr>
            <w:tcW w:w="0" w:type="dxa"/>
            <w:vAlign w:val="bottom"/>
          </w:tcPr>
          <w:p>
            <w:pPr>
              <w:spacing w:after="0"/>
              <w:rPr>
                <w:sz w:val="1"/>
                <w:szCs w:val="1"/>
                <w:color w:val="auto"/>
              </w:rPr>
            </w:pPr>
          </w:p>
        </w:tc>
      </w:tr>
      <w:tr>
        <w:trPr>
          <w:trHeight w:val="122"/>
        </w:trPr>
        <w:tc>
          <w:tcPr>
            <w:tcW w:w="2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Paul B. Bolno, M.D., MBA</w:t>
            </w:r>
          </w:p>
        </w:tc>
        <w:tc>
          <w:tcPr>
            <w:tcW w:w="352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color w:val="auto"/>
              </w:rPr>
              <w:t>Base Salary</w:t>
            </w: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983,250</w:t>
            </w:r>
            <w:r>
              <w:rPr>
                <w:rFonts w:ascii="Times New Roman" w:cs="Times New Roman" w:eastAsia="Times New Roman" w:hAnsi="Times New Roman"/>
                <w:sz w:val="14"/>
                <w:szCs w:val="14"/>
                <w:color w:val="auto"/>
                <w:vertAlign w:val="superscript"/>
              </w:rPr>
              <w:t>(2)</w:t>
            </w:r>
          </w:p>
        </w:tc>
        <w:tc>
          <w:tcPr>
            <w:tcW w:w="1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983,250</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53"/>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tcPr>
          <w:p>
            <w:pPr>
              <w:jc w:val="right"/>
              <w:ind w:right="56"/>
              <w:spacing w:after="0" w:line="122" w:lineRule="exact"/>
              <w:rPr>
                <w:sz w:val="20"/>
                <w:szCs w:val="20"/>
                <w:color w:val="auto"/>
              </w:rPr>
            </w:pPr>
            <w:r>
              <w:rPr>
                <w:rFonts w:ascii="Times New Roman" w:cs="Times New Roman" w:eastAsia="Times New Roman" w:hAnsi="Times New Roman"/>
                <w:sz w:val="11"/>
                <w:szCs w:val="11"/>
                <w:color w:val="auto"/>
              </w:rPr>
              <w:t>983,250</w:t>
            </w:r>
            <w:r>
              <w:rPr>
                <w:rFonts w:ascii="Times New Roman" w:cs="Times New Roman" w:eastAsia="Times New Roman" w:hAnsi="Times New Roman"/>
                <w:sz w:val="14"/>
                <w:szCs w:val="14"/>
                <w:color w:val="auto"/>
                <w:vertAlign w:val="superscript"/>
              </w:rPr>
              <w:t>(2)</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Non-Equity Incentive Plan Compensation</w:t>
            </w:r>
          </w:p>
        </w:tc>
        <w:tc>
          <w:tcPr>
            <w:tcW w:w="11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426,075</w:t>
            </w:r>
            <w:r>
              <w:rPr>
                <w:rFonts w:ascii="Times New Roman" w:cs="Times New Roman" w:eastAsia="Times New Roman" w:hAnsi="Times New Roman"/>
                <w:sz w:val="17"/>
                <w:szCs w:val="17"/>
                <w:color w:val="auto"/>
                <w:vertAlign w:val="superscript"/>
              </w:rPr>
              <w:t>(3)</w:t>
            </w:r>
          </w:p>
        </w:tc>
        <w:tc>
          <w:tcPr>
            <w:tcW w:w="12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426,075</w:t>
            </w:r>
            <w:r>
              <w:rPr>
                <w:rFonts w:ascii="Times New Roman" w:cs="Times New Roman" w:eastAsia="Times New Roman" w:hAnsi="Times New Roman"/>
                <w:sz w:val="17"/>
                <w:szCs w:val="17"/>
                <w:color w:val="auto"/>
                <w:vertAlign w:val="superscript"/>
              </w:rPr>
              <w:t>(3)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
                <w:szCs w:val="2"/>
                <w:color w:val="auto"/>
              </w:rPr>
            </w:pPr>
          </w:p>
        </w:tc>
        <w:tc>
          <w:tcPr>
            <w:tcW w:w="1520" w:type="dxa"/>
            <w:vAlign w:val="bottom"/>
            <w:vMerge w:val="restart"/>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426,075</w:t>
            </w:r>
            <w:r>
              <w:rPr>
                <w:rFonts w:ascii="Times New Roman" w:cs="Times New Roman" w:eastAsia="Times New Roman" w:hAnsi="Times New Roman"/>
                <w:sz w:val="17"/>
                <w:szCs w:val="17"/>
                <w:color w:val="auto"/>
                <w:vertAlign w:val="superscript"/>
              </w:rPr>
              <w:t>(3)</w:t>
            </w:r>
          </w:p>
        </w:tc>
        <w:tc>
          <w:tcPr>
            <w:tcW w:w="0" w:type="dxa"/>
            <w:vAlign w:val="bottom"/>
          </w:tcPr>
          <w:p>
            <w:pPr>
              <w:spacing w:after="0" w:line="20" w:lineRule="exact"/>
              <w:rPr>
                <w:sz w:val="1"/>
                <w:szCs w:val="1"/>
                <w:color w:val="auto"/>
              </w:rPr>
            </w:pPr>
          </w:p>
        </w:tc>
      </w:tr>
      <w:tr>
        <w:trPr>
          <w:trHeight w:val="122"/>
        </w:trPr>
        <w:tc>
          <w:tcPr>
            <w:tcW w:w="2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38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3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Acceleration of unvested options and RSUs</w:t>
            </w:r>
            <w:r>
              <w:rPr>
                <w:rFonts w:ascii="Times New Roman" w:cs="Times New Roman" w:eastAsia="Times New Roman" w:hAnsi="Times New Roman"/>
                <w:sz w:val="17"/>
                <w:szCs w:val="17"/>
                <w:color w:val="auto"/>
                <w:vertAlign w:val="superscript"/>
              </w:rPr>
              <w:t>(1)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13,608,428</w:t>
            </w:r>
          </w:p>
        </w:tc>
        <w:tc>
          <w:tcPr>
            <w:tcW w:w="440" w:type="dxa"/>
            <w:vAlign w:val="bottom"/>
          </w:tcPr>
          <w:p>
            <w:pPr>
              <w:spacing w:after="0"/>
              <w:rPr>
                <w:sz w:val="12"/>
                <w:szCs w:val="12"/>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1,144,225</w:t>
            </w:r>
          </w:p>
        </w:tc>
        <w:tc>
          <w:tcPr>
            <w:tcW w:w="0" w:type="dxa"/>
            <w:vAlign w:val="bottom"/>
          </w:tcPr>
          <w:p>
            <w:pPr>
              <w:spacing w:after="0"/>
              <w:rPr>
                <w:sz w:val="1"/>
                <w:szCs w:val="1"/>
                <w:color w:val="auto"/>
              </w:rPr>
            </w:pPr>
          </w:p>
        </w:tc>
      </w:tr>
      <w:tr>
        <w:trPr>
          <w:trHeight w:val="156"/>
        </w:trPr>
        <w:tc>
          <w:tcPr>
            <w:tcW w:w="2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Benefits and Perquisites</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50,254</w:t>
            </w:r>
            <w:r>
              <w:rPr>
                <w:rFonts w:ascii="Times New Roman" w:cs="Times New Roman" w:eastAsia="Times New Roman" w:hAnsi="Times New Roman"/>
                <w:sz w:val="17"/>
                <w:szCs w:val="17"/>
                <w:color w:val="auto"/>
                <w:vertAlign w:val="superscript"/>
              </w:rPr>
              <w:t>(4)</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50,254</w:t>
            </w:r>
            <w:r>
              <w:rPr>
                <w:rFonts w:ascii="Times New Roman" w:cs="Times New Roman" w:eastAsia="Times New Roman" w:hAnsi="Times New Roman"/>
                <w:sz w:val="17"/>
                <w:szCs w:val="17"/>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5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50,254</w:t>
            </w:r>
            <w:r>
              <w:rPr>
                <w:rFonts w:ascii="Times New Roman" w:cs="Times New Roman" w:eastAsia="Times New Roman" w:hAnsi="Times New Roman"/>
                <w:sz w:val="17"/>
                <w:szCs w:val="17"/>
                <w:color w:val="auto"/>
                <w:vertAlign w:val="superscript"/>
              </w:rPr>
              <w:t>(5)</w:t>
            </w:r>
          </w:p>
        </w:tc>
        <w:tc>
          <w:tcPr>
            <w:tcW w:w="0" w:type="dxa"/>
            <w:vAlign w:val="bottom"/>
          </w:tcPr>
          <w:p>
            <w:pPr>
              <w:spacing w:after="0"/>
              <w:rPr>
                <w:sz w:val="1"/>
                <w:szCs w:val="1"/>
                <w:color w:val="auto"/>
              </w:rPr>
            </w:pPr>
          </w:p>
        </w:tc>
      </w:tr>
      <w:tr>
        <w:trPr>
          <w:trHeight w:val="121"/>
        </w:trPr>
        <w:tc>
          <w:tcPr>
            <w:tcW w:w="23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Kyle Moran, CFA</w:t>
            </w:r>
          </w:p>
        </w:tc>
        <w:tc>
          <w:tcPr>
            <w:tcW w:w="14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Base Salary</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497,200</w:t>
            </w:r>
            <w:r>
              <w:rPr>
                <w:rFonts w:ascii="Times New Roman" w:cs="Times New Roman" w:eastAsia="Times New Roman" w:hAnsi="Times New Roman"/>
                <w:sz w:val="14"/>
                <w:szCs w:val="14"/>
                <w:color w:val="auto"/>
                <w:vertAlign w:val="superscript"/>
              </w:rPr>
              <w:t>(6)</w:t>
            </w:r>
          </w:p>
        </w:tc>
        <w:tc>
          <w:tcPr>
            <w:tcW w:w="1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497,200</w:t>
            </w:r>
            <w:r>
              <w:rPr>
                <w:rFonts w:ascii="Times New Roman" w:cs="Times New Roman" w:eastAsia="Times New Roman" w:hAnsi="Times New Roman"/>
                <w:sz w:val="14"/>
                <w:szCs w:val="14"/>
                <w:color w:val="auto"/>
                <w:vertAlign w:val="superscript"/>
              </w:rPr>
              <w:t>(6)</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520" w:type="dxa"/>
            <w:vAlign w:val="bottom"/>
          </w:tcPr>
          <w:p>
            <w:pPr>
              <w:jc w:val="right"/>
              <w:ind w:right="56"/>
              <w:spacing w:after="0" w:line="122" w:lineRule="exact"/>
              <w:rPr>
                <w:sz w:val="20"/>
                <w:szCs w:val="20"/>
                <w:color w:val="auto"/>
              </w:rPr>
            </w:pPr>
            <w:r>
              <w:rPr>
                <w:rFonts w:ascii="Times New Roman" w:cs="Times New Roman" w:eastAsia="Times New Roman" w:hAnsi="Times New Roman"/>
                <w:sz w:val="11"/>
                <w:szCs w:val="11"/>
                <w:color w:val="auto"/>
              </w:rPr>
              <w:t>497,200</w:t>
            </w:r>
            <w:r>
              <w:rPr>
                <w:rFonts w:ascii="Times New Roman" w:cs="Times New Roman" w:eastAsia="Times New Roman" w:hAnsi="Times New Roman"/>
                <w:sz w:val="14"/>
                <w:szCs w:val="14"/>
                <w:color w:val="auto"/>
                <w:vertAlign w:val="superscript"/>
              </w:rPr>
              <w:t>(6)</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Non-Equity Incentive Plan Compensation</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223,740</w:t>
            </w:r>
            <w:r>
              <w:rPr>
                <w:rFonts w:ascii="Times New Roman" w:cs="Times New Roman" w:eastAsia="Times New Roman" w:hAnsi="Times New Roman"/>
                <w:sz w:val="17"/>
                <w:szCs w:val="17"/>
                <w:color w:val="auto"/>
                <w:vertAlign w:val="superscript"/>
              </w:rPr>
              <w:t>(3)</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223,740</w:t>
            </w:r>
            <w:r>
              <w:rPr>
                <w:rFonts w:ascii="Times New Roman" w:cs="Times New Roman" w:eastAsia="Times New Roman" w:hAnsi="Times New Roman"/>
                <w:sz w:val="17"/>
                <w:szCs w:val="17"/>
                <w:color w:val="auto"/>
                <w:vertAlign w:val="superscript"/>
              </w:rPr>
              <w:t>(3)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15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223,740</w:t>
            </w:r>
            <w:r>
              <w:rPr>
                <w:rFonts w:ascii="Times New Roman" w:cs="Times New Roman" w:eastAsia="Times New Roman" w:hAnsi="Times New Roman"/>
                <w:sz w:val="17"/>
                <w:szCs w:val="17"/>
                <w:color w:val="auto"/>
                <w:vertAlign w:val="superscript"/>
              </w:rPr>
              <w:t>(3)</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35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3"/>
                <w:szCs w:val="13"/>
                <w:color w:val="auto"/>
              </w:rPr>
              <w:t>Acceleration of unvested options and RSUs</w:t>
            </w:r>
            <w:r>
              <w:rPr>
                <w:rFonts w:ascii="Times New Roman" w:cs="Times New Roman" w:eastAsia="Times New Roman" w:hAnsi="Times New Roman"/>
                <w:sz w:val="17"/>
                <w:szCs w:val="17"/>
                <w:color w:val="auto"/>
                <w:vertAlign w:val="superscript"/>
              </w:rPr>
              <w:t>(1)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4,831,383</w:t>
            </w:r>
          </w:p>
        </w:tc>
        <w:tc>
          <w:tcPr>
            <w:tcW w:w="440" w:type="dxa"/>
            <w:vAlign w:val="bottom"/>
          </w:tcPr>
          <w:p>
            <w:pPr>
              <w:spacing w:after="0"/>
              <w:rPr>
                <w:sz w:val="12"/>
                <w:szCs w:val="12"/>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185,550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Benefits and Perquisites</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28,483</w:t>
            </w:r>
            <w:r>
              <w:rPr>
                <w:rFonts w:ascii="Times New Roman" w:cs="Times New Roman" w:eastAsia="Times New Roman" w:hAnsi="Times New Roman"/>
                <w:sz w:val="17"/>
                <w:szCs w:val="17"/>
                <w:color w:val="auto"/>
                <w:vertAlign w:val="superscript"/>
              </w:rPr>
              <w:t>(5)</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28,483</w:t>
            </w:r>
            <w:r>
              <w:rPr>
                <w:rFonts w:ascii="Times New Roman" w:cs="Times New Roman" w:eastAsia="Times New Roman" w:hAnsi="Times New Roman"/>
                <w:sz w:val="17"/>
                <w:szCs w:val="17"/>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15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28,483</w:t>
            </w:r>
            <w:r>
              <w:rPr>
                <w:rFonts w:ascii="Times New Roman" w:cs="Times New Roman" w:eastAsia="Times New Roman" w:hAnsi="Times New Roman"/>
                <w:sz w:val="17"/>
                <w:szCs w:val="17"/>
                <w:color w:val="auto"/>
                <w:vertAlign w:val="superscript"/>
              </w:rPr>
              <w:t>(5)</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3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Base Salary</w:t>
            </w:r>
          </w:p>
        </w:tc>
        <w:tc>
          <w:tcPr>
            <w:tcW w:w="11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487,540</w:t>
            </w:r>
            <w:r>
              <w:rPr>
                <w:rFonts w:ascii="Times New Roman" w:cs="Times New Roman" w:eastAsia="Times New Roman" w:hAnsi="Times New Roman"/>
                <w:sz w:val="17"/>
                <w:szCs w:val="17"/>
                <w:color w:val="auto"/>
                <w:vertAlign w:val="superscript"/>
              </w:rPr>
              <w:t>(6)</w:t>
            </w:r>
          </w:p>
        </w:tc>
        <w:tc>
          <w:tcPr>
            <w:tcW w:w="12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487,540</w:t>
            </w:r>
            <w:r>
              <w:rPr>
                <w:rFonts w:ascii="Times New Roman" w:cs="Times New Roman" w:eastAsia="Times New Roman" w:hAnsi="Times New Roman"/>
                <w:sz w:val="17"/>
                <w:szCs w:val="17"/>
                <w:color w:val="auto"/>
                <w:vertAlign w:val="superscript"/>
              </w:rPr>
              <w:t>(6)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
                <w:szCs w:val="2"/>
                <w:color w:val="auto"/>
              </w:rPr>
            </w:pPr>
          </w:p>
        </w:tc>
        <w:tc>
          <w:tcPr>
            <w:tcW w:w="1520" w:type="dxa"/>
            <w:vAlign w:val="bottom"/>
            <w:vMerge w:val="restart"/>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487,540</w:t>
            </w:r>
            <w:r>
              <w:rPr>
                <w:rFonts w:ascii="Times New Roman" w:cs="Times New Roman" w:eastAsia="Times New Roman" w:hAnsi="Times New Roman"/>
                <w:sz w:val="17"/>
                <w:szCs w:val="17"/>
                <w:color w:val="auto"/>
                <w:vertAlign w:val="superscript"/>
              </w:rPr>
              <w:t>(6)</w:t>
            </w:r>
          </w:p>
        </w:tc>
        <w:tc>
          <w:tcPr>
            <w:tcW w:w="0" w:type="dxa"/>
            <w:vAlign w:val="bottom"/>
          </w:tcPr>
          <w:p>
            <w:pPr>
              <w:spacing w:after="0" w:line="20" w:lineRule="exact"/>
              <w:rPr>
                <w:sz w:val="1"/>
                <w:szCs w:val="1"/>
                <w:color w:val="auto"/>
              </w:rPr>
            </w:pPr>
          </w:p>
        </w:tc>
      </w:tr>
      <w:tr>
        <w:trPr>
          <w:trHeight w:val="122"/>
        </w:trPr>
        <w:tc>
          <w:tcPr>
            <w:tcW w:w="2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Chandra Vargeese, Ph.D.</w:t>
            </w:r>
          </w:p>
        </w:tc>
        <w:tc>
          <w:tcPr>
            <w:tcW w:w="35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3520" w:type="dxa"/>
            <w:vAlign w:val="bottom"/>
            <w:gridSpan w:val="2"/>
          </w:tcPr>
          <w:p>
            <w:pPr>
              <w:spacing w:after="0"/>
              <w:rPr>
                <w:sz w:val="2"/>
                <w:szCs w:val="2"/>
                <w:color w:val="auto"/>
              </w:rPr>
            </w:pPr>
          </w:p>
        </w:tc>
        <w:tc>
          <w:tcPr>
            <w:tcW w:w="11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219,393</w:t>
            </w:r>
            <w:r>
              <w:rPr>
                <w:rFonts w:ascii="Times New Roman" w:cs="Times New Roman" w:eastAsia="Times New Roman" w:hAnsi="Times New Roman"/>
                <w:sz w:val="17"/>
                <w:szCs w:val="17"/>
                <w:color w:val="auto"/>
                <w:vertAlign w:val="superscript"/>
              </w:rPr>
              <w:t>(3)</w:t>
            </w:r>
          </w:p>
        </w:tc>
        <w:tc>
          <w:tcPr>
            <w:tcW w:w="12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219,393</w:t>
            </w:r>
            <w:r>
              <w:rPr>
                <w:rFonts w:ascii="Times New Roman" w:cs="Times New Roman" w:eastAsia="Times New Roman" w:hAnsi="Times New Roman"/>
                <w:sz w:val="17"/>
                <w:szCs w:val="17"/>
                <w:color w:val="auto"/>
                <w:vertAlign w:val="superscript"/>
              </w:rPr>
              <w:t>(3)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
                <w:szCs w:val="2"/>
                <w:color w:val="auto"/>
              </w:rPr>
            </w:pPr>
          </w:p>
        </w:tc>
        <w:tc>
          <w:tcPr>
            <w:tcW w:w="1520" w:type="dxa"/>
            <w:vAlign w:val="bottom"/>
            <w:vMerge w:val="restart"/>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219,393</w:t>
            </w:r>
            <w:r>
              <w:rPr>
                <w:rFonts w:ascii="Times New Roman" w:cs="Times New Roman" w:eastAsia="Times New Roman" w:hAnsi="Times New Roman"/>
                <w:sz w:val="17"/>
                <w:szCs w:val="17"/>
                <w:color w:val="auto"/>
                <w:vertAlign w:val="superscript"/>
              </w:rPr>
              <w:t>(3)</w:t>
            </w:r>
          </w:p>
        </w:tc>
        <w:tc>
          <w:tcPr>
            <w:tcW w:w="0" w:type="dxa"/>
            <w:vAlign w:val="bottom"/>
          </w:tcPr>
          <w:p>
            <w:pPr>
              <w:spacing w:after="0" w:line="20" w:lineRule="exact"/>
              <w:rPr>
                <w:sz w:val="1"/>
                <w:szCs w:val="1"/>
                <w:color w:val="auto"/>
              </w:rPr>
            </w:pPr>
          </w:p>
        </w:tc>
      </w:tr>
      <w:tr>
        <w:trPr>
          <w:trHeight w:val="121"/>
        </w:trPr>
        <w:tc>
          <w:tcPr>
            <w:tcW w:w="2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Non-Equity Incentive Plan Compensation</w:t>
            </w:r>
          </w:p>
        </w:tc>
        <w:tc>
          <w:tcPr>
            <w:tcW w:w="116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3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Acceleration of unvested options and RSUs</w:t>
            </w:r>
            <w:r>
              <w:rPr>
                <w:rFonts w:ascii="Times New Roman" w:cs="Times New Roman" w:eastAsia="Times New Roman" w:hAnsi="Times New Roman"/>
                <w:sz w:val="17"/>
                <w:szCs w:val="17"/>
                <w:color w:val="auto"/>
                <w:vertAlign w:val="superscript"/>
              </w:rPr>
              <w:t>(1)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4,917,487</w:t>
            </w:r>
          </w:p>
        </w:tc>
        <w:tc>
          <w:tcPr>
            <w:tcW w:w="440" w:type="dxa"/>
            <w:vAlign w:val="bottom"/>
          </w:tcPr>
          <w:p>
            <w:pPr>
              <w:spacing w:after="0"/>
              <w:rPr>
                <w:sz w:val="12"/>
                <w:szCs w:val="12"/>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618,500</w:t>
            </w:r>
          </w:p>
        </w:tc>
        <w:tc>
          <w:tcPr>
            <w:tcW w:w="0" w:type="dxa"/>
            <w:vAlign w:val="bottom"/>
          </w:tcPr>
          <w:p>
            <w:pPr>
              <w:spacing w:after="0"/>
              <w:rPr>
                <w:sz w:val="1"/>
                <w:szCs w:val="1"/>
                <w:color w:val="auto"/>
              </w:rPr>
            </w:pPr>
          </w:p>
        </w:tc>
      </w:tr>
      <w:tr>
        <w:trPr>
          <w:trHeight w:val="155"/>
        </w:trPr>
        <w:tc>
          <w:tcPr>
            <w:tcW w:w="2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Benefits and Perquisites</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21,782</w:t>
            </w:r>
            <w:r>
              <w:rPr>
                <w:rFonts w:ascii="Times New Roman" w:cs="Times New Roman" w:eastAsia="Times New Roman" w:hAnsi="Times New Roman"/>
                <w:sz w:val="17"/>
                <w:szCs w:val="17"/>
                <w:color w:val="auto"/>
                <w:vertAlign w:val="superscript"/>
              </w:rPr>
              <w:t>(5)</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21,782</w:t>
            </w:r>
            <w:r>
              <w:rPr>
                <w:rFonts w:ascii="Times New Roman" w:cs="Times New Roman" w:eastAsia="Times New Roman" w:hAnsi="Times New Roman"/>
                <w:sz w:val="17"/>
                <w:szCs w:val="17"/>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5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21,782</w:t>
            </w:r>
            <w:r>
              <w:rPr>
                <w:rFonts w:ascii="Times New Roman" w:cs="Times New Roman" w:eastAsia="Times New Roman" w:hAnsi="Times New Roman"/>
                <w:sz w:val="17"/>
                <w:szCs w:val="17"/>
                <w:color w:val="auto"/>
                <w:vertAlign w:val="superscript"/>
              </w:rPr>
              <w:t>(5)</w:t>
            </w:r>
          </w:p>
        </w:tc>
        <w:tc>
          <w:tcPr>
            <w:tcW w:w="0" w:type="dxa"/>
            <w:vAlign w:val="bottom"/>
          </w:tcPr>
          <w:p>
            <w:pPr>
              <w:spacing w:after="0"/>
              <w:rPr>
                <w:sz w:val="1"/>
                <w:szCs w:val="1"/>
                <w:color w:val="auto"/>
              </w:rPr>
            </w:pPr>
          </w:p>
        </w:tc>
      </w:tr>
      <w:tr>
        <w:trPr>
          <w:trHeight w:val="122"/>
        </w:trPr>
        <w:tc>
          <w:tcPr>
            <w:tcW w:w="23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Christopher Francis, Ph.D.</w:t>
            </w:r>
          </w:p>
        </w:tc>
        <w:tc>
          <w:tcPr>
            <w:tcW w:w="14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Base Salary</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438,300</w:t>
            </w:r>
            <w:r>
              <w:rPr>
                <w:rFonts w:ascii="Times New Roman" w:cs="Times New Roman" w:eastAsia="Times New Roman" w:hAnsi="Times New Roman"/>
                <w:sz w:val="14"/>
                <w:szCs w:val="14"/>
                <w:color w:val="auto"/>
                <w:vertAlign w:val="superscript"/>
              </w:rPr>
              <w:t>(6)</w:t>
            </w:r>
          </w:p>
        </w:tc>
        <w:tc>
          <w:tcPr>
            <w:tcW w:w="1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438,300</w:t>
            </w:r>
            <w:r>
              <w:rPr>
                <w:rFonts w:ascii="Times New Roman" w:cs="Times New Roman" w:eastAsia="Times New Roman" w:hAnsi="Times New Roman"/>
                <w:sz w:val="14"/>
                <w:szCs w:val="14"/>
                <w:color w:val="auto"/>
                <w:vertAlign w:val="superscript"/>
              </w:rPr>
              <w:t>(6)</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520" w:type="dxa"/>
            <w:vAlign w:val="bottom"/>
          </w:tcPr>
          <w:p>
            <w:pPr>
              <w:jc w:val="right"/>
              <w:ind w:right="56"/>
              <w:spacing w:after="0" w:line="122" w:lineRule="exact"/>
              <w:rPr>
                <w:sz w:val="20"/>
                <w:szCs w:val="20"/>
                <w:color w:val="auto"/>
              </w:rPr>
            </w:pPr>
            <w:r>
              <w:rPr>
                <w:rFonts w:ascii="Times New Roman" w:cs="Times New Roman" w:eastAsia="Times New Roman" w:hAnsi="Times New Roman"/>
                <w:sz w:val="11"/>
                <w:szCs w:val="11"/>
                <w:color w:val="auto"/>
              </w:rPr>
              <w:t>438,300</w:t>
            </w:r>
            <w:r>
              <w:rPr>
                <w:rFonts w:ascii="Times New Roman" w:cs="Times New Roman" w:eastAsia="Times New Roman" w:hAnsi="Times New Roman"/>
                <w:sz w:val="14"/>
                <w:szCs w:val="14"/>
                <w:color w:val="auto"/>
                <w:vertAlign w:val="superscript"/>
              </w:rPr>
              <w:t>(6)</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Non-Equity Incentive Plan Compensation</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197,235</w:t>
            </w:r>
            <w:r>
              <w:rPr>
                <w:rFonts w:ascii="Times New Roman" w:cs="Times New Roman" w:eastAsia="Times New Roman" w:hAnsi="Times New Roman"/>
                <w:sz w:val="17"/>
                <w:szCs w:val="17"/>
                <w:color w:val="auto"/>
                <w:vertAlign w:val="superscript"/>
              </w:rPr>
              <w:t>(3)</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197,235</w:t>
            </w:r>
            <w:r>
              <w:rPr>
                <w:rFonts w:ascii="Times New Roman" w:cs="Times New Roman" w:eastAsia="Times New Roman" w:hAnsi="Times New Roman"/>
                <w:sz w:val="17"/>
                <w:szCs w:val="17"/>
                <w:color w:val="auto"/>
                <w:vertAlign w:val="superscript"/>
              </w:rPr>
              <w:t>(3)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15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3"/>
                <w:szCs w:val="13"/>
                <w:color w:val="auto"/>
              </w:rPr>
              <w:t>197,235</w:t>
            </w:r>
            <w:r>
              <w:rPr>
                <w:rFonts w:ascii="Times New Roman" w:cs="Times New Roman" w:eastAsia="Times New Roman" w:hAnsi="Times New Roman"/>
                <w:sz w:val="17"/>
                <w:szCs w:val="17"/>
                <w:color w:val="auto"/>
                <w:vertAlign w:val="superscript"/>
              </w:rPr>
              <w:t>(3)</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35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3"/>
                <w:szCs w:val="13"/>
                <w:color w:val="auto"/>
              </w:rPr>
              <w:t>Acceleration of unvested options and RSUs</w:t>
            </w:r>
            <w:r>
              <w:rPr>
                <w:rFonts w:ascii="Times New Roman" w:cs="Times New Roman" w:eastAsia="Times New Roman" w:hAnsi="Times New Roman"/>
                <w:sz w:val="17"/>
                <w:szCs w:val="17"/>
                <w:color w:val="auto"/>
                <w:vertAlign w:val="superscript"/>
              </w:rPr>
              <w:t>(1)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3,915,904</w:t>
            </w:r>
          </w:p>
        </w:tc>
        <w:tc>
          <w:tcPr>
            <w:tcW w:w="440" w:type="dxa"/>
            <w:vAlign w:val="bottom"/>
          </w:tcPr>
          <w:p>
            <w:pPr>
              <w:spacing w:after="0"/>
              <w:rPr>
                <w:sz w:val="12"/>
                <w:szCs w:val="12"/>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402,025</w:t>
            </w: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Benefits and Perquisites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33,503</w:t>
            </w:r>
            <w:r>
              <w:rPr>
                <w:rFonts w:ascii="Times New Roman" w:cs="Times New Roman" w:eastAsia="Times New Roman" w:hAnsi="Times New Roman"/>
                <w:sz w:val="18"/>
                <w:szCs w:val="18"/>
                <w:color w:val="auto"/>
                <w:vertAlign w:val="superscript"/>
              </w:rPr>
              <w:t>(5)</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33,503</w:t>
            </w:r>
            <w:r>
              <w:rPr>
                <w:rFonts w:ascii="Times New Roman" w:cs="Times New Roman" w:eastAsia="Times New Roman" w:hAnsi="Times New Roman"/>
                <w:sz w:val="18"/>
                <w:szCs w:val="18"/>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0"/>
                <w:szCs w:val="20"/>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33,503</w:t>
            </w:r>
            <w:r>
              <w:rPr>
                <w:rFonts w:ascii="Times New Roman" w:cs="Times New Roman" w:eastAsia="Times New Roman" w:hAnsi="Times New Roman"/>
                <w:sz w:val="18"/>
                <w:szCs w:val="18"/>
                <w:color w:val="auto"/>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-1572895</wp:posOffset>
            </wp:positionV>
            <wp:extent cx="7132320" cy="1157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8572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02" w:lineRule="exact"/>
        <w:rPr>
          <w:sz w:val="20"/>
          <w:szCs w:val="20"/>
          <w:color w:val="auto"/>
        </w:rPr>
      </w:pPr>
    </w:p>
    <w:p>
      <w:pPr>
        <w:ind w:left="520" w:right="280" w:hanging="512"/>
        <w:spacing w:after="0" w:line="257"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attributable to accelerated vesting of (i) then unvested options, determined by multiplying the number of shares accelerated by the difference between the exercise price of the option and the closing price of our ordinary shares on December 31, 2024, and (ii) then unvested RSUs, determined by multiplying the number of RSUs accelerated by the closing price of our ordinary shares on December 31, 2024.</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Eighteen months of 2024 base salary continuation.</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non-equity incentive compensation for 2024.</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COBRA premiums for eighteen months based on executive's current benefits elections.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COBRA premiums for twelve months based on executive's current benefit elections.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2024 base salary continuation.</w:t>
      </w:r>
    </w:p>
    <w:p>
      <w:pPr>
        <w:spacing w:after="0" w:line="207" w:lineRule="exact"/>
        <w:rPr>
          <w:sz w:val="20"/>
          <w:szCs w:val="20"/>
          <w:color w:val="auto"/>
        </w:rPr>
      </w:pPr>
    </w:p>
    <w:p>
      <w:pPr>
        <w:jc w:val="right"/>
        <w:ind w:right="320"/>
        <w:spacing w:after="0" w:line="282" w:lineRule="auto"/>
        <w:rPr>
          <w:sz w:val="20"/>
          <w:szCs w:val="20"/>
          <w:color w:val="auto"/>
        </w:rPr>
      </w:pPr>
      <w:r>
        <w:rPr>
          <w:rFonts w:ascii="Times New Roman" w:cs="Times New Roman" w:eastAsia="Times New Roman" w:hAnsi="Times New Roman"/>
          <w:sz w:val="18"/>
          <w:szCs w:val="18"/>
          <w:color w:val="auto"/>
        </w:rPr>
        <w:t xml:space="preserve">For a further description of the employment agreements with our NEOs, including a summary of each NEO's severance and change in control benefits, please refer to “Compensation Discussion and Analysis - </w:t>
      </w:r>
      <w:r>
        <w:rPr>
          <w:rFonts w:ascii="Times New Roman" w:cs="Times New Roman" w:eastAsia="Times New Roman" w:hAnsi="Times New Roman"/>
          <w:sz w:val="18"/>
          <w:szCs w:val="18"/>
          <w:i w:val="1"/>
          <w:iCs w:val="1"/>
          <w:color w:val="auto"/>
        </w:rPr>
        <w:t>Employment Agreements and Severance Benefits with Our Named Executive Officers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earned during the fiscal year ended December 31, 2024 by each of our non-employee directors. Directors who are also employees are not compensated for their service on our Board.</w:t>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220" w:type="dxa"/>
            <w:vAlign w:val="bottom"/>
          </w:tcPr>
          <w:p>
            <w:pPr>
              <w:spacing w:after="0"/>
              <w:rPr>
                <w:sz w:val="12"/>
                <w:szCs w:val="12"/>
                <w:color w:val="auto"/>
              </w:rPr>
            </w:pPr>
          </w:p>
        </w:tc>
        <w:tc>
          <w:tcPr>
            <w:tcW w:w="1020" w:type="dxa"/>
            <w:vAlign w:val="bottom"/>
          </w:tcPr>
          <w:p>
            <w:pPr>
              <w:jc w:val="center"/>
              <w:ind w:left="413"/>
              <w:spacing w:after="0"/>
              <w:rPr>
                <w:sz w:val="20"/>
                <w:szCs w:val="20"/>
                <w:color w:val="auto"/>
              </w:rPr>
            </w:pPr>
            <w:r>
              <w:rPr>
                <w:rFonts w:ascii="Times New Roman" w:cs="Times New Roman" w:eastAsia="Times New Roman" w:hAnsi="Times New Roman"/>
                <w:sz w:val="13"/>
                <w:szCs w:val="13"/>
                <w:b w:val="1"/>
                <w:bCs w:val="1"/>
                <w:color w:val="auto"/>
              </w:rPr>
              <w:t>Share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13"/>
              <w:spacing w:after="0" w:line="141" w:lineRule="exact"/>
              <w:rPr>
                <w:sz w:val="20"/>
                <w:szCs w:val="20"/>
                <w:color w:val="auto"/>
              </w:rPr>
            </w:pPr>
            <w:r>
              <w:rPr>
                <w:rFonts w:ascii="Times New Roman" w:cs="Times New Roman" w:eastAsia="Times New Roman" w:hAnsi="Times New Roman"/>
                <w:sz w:val="13"/>
                <w:szCs w:val="13"/>
                <w:b w:val="1"/>
                <w:bCs w:val="1"/>
                <w:color w:val="auto"/>
              </w:rPr>
              <w:t>Paid in Cash</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left="413"/>
              <w:spacing w:after="0" w:line="141" w:lineRule="exact"/>
              <w:rPr>
                <w:sz w:val="20"/>
                <w:szCs w:val="20"/>
                <w:color w:val="auto"/>
              </w:rPr>
            </w:pPr>
            <w:r>
              <w:rPr>
                <w:rFonts w:ascii="Times New Roman" w:cs="Times New Roman" w:eastAsia="Times New Roman" w:hAnsi="Times New Roman"/>
                <w:sz w:val="13"/>
                <w:szCs w:val="13"/>
                <w:b w:val="1"/>
                <w:bCs w:val="1"/>
                <w:color w:val="auto"/>
              </w:rPr>
              <w:t>Awards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rPr>
              <w:t>Awards</w:t>
            </w:r>
          </w:p>
        </w:tc>
        <w:tc>
          <w:tcPr>
            <w:tcW w:w="180" w:type="dxa"/>
            <w:vAlign w:val="bottom"/>
          </w:tcPr>
          <w:p>
            <w:pPr>
              <w:spacing w:after="0"/>
              <w:rPr>
                <w:sz w:val="12"/>
                <w:szCs w:val="12"/>
                <w:color w:val="auto"/>
              </w:rPr>
            </w:pPr>
          </w:p>
        </w:tc>
        <w:tc>
          <w:tcPr>
            <w:tcW w:w="1700" w:type="dxa"/>
            <w:vAlign w:val="bottom"/>
            <w:gridSpan w:val="2"/>
          </w:tcPr>
          <w:p>
            <w:pPr>
              <w:ind w:left="640"/>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9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left="313"/>
              <w:spacing w:after="0" w:line="174" w:lineRule="exact"/>
              <w:rPr>
                <w:sz w:val="20"/>
                <w:szCs w:val="20"/>
                <w:color w:val="auto"/>
              </w:rPr>
            </w:pPr>
            <w:r>
              <w:rPr>
                <w:rFonts w:ascii="Times New Roman" w:cs="Times New Roman" w:eastAsia="Times New Roman" w:hAnsi="Times New Roman"/>
                <w:sz w:val="13"/>
                <w:szCs w:val="13"/>
                <w:b w:val="1"/>
                <w:bCs w:val="1"/>
                <w:color w:val="auto"/>
                <w:w w:val="89"/>
              </w:rPr>
              <w:t>($)</w:t>
            </w:r>
            <w:r>
              <w:rPr>
                <w:rFonts w:ascii="Times New Roman" w:cs="Times New Roman" w:eastAsia="Times New Roman" w:hAnsi="Times New Roman"/>
                <w:sz w:val="18"/>
                <w:szCs w:val="18"/>
                <w:b w:val="1"/>
                <w:bCs w:val="1"/>
                <w:color w:val="auto"/>
                <w:w w:val="89"/>
                <w:vertAlign w:val="superscript"/>
              </w:rPr>
              <w:t>(1)</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ind w:left="413"/>
              <w:spacing w:after="0" w:line="174" w:lineRule="exact"/>
              <w:rPr>
                <w:sz w:val="20"/>
                <w:szCs w:val="20"/>
                <w:color w:val="auto"/>
              </w:rPr>
            </w:pPr>
            <w:r>
              <w:rPr>
                <w:rFonts w:ascii="Times New Roman" w:cs="Times New Roman" w:eastAsia="Times New Roman" w:hAnsi="Times New Roman"/>
                <w:sz w:val="13"/>
                <w:szCs w:val="13"/>
                <w:b w:val="1"/>
                <w:bCs w:val="1"/>
                <w:color w:val="auto"/>
                <w:w w:val="89"/>
              </w:rPr>
              <w:t>($)</w:t>
            </w:r>
            <w:r>
              <w:rPr>
                <w:rFonts w:ascii="Times New Roman" w:cs="Times New Roman" w:eastAsia="Times New Roman" w:hAnsi="Times New Roman"/>
                <w:sz w:val="18"/>
                <w:szCs w:val="18"/>
                <w:b w:val="1"/>
                <w:bCs w:val="1"/>
                <w:color w:val="auto"/>
                <w:w w:val="89"/>
                <w:vertAlign w:val="superscript"/>
              </w:rPr>
              <w:t>(2)</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(3)</w:t>
            </w:r>
          </w:p>
        </w:tc>
        <w:tc>
          <w:tcPr>
            <w:tcW w:w="180" w:type="dxa"/>
            <w:vAlign w:val="bottom"/>
          </w:tcPr>
          <w:p>
            <w:pPr>
              <w:spacing w:after="0"/>
              <w:rPr>
                <w:sz w:val="16"/>
                <w:szCs w:val="16"/>
                <w:color w:val="auto"/>
              </w:rPr>
            </w:pPr>
          </w:p>
        </w:tc>
        <w:tc>
          <w:tcPr>
            <w:tcW w:w="16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r>
      <w:tr>
        <w:trPr>
          <w:trHeight w:val="14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Christian Henry</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99,375</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86,538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100,303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286,216</w:t>
            </w:r>
          </w:p>
        </w:tc>
        <w:tc>
          <w:tcPr>
            <w:tcW w:w="100" w:type="dxa"/>
            <w:vAlign w:val="bottom"/>
            <w:shd w:val="clear" w:color="auto" w:fill="CCEE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Mark H. N. Corrigan, M.D.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71,875</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173,075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202,520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447,471</w:t>
            </w:r>
          </w:p>
        </w:tc>
        <w:tc>
          <w:tcPr>
            <w:tcW w:w="100" w:type="dxa"/>
            <w:vAlign w:val="bottom"/>
          </w:tcPr>
          <w:p>
            <w:pPr>
              <w:spacing w:after="0"/>
              <w:rPr>
                <w:sz w:val="12"/>
                <w:szCs w:val="12"/>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Peter Kolchinsky, Ph.D.</w:t>
            </w:r>
            <w:r>
              <w:rPr>
                <w:rFonts w:ascii="Times New Roman" w:cs="Times New Roman" w:eastAsia="Times New Roman" w:hAnsi="Times New Roman"/>
                <w:sz w:val="17"/>
                <w:szCs w:val="17"/>
                <w:color w:val="auto"/>
                <w:vertAlign w:val="superscript"/>
              </w:rPr>
              <w:t>(4)</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86,538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100,303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234,341</w:t>
            </w:r>
          </w:p>
        </w:tc>
        <w:tc>
          <w:tcPr>
            <w:tcW w:w="100" w:type="dxa"/>
            <w:vAlign w:val="bottom"/>
            <w:shd w:val="clear" w:color="auto" w:fill="CCEE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Adrian Rawcliffe</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66,250</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100,303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253,091</w:t>
            </w:r>
          </w:p>
        </w:tc>
        <w:tc>
          <w:tcPr>
            <w:tcW w:w="100" w:type="dxa"/>
            <w:vAlign w:val="bottom"/>
          </w:tcPr>
          <w:p>
            <w:pPr>
              <w:spacing w:after="0"/>
              <w:rPr>
                <w:sz w:val="12"/>
                <w:szCs w:val="12"/>
                <w:color w:val="auto"/>
              </w:rPr>
            </w:pPr>
          </w:p>
        </w:tc>
      </w:tr>
      <w:tr>
        <w:trPr>
          <w:trHeight w:val="14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Ken Takanashi</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86,538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100,303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234,341</w:t>
            </w:r>
          </w:p>
        </w:tc>
        <w:tc>
          <w:tcPr>
            <w:tcW w:w="100" w:type="dxa"/>
            <w:vAlign w:val="bottom"/>
            <w:shd w:val="clear" w:color="auto" w:fill="CCEE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Aik Na Tan</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49,375</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100,303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236,216</w:t>
            </w:r>
          </w:p>
        </w:tc>
        <w:tc>
          <w:tcPr>
            <w:tcW w:w="100" w:type="dxa"/>
            <w:vAlign w:val="bottom"/>
          </w:tcPr>
          <w:p>
            <w:pPr>
              <w:spacing w:after="0"/>
              <w:rPr>
                <w:sz w:val="12"/>
                <w:szCs w:val="12"/>
                <w:color w:val="auto"/>
              </w:rPr>
            </w:pPr>
          </w:p>
        </w:tc>
      </w:tr>
      <w:tr>
        <w:trPr>
          <w:trHeight w:val="14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Gregory L. Verdine, Ph.D.</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86,538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100,303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234,341</w:t>
            </w:r>
          </w:p>
        </w:tc>
        <w:tc>
          <w:tcPr>
            <w:tcW w:w="100" w:type="dxa"/>
            <w:vAlign w:val="bottom"/>
            <w:shd w:val="clear" w:color="auto" w:fill="CCEEFF"/>
          </w:tcPr>
          <w:p>
            <w:pPr>
              <w:spacing w:after="0"/>
              <w:rPr>
                <w:sz w:val="12"/>
                <w:szCs w:val="12"/>
                <w:color w:val="auto"/>
              </w:rPr>
            </w:pPr>
          </w:p>
        </w:tc>
      </w:tr>
      <w:tr>
        <w:trPr>
          <w:trHeight w:val="174"/>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Heidi L. Wagner</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62,500</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173,075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202,520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438,096</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8572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2"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fees earned during 2024 under our Non-Employee Director Compensation Policy.</w:t>
      </w:r>
    </w:p>
    <w:p>
      <w:pPr>
        <w:spacing w:after="0" w:line="27" w:lineRule="exact"/>
        <w:rPr>
          <w:rFonts w:ascii="Times New Roman" w:cs="Times New Roman" w:eastAsia="Times New Roman" w:hAnsi="Times New Roman"/>
          <w:sz w:val="18"/>
          <w:szCs w:val="18"/>
          <w:color w:val="auto"/>
        </w:rPr>
      </w:pPr>
    </w:p>
    <w:p>
      <w:pPr>
        <w:ind w:left="520" w:right="160" w:hanging="512"/>
        <w:spacing w:after="0" w:line="250"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aggregate grant date fair value for the share awards identified, computed in accordance with FASB ASC Topic 718. A discussion of the assumptions used in determining grant date fair value may be found in Note 7 to the financial statements included in our Original 10-K.</w:t>
      </w:r>
    </w:p>
    <w:p>
      <w:pPr>
        <w:spacing w:after="0" w:line="1" w:lineRule="exact"/>
        <w:rPr>
          <w:rFonts w:ascii="Times New Roman" w:cs="Times New Roman" w:eastAsia="Times New Roman" w:hAnsi="Times New Roman"/>
          <w:sz w:val="18"/>
          <w:szCs w:val="18"/>
          <w:color w:val="auto"/>
        </w:rPr>
      </w:pPr>
    </w:p>
    <w:p>
      <w:pPr>
        <w:ind w:left="520" w:right="200" w:hanging="512"/>
        <w:spacing w:after="0" w:line="255"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aggregate grant date fair value for the option awards granted in 2024 to our non-employee directors, computed in accordance with FASB ASC Topic 718. A discussion of the assumptions used in determining grant date fair value may be found in Note 7 to the financial statements included in our Original 10-K.</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26" w:name="page27"/>
    <w:bookmarkEnd w:id="26"/>
    <w:p>
      <w:pPr>
        <w:ind w:left="520" w:right="40" w:hanging="512"/>
        <w:spacing w:after="0" w:line="266"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RA Capital Healthcare Fund, L.P. governing documents, Dr. Kolchinsky is required to remit to RA Capital Management, L.P. (“RA Capital”) both the cash and the equity compensation, and RA Capital and not Dr. Kolchinsky individually is the beneficial owner of such compensation.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aggregate number of shares subject to options held by each of our non-employee directors as of December 31, 2024:</w:t>
      </w:r>
    </w:p>
    <w:p>
      <w:pPr>
        <w:spacing w:after="0" w:line="253"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 of</w:t>
            </w: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Subject to</w:t>
            </w:r>
          </w:p>
        </w:tc>
      </w:tr>
      <w:tr>
        <w:trPr>
          <w:trHeight w:val="18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00" w:type="dxa"/>
            <w:vAlign w:val="bottom"/>
          </w:tcPr>
          <w:p>
            <w:pPr>
              <w:spacing w:after="0"/>
              <w:rPr>
                <w:sz w:val="16"/>
                <w:szCs w:val="16"/>
                <w:color w:val="auto"/>
              </w:rPr>
            </w:pPr>
          </w:p>
        </w:tc>
      </w:tr>
      <w:tr>
        <w:trPr>
          <w:trHeight w:val="14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Christian Henry</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150,730</w:t>
            </w:r>
          </w:p>
        </w:tc>
        <w:tc>
          <w:tcPr>
            <w:tcW w:w="200" w:type="dxa"/>
            <w:vAlign w:val="bottom"/>
            <w:shd w:val="clear" w:color="auto" w:fill="CFF0FC"/>
          </w:tcPr>
          <w:p>
            <w:pPr>
              <w:spacing w:after="0"/>
              <w:rPr>
                <w:sz w:val="12"/>
                <w:szCs w:val="12"/>
                <w:color w:val="auto"/>
              </w:rPr>
            </w:pPr>
          </w:p>
        </w:tc>
      </w:tr>
      <w:tr>
        <w:trPr>
          <w:trHeight w:val="149"/>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Mark H. N. Corrigan, M.D.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161,960</w:t>
            </w:r>
          </w:p>
        </w:tc>
        <w:tc>
          <w:tcPr>
            <w:tcW w:w="200" w:type="dxa"/>
            <w:vAlign w:val="bottom"/>
          </w:tcPr>
          <w:p>
            <w:pPr>
              <w:spacing w:after="0"/>
              <w:rPr>
                <w:sz w:val="12"/>
                <w:szCs w:val="12"/>
                <w:color w:val="auto"/>
              </w:rPr>
            </w:pPr>
          </w:p>
        </w:tc>
      </w:tr>
      <w:tr>
        <w:trPr>
          <w:trHeight w:val="14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Kolchinsky, Ph.D.</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150,730</w:t>
            </w:r>
          </w:p>
        </w:tc>
        <w:tc>
          <w:tcPr>
            <w:tcW w:w="200" w:type="dxa"/>
            <w:vAlign w:val="bottom"/>
            <w:shd w:val="clear" w:color="auto" w:fill="CFF0FC"/>
          </w:tcPr>
          <w:p>
            <w:pPr>
              <w:spacing w:after="0"/>
              <w:rPr>
                <w:sz w:val="12"/>
                <w:szCs w:val="12"/>
                <w:color w:val="auto"/>
              </w:rPr>
            </w:pPr>
          </w:p>
        </w:tc>
      </w:tr>
      <w:tr>
        <w:trPr>
          <w:trHeight w:val="148"/>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Adrian Rawcliffe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150,730</w:t>
            </w:r>
          </w:p>
        </w:tc>
        <w:tc>
          <w:tcPr>
            <w:tcW w:w="200" w:type="dxa"/>
            <w:vAlign w:val="bottom"/>
          </w:tcPr>
          <w:p>
            <w:pPr>
              <w:spacing w:after="0"/>
              <w:rPr>
                <w:sz w:val="12"/>
                <w:szCs w:val="12"/>
                <w:color w:val="auto"/>
              </w:rPr>
            </w:pPr>
          </w:p>
        </w:tc>
      </w:tr>
      <w:tr>
        <w:trPr>
          <w:trHeight w:val="14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Ken Takanashi</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150,730</w:t>
            </w:r>
          </w:p>
        </w:tc>
        <w:tc>
          <w:tcPr>
            <w:tcW w:w="200" w:type="dxa"/>
            <w:vAlign w:val="bottom"/>
            <w:shd w:val="clear" w:color="auto" w:fill="CFF0FC"/>
          </w:tcPr>
          <w:p>
            <w:pPr>
              <w:spacing w:after="0"/>
              <w:rPr>
                <w:sz w:val="12"/>
                <w:szCs w:val="12"/>
                <w:color w:val="auto"/>
              </w:rPr>
            </w:pPr>
          </w:p>
        </w:tc>
      </w:tr>
      <w:tr>
        <w:trPr>
          <w:trHeight w:val="122"/>
        </w:trPr>
        <w:tc>
          <w:tcPr>
            <w:tcW w:w="49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Aik Na Tan</w:t>
            </w:r>
          </w:p>
        </w:tc>
        <w:tc>
          <w:tcPr>
            <w:tcW w:w="2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140,230</w:t>
            </w:r>
          </w:p>
        </w:tc>
        <w:tc>
          <w:tcPr>
            <w:tcW w:w="200" w:type="dxa"/>
            <w:vAlign w:val="bottom"/>
          </w:tcPr>
          <w:p>
            <w:pPr>
              <w:spacing w:after="0"/>
              <w:rPr>
                <w:sz w:val="10"/>
                <w:szCs w:val="10"/>
                <w:color w:val="auto"/>
              </w:rPr>
            </w:pPr>
          </w:p>
        </w:tc>
      </w:tr>
      <w:tr>
        <w:trPr>
          <w:trHeight w:val="176"/>
        </w:trPr>
        <w:tc>
          <w:tcPr>
            <w:tcW w:w="496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Gregory L. Verdine, Ph.D.</w:t>
            </w:r>
            <w:r>
              <w:rPr>
                <w:rFonts w:ascii="Times New Roman" w:cs="Times New Roman" w:eastAsia="Times New Roman" w:hAnsi="Times New Roman"/>
                <w:sz w:val="18"/>
                <w:szCs w:val="18"/>
                <w:color w:val="auto"/>
                <w:vertAlign w:val="superscript"/>
              </w:rPr>
              <w:t>(1)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580,599</w:t>
            </w:r>
          </w:p>
        </w:tc>
        <w:tc>
          <w:tcPr>
            <w:tcW w:w="200" w:type="dxa"/>
            <w:vAlign w:val="bottom"/>
          </w:tcPr>
          <w:p>
            <w:pPr>
              <w:spacing w:after="0"/>
              <w:rPr>
                <w:sz w:val="15"/>
                <w:szCs w:val="15"/>
                <w:color w:val="auto"/>
              </w:rPr>
            </w:pPr>
          </w:p>
        </w:tc>
      </w:tr>
      <w:tr>
        <w:trPr>
          <w:trHeight w:val="174"/>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Heidi L. Wagner, J.D.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161,960</w:t>
            </w:r>
          </w:p>
        </w:tc>
        <w:tc>
          <w:tcPr>
            <w:tcW w:w="2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-204470</wp:posOffset>
            </wp:positionV>
            <wp:extent cx="4629150"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2915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8572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38" w:lineRule="exact"/>
        <w:rPr>
          <w:sz w:val="20"/>
          <w:szCs w:val="20"/>
          <w:color w:val="auto"/>
        </w:rPr>
      </w:pPr>
    </w:p>
    <w:p>
      <w:pPr>
        <w:ind w:left="520" w:right="380" w:hanging="512"/>
        <w:spacing w:after="0" w:line="266"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the Compensation Committee granted Dr. Verdine a non-qualified share option for 163,467 ordinary shares as form of payment under his consulting agreement for the service period of October 1, 2022 through December 31, 2024, the vesting of which is subject to Dr. Verdine’s continued service under the consulting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Non-Employee Director Compensation Policy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our 2024 AGM, our shareholders approved our 2024 Non-Employee Director Compensation Policy, under which our non-employee directors are compensated for their service as directors, including as members of the various committees of our Board on which they serve, for the Board service period that commenced on the date of our 2024 AGM and runs through the date of our 2024 AGM. The terms of the 2024 Non-Employee Director Compensation Policy are as follows:</w:t>
      </w:r>
    </w:p>
    <w:p>
      <w:pPr>
        <w:spacing w:after="0" w:line="180" w:lineRule="exact"/>
        <w:rPr>
          <w:sz w:val="20"/>
          <w:szCs w:val="20"/>
          <w:color w:val="auto"/>
        </w:rPr>
      </w:pPr>
    </w:p>
    <w:p>
      <w:pPr>
        <w:ind w:left="800" w:hanging="29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660" w:right="220" w:hanging="373"/>
        <w:spacing w:after="0" w:line="284" w:lineRule="auto"/>
        <w:tabs>
          <w:tab w:leader="none" w:pos="168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Board of Directors</w:t>
      </w:r>
      <w:r>
        <w:rPr>
          <w:rFonts w:ascii="Times New Roman" w:cs="Times New Roman" w:eastAsia="Times New Roman" w:hAnsi="Times New Roman"/>
          <w:sz w:val="18"/>
          <w:szCs w:val="18"/>
          <w:color w:val="auto"/>
        </w:rPr>
        <w:t>: Annual cash compensation of $40,000 to each non-employee director, other than the Chair of the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compensation of $75,000 to the non-employee Chair of the Board.</w:t>
      </w:r>
    </w:p>
    <w:p>
      <w:pPr>
        <w:spacing w:after="0" w:line="50" w:lineRule="exact"/>
        <w:rPr>
          <w:rFonts w:ascii="Times New Roman" w:cs="Times New Roman" w:eastAsia="Times New Roman" w:hAnsi="Times New Roman"/>
          <w:sz w:val="18"/>
          <w:szCs w:val="18"/>
          <w:color w:val="auto"/>
        </w:rPr>
      </w:pPr>
    </w:p>
    <w:p>
      <w:pPr>
        <w:ind w:left="1660" w:right="520" w:hanging="373"/>
        <w:spacing w:after="0" w:line="284" w:lineRule="auto"/>
        <w:tabs>
          <w:tab w:leader="none" w:pos="168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Audit Committee</w:t>
      </w:r>
      <w:r>
        <w:rPr>
          <w:rFonts w:ascii="Times New Roman" w:cs="Times New Roman" w:eastAsia="Times New Roman" w:hAnsi="Times New Roman"/>
          <w:sz w:val="18"/>
          <w:szCs w:val="18"/>
          <w:color w:val="auto"/>
        </w:rPr>
        <w:t>: Additional annual cash compensation of $20,000 to the Chair of the Audit Committee and $10,000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Audit Committee other than the Chair.</w:t>
      </w:r>
    </w:p>
    <w:p>
      <w:pPr>
        <w:spacing w:after="0" w:line="50" w:lineRule="exact"/>
        <w:rPr>
          <w:rFonts w:ascii="Times New Roman" w:cs="Times New Roman" w:eastAsia="Times New Roman" w:hAnsi="Times New Roman"/>
          <w:sz w:val="18"/>
          <w:szCs w:val="18"/>
          <w:color w:val="auto"/>
        </w:rPr>
      </w:pPr>
    </w:p>
    <w:p>
      <w:pPr>
        <w:ind w:left="1680" w:hanging="393"/>
        <w:spacing w:after="0"/>
        <w:tabs>
          <w:tab w:leader="none" w:pos="16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Compensation Committee</w:t>
      </w:r>
      <w:r>
        <w:rPr>
          <w:rFonts w:ascii="Times New Roman" w:cs="Times New Roman" w:eastAsia="Times New Roman" w:hAnsi="Times New Roman"/>
          <w:sz w:val="18"/>
          <w:szCs w:val="18"/>
          <w:color w:val="auto"/>
        </w:rPr>
        <w:t>: Additional annual cash compensation of $15,000 to the Chair of the Compensation Committee and</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$7,500 to each member of the Compensation Committee other than the Chair.</w:t>
      </w:r>
    </w:p>
    <w:p>
      <w:pPr>
        <w:spacing w:after="0" w:line="97" w:lineRule="exact"/>
        <w:rPr>
          <w:sz w:val="20"/>
          <w:szCs w:val="20"/>
          <w:color w:val="auto"/>
        </w:rPr>
      </w:pPr>
    </w:p>
    <w:p>
      <w:pPr>
        <w:ind w:left="1660" w:right="460" w:hanging="373"/>
        <w:spacing w:after="0" w:line="267" w:lineRule="auto"/>
        <w:tabs>
          <w:tab w:leader="none" w:pos="16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Nominating and Corporate Governance Committee</w:t>
      </w:r>
      <w:r>
        <w:rPr>
          <w:rFonts w:ascii="Times New Roman" w:cs="Times New Roman" w:eastAsia="Times New Roman" w:hAnsi="Times New Roman"/>
          <w:sz w:val="18"/>
          <w:szCs w:val="18"/>
          <w:color w:val="auto"/>
        </w:rPr>
        <w:t>: Additional annual cash compensation of $15,000 to the Chair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and Corporate Governance Committee and $7,500 to each member of the Nominating and Corporate Governance Committee other than the Chair.</w:t>
      </w:r>
    </w:p>
    <w:p>
      <w:pPr>
        <w:spacing w:after="0" w:line="65" w:lineRule="exact"/>
        <w:rPr>
          <w:rFonts w:ascii="Times New Roman" w:cs="Times New Roman" w:eastAsia="Times New Roman" w:hAnsi="Times New Roman"/>
          <w:sz w:val="18"/>
          <w:szCs w:val="18"/>
          <w:color w:val="auto"/>
        </w:rPr>
      </w:pPr>
    </w:p>
    <w:p>
      <w:pPr>
        <w:ind w:left="1660" w:right="720" w:hanging="373"/>
        <w:spacing w:after="0" w:line="284" w:lineRule="auto"/>
        <w:tabs>
          <w:tab w:leader="none" w:pos="16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Research and Development Committee</w:t>
      </w:r>
      <w:r>
        <w:rPr>
          <w:rFonts w:ascii="Times New Roman" w:cs="Times New Roman" w:eastAsia="Times New Roman" w:hAnsi="Times New Roman"/>
          <w:sz w:val="18"/>
          <w:szCs w:val="18"/>
          <w:color w:val="auto"/>
        </w:rPr>
        <w:t>: Additional annual cash compensation of $15,000 to the Chair of the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Committee and $7,500 to each member of the Research and Development Committee other than the Chair.</w:t>
      </w:r>
    </w:p>
    <w:p>
      <w:pPr>
        <w:spacing w:after="0" w:line="50" w:lineRule="exact"/>
        <w:rPr>
          <w:rFonts w:ascii="Times New Roman" w:cs="Times New Roman" w:eastAsia="Times New Roman" w:hAnsi="Times New Roman"/>
          <w:sz w:val="18"/>
          <w:szCs w:val="18"/>
          <w:color w:val="auto"/>
        </w:rPr>
      </w:pPr>
    </w:p>
    <w:p>
      <w:pPr>
        <w:ind w:left="1660" w:hanging="373"/>
        <w:spacing w:after="0" w:line="257" w:lineRule="auto"/>
        <w:tabs>
          <w:tab w:leader="none" w:pos="16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Proration</w:t>
      </w:r>
      <w:r>
        <w:rPr>
          <w:rFonts w:ascii="Times New Roman" w:cs="Times New Roman" w:eastAsia="Times New Roman" w:hAnsi="Times New Roman"/>
          <w:sz w:val="18"/>
          <w:szCs w:val="18"/>
          <w:color w:val="auto"/>
        </w:rPr>
        <w:t>: Additional pro rata cash compensation of the annual cash compensation amounts set forth above shall be made,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 any director who ceases to be a director, Chair of the Board or member or chair of any committee of the Board and (ii) any new non-employee director who is appointed by the Board, any independent director who is appointed to the position of Chair of the Board or chair of any such committee of the Board or any independent director who is appointed to serve on any such committee of the Board, for their services rendered as a director and/or committee member, for the portion of the year in which such director so served.</w:t>
      </w:r>
    </w:p>
    <w:p>
      <w:pPr>
        <w:spacing w:after="0" w:line="184"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680" w:hanging="393"/>
        <w:spacing w:after="0"/>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Initial Equity Grant</w:t>
      </w:r>
      <w:r>
        <w:rPr>
          <w:rFonts w:ascii="Times New Roman" w:cs="Times New Roman" w:eastAsia="Times New Roman" w:hAnsi="Times New Roman"/>
          <w:sz w:val="18"/>
          <w:szCs w:val="18"/>
          <w:color w:val="auto"/>
        </w:rPr>
        <w:t>: One-time equity grant upon initial appointment or election to the Board of (i) an option to</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27" w:name="page28"/>
    <w:bookmarkEnd w:id="27"/>
    <w:p>
      <w:pPr>
        <w:ind w:left="1660" w:right="20"/>
        <w:spacing w:after="0" w:line="255" w:lineRule="auto"/>
        <w:rPr>
          <w:sz w:val="20"/>
          <w:szCs w:val="20"/>
          <w:color w:val="auto"/>
        </w:rPr>
      </w:pPr>
      <w:r>
        <w:rPr>
          <w:rFonts w:ascii="Times New Roman" w:cs="Times New Roman" w:eastAsia="Times New Roman" w:hAnsi="Times New Roman"/>
          <w:sz w:val="18"/>
          <w:szCs w:val="18"/>
          <w:color w:val="auto"/>
        </w:rPr>
        <w:t>purchase 64,460 ordinary shares, which shall vest as to 12.5% of the shares on a quarterly basis during the two-year period following the grant date; and (ii) a restricted share unit of 32,230 ordinary shares, which shall vest as to 50% of the shares on the earlier of (x) the following year’s annual general meeting of shareholders or (y) the following year’s anniversary of the grant date, in each case during the two-year period following the grant date.</w:t>
      </w:r>
    </w:p>
    <w:p>
      <w:pPr>
        <w:spacing w:after="0" w:line="3" w:lineRule="exact"/>
        <w:rPr>
          <w:sz w:val="20"/>
          <w:szCs w:val="20"/>
          <w:color w:val="auto"/>
        </w:rPr>
      </w:pPr>
    </w:p>
    <w:p>
      <w:pPr>
        <w:ind w:left="1660" w:right="40" w:hanging="373"/>
        <w:spacing w:after="0" w:line="253" w:lineRule="auto"/>
        <w:tabs>
          <w:tab w:leader="none" w:pos="1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Refresh Equity Grant</w:t>
      </w:r>
      <w:r>
        <w:rPr>
          <w:rFonts w:ascii="Times New Roman" w:cs="Times New Roman" w:eastAsia="Times New Roman" w:hAnsi="Times New Roman"/>
          <w:sz w:val="18"/>
          <w:szCs w:val="18"/>
          <w:color w:val="auto"/>
        </w:rPr>
        <w:t>: Each non-employee director whose initial equity grant has an expiration date within twelve months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2024 AGM shall be granted (i) an option to purchase 64,460 ordinary shares, which shall vest as to 12.5% of the shares on a quarterly basis during the two-year period following the grant date; and (ii) a restricted share unit of 32,230 ordinary shares, which shall vest as to 50% of the shares on the earlier of (x) the following year’s annual general meeting of shareholders or (y) the following year’s anniversary of the grant date, in each case during the two-year period following the grant date.</w:t>
      </w:r>
    </w:p>
    <w:p>
      <w:pPr>
        <w:spacing w:after="0" w:line="76" w:lineRule="exact"/>
        <w:rPr>
          <w:rFonts w:ascii="Times New Roman" w:cs="Times New Roman" w:eastAsia="Times New Roman" w:hAnsi="Times New Roman"/>
          <w:sz w:val="18"/>
          <w:szCs w:val="18"/>
          <w:color w:val="auto"/>
        </w:rPr>
      </w:pPr>
    </w:p>
    <w:p>
      <w:pPr>
        <w:jc w:val="both"/>
        <w:ind w:left="1660" w:right="260" w:hanging="373"/>
        <w:spacing w:after="0" w:line="290" w:lineRule="auto"/>
        <w:tabs>
          <w:tab w:leader="none" w:pos="168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Annual Equity Grant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equity grant of (i) an option to purchase 32,230 ordinary shares, which shall vest as to 100%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on the earlier of the 2025 AGM or the first anniversary of the grant date; and (ii) a restricted share unit of 16,115 ordinary shares, which shall vest as to 100% of the shares on the earlier of the 2025 AGM or the first anniversary of the grant date.</w:t>
      </w:r>
    </w:p>
    <w:p>
      <w:pPr>
        <w:spacing w:after="0" w:line="47" w:lineRule="exact"/>
        <w:rPr>
          <w:rFonts w:ascii="Times New Roman" w:cs="Times New Roman" w:eastAsia="Times New Roman" w:hAnsi="Times New Roman"/>
          <w:sz w:val="17"/>
          <w:szCs w:val="17"/>
          <w:color w:val="auto"/>
        </w:rPr>
      </w:pPr>
    </w:p>
    <w:p>
      <w:pPr>
        <w:ind w:left="1660" w:right="180" w:hanging="373"/>
        <w:spacing w:after="0" w:line="284" w:lineRule="auto"/>
        <w:tabs>
          <w:tab w:leader="none" w:pos="1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Limitation on Equity Grants</w:t>
      </w:r>
      <w:r>
        <w:rPr>
          <w:rFonts w:ascii="Times New Roman" w:cs="Times New Roman" w:eastAsia="Times New Roman" w:hAnsi="Times New Roman"/>
          <w:sz w:val="18"/>
          <w:szCs w:val="18"/>
          <w:color w:val="auto"/>
        </w:rPr>
        <w:t>: A non-employee director shall be eligible to receive only one type of option grant at the 2024 AGM,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shall be an initial equity grant, a refresh equity grant, or an annual equity grant, in each case as described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ordinary shares as of March 31, 2025 for (i) the NEOs named in the Summary Compensation Table appearing elsewhere in this Amendment, (ii) each of our directors, (iii) all of our current directors and executive officers as a group, and (iv) each shareholder known by us to own beneficially more than 5% of our ordinary shares. Beneficial ownership is determined in accordance with the rules of the SEC and includes voting or investment power with respect to the securities. We deem ordinary shares that may be acquired by an individual or group within 60 days after March 31, 2025 pursuant to the exercise of options, the vesting of restricted share unit awards, the exercise of pre-funded warrants, or the conversion of our outstanding Series A preferred shares into ordinary shares to be outstanding for the purpose of computing the percentage ownership of such individual or group, but such shares are not deemed to be outstanding for the purpose of computing the percentage ownership of any other person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154,093,313 ordinary shares outstanding on March 31, 2025.</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vMerge w:val="restart"/>
          </w:tcPr>
          <w:p>
            <w:pPr>
              <w:spacing w:after="0"/>
              <w:rPr>
                <w:sz w:val="15"/>
                <w:szCs w:val="15"/>
                <w:color w:val="auto"/>
              </w:rPr>
            </w:pPr>
          </w:p>
        </w:tc>
        <w:tc>
          <w:tcPr>
            <w:tcW w:w="32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4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9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color w:val="auto"/>
              </w:rPr>
              <w:t>5% Beneficial Owners</w:t>
            </w: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RA Capital Management, L.P.</w:t>
            </w:r>
            <w:r>
              <w:rPr>
                <w:rFonts w:ascii="Times New Roman" w:cs="Times New Roman" w:eastAsia="Times New Roman" w:hAnsi="Times New Roman"/>
                <w:sz w:val="17"/>
                <w:szCs w:val="17"/>
                <w:color w:val="auto"/>
                <w:vertAlign w:val="superscript"/>
              </w:rPr>
              <w:t>(1)</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25,414,165</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149"/>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GSK plc</w:t>
            </w:r>
            <w:r>
              <w:rPr>
                <w:rFonts w:ascii="Times New Roman" w:cs="Times New Roman" w:eastAsia="Times New Roman" w:hAnsi="Times New Roman"/>
                <w:sz w:val="17"/>
                <w:szCs w:val="17"/>
                <w:color w:val="auto"/>
                <w:vertAlign w:val="superscript"/>
              </w:rPr>
              <w:t>(2)</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16,775,691</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Adage Capital Partners, L.P.</w:t>
            </w:r>
            <w:r>
              <w:rPr>
                <w:rFonts w:ascii="Times New Roman" w:cs="Times New Roman" w:eastAsia="Times New Roman" w:hAnsi="Times New Roman"/>
                <w:sz w:val="17"/>
                <w:szCs w:val="17"/>
                <w:color w:val="auto"/>
                <w:vertAlign w:val="superscript"/>
              </w:rPr>
              <w:t>(3)</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9,703,351</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49"/>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Shin Nippon Biomedical Laboratories, Ltd.</w:t>
            </w:r>
            <w:r>
              <w:rPr>
                <w:rFonts w:ascii="Times New Roman" w:cs="Times New Roman" w:eastAsia="Times New Roman" w:hAnsi="Times New Roman"/>
                <w:sz w:val="17"/>
                <w:szCs w:val="17"/>
                <w:color w:val="auto"/>
                <w:vertAlign w:val="superscript"/>
              </w:rPr>
              <w:t>(4)</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9,606,408</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BlackRock, Inc.</w:t>
            </w:r>
            <w:r>
              <w:rPr>
                <w:rFonts w:ascii="Times New Roman" w:cs="Times New Roman" w:eastAsia="Times New Roman" w:hAnsi="Times New Roman"/>
                <w:sz w:val="17"/>
                <w:szCs w:val="17"/>
                <w:color w:val="auto"/>
                <w:vertAlign w:val="superscript"/>
              </w:rPr>
              <w:t>(5)</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9,360,163</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53"/>
        </w:trPr>
        <w:tc>
          <w:tcPr>
            <w:tcW w:w="7980" w:type="dxa"/>
            <w:vAlign w:val="bottom"/>
            <w:gridSpan w:val="3"/>
          </w:tcPr>
          <w:p>
            <w:pPr>
              <w:spacing w:after="0" w:line="153" w:lineRule="exact"/>
              <w:rPr>
                <w:sz w:val="20"/>
                <w:szCs w:val="20"/>
                <w:color w:val="auto"/>
              </w:rPr>
            </w:pPr>
            <w:r>
              <w:rPr>
                <w:rFonts w:ascii="Times New Roman" w:cs="Times New Roman" w:eastAsia="Times New Roman" w:hAnsi="Times New Roman"/>
                <w:sz w:val="13"/>
                <w:szCs w:val="13"/>
                <w:color w:val="auto"/>
              </w:rPr>
              <w:t>Maverick Capital, Ltd.</w:t>
            </w:r>
            <w:r>
              <w:rPr>
                <w:rFonts w:ascii="Times New Roman" w:cs="Times New Roman" w:eastAsia="Times New Roman" w:hAnsi="Times New Roman"/>
                <w:sz w:val="17"/>
                <w:szCs w:val="17"/>
                <w:color w:val="auto"/>
                <w:vertAlign w:val="superscript"/>
              </w:rPr>
              <w:t>(6)</w:t>
            </w:r>
          </w:p>
        </w:tc>
        <w:tc>
          <w:tcPr>
            <w:tcW w:w="14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8,261,242</w:t>
            </w:r>
          </w:p>
        </w:tc>
        <w:tc>
          <w:tcPr>
            <w:tcW w:w="1820" w:type="dxa"/>
            <w:vAlign w:val="bottom"/>
            <w:gridSpan w:val="3"/>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44"/>
        </w:trPr>
        <w:tc>
          <w:tcPr>
            <w:tcW w:w="79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Directors and Named Executive Officers</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Paul B. Bolno, M.D., MBA</w:t>
            </w:r>
            <w:r>
              <w:rPr>
                <w:rFonts w:ascii="Times New Roman" w:cs="Times New Roman" w:eastAsia="Times New Roman" w:hAnsi="Times New Roman"/>
                <w:sz w:val="17"/>
                <w:szCs w:val="17"/>
                <w:color w:val="auto"/>
                <w:vertAlign w:val="superscript"/>
              </w:rPr>
              <w:t>(7)</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2,314,625</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Chandra Vargeese, Ph.D.</w:t>
            </w:r>
            <w:r>
              <w:rPr>
                <w:rFonts w:ascii="Times New Roman" w:cs="Times New Roman" w:eastAsia="Times New Roman" w:hAnsi="Times New Roman"/>
                <w:sz w:val="17"/>
                <w:szCs w:val="17"/>
                <w:color w:val="auto"/>
                <w:vertAlign w:val="superscript"/>
              </w:rPr>
              <w:t>(8)</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994,103</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Kyle Moran, CFA</w:t>
            </w:r>
            <w:r>
              <w:rPr>
                <w:rFonts w:ascii="Times New Roman" w:cs="Times New Roman" w:eastAsia="Times New Roman" w:hAnsi="Times New Roman"/>
                <w:sz w:val="17"/>
                <w:szCs w:val="17"/>
                <w:color w:val="auto"/>
                <w:vertAlign w:val="superscript"/>
              </w:rPr>
              <w:t>(9)</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619,320</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980" w:type="dxa"/>
            <w:vAlign w:val="bottom"/>
            <w:gridSpan w:val="3"/>
          </w:tcPr>
          <w:p>
            <w:pPr>
              <w:spacing w:after="0" w:line="169" w:lineRule="exact"/>
              <w:rPr>
                <w:sz w:val="20"/>
                <w:szCs w:val="20"/>
                <w:color w:val="auto"/>
              </w:rPr>
            </w:pPr>
            <w:r>
              <w:rPr>
                <w:rFonts w:ascii="Times New Roman" w:cs="Times New Roman" w:eastAsia="Times New Roman" w:hAnsi="Times New Roman"/>
                <w:sz w:val="14"/>
                <w:szCs w:val="14"/>
                <w:color w:val="auto"/>
              </w:rPr>
              <w:t>Christopher Francis, Ph.D.</w:t>
            </w:r>
            <w:r>
              <w:rPr>
                <w:rFonts w:ascii="Times New Roman" w:cs="Times New Roman" w:eastAsia="Times New Roman" w:hAnsi="Times New Roman"/>
                <w:sz w:val="19"/>
                <w:szCs w:val="19"/>
                <w:color w:val="auto"/>
                <w:vertAlign w:val="superscript"/>
              </w:rPr>
              <w:t>(10)</w:t>
            </w:r>
            <w:r>
              <w:rPr>
                <w:rFonts w:ascii="Times New Roman" w:cs="Times New Roman" w:eastAsia="Times New Roman" w:hAnsi="Times New Roman"/>
                <w:sz w:val="19"/>
                <w:szCs w:val="19"/>
                <w:color w:val="auto"/>
                <w:vertAlign w:val="subscript"/>
              </w:rPr>
              <w:t>(10)</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438,493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9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Mark H. N. Corrigan, M.D.</w:t>
            </w:r>
          </w:p>
        </w:tc>
        <w:tc>
          <w:tcPr>
            <w:tcW w:w="14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113,615</w:t>
            </w:r>
          </w:p>
        </w:tc>
        <w:tc>
          <w:tcPr>
            <w:tcW w:w="1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Christian Henry</w:t>
            </w:r>
            <w:r>
              <w:rPr>
                <w:rFonts w:ascii="Times New Roman" w:cs="Times New Roman" w:eastAsia="Times New Roman" w:hAnsi="Times New Roman"/>
                <w:sz w:val="17"/>
                <w:szCs w:val="17"/>
                <w:color w:val="auto"/>
                <w:vertAlign w:val="superscript"/>
              </w:rPr>
              <w:t>(10)</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108,000</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Peter Kolchinsky, Ph.D.</w:t>
            </w:r>
            <w:r>
              <w:rPr>
                <w:rFonts w:ascii="Times New Roman" w:cs="Times New Roman" w:eastAsia="Times New Roman" w:hAnsi="Times New Roman"/>
                <w:sz w:val="17"/>
                <w:szCs w:val="17"/>
                <w:color w:val="auto"/>
                <w:vertAlign w:val="superscript"/>
              </w:rPr>
              <w:t>(11)</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25,414,165</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149"/>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Adrian Rawcliffe</w:t>
            </w:r>
            <w:r>
              <w:rPr>
                <w:rFonts w:ascii="Times New Roman" w:cs="Times New Roman" w:eastAsia="Times New Roman" w:hAnsi="Times New Roman"/>
                <w:sz w:val="17"/>
                <w:szCs w:val="17"/>
                <w:color w:val="auto"/>
                <w:vertAlign w:val="superscript"/>
              </w:rPr>
              <w:t>(10)</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118,500</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Ken Takanashi</w:t>
            </w:r>
            <w:r>
              <w:rPr>
                <w:rFonts w:ascii="Times New Roman" w:cs="Times New Roman" w:eastAsia="Times New Roman" w:hAnsi="Times New Roman"/>
                <w:sz w:val="17"/>
                <w:szCs w:val="17"/>
                <w:color w:val="auto"/>
                <w:vertAlign w:val="superscript"/>
              </w:rPr>
              <w:t>(12)</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9,724,908</w:t>
            </w:r>
          </w:p>
        </w:tc>
        <w:tc>
          <w:tcPr>
            <w:tcW w:w="18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Gregory L. Verdine, Ph.D.</w:t>
            </w:r>
            <w:r>
              <w:rPr>
                <w:rFonts w:ascii="Times New Roman" w:cs="Times New Roman" w:eastAsia="Times New Roman" w:hAnsi="Times New Roman"/>
                <w:sz w:val="17"/>
                <w:szCs w:val="17"/>
                <w:color w:val="auto"/>
                <w:vertAlign w:val="superscript"/>
              </w:rPr>
              <w:t>(13)</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578,369</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Heidi Wagner</w:t>
            </w:r>
            <w:r>
              <w:rPr>
                <w:rFonts w:ascii="Times New Roman" w:cs="Times New Roman" w:eastAsia="Times New Roman" w:hAnsi="Times New Roman"/>
                <w:sz w:val="17"/>
                <w:szCs w:val="17"/>
                <w:color w:val="auto"/>
                <w:vertAlign w:val="superscript"/>
              </w:rPr>
              <w:t>(10)</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113,615</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gridSpan w:val="3"/>
          </w:tcPr>
          <w:p>
            <w:pPr>
              <w:spacing w:after="0" w:line="149" w:lineRule="exact"/>
              <w:rPr>
                <w:sz w:val="20"/>
                <w:szCs w:val="20"/>
                <w:color w:val="auto"/>
              </w:rPr>
            </w:pPr>
            <w:r>
              <w:rPr>
                <w:rFonts w:ascii="Times New Roman" w:cs="Times New Roman" w:eastAsia="Times New Roman" w:hAnsi="Times New Roman"/>
                <w:sz w:val="13"/>
                <w:szCs w:val="13"/>
                <w:color w:val="auto"/>
              </w:rPr>
              <w:t>Aik Na Tan</w:t>
            </w:r>
            <w:r>
              <w:rPr>
                <w:rFonts w:ascii="Times New Roman" w:cs="Times New Roman" w:eastAsia="Times New Roman" w:hAnsi="Times New Roman"/>
                <w:sz w:val="17"/>
                <w:szCs w:val="17"/>
                <w:color w:val="auto"/>
                <w:vertAlign w:val="superscript"/>
              </w:rPr>
              <w:t>(10)</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108,000</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80" w:type="dxa"/>
            <w:vAlign w:val="bottom"/>
            <w:gridSpan w:val="3"/>
          </w:tcPr>
          <w:p>
            <w:pPr>
              <w:spacing w:after="0" w:line="175" w:lineRule="exact"/>
              <w:rPr>
                <w:sz w:val="20"/>
                <w:szCs w:val="20"/>
                <w:color w:val="auto"/>
              </w:rPr>
            </w:pPr>
            <w:r>
              <w:rPr>
                <w:rFonts w:ascii="Times New Roman" w:cs="Times New Roman" w:eastAsia="Times New Roman" w:hAnsi="Times New Roman"/>
                <w:sz w:val="14"/>
                <w:szCs w:val="14"/>
                <w:color w:val="auto"/>
              </w:rPr>
              <w:t>All current directors and executive officers as a group (12 individuals)</w:t>
            </w:r>
            <w:r>
              <w:rPr>
                <w:rFonts w:ascii="Times New Roman" w:cs="Times New Roman" w:eastAsia="Times New Roman" w:hAnsi="Times New Roman"/>
                <w:sz w:val="19"/>
                <w:szCs w:val="19"/>
                <w:color w:val="auto"/>
                <w:vertAlign w:val="superscript"/>
              </w:rPr>
              <w:t>(14)</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40,645,713</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23.91%</w:t>
            </w:r>
          </w:p>
        </w:tc>
        <w:tc>
          <w:tcPr>
            <w:tcW w:w="0" w:type="dxa"/>
            <w:vAlign w:val="bottom"/>
          </w:tcPr>
          <w:p>
            <w:pPr>
              <w:spacing w:after="0"/>
              <w:rPr>
                <w:sz w:val="1"/>
                <w:szCs w:val="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6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-2073910</wp:posOffset>
            </wp:positionV>
            <wp:extent cx="71323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left="352" w:hanging="352"/>
        <w:spacing w:after="0"/>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ordinary shares outstanding on March 31, 2025.</w:t>
      </w:r>
    </w:p>
    <w:p>
      <w:pPr>
        <w:spacing w:after="0" w:line="27" w:lineRule="exact"/>
        <w:rPr>
          <w:sz w:val="20"/>
          <w:szCs w:val="20"/>
          <w:color w:val="auto"/>
        </w:rPr>
      </w:pPr>
    </w:p>
    <w:p>
      <w:pPr>
        <w:ind w:left="512"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RA Capital Management, L.P. (“RA Capital”) on Schedule 13D/A filed with the SEC on October 1, 2024. Consists of (i) 18,202,009 ordinary shares held by RA Capital Healthcare Fund, L.P. (the “Fund”), (ii) 118,500 ordinary shares underlying options exercisable within 60 days after March 31, 2025 held by Dr. Peter Kolchinsky, a member of our Board, and (iii) 7,093,656 ordinary shares that the Fund beneficially owns based on the right to acquire upon exercise of pre-funded warrants. RA Capital Healthcare Fund GP, LLC is the general partner of the Fund. The general partner of RA Capital is RA Capital Management GP, LLC, of which Dr. Kolchinsky and Mr. Rajeev Shah are the controlling persons. RA Capital serves as investment adviser for the Fund and may be deemed a beneficial owner of any securities of the Company held by the Fund. The Fund has delegated to RA Capital the sole power to vote and the sole power to dispose of all securities held in the Fund’s portfolio, including the ordinary shares held by the Fund. Because the Fund has divested itself of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securities reported herein. The address for RA Capital is 200 Berkeley Street, 18th Floor, Boston, MA 02116.</w:t>
      </w:r>
    </w:p>
    <w:p>
      <w:pPr>
        <w:spacing w:after="0" w:line="5" w:lineRule="exact"/>
        <w:rPr>
          <w:rFonts w:ascii="Times New Roman" w:cs="Times New Roman" w:eastAsia="Times New Roman" w:hAnsi="Times New Roman"/>
          <w:sz w:val="18"/>
          <w:szCs w:val="18"/>
          <w:color w:val="auto"/>
        </w:rPr>
      </w:pPr>
    </w:p>
    <w:p>
      <w:pPr>
        <w:ind w:left="512"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GSK plc on Form 4 filed with the SEC on October 1, 2024. Consists of ordinary shares held of record by Glaxo Group Limited, a wholly-owned subsidiary of GSK plc. The address of GSK plc is 980 Great West Road, Brentford, Middlesex TW8 9GS, England.</w:t>
      </w:r>
    </w:p>
    <w:p>
      <w:pPr>
        <w:ind w:left="512" w:right="24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Adage Capital Partners, L.P. on Schedule 13G/A filed with the SEC on November 12, 2024. Consists of ordinary shares held of record by Adage Capital Partners GP, L.L.C. The address of Adage Capital Partners, L.P. is 200 Clarendon Street, 52nd Floor, Boston, Massachusetts 02116.</w:t>
      </w:r>
    </w:p>
    <w:p>
      <w:pPr>
        <w:spacing w:after="0" w:line="1" w:lineRule="exact"/>
        <w:rPr>
          <w:rFonts w:ascii="Times New Roman" w:cs="Times New Roman" w:eastAsia="Times New Roman" w:hAnsi="Times New Roman"/>
          <w:sz w:val="18"/>
          <w:szCs w:val="18"/>
          <w:color w:val="auto"/>
        </w:rPr>
      </w:pPr>
    </w:p>
    <w:p>
      <w:pPr>
        <w:ind w:left="512" w:right="40" w:hanging="512"/>
        <w:spacing w:after="0" w:line="252"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Shin Nippon Biomedical Laboratories, Ltd. (“SNBL”) on Schedule 13D/A filed with the SEC on August 12, 2022. Consists of (i) 1,697,467 ordinary shares held by SNBL; (ii) 4,007,593 ordinary shares held by SNBL USA, Ltd. (“SNBL USA”); (iii) 1,801,348 ordinary shares underlying immediately convertible Series A preferred shares held by SNBL; and (iv) 2,100,000 ordinary shares underlying immediately convertible Series A preferred shares held by SNBL USA. The Series A preferred shares can be converted at any time on a one-for-one basis into ordinary shares at the discretion of the holder. Ken Takanashi, a member of our Board, is an executive officer of SNBL and an executive officer and director of SNBL USA. SNBL and Mr. Takanashi share voting and dispositive power with respect to such shares and may be deemed to beneficially own such shares. The address of SNBL is 2438 Miyanoura-cho, Kagoshima City, Kagoshima 891-1394, Japan; the address of SNBL USA is 2333 Seaway Boulevard, Everett, WA 98203; and the address of Mr. Takanashi is St. Luke’s Tower 28F, 8-1,Akashi-cho, Chuo-ku, Tokyo 104-0044, Japan.</w:t>
      </w:r>
    </w:p>
    <w:p>
      <w:pPr>
        <w:spacing w:after="0" w:line="1" w:lineRule="exact"/>
        <w:rPr>
          <w:rFonts w:ascii="Times New Roman" w:cs="Times New Roman" w:eastAsia="Times New Roman" w:hAnsi="Times New Roman"/>
          <w:sz w:val="18"/>
          <w:szCs w:val="18"/>
          <w:color w:val="auto"/>
        </w:rPr>
      </w:pPr>
    </w:p>
    <w:p>
      <w:pPr>
        <w:ind w:left="512" w:right="30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BlackRock, Inc. on Schedule 13G/A filed with the SEC on February 5, 2025. Consists of ordinary shares held of record by BlackRock, Inc. The address of BlackRock, Inc. is 50 Hudson Yards New York, NY 10001.</w:t>
      </w:r>
    </w:p>
    <w:p>
      <w:pPr>
        <w:ind w:left="512" w:right="2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Maverick Capital, Ltd., Maverick Capital Management, LLC and Lee S. Ainslee III on Schedule 13G/A filed with the SEC on February 14, 2025. Maverick Capital, Ltd. is an investment adviser registered under Section 203 of the Investment Advisers Act of 1940 and, as such, may be deemed to have beneficial ownership of the ordinary shares reported herein through the investment discretion it exercises over its clients’ accounts. Maverick Capital Management, LLC is the General Partner of Maverick Capital, Ltd. Mr. Ainslie is the manager of Maverick Capital Management, LLC. The principal business address of (i) Maverick Capital, Ltd. and Maverick Capital Management, LLC is 1900 N. Pearl Street, 20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Floor, Dallas, Texas, 75201, and (ii) Mr. Ainslie is 360 South Rosemary Ave., Suite 1440, West Palm Beach, Florida 33401.</w:t>
      </w:r>
    </w:p>
    <w:p>
      <w:pPr>
        <w:spacing w:after="0" w:line="2" w:lineRule="exact"/>
        <w:rPr>
          <w:rFonts w:ascii="Times New Roman" w:cs="Times New Roman" w:eastAsia="Times New Roman" w:hAnsi="Times New Roman"/>
          <w:sz w:val="18"/>
          <w:szCs w:val="18"/>
          <w:color w:val="auto"/>
        </w:rPr>
      </w:pPr>
    </w:p>
    <w:p>
      <w:pPr>
        <w:ind w:left="512" w:right="18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217,351 ordinary shares held by Dr. Bolno and (ii) 2,097,274 ordinary shares underlying options exercisable within 60 days of March 31, 2025 held by Dr. Bolno.</w:t>
      </w:r>
    </w:p>
    <w:p>
      <w:pPr>
        <w:ind w:left="512" w:right="8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302,310 ordinary shares held by Dr. Vargeese and (ii) 691,793 ordinary shares underlying options exercisable within 60 days of March 31, 2025 held by Dr. Vargeese.</w:t>
      </w:r>
    </w:p>
    <w:p>
      <w:pPr>
        <w:ind w:left="512" w:right="6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25,000 ordinary shares held by Mr. Moran and (ii) 594,320 ordinary shares underlying options exercisable within 60 days of March 31, 2025 held by Mr. Moran.</w:t>
      </w:r>
    </w:p>
    <w:p>
      <w:pPr>
        <w:ind w:left="352" w:hanging="352"/>
        <w:spacing w:after="0"/>
        <w:tabs>
          <w:tab w:leader="none" w:pos="3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ordinary shares underlying options exercisable within 60 days of March 31, 2025.</w:t>
      </w:r>
    </w:p>
    <w:p>
      <w:pPr>
        <w:spacing w:after="0" w:line="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above.</w:t>
      </w:r>
    </w:p>
    <w:p>
      <w:pPr>
        <w:spacing w:after="0" w:line="9" w:lineRule="exact"/>
        <w:rPr>
          <w:rFonts w:ascii="Times New Roman" w:cs="Times New Roman" w:eastAsia="Times New Roman" w:hAnsi="Times New Roman"/>
          <w:sz w:val="18"/>
          <w:szCs w:val="18"/>
          <w:color w:val="auto"/>
        </w:rPr>
      </w:pPr>
    </w:p>
    <w:p>
      <w:pPr>
        <w:ind w:left="512" w:right="72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(4) above. Also includes 118,500 ordinary shares underlying options exercisable within 60 days of March 31, 2025 held by Mr. Takanashi.</w:t>
      </w:r>
    </w:p>
    <w:p>
      <w:pPr>
        <w:ind w:left="512" w:right="180" w:hanging="512"/>
        <w:spacing w:after="0" w:line="250"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296,402 ordinary shares held by Dr. Verdine and (ii) 281,967 ordinary shares underlying options exercisable within 60 days of March 31, 2025 held by Dr. Verdine.</w:t>
      </w:r>
    </w:p>
    <w:p>
      <w:pPr>
        <w:ind w:left="512" w:right="20" w:hanging="512"/>
        <w:spacing w:after="0" w:line="253" w:lineRule="auto"/>
        <w:tabs>
          <w:tab w:leader="none" w:pos="3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4,902,577 ordinary shares underlying options exercisable within 60 days of March 31, 2025, held by our current directors and executive officers, (ii) 24,748,132 outstanding ordinary shares beneficially owned by our current directors and executive officers and entities affiliated with certain of our directors, (iii) 3,901,348 Series A preferred shares, which can be converted at any time on a one-for-one basis into ordinary shares at the discretion of the holder, held by entities affiliated with one of our directors, and (iv) exercisable pre-funded warrants to purchase 7,093,656 ordinary shares, held by an entity affiliated with one of our directors.</w:t>
      </w:r>
    </w:p>
    <w:p>
      <w:pPr>
        <w:spacing w:after="0" w:line="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12" w:right="339" w:bottom="1440" w:gutter="0" w:footer="0" w:header="0"/>
        </w:sectPr>
      </w:pPr>
    </w:p>
    <w:bookmarkStart w:id="29" w:name="page30"/>
    <w:bookmarkEnd w:id="29"/>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2021 Plan and 2014 Plan (together, the “Equity Compensation Plans”) in effect as of December 31, 2024.</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2700" w:type="dxa"/>
            <w:vAlign w:val="bottom"/>
          </w:tcPr>
          <w:p>
            <w:pPr>
              <w:jc w:val="center"/>
              <w:ind w:left="333"/>
              <w:spacing w:after="0"/>
              <w:rPr>
                <w:sz w:val="20"/>
                <w:szCs w:val="20"/>
                <w:color w:val="auto"/>
              </w:rPr>
            </w:pPr>
            <w:r>
              <w:rPr>
                <w:rFonts w:ascii="Arial" w:cs="Arial" w:eastAsia="Arial" w:hAnsi="Arial"/>
                <w:sz w:val="13"/>
                <w:szCs w:val="13"/>
                <w:b w:val="1"/>
                <w:bCs w:val="1"/>
                <w:color w:val="auto"/>
              </w:rPr>
              <w:t>Number of Securities to be Issued</w:t>
            </w: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rPr>
              <w:t>Weighted-Average Exercise Price</w:t>
            </w: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Arial" w:cs="Arial" w:eastAsia="Arial" w:hAnsi="Arial"/>
                <w:sz w:val="13"/>
                <w:szCs w:val="13"/>
                <w:b w:val="1"/>
                <w:bCs w:val="1"/>
                <w:color w:val="auto"/>
              </w:rPr>
              <w:t>Plan Category</w:t>
            </w:r>
          </w:p>
        </w:tc>
        <w:tc>
          <w:tcPr>
            <w:tcW w:w="2700" w:type="dxa"/>
            <w:vAlign w:val="bottom"/>
          </w:tcPr>
          <w:p>
            <w:pPr>
              <w:jc w:val="center"/>
              <w:ind w:left="353"/>
              <w:spacing w:after="0"/>
              <w:rPr>
                <w:sz w:val="20"/>
                <w:szCs w:val="20"/>
                <w:color w:val="auto"/>
              </w:rPr>
            </w:pPr>
            <w:r>
              <w:rPr>
                <w:rFonts w:ascii="Arial" w:cs="Arial" w:eastAsia="Arial" w:hAnsi="Arial"/>
                <w:sz w:val="13"/>
                <w:szCs w:val="13"/>
                <w:b w:val="1"/>
                <w:bCs w:val="1"/>
                <w:color w:val="auto"/>
              </w:rPr>
              <w:t>upon Exercise of Options,</w:t>
            </w:r>
          </w:p>
        </w:tc>
        <w:tc>
          <w:tcPr>
            <w:tcW w:w="2320" w:type="dxa"/>
            <w:vAlign w:val="bottom"/>
          </w:tcPr>
          <w:p>
            <w:pPr>
              <w:jc w:val="center"/>
              <w:ind w:left="13"/>
              <w:spacing w:after="0"/>
              <w:rPr>
                <w:sz w:val="20"/>
                <w:szCs w:val="20"/>
                <w:color w:val="auto"/>
              </w:rPr>
            </w:pPr>
            <w:r>
              <w:rPr>
                <w:rFonts w:ascii="Arial" w:cs="Arial" w:eastAsia="Arial" w:hAnsi="Arial"/>
                <w:sz w:val="13"/>
                <w:szCs w:val="13"/>
                <w:b w:val="1"/>
                <w:bCs w:val="1"/>
                <w:color w:val="auto"/>
              </w:rPr>
              <w:t>of Outstanding Options, Warrants</w:t>
            </w: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rPr>
              <w:t>Available for Future Issuance</w:t>
            </w:r>
          </w:p>
        </w:tc>
        <w:tc>
          <w:tcPr>
            <w:tcW w:w="0" w:type="dxa"/>
            <w:vAlign w:val="bottom"/>
          </w:tcPr>
          <w:p>
            <w:pPr>
              <w:spacing w:after="0"/>
              <w:rPr>
                <w:sz w:val="1"/>
                <w:szCs w:val="1"/>
                <w:color w:val="auto"/>
              </w:rPr>
            </w:pPr>
          </w:p>
        </w:tc>
      </w:tr>
      <w:tr>
        <w:trPr>
          <w:trHeight w:val="163"/>
        </w:trPr>
        <w:tc>
          <w:tcPr>
            <w:tcW w:w="3740" w:type="dxa"/>
            <w:vAlign w:val="bottom"/>
            <w:vMerge w:val="continue"/>
          </w:tcPr>
          <w:p>
            <w:pPr>
              <w:spacing w:after="0"/>
              <w:rPr>
                <w:sz w:val="14"/>
                <w:szCs w:val="14"/>
                <w:color w:val="auto"/>
              </w:rPr>
            </w:pPr>
          </w:p>
        </w:tc>
        <w:tc>
          <w:tcPr>
            <w:tcW w:w="2700" w:type="dxa"/>
            <w:vAlign w:val="bottom"/>
          </w:tcPr>
          <w:p>
            <w:pPr>
              <w:jc w:val="center"/>
              <w:ind w:left="393"/>
              <w:spacing w:after="0"/>
              <w:rPr>
                <w:sz w:val="20"/>
                <w:szCs w:val="20"/>
                <w:color w:val="auto"/>
              </w:rPr>
            </w:pPr>
            <w:r>
              <w:rPr>
                <w:rFonts w:ascii="Arial" w:cs="Arial" w:eastAsia="Arial" w:hAnsi="Arial"/>
                <w:sz w:val="13"/>
                <w:szCs w:val="13"/>
                <w:b w:val="1"/>
                <w:bCs w:val="1"/>
                <w:color w:val="auto"/>
              </w:rPr>
              <w:t>Warrants and Rights</w:t>
            </w:r>
          </w:p>
        </w:tc>
        <w:tc>
          <w:tcPr>
            <w:tcW w:w="2320" w:type="dxa"/>
            <w:vAlign w:val="bottom"/>
          </w:tcPr>
          <w:p>
            <w:pPr>
              <w:jc w:val="center"/>
              <w:ind w:left="33"/>
              <w:spacing w:after="0"/>
              <w:rPr>
                <w:sz w:val="20"/>
                <w:szCs w:val="20"/>
                <w:color w:val="auto"/>
              </w:rPr>
            </w:pPr>
            <w:r>
              <w:rPr>
                <w:rFonts w:ascii="Arial" w:cs="Arial" w:eastAsia="Arial" w:hAnsi="Arial"/>
                <w:sz w:val="13"/>
                <w:szCs w:val="13"/>
                <w:b w:val="1"/>
                <w:bCs w:val="1"/>
                <w:color w:val="auto"/>
              </w:rPr>
              <w:t>and Rights</w:t>
            </w:r>
          </w:p>
        </w:tc>
        <w:tc>
          <w:tcPr>
            <w:tcW w:w="2480" w:type="dxa"/>
            <w:vAlign w:val="bottom"/>
          </w:tcPr>
          <w:p>
            <w:pPr>
              <w:jc w:val="center"/>
              <w:spacing w:after="0"/>
              <w:rPr>
                <w:sz w:val="20"/>
                <w:szCs w:val="20"/>
                <w:color w:val="auto"/>
              </w:rPr>
            </w:pPr>
            <w:r>
              <w:rPr>
                <w:rFonts w:ascii="Arial" w:cs="Arial" w:eastAsia="Arial" w:hAnsi="Arial"/>
                <w:sz w:val="13"/>
                <w:szCs w:val="13"/>
                <w:b w:val="1"/>
                <w:bCs w:val="1"/>
                <w:u w:val="single" w:color="auto"/>
                <w:color w:val="auto"/>
              </w:rPr>
              <w:t>under Equity Compensation Plans</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Equity compensation plans approved by security holders</w:t>
            </w:r>
          </w:p>
        </w:tc>
        <w:tc>
          <w:tcPr>
            <w:tcW w:w="2700" w:type="dxa"/>
            <w:vAlign w:val="bottom"/>
          </w:tcPr>
          <w:p>
            <w:pPr>
              <w:jc w:val="right"/>
              <w:spacing w:after="0" w:line="162" w:lineRule="exact"/>
              <w:rPr>
                <w:sz w:val="20"/>
                <w:szCs w:val="20"/>
                <w:color w:val="auto"/>
              </w:rPr>
            </w:pPr>
            <w:r>
              <w:rPr>
                <w:rFonts w:ascii="Times New Roman" w:cs="Times New Roman" w:eastAsia="Times New Roman" w:hAnsi="Times New Roman"/>
                <w:sz w:val="13"/>
                <w:szCs w:val="13"/>
                <w:color w:val="auto"/>
              </w:rPr>
              <w:t>19,923,174</w:t>
            </w:r>
            <w:r>
              <w:rPr>
                <w:rFonts w:ascii="Arial" w:cs="Arial" w:eastAsia="Arial" w:hAnsi="Arial"/>
                <w:sz w:val="18"/>
                <w:szCs w:val="18"/>
                <w:color w:val="auto"/>
                <w:vertAlign w:val="superscript"/>
              </w:rPr>
              <w:t>(1)</w:t>
            </w:r>
          </w:p>
        </w:tc>
        <w:tc>
          <w:tcPr>
            <w:tcW w:w="2320" w:type="dxa"/>
            <w:vAlign w:val="bottom"/>
          </w:tcPr>
          <w:p>
            <w:pPr>
              <w:jc w:val="right"/>
              <w:spacing w:after="0" w:line="162" w:lineRule="exact"/>
              <w:rPr>
                <w:sz w:val="20"/>
                <w:szCs w:val="20"/>
                <w:color w:val="auto"/>
              </w:rPr>
            </w:pPr>
            <w:r>
              <w:rPr>
                <w:rFonts w:ascii="Times New Roman" w:cs="Times New Roman" w:eastAsia="Times New Roman" w:hAnsi="Times New Roman"/>
                <w:sz w:val="13"/>
                <w:szCs w:val="13"/>
                <w:color w:val="auto"/>
              </w:rPr>
              <w:t>5.78</w:t>
            </w:r>
            <w:r>
              <w:rPr>
                <w:rFonts w:ascii="Arial" w:cs="Arial" w:eastAsia="Arial" w:hAnsi="Arial"/>
                <w:sz w:val="18"/>
                <w:szCs w:val="18"/>
                <w:color w:val="auto"/>
                <w:vertAlign w:val="superscript"/>
              </w:rPr>
              <w:t>(2)</w:t>
            </w:r>
          </w:p>
        </w:tc>
        <w:tc>
          <w:tcPr>
            <w:tcW w:w="2480" w:type="dxa"/>
            <w:vAlign w:val="bottom"/>
          </w:tcPr>
          <w:p>
            <w:pPr>
              <w:jc w:val="right"/>
              <w:ind w:right="53"/>
              <w:spacing w:after="0" w:line="162" w:lineRule="exact"/>
              <w:rPr>
                <w:sz w:val="20"/>
                <w:szCs w:val="20"/>
                <w:color w:val="auto"/>
              </w:rPr>
            </w:pPr>
            <w:r>
              <w:rPr>
                <w:rFonts w:ascii="Times New Roman" w:cs="Times New Roman" w:eastAsia="Times New Roman" w:hAnsi="Times New Roman"/>
                <w:sz w:val="13"/>
                <w:szCs w:val="13"/>
                <w:color w:val="auto"/>
              </w:rPr>
              <w:t>9,366,138</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Equity compensation plans not approved by security holders</w:t>
            </w:r>
          </w:p>
        </w:tc>
        <w:tc>
          <w:tcPr>
            <w:tcW w:w="270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362,000</w:t>
            </w:r>
            <w:r>
              <w:rPr>
                <w:rFonts w:ascii="Arial" w:cs="Arial" w:eastAsia="Arial" w:hAnsi="Arial"/>
                <w:sz w:val="18"/>
                <w:szCs w:val="18"/>
                <w:color w:val="auto"/>
                <w:vertAlign w:val="superscript"/>
              </w:rPr>
              <w:t>(4)</w:t>
            </w:r>
          </w:p>
        </w:tc>
        <w:tc>
          <w:tcPr>
            <w:tcW w:w="2320" w:type="dxa"/>
            <w:vAlign w:val="bottom"/>
          </w:tcPr>
          <w:p>
            <w:pPr>
              <w:jc w:val="right"/>
              <w:spacing w:after="0" w:line="175" w:lineRule="exact"/>
              <w:rPr>
                <w:sz w:val="20"/>
                <w:szCs w:val="20"/>
                <w:color w:val="auto"/>
              </w:rPr>
            </w:pPr>
            <w:r>
              <w:rPr>
                <w:rFonts w:ascii="Times New Roman" w:cs="Times New Roman" w:eastAsia="Times New Roman" w:hAnsi="Times New Roman"/>
                <w:sz w:val="13"/>
                <w:szCs w:val="13"/>
                <w:color w:val="auto"/>
              </w:rPr>
              <w:t>5.85</w:t>
            </w:r>
            <w:r>
              <w:rPr>
                <w:rFonts w:ascii="Arial" w:cs="Arial" w:eastAsia="Arial" w:hAnsi="Arial"/>
                <w:sz w:val="18"/>
                <w:szCs w:val="18"/>
                <w:color w:val="auto"/>
                <w:vertAlign w:val="superscript"/>
              </w:rPr>
              <w:t>(5)</w:t>
            </w:r>
          </w:p>
        </w:tc>
        <w:tc>
          <w:tcPr>
            <w:tcW w:w="24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20,285,174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4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9,366,138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4" w:lineRule="exact"/>
        <w:rPr>
          <w:sz w:val="20"/>
          <w:szCs w:val="20"/>
          <w:color w:val="auto"/>
        </w:rPr>
      </w:pPr>
    </w:p>
    <w:p>
      <w:pPr>
        <w:ind w:left="520" w:right="200" w:hanging="512"/>
        <w:spacing w:after="0" w:line="257"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options to purchase 19,091,131 of our ordinary shares outstanding under the Equity Compensation Plans, (ii) 291,264 of our ordinary shares subject to performance-based RSUs outstanding under the Equity Compensation Plans, and (iii) 540,779 of our ordinary shares subject to time-based RSUs outstanding under the Equity Compensation Plans, in each case as of December 31, 2024.</w:t>
      </w:r>
    </w:p>
    <w:p>
      <w:pPr>
        <w:spacing w:after="0" w:line="1" w:lineRule="exact"/>
        <w:rPr>
          <w:rFonts w:ascii="Times New Roman" w:cs="Times New Roman" w:eastAsia="Times New Roman" w:hAnsi="Times New Roman"/>
          <w:sz w:val="18"/>
          <w:szCs w:val="18"/>
          <w:color w:val="auto"/>
        </w:rPr>
      </w:pPr>
    </w:p>
    <w:p>
      <w:pPr>
        <w:ind w:left="520" w:right="60" w:hanging="512"/>
        <w:spacing w:after="0" w:line="250"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weighted average exercise price of the options to purchase 19,091,131 of our ordinary shares outstanding under the Equity Compensation Plans, as of December 31, 2024.</w:t>
      </w:r>
    </w:p>
    <w:p>
      <w:pPr>
        <w:ind w:left="520" w:right="320" w:hanging="512"/>
        <w:spacing w:after="0" w:line="265" w:lineRule="auto"/>
        <w:tabs>
          <w:tab w:leader="none" w:pos="3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7,052,136 of our ordinary shares available for future grants under the Equity Compensation Plans, as well as 2,314,002 of our ordinary shares that remain available for sale under the 2019 Employee Share Purchase Plan, as amended, in each case as of December 31, 2024.</w:t>
      </w:r>
    </w:p>
    <w:p>
      <w:pPr>
        <w:ind w:left="520" w:right="140" w:hanging="512"/>
        <w:spacing w:after="0" w:line="250"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362,000 of our ordinary shares granted outside of the Equity Compensation Plans in accordance with Nasdaq Listing Rule 5635(c)(4), outstanding as of December 31, 2024. The options have an exercise price of $5.85 per share, the closing price of our ordinary shares on the grant date, and vests over four years with 25% vesting on May 8, 2025 and the remainder vesting in equal quarterly installments over the following three years.</w:t>
      </w:r>
    </w:p>
    <w:p>
      <w:pPr>
        <w:spacing w:after="0" w:line="1" w:lineRule="exact"/>
        <w:rPr>
          <w:rFonts w:ascii="Times New Roman" w:cs="Times New Roman" w:eastAsia="Times New Roman" w:hAnsi="Times New Roman"/>
          <w:sz w:val="18"/>
          <w:szCs w:val="18"/>
          <w:color w:val="auto"/>
        </w:rPr>
      </w:pPr>
    </w:p>
    <w:p>
      <w:pPr>
        <w:ind w:left="520" w:right="380" w:hanging="512"/>
        <w:spacing w:after="0" w:line="260"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weighted average exercise price of the options to purchase 362,000 of our ordinary shares granted in accordance with Nasdaq Listing Rule 5635(c)(4), outstanding as of December 31,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to which we have been a party, in which the amount involved in the transaction exceeded $120,000, and in which any of our directors, executive officers or beneficial owners of more than 5% of our ordinary shares, or any member of the immediate family of any of the foregoing persons had or will have a direct or indirect material interest, other than equity and other compensation, termination, change in control and other arrangements, which are described under, “Executive Officer and Director Compensation.” We refer to such transactions as “related party transactions” or “related person transactions” and such persons as “related parties” or “related persons.” With the approval of our Board, we have engaged in the related party transactions described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with Officers and Directors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entered into deeds of indemnity with our directors and our executive officers.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Constitution, agreement, vote of shareholders or disinterested directors or otherwise if he or she is subsequently found to have been negligent or otherwise have breached their trust or fiduciary duties or to be in default thereof, or where the Singapore courts have declined to grant relief.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 with Gregory L. Verdine, Ph.D.</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Gregory L. Verdine, Ph.D., a member of our Board, entered into a consulting agreement with Wave Life Sciences USA, Inc. (“Wave USA”), our wholly owned subsidiary, dated as of April 1, 2012, pursuant to which Dr. Verdine serves as a scientific advisor. The consulting agreement does not have a specified term and may be terminated by either party upon 14 days’ prior written notice. Wave USA paid Dr. Verdine $12,500 per month pursuant to the consulting agreement and, in January 2022 through September 2022, Dr. Verdine was paid $112,500 under this agreement. In October 2022, the Compensation Committee approved a grant to Dr. Verdine of a non-qualified share option for 163,467 ordinary shares in lieu of cash payment under this consulting agreement for the service period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right="140"/>
        <w:spacing w:after="0" w:line="282" w:lineRule="auto"/>
        <w:rPr>
          <w:sz w:val="20"/>
          <w:szCs w:val="20"/>
          <w:color w:val="auto"/>
        </w:rPr>
      </w:pPr>
      <w:r>
        <w:rPr>
          <w:rFonts w:ascii="Times New Roman" w:cs="Times New Roman" w:eastAsia="Times New Roman" w:hAnsi="Times New Roman"/>
          <w:sz w:val="18"/>
          <w:szCs w:val="18"/>
          <w:color w:val="auto"/>
        </w:rPr>
        <w:t>of October 1, 2022 through December 31, 2024 and vests in equal monthly installments over that period, subject to Dr. Verdine’s continued service under the consulting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GSK and its Affiliate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13, 2022, Wave Life Sciences USA, Inc. and Wave Life Sciences UK Limited, two of our direct, wholly-owned subsidiaries entered into a Collaboration and License Agreement (the “GSK Collaboration Agreement”) with GlaxoSmithKline Intellectual Property (No. 3) (“GSK”), which became effective on January 27, 2023. Pursuant to the GSK Collaboration Agreement, we and GSK have agreed to collaborate on the research, development, and commercialization of oligonucleotide therapeutics, including a global exclusive license to WVE-006. The discovery collaboration has an initial four-year research term and combines our proprietary discovery and drug development platform, PRISM</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with GSK’s unique insights from human genetics and its global development and commercial capabilities.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GSK Collaboration Agreement, we received an upfront payment of $170.0 million, which included a cash payment of $120.0 million and a $50.0 million equity investment. With respect to the $50.0 million equity investment, on December 13, 2022, we entered into a Share Purchase Agreement (the “GSK Share Purchase Agreement”) with Glaxo Group Limited (“GGL”), an affiliate of GSK, pursuant to which we sold 10,683,761 of our ordinary shares to GGL (the “GSK Shares”) at a purchase price of $4.68 per share. In connection with the GSK Share Purchase Agreement, GGL and we agreed upon certain rights and restrictions as set forth in the Investor Agreement, dated as of January 26, 2023 (the “GSK Investor Agreement”). Under the GSK Investor Agreement, during the 30-month period after the date of the GSK Investor Agreement, GGL and its affiliates will be bound by certain “standstill” provisions. The GSK Shares are subject to a lock-up restriction, such that GGL will not, and will also cause its affiliates not to, without our prior approval, sell, transfer or otherwise dispose of the GSK Shares during the 30-month period after the effective date of the GSK Investor Agreement. For a certain period following the expiration of the lock-up period, subject to certain conditions and limitations, we agreed to provide certain demand registration rights to GGL in order to register all or a portion of the GSK Shares purchased by GGL. We also provided GGL with certain “piggyback” registration rights for a certain period following the expiration of the lock-up period, subject to certain conditions and limitations, such that when we propose to register our ordinary shares for our account, GGL will have the right to include some or all of the GSK Shares in such registration. The GSK Investor Agreement also contains other customary terms and conditions of the parties with respect to the registration of GSK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Our Underwritten Offerings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27, 2024, we closed an underwritten public offering (the “September 2024 Offering”) in which we issued and sold (i) 23,125,001 ordinary shares at a public offering price of $8.00, and (ii) to certain investors in lieu of additional ordinary shares, pre-funded warrants to purchase up to 1,875,023 ordinary shares at a public offering price of $7.9999. As a part of the September 2024 Offering, GSK plc, a 5% or greater holder of our ordinary shares, purchased 2,791,930 ordinary shares at the public offering price of $8.00 per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Research Services Provided by SNBL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2023, we engaged SNBL to provide approximately $2.8 million in certain non-human primates (NHPs) contract research services to us. During the year ended December 31, 2024, we paid SNBL $0.9 million for a portion of these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that requires future transactions between us and any director, executive officer, holder of 5% or more of any class of our ordinary shares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or if Audit Committee approval would be inappropriate, by another independent body of our Board. In approving or rejecting such proposed related person transaction, the committee is to consider all available information deemed relevant by the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 The committee approves only those transactions that, in light of known circumstances, are deemed to be in our best interests. In the event that any member of the committee is not a disinterested person with respect to the related person transaction under review, that member is excluded from the</w:t>
      </w:r>
    </w:p>
    <w:p>
      <w:pPr>
        <w:spacing w:after="0" w:line="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review and approval or rejection of such related person transaction; provided, however, that such committee member may be counted in determining the presence of a quorum at the meeting of the committee at which such transaction is considered. If we become aware of an existing related person transaction which has not been approved under the policy, the matter will be referred to the committee. The committee evaluates all options available, including ratification, revision or termination of such transaction. In the event that management determines that it is impractical or undesirable to wait until a meeting of the committee to consummate a related person</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1" w:name="page32"/>
    <w:bookmarkEnd w:id="31"/>
    <w:p>
      <w:pPr>
        <w:ind w:right="100"/>
        <w:spacing w:after="0" w:line="282" w:lineRule="auto"/>
        <w:rPr>
          <w:sz w:val="20"/>
          <w:szCs w:val="20"/>
          <w:color w:val="auto"/>
        </w:rPr>
      </w:pPr>
      <w:r>
        <w:rPr>
          <w:rFonts w:ascii="Times New Roman" w:cs="Times New Roman" w:eastAsia="Times New Roman" w:hAnsi="Times New Roman"/>
          <w:sz w:val="18"/>
          <w:szCs w:val="18"/>
          <w:color w:val="auto"/>
        </w:rPr>
        <w:t>transaction, the chair of the committee may approve such transaction in accordance with the related person transaction approval policy. Any such approval must be reported to the committee at the next regularly scheduled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believes that independence is one important component of a high-functioning board capable of objective decision-making that represents the long-term interests of our shareholders and our Company. Since our initial public offering in 2015, our Board has enhanced its independence by replacing two previous directors — a founder and a representative of an investor — with five directors who are independent and not affiliated with any of our principal shareholders. We further enhanced our Board’s independent leadership by appointing Christian Henry as our independent Chair. Our Board is committed to ensuring that its members reflect an appropriate level of independence in conjunction with the combination of qualifications, qualities and skills required to exercise its duties and responsibilities and serve the best interests of our Company and our shareholders. In accordance with our Corporate Governance Guidelines and Nasdaq rules, we hold executive sessions of our independent directors in conjunction with our regularly scheduled board meetings and otherwise as appropriate. In addition, our Compensation Committee meets in executive session with no members of management present, as necessary or appropriate, to address various compensation matters, including deliberations regarding our Chief Executive Officer’s performance and compensation.</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has reviewed the materiality of any relationship that each of our directors has with our Company, either directly or indirectly. Based upon this review, our Board has determined that the following members of the Board are “independent directors” as defined by The Nasdaq Stock Market: Mses. Tan and Wagner, Drs. Kolchinsky and Corrigan, and Messrs. Henry, Rawcliffe and Takanashi.</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believes that our directors should limit the number of other public company boards on which they serve so that they are able to devote adequate time to their duties to Wave, including preparing for and attending our board meetings. Our Corporate Governance Guidelines indicate that our directors should advise the Chair of the Board and the Chair of the Nominating and Corporate Governance Committee before accepting an invitation to serve on other publicly-traded company boards, and that any such service shall comply with our conflict of interest policies. Our Nominating and Corporate Governance Committee has reviewed our directors’ current commitments and determined that such commitments are consistent with our guidelines. Our Corporate Governance Guidelines are publicly available on our website at http://ir.wavelifesciences.com/ under the heading “Corporate Governance.”</w:t>
      </w:r>
    </w:p>
    <w:p>
      <w:pPr>
        <w:spacing w:after="0" w:line="31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Boston, MA, Auditor Firm ID: 185.</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KPMG LLP for the services described in the table. Fees disclosed below include fees actually billed or expected to be billed for services pertaining to the applicable fiscal year.</w:t>
      </w:r>
    </w:p>
    <w:p>
      <w:pPr>
        <w:spacing w:after="0" w:line="33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3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Audit fees</w:t>
            </w:r>
            <w:r>
              <w:rPr>
                <w:rFonts w:ascii="Times New Roman" w:cs="Times New Roman" w:eastAsia="Times New Roman" w:hAnsi="Times New Roman"/>
                <w:sz w:val="18"/>
                <w:szCs w:val="18"/>
                <w:color w:val="auto"/>
                <w:vertAlign w:val="superscript"/>
              </w:rPr>
              <w:t>(1)</w:t>
            </w:r>
          </w:p>
        </w:tc>
        <w:tc>
          <w:tcPr>
            <w:tcW w:w="2900" w:type="dxa"/>
            <w:vAlign w:val="bottom"/>
            <w:gridSpan w:val="2"/>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tcPr>
          <w:p>
            <w:pPr>
              <w:jc w:val="right"/>
              <w:ind w:right="10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3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580" w:type="dxa"/>
            <w:vAlign w:val="bottom"/>
            <w:tcBorders>
              <w:top w:val="single" w:sz="8" w:color="auto"/>
            </w:tcBorders>
          </w:tcPr>
          <w:p>
            <w:pPr>
              <w:jc w:val="right"/>
              <w:ind w:right="146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1,739,629</w:t>
            </w:r>
          </w:p>
        </w:tc>
        <w:tc>
          <w:tcPr>
            <w:tcW w:w="400" w:type="dxa"/>
            <w:vAlign w:val="bottom"/>
          </w:tcPr>
          <w:p>
            <w:pPr>
              <w:spacing w:after="0"/>
              <w:rPr>
                <w:sz w:val="10"/>
                <w:szCs w:val="10"/>
                <w:color w:val="auto"/>
              </w:rPr>
            </w:pPr>
          </w:p>
        </w:tc>
        <w:tc>
          <w:tcPr>
            <w:tcW w:w="560" w:type="dxa"/>
            <w:vAlign w:val="bottom"/>
            <w:tcBorders>
              <w:top w:val="single" w:sz="8" w:color="auto"/>
            </w:tcBorders>
          </w:tcPr>
          <w:p>
            <w:pPr>
              <w:jc w:val="right"/>
              <w:ind w:right="44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1,338,799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Audit-related fees</w:t>
            </w:r>
            <w:r>
              <w:rPr>
                <w:rFonts w:ascii="Times New Roman" w:cs="Times New Roman" w:eastAsia="Times New Roman" w:hAnsi="Times New Roman"/>
                <w:sz w:val="17"/>
                <w:szCs w:val="17"/>
                <w:color w:val="auto"/>
                <w:vertAlign w:val="superscript"/>
              </w:rPr>
              <w:t>(2)</w:t>
            </w:r>
          </w:p>
        </w:tc>
        <w:tc>
          <w:tcPr>
            <w:tcW w:w="1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Tax fees</w:t>
            </w:r>
            <w:r>
              <w:rPr>
                <w:rFonts w:ascii="Times New Roman" w:cs="Times New Roman" w:eastAsia="Times New Roman" w:hAnsi="Times New Roman"/>
                <w:sz w:val="17"/>
                <w:szCs w:val="17"/>
                <w:color w:val="auto"/>
                <w:vertAlign w:val="superscript"/>
              </w:rPr>
              <w:t>(2)</w:t>
            </w:r>
          </w:p>
        </w:tc>
        <w:tc>
          <w:tcPr>
            <w:tcW w:w="1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All other fees</w:t>
            </w:r>
            <w:r>
              <w:rPr>
                <w:rFonts w:ascii="Times New Roman" w:cs="Times New Roman" w:eastAsia="Times New Roman" w:hAnsi="Times New Roman"/>
                <w:sz w:val="18"/>
                <w:szCs w:val="18"/>
                <w:color w:val="auto"/>
                <w:vertAlign w:val="superscript"/>
              </w:rPr>
              <w:t>(2)</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-415925</wp:posOffset>
            </wp:positionV>
            <wp:extent cx="5700395"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946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-227330</wp:posOffset>
            </wp:positionV>
            <wp:extent cx="5700395"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93980"/>
                    </a:xfrm>
                    <a:prstGeom prst="rect">
                      <a:avLst/>
                    </a:prstGeom>
                    <a:noFill/>
                  </pic:spPr>
                </pic:pic>
              </a:graphicData>
            </a:graphic>
          </wp:anchor>
        </w:drawing>
      </w:r>
    </w:p>
    <w:p>
      <w:pPr>
        <w:spacing w:after="0" w:line="8" w:lineRule="exact"/>
        <w:rPr>
          <w:sz w:val="20"/>
          <w:szCs w:val="20"/>
          <w:color w:val="auto"/>
        </w:rPr>
      </w:pPr>
    </w:p>
    <w:p>
      <w:pPr>
        <w:ind w:left="520" w:right="40" w:hanging="512"/>
        <w:spacing w:after="0" w:line="254" w:lineRule="auto"/>
        <w:tabs>
          <w:tab w:leader="none" w:pos="3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professional services rendered for the audit of our financial statements, the audit of our internal control over financial reporting, and the review of the interim financial statements included in our quarterly reports on Form 10-Q, as well as work generally only the independent registered public accounting firm and independent Singapore and United Kingdom auditor can reasonably be expected to provide, such as statutory audits and the provision of consents in connection with the filing of registration statements and related amendments, as well as other filings.</w:t>
      </w:r>
    </w:p>
    <w:p>
      <w:pPr>
        <w:spacing w:after="0" w:line="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audit-related, tax or other fees in 2024 or 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Public Accounting Firm</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 policy under which the Audit Committee must pre-approve all audit and permissible non-audit services to be provided by the independent registered public accounting firm and independent Singapore auditor. As part of its review, the Audit Committee also considers whether the categories of pre-approved services are consistent with the rules on accountant independence of the SEC and the Public Company Accounting Oversight Board. The Audit Committee pre-approved all services performed since the pre-approval policy was adopted.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p>
      <w:pPr>
        <w:ind w:right="320"/>
        <w:spacing w:after="0" w:line="282" w:lineRule="auto"/>
        <w:rPr>
          <w:sz w:val="20"/>
          <w:szCs w:val="20"/>
          <w:color w:val="auto"/>
        </w:rPr>
      </w:pPr>
      <w:r>
        <w:rPr>
          <w:rFonts w:ascii="Times New Roman" w:cs="Times New Roman" w:eastAsia="Times New Roman" w:hAnsi="Times New Roman"/>
          <w:sz w:val="18"/>
          <w:szCs w:val="18"/>
          <w:color w:val="auto"/>
        </w:rPr>
        <w:t>Prior to engagement of an independent registered public accounting firm and independent Singapore auditor for the next year’s audit, management will submit an aggregate of services expected to be rendered during that year for each of four categories of services to the Audit Committee for approval.</w:t>
      </w:r>
    </w:p>
    <w:p>
      <w:pPr>
        <w:spacing w:after="0" w:line="36" w:lineRule="exact"/>
        <w:rPr>
          <w:sz w:val="20"/>
          <w:szCs w:val="20"/>
          <w:color w:val="auto"/>
        </w:rPr>
      </w:pPr>
    </w:p>
    <w:p>
      <w:pPr>
        <w:ind w:right="20" w:firstLine="517"/>
        <w:spacing w:after="0" w:line="262" w:lineRule="auto"/>
        <w:tabs>
          <w:tab w:leader="none" w:pos="6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 </w:t>
      </w:r>
      <w:r>
        <w:rPr>
          <w:rFonts w:ascii="Times New Roman" w:cs="Times New Roman" w:eastAsia="Times New Roman" w:hAnsi="Times New Roman"/>
          <w:sz w:val="18"/>
          <w:szCs w:val="18"/>
          <w:color w:val="auto"/>
        </w:rPr>
        <w:t>services include audit work rendered for the audit of our financial statements, the audit of our internal control over financial reporting,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review of the interim financial statements included in our quarterly reports on Form 10-Q, as well as work that generally only an independent registered public accounting firm and independent Singapore and United Kingdom auditor can reasonably be expected to provide, including comfort letters, statutory audits, and attest services and consultation regarding financial accounting and/or reporting standards.</w:t>
      </w:r>
    </w:p>
    <w:p>
      <w:pPr>
        <w:spacing w:after="0" w:line="68" w:lineRule="exact"/>
        <w:rPr>
          <w:rFonts w:ascii="Times New Roman" w:cs="Times New Roman" w:eastAsia="Times New Roman" w:hAnsi="Times New Roman"/>
          <w:sz w:val="18"/>
          <w:szCs w:val="18"/>
          <w:color w:val="auto"/>
        </w:rPr>
      </w:pPr>
    </w:p>
    <w:p>
      <w:pPr>
        <w:ind w:right="100" w:firstLine="517"/>
        <w:spacing w:after="0" w:line="268" w:lineRule="auto"/>
        <w:tabs>
          <w:tab w:leader="none" w:pos="6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Audit-related </w:t>
      </w:r>
      <w:r>
        <w:rPr>
          <w:rFonts w:ascii="Times New Roman" w:cs="Times New Roman" w:eastAsia="Times New Roman" w:hAnsi="Times New Roman"/>
          <w:sz w:val="18"/>
          <w:szCs w:val="18"/>
          <w:color w:val="auto"/>
        </w:rPr>
        <w:t>services are for assurance and related services that are traditionally performed by an independent registered public accounting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independent Singapore auditor, including due diligence related to mergers and acquisitions, employee benefit plan audits, and special procedures required to meet certain regulatory requirements.</w:t>
      </w:r>
    </w:p>
    <w:p>
      <w:pPr>
        <w:spacing w:after="0" w:line="62" w:lineRule="exact"/>
        <w:rPr>
          <w:rFonts w:ascii="Times New Roman" w:cs="Times New Roman" w:eastAsia="Times New Roman" w:hAnsi="Times New Roman"/>
          <w:sz w:val="18"/>
          <w:szCs w:val="18"/>
          <w:color w:val="auto"/>
        </w:rPr>
      </w:pPr>
    </w:p>
    <w:p>
      <w:pPr>
        <w:ind w:right="20" w:firstLine="517"/>
        <w:spacing w:after="0" w:line="286" w:lineRule="auto"/>
        <w:tabs>
          <w:tab w:leader="none" w:pos="6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w:t>
      </w:r>
      <w:r>
        <w:rPr>
          <w:rFonts w:ascii="Times New Roman" w:cs="Times New Roman" w:eastAsia="Times New Roman" w:hAnsi="Times New Roman"/>
          <w:sz w:val="18"/>
          <w:szCs w:val="18"/>
          <w:color w:val="auto"/>
        </w:rPr>
        <w:t>services include all services performed by an independent registered public accounting firm’s tax personnel except those services specifically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audit of the financial statements, and include fees in the areas of tax compliance, tax planning, and tax advice.</w:t>
      </w:r>
    </w:p>
    <w:p>
      <w:pPr>
        <w:spacing w:after="0" w:line="46" w:lineRule="exact"/>
        <w:rPr>
          <w:rFonts w:ascii="Times New Roman" w:cs="Times New Roman" w:eastAsia="Times New Roman" w:hAnsi="Times New Roman"/>
          <w:sz w:val="18"/>
          <w:szCs w:val="18"/>
          <w:color w:val="auto"/>
        </w:rPr>
      </w:pPr>
    </w:p>
    <w:p>
      <w:pPr>
        <w:ind w:firstLine="517"/>
        <w:spacing w:after="0" w:line="286" w:lineRule="auto"/>
        <w:tabs>
          <w:tab w:leader="none" w:pos="6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fees </w:t>
      </w:r>
      <w:r>
        <w:rPr>
          <w:rFonts w:ascii="Times New Roman" w:cs="Times New Roman" w:eastAsia="Times New Roman" w:hAnsi="Times New Roman"/>
          <w:sz w:val="18"/>
          <w:szCs w:val="18"/>
          <w:color w:val="auto"/>
        </w:rPr>
        <w:t>are those associated with services not captured in the other categories. We generally do not request such services from our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and independent Singapore auditor.</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engagement, the Audit Committee pre-approves these services by category of service. During the year, circumstances may arise when it may become necessary to engage our independent registered public accounting firm and independent Singapore auditor for additional services not contemplated in the original pre-approval. In those instances, the Audit Committee requires specific pre-approval before engaging our independent registered public accounting firm and independent Singapore auditor. 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90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Item 15(a).</w:t>
      </w:r>
      <w:r>
        <w:rPr>
          <w:sz w:val="20"/>
          <w:szCs w:val="20"/>
          <w:color w:val="auto"/>
        </w:rPr>
        <w:tab/>
      </w:r>
      <w:r>
        <w:rPr>
          <w:rFonts w:ascii="Times New Roman" w:cs="Times New Roman" w:eastAsia="Times New Roman" w:hAnsi="Times New Roman"/>
          <w:sz w:val="17"/>
          <w:szCs w:val="17"/>
          <w:b w:val="1"/>
          <w:bCs w:val="1"/>
          <w:color w:val="auto"/>
        </w:rPr>
        <w:t>The documents listed below are filed as part of this Amendment No. 1 to Annual Report on Form 10-K/A.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15(a)(1) and</w:t>
      </w:r>
    </w:p>
    <w:p>
      <w:pPr>
        <w:spacing w:after="0" w:line="117" w:lineRule="exact"/>
        <w:rPr>
          <w:sz w:val="20"/>
          <w:szCs w:val="20"/>
          <w:color w:val="auto"/>
        </w:rPr>
      </w:pPr>
    </w:p>
    <w:p>
      <w:pPr>
        <w:ind w:left="1540" w:right="280" w:hanging="635"/>
        <w:spacing w:after="0" w:line="286" w:lineRule="auto"/>
        <w:rPr>
          <w:sz w:val="20"/>
          <w:szCs w:val="20"/>
          <w:color w:val="auto"/>
        </w:rPr>
      </w:pPr>
      <w:r>
        <w:rPr>
          <w:rFonts w:ascii="Times New Roman" w:cs="Times New Roman" w:eastAsia="Times New Roman" w:hAnsi="Times New Roman"/>
          <w:sz w:val="18"/>
          <w:szCs w:val="18"/>
          <w:b w:val="1"/>
          <w:bCs w:val="1"/>
          <w:color w:val="auto"/>
        </w:rPr>
        <w:t>(2). See Item 8 of the Original 10-K. Other financial statement schedules have not been included because they are not applicable or the information is included in the financial statements or notes thereto.</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15(a)(3). Exhibits: The exhibits listed below are filed with, or incorporated by reference in, this Amendment.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94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2"/>
                <w:szCs w:val="12"/>
                <w:color w:val="auto"/>
              </w:rPr>
            </w:pPr>
          </w:p>
        </w:tc>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Filed with this Report</w:t>
            </w:r>
          </w:p>
        </w:tc>
        <w:tc>
          <w:tcPr>
            <w:tcW w:w="1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8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Constitution (formerly known as Memorandum of Association and</w:t>
              </w:r>
            </w:hyperlink>
          </w:p>
        </w:tc>
        <w:tc>
          <w:tcPr>
            <w:tcW w:w="20" w:type="dxa"/>
            <w:vAlign w:val="bottom"/>
          </w:tcPr>
          <w:p>
            <w:pPr>
              <w:spacing w:after="0"/>
              <w:rPr>
                <w:sz w:val="17"/>
                <w:szCs w:val="17"/>
                <w:color w:val="auto"/>
              </w:rPr>
            </w:pPr>
          </w:p>
        </w:tc>
        <w:tc>
          <w:tcPr>
            <w:tcW w:w="33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rPr>
              <w:t>Amendment No. 5</w:t>
            </w:r>
          </w:p>
        </w:tc>
      </w:tr>
      <w:tr>
        <w:trPr>
          <w:trHeight w:val="196"/>
        </w:trPr>
        <w:tc>
          <w:tcPr>
            <w:tcW w:w="920" w:type="dxa"/>
            <w:vAlign w:val="bottom"/>
          </w:tcPr>
          <w:p>
            <w:pPr>
              <w:spacing w:after="0"/>
              <w:rPr>
                <w:sz w:val="17"/>
                <w:szCs w:val="17"/>
                <w:color w:val="auto"/>
              </w:rPr>
            </w:pPr>
          </w:p>
        </w:tc>
        <w:tc>
          <w:tcPr>
            <w:tcW w:w="4860" w:type="dxa"/>
            <w:vAlign w:val="bottom"/>
            <w:gridSpan w:val="7"/>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Articles of Association)</w:t>
              </w:r>
            </w:hyperlink>
          </w:p>
        </w:tc>
        <w:tc>
          <w:tcPr>
            <w:tcW w:w="20" w:type="dxa"/>
            <w:vAlign w:val="bottom"/>
          </w:tcPr>
          <w:p>
            <w:pPr>
              <w:spacing w:after="0"/>
              <w:rPr>
                <w:sz w:val="17"/>
                <w:szCs w:val="17"/>
                <w:color w:val="auto"/>
              </w:rPr>
            </w:pPr>
          </w:p>
        </w:tc>
        <w:tc>
          <w:tcPr>
            <w:tcW w:w="3340" w:type="dxa"/>
            <w:vAlign w:val="bottom"/>
          </w:tcPr>
          <w:p>
            <w:pPr>
              <w:jc w:val="center"/>
              <w:ind w:left="1910"/>
              <w:spacing w:after="0" w:line="196" w:lineRule="exact"/>
              <w:rPr>
                <w:sz w:val="20"/>
                <w:szCs w:val="20"/>
                <w:color w:val="auto"/>
              </w:rPr>
            </w:pPr>
            <w:r>
              <w:rPr>
                <w:rFonts w:ascii="Times New Roman" w:cs="Times New Roman" w:eastAsia="Times New Roman" w:hAnsi="Times New Roman"/>
                <w:sz w:val="18"/>
                <w:szCs w:val="18"/>
                <w:color w:val="auto"/>
                <w:w w:val="98"/>
              </w:rPr>
              <w:t>to Form S-1</w:t>
            </w:r>
          </w:p>
        </w:tc>
      </w:tr>
      <w:tr>
        <w:trPr>
          <w:trHeight w:val="237"/>
        </w:trPr>
        <w:tc>
          <w:tcPr>
            <w:tcW w:w="920" w:type="dxa"/>
            <w:vAlign w:val="bottom"/>
          </w:tcPr>
          <w:p>
            <w:pPr>
              <w:spacing w:after="0"/>
              <w:rPr>
                <w:sz w:val="20"/>
                <w:szCs w:val="20"/>
                <w:color w:val="auto"/>
              </w:rPr>
            </w:pPr>
          </w:p>
        </w:tc>
        <w:tc>
          <w:tcPr>
            <w:tcW w:w="14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(Exhibit 3.2)</w:t>
            </w: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860" w:type="dxa"/>
            <w:vAlign w:val="bottom"/>
            <w:gridSpan w:val="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Specimen Ordinary Share Certificate</w:t>
              </w:r>
            </w:hyperlink>
          </w:p>
        </w:tc>
        <w:tc>
          <w:tcPr>
            <w:tcW w:w="20" w:type="dxa"/>
            <w:vAlign w:val="bottom"/>
          </w:tcPr>
          <w:p>
            <w:pPr>
              <w:spacing w:after="0"/>
              <w:rPr>
                <w:sz w:val="24"/>
                <w:szCs w:val="24"/>
                <w:color w:val="auto"/>
              </w:rPr>
            </w:pPr>
          </w:p>
        </w:tc>
        <w:tc>
          <w:tcPr>
            <w:tcW w:w="33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rPr>
              <w:t>Amendment No. 3</w:t>
            </w:r>
          </w:p>
        </w:tc>
      </w:tr>
      <w:tr>
        <w:trPr>
          <w:trHeight w:val="218"/>
        </w:trPr>
        <w:tc>
          <w:tcPr>
            <w:tcW w:w="920" w:type="dxa"/>
            <w:vAlign w:val="bottom"/>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8"/>
              </w:rPr>
              <w:t>to Form S-1</w:t>
            </w:r>
          </w:p>
        </w:tc>
      </w:tr>
      <w:tr>
        <w:trPr>
          <w:trHeight w:val="234"/>
        </w:trPr>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(Exhibit 4.1)</w:t>
            </w: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5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Description of Securities of the Registrant and Comparison of</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Form 10-K</w:t>
            </w:r>
          </w:p>
        </w:tc>
      </w:tr>
      <w:tr>
        <w:trPr>
          <w:trHeight w:val="196"/>
        </w:trPr>
        <w:tc>
          <w:tcPr>
            <w:tcW w:w="92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Shareholder Rights</w:t>
              </w:r>
            </w:hyperlink>
          </w:p>
        </w:tc>
        <w:tc>
          <w:tcPr>
            <w:tcW w:w="34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Pr>
          <w:p>
            <w:pPr>
              <w:jc w:val="center"/>
              <w:ind w:left="1930"/>
              <w:spacing w:after="0" w:line="196" w:lineRule="exact"/>
              <w:rPr>
                <w:sz w:val="20"/>
                <w:szCs w:val="20"/>
                <w:color w:val="auto"/>
              </w:rPr>
            </w:pPr>
            <w:r>
              <w:rPr>
                <w:rFonts w:ascii="Times New Roman" w:cs="Times New Roman" w:eastAsia="Times New Roman" w:hAnsi="Times New Roman"/>
                <w:sz w:val="18"/>
                <w:szCs w:val="18"/>
                <w:color w:val="auto"/>
                <w:w w:val="99"/>
              </w:rPr>
              <w:t>(Exhibit 4.2)</w:t>
            </w: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4860" w:type="dxa"/>
            <w:vAlign w:val="bottom"/>
            <w:gridSpan w:val="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Pre-Funded Warrant (2022)</w:t>
              </w:r>
            </w:hyperlink>
          </w:p>
        </w:tc>
        <w:tc>
          <w:tcPr>
            <w:tcW w:w="20" w:type="dxa"/>
            <w:vAlign w:val="bottom"/>
          </w:tcPr>
          <w:p>
            <w:pPr>
              <w:spacing w:after="0"/>
              <w:rPr>
                <w:sz w:val="24"/>
                <w:szCs w:val="24"/>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Form 8-K</w:t>
            </w:r>
          </w:p>
        </w:tc>
      </w:tr>
      <w:tr>
        <w:trPr>
          <w:trHeight w:val="237"/>
        </w:trPr>
        <w:tc>
          <w:tcPr>
            <w:tcW w:w="920" w:type="dxa"/>
            <w:vAlign w:val="bottom"/>
          </w:tcPr>
          <w:p>
            <w:pPr>
              <w:spacing w:after="0"/>
              <w:rPr>
                <w:sz w:val="20"/>
                <w:szCs w:val="20"/>
                <w:color w:val="auto"/>
              </w:rPr>
            </w:pPr>
          </w:p>
        </w:tc>
        <w:tc>
          <w:tcPr>
            <w:tcW w:w="14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(Exhibit 4.1)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4860" w:type="dxa"/>
            <w:vAlign w:val="bottom"/>
            <w:gridSpan w:val="7"/>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Pre-Funded Warrant (2024)</w:t>
              </w:r>
            </w:hyperlink>
          </w:p>
        </w:tc>
        <w:tc>
          <w:tcPr>
            <w:tcW w:w="20" w:type="dxa"/>
            <w:vAlign w:val="bottom"/>
          </w:tcPr>
          <w:p>
            <w:pPr>
              <w:spacing w:after="0"/>
              <w:rPr>
                <w:sz w:val="18"/>
                <w:szCs w:val="18"/>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Form 8-K</w:t>
            </w:r>
          </w:p>
        </w:tc>
      </w:tr>
      <w:tr>
        <w:trPr>
          <w:trHeight w:val="237"/>
        </w:trPr>
        <w:tc>
          <w:tcPr>
            <w:tcW w:w="920" w:type="dxa"/>
            <w:vAlign w:val="bottom"/>
          </w:tcPr>
          <w:p>
            <w:pPr>
              <w:spacing w:after="0"/>
              <w:rPr>
                <w:sz w:val="20"/>
                <w:szCs w:val="20"/>
                <w:color w:val="auto"/>
              </w:rPr>
            </w:pPr>
          </w:p>
        </w:tc>
        <w:tc>
          <w:tcPr>
            <w:tcW w:w="14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(Exhibit 4.1)</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8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Share Purchase Agreement by and between the Registrant and C.P.</w:t>
              </w:r>
            </w:hyperlink>
          </w:p>
        </w:tc>
        <w:tc>
          <w:tcPr>
            <w:tcW w:w="20" w:type="dxa"/>
            <w:vAlign w:val="bottom"/>
            <w:tcBorders>
              <w:bottom w:val="single" w:sz="8" w:color="0000FF"/>
            </w:tcBorders>
          </w:tcPr>
          <w:p>
            <w:pPr>
              <w:spacing w:after="0"/>
              <w:rPr>
                <w:sz w:val="24"/>
                <w:szCs w:val="24"/>
                <w:color w:val="auto"/>
              </w:rPr>
            </w:pPr>
          </w:p>
        </w:tc>
        <w:tc>
          <w:tcPr>
            <w:tcW w:w="334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196"/>
        </w:trPr>
        <w:tc>
          <w:tcPr>
            <w:tcW w:w="920" w:type="dxa"/>
            <w:vAlign w:val="bottom"/>
          </w:tcPr>
          <w:p>
            <w:pPr>
              <w:spacing w:after="0"/>
              <w:rPr>
                <w:sz w:val="17"/>
                <w:szCs w:val="17"/>
                <w:color w:val="auto"/>
              </w:rPr>
            </w:pPr>
          </w:p>
        </w:tc>
        <w:tc>
          <w:tcPr>
            <w:tcW w:w="4860" w:type="dxa"/>
            <w:vAlign w:val="bottom"/>
            <w:gridSpan w:val="7"/>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Pharmaceuticals International C.V., dated as of May 5, 2016</w:t>
              </w:r>
            </w:hyperlink>
          </w:p>
        </w:tc>
        <w:tc>
          <w:tcPr>
            <w:tcW w:w="20" w:type="dxa"/>
            <w:vAlign w:val="bottom"/>
          </w:tcPr>
          <w:p>
            <w:pPr>
              <w:spacing w:after="0"/>
              <w:rPr>
                <w:sz w:val="17"/>
                <w:szCs w:val="17"/>
                <w:color w:val="auto"/>
              </w:rPr>
            </w:pPr>
          </w:p>
        </w:tc>
        <w:tc>
          <w:tcPr>
            <w:tcW w:w="3340" w:type="dxa"/>
            <w:vAlign w:val="bottom"/>
          </w:tcPr>
          <w:p>
            <w:pPr>
              <w:jc w:val="center"/>
              <w:ind w:left="1910"/>
              <w:spacing w:after="0" w:line="196" w:lineRule="exact"/>
              <w:rPr>
                <w:sz w:val="20"/>
                <w:szCs w:val="20"/>
                <w:color w:val="auto"/>
              </w:rPr>
            </w:pPr>
            <w:r>
              <w:rPr>
                <w:rFonts w:ascii="Times New Roman" w:cs="Times New Roman" w:eastAsia="Times New Roman" w:hAnsi="Times New Roman"/>
                <w:sz w:val="18"/>
                <w:szCs w:val="18"/>
                <w:color w:val="auto"/>
              </w:rPr>
              <w:t>(Exhibit 10.2)</w:t>
            </w:r>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11/10/2015 333-207379</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11/06/2015 333-207379</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06/14/2022</w:t>
      </w:r>
      <w:r>
        <w:rPr>
          <w:sz w:val="20"/>
          <w:szCs w:val="20"/>
          <w:color w:val="auto"/>
        </w:rPr>
        <w:tab/>
      </w:r>
      <w:r>
        <w:rPr>
          <w:rFonts w:ascii="Times New Roman" w:cs="Times New Roman" w:eastAsia="Times New Roman" w:hAnsi="Times New Roman"/>
          <w:sz w:val="17"/>
          <w:szCs w:val="17"/>
          <w:color w:val="auto"/>
        </w:rPr>
        <w:t>001-37627</w:t>
      </w:r>
    </w:p>
    <w:p>
      <w:pPr>
        <w:spacing w:after="0" w:line="252"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8"/>
          <w:szCs w:val="18"/>
          <w:color w:val="auto"/>
        </w:rPr>
        <w:t>9/26/2024</w:t>
        <w:tab/>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08/15/2016</w:t>
      </w:r>
      <w:r>
        <w:rPr>
          <w:sz w:val="20"/>
          <w:szCs w:val="20"/>
          <w:color w:val="auto"/>
        </w:rPr>
        <w:tab/>
      </w:r>
      <w:r>
        <w:rPr>
          <w:rFonts w:ascii="Times New Roman" w:cs="Times New Roman" w:eastAsia="Times New Roman" w:hAnsi="Times New Roman"/>
          <w:sz w:val="17"/>
          <w:szCs w:val="17"/>
          <w:color w:val="auto"/>
        </w:rPr>
        <w:t>001-37627</w:t>
      </w:r>
    </w:p>
    <w:p>
      <w:pPr>
        <w:spacing w:after="0" w:line="440" w:lineRule="exact"/>
        <w:rPr>
          <w:sz w:val="20"/>
          <w:szCs w:val="20"/>
          <w:color w:val="auto"/>
        </w:rPr>
      </w:pPr>
    </w:p>
    <w:p>
      <w:pPr>
        <w:sectPr>
          <w:pgSz w:w="11900" w:h="16838" w:orient="portrait"/>
          <w:cols w:equalWidth="0" w:num="2">
            <w:col w:w="9200" w:space="200"/>
            <w:col w:w="1840"/>
          </w:cols>
          <w:pgMar w:left="320" w:top="1008" w:right="339" w:bottom="1440" w:gutter="0" w:footer="0" w:header="0"/>
          <w:type w:val="continuous"/>
        </w:sectPr>
      </w:pPr>
    </w:p>
    <w:p>
      <w:pPr>
        <w:ind w:left="980" w:right="1260" w:hanging="977"/>
        <w:spacing w:after="0" w:line="312"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91">
        <w:r>
          <w:rPr>
            <w:rFonts w:ascii="Times New Roman" w:cs="Times New Roman" w:eastAsia="Times New Roman" w:hAnsi="Times New Roman"/>
            <w:sz w:val="17"/>
            <w:szCs w:val="17"/>
            <w:u w:val="single" w:color="auto"/>
            <w:color w:val="0000FF"/>
          </w:rPr>
          <w:t>Lease Agreement by and between Wave Life Sciences USA, Inc., the</w:t>
        </w:r>
      </w:hyperlink>
      <w:r>
        <w:rPr>
          <w:rFonts w:ascii="Times New Roman" w:cs="Times New Roman" w:eastAsia="Times New Roman" w:hAnsi="Times New Roman"/>
          <w:sz w:val="17"/>
          <w:szCs w:val="17"/>
          <w:u w:val="single" w:color="auto"/>
          <w:color w:val="0000FF"/>
        </w:rPr>
        <w:t xml:space="preserve"> </w:t>
      </w:r>
      <w:hyperlink r:id="rId91">
        <w:r>
          <w:rPr>
            <w:rFonts w:ascii="Times New Roman" w:cs="Times New Roman" w:eastAsia="Times New Roman" w:hAnsi="Times New Roman"/>
            <w:sz w:val="17"/>
            <w:szCs w:val="17"/>
            <w:u w:val="single" w:color="auto"/>
            <w:color w:val="0000FF"/>
          </w:rPr>
          <w:t>Registrant, and King 733 Concord LLC, dated as of April 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-198755</wp:posOffset>
            </wp:positionV>
            <wp:extent cx="31934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193415" cy="8890"/>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-61595</wp:posOffset>
            </wp:positionV>
            <wp:extent cx="30079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007995" cy="8890"/>
                    </a:xfrm>
                    <a:prstGeom prst="rect">
                      <a:avLst/>
                    </a:prstGeom>
                    <a:noFill/>
                  </pic:spPr>
                </pic:pic>
              </a:graphicData>
            </a:graphic>
          </wp:anchor>
        </w:drawing>
      </w:r>
    </w:p>
    <w:p>
      <w:pPr>
        <w:spacing w:after="0" w:line="25" w:lineRule="exact"/>
        <w:rPr>
          <w:sz w:val="20"/>
          <w:szCs w:val="20"/>
          <w:color w:val="auto"/>
        </w:rPr>
      </w:pPr>
    </w:p>
    <w:p>
      <w:pPr>
        <w:ind w:left="980" w:right="1560" w:hanging="977"/>
        <w:spacing w:after="0" w:line="26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94">
        <w:r>
          <w:rPr>
            <w:rFonts w:ascii="Times New Roman" w:cs="Times New Roman" w:eastAsia="Times New Roman" w:hAnsi="Times New Roman"/>
            <w:sz w:val="18"/>
            <w:szCs w:val="18"/>
            <w:u w:val="single" w:color="auto"/>
            <w:color w:val="0000FF"/>
          </w:rPr>
          <w:t>First Amendment (to Lease) by and between Wave Life Sciences</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USA, Inc. and CPI/King 733 Concord Owner, LLC, dated as of</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December 9,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626110</wp:posOffset>
            </wp:positionH>
            <wp:positionV relativeFrom="paragraph">
              <wp:posOffset>-313055</wp:posOffset>
            </wp:positionV>
            <wp:extent cx="30073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3007360" cy="8890"/>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-175895</wp:posOffset>
            </wp:positionV>
            <wp:extent cx="29349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293497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-38735</wp:posOffset>
            </wp:positionV>
            <wp:extent cx="840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48" w:lineRule="exact"/>
        <w:rPr>
          <w:rFonts w:ascii="Times New Roman" w:cs="Times New Roman" w:eastAsia="Times New Roman" w:hAnsi="Times New Roman"/>
          <w:sz w:val="18"/>
          <w:szCs w:val="18"/>
          <w:u w:val="single" w:color="auto"/>
          <w:color w:val="0000FF"/>
        </w:rPr>
      </w:pPr>
    </w:p>
    <w:p>
      <w:pPr>
        <w:ind w:left="980" w:right="1360" w:hanging="977"/>
        <w:spacing w:after="0" w:line="26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98">
        <w:r>
          <w:rPr>
            <w:rFonts w:ascii="Times New Roman" w:cs="Times New Roman" w:eastAsia="Times New Roman" w:hAnsi="Times New Roman"/>
            <w:sz w:val="18"/>
            <w:szCs w:val="18"/>
            <w:u w:val="single" w:color="auto"/>
            <w:color w:val="0000FF"/>
          </w:rPr>
          <w:t>Second Amendment (to Lease) by and between Wave Life Sciences</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USA, Inc. and CPI/King 733 Concord Owner, LLC, dated as of</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August 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626110</wp:posOffset>
            </wp:positionH>
            <wp:positionV relativeFrom="paragraph">
              <wp:posOffset>-313055</wp:posOffset>
            </wp:positionV>
            <wp:extent cx="31343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313436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-175895</wp:posOffset>
            </wp:positionV>
            <wp:extent cx="29349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293497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-38735</wp:posOffset>
            </wp:positionV>
            <wp:extent cx="7010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01040" cy="8890"/>
                    </a:xfrm>
                    <a:prstGeom prst="rect">
                      <a:avLst/>
                    </a:prstGeom>
                    <a:noFill/>
                  </pic:spPr>
                </pic:pic>
              </a:graphicData>
            </a:graphic>
          </wp:anchor>
        </w:drawing>
      </w:r>
    </w:p>
    <w:p>
      <w:pPr>
        <w:spacing w:after="0" w:line="48" w:lineRule="exact"/>
        <w:rPr>
          <w:rFonts w:ascii="Times New Roman" w:cs="Times New Roman" w:eastAsia="Times New Roman" w:hAnsi="Times New Roman"/>
          <w:sz w:val="18"/>
          <w:szCs w:val="18"/>
          <w:u w:val="single" w:color="auto"/>
          <w:color w:val="0000FF"/>
        </w:rPr>
      </w:pPr>
    </w:p>
    <w:p>
      <w:pPr>
        <w:jc w:val="center"/>
        <w:ind w:right="1260"/>
        <w:spacing w:after="0"/>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02">
        <w:r>
          <w:rPr>
            <w:rFonts w:ascii="Times New Roman" w:cs="Times New Roman" w:eastAsia="Times New Roman" w:hAnsi="Times New Roman"/>
            <w:sz w:val="18"/>
            <w:szCs w:val="18"/>
            <w:u w:val="single" w:color="auto"/>
            <w:color w:val="0000FF"/>
          </w:rPr>
          <w:t>Lease Agreement by and between Wave Life Sciences USA, Inc. and</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626110</wp:posOffset>
            </wp:positionH>
            <wp:positionV relativeFrom="paragraph">
              <wp:posOffset>-7620</wp:posOffset>
            </wp:positionV>
            <wp:extent cx="31934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319341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jc w:val="center"/>
        <w:ind w:right="118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King 115 Hartwell LLC, dated as of September 26,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626110</wp:posOffset>
            </wp:positionH>
            <wp:positionV relativeFrom="paragraph">
              <wp:posOffset>-19050</wp:posOffset>
            </wp:positionV>
            <wp:extent cx="25984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2" w:lineRule="exact"/>
        <w:rPr>
          <w:rFonts w:ascii="Times New Roman" w:cs="Times New Roman" w:eastAsia="Times New Roman" w:hAnsi="Times New Roman"/>
          <w:sz w:val="18"/>
          <w:szCs w:val="18"/>
          <w:u w:val="single" w:color="auto"/>
          <w:color w:val="0000FF"/>
        </w:rPr>
      </w:pPr>
    </w:p>
    <w:p>
      <w:pPr>
        <w:jc w:val="both"/>
        <w:ind w:left="980" w:right="1520" w:hanging="977"/>
        <w:spacing w:after="0" w:line="26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05">
        <w:r>
          <w:rPr>
            <w:rFonts w:ascii="Times New Roman" w:cs="Times New Roman" w:eastAsia="Times New Roman" w:hAnsi="Times New Roman"/>
            <w:sz w:val="18"/>
            <w:szCs w:val="18"/>
            <w:u w:val="single" w:color="auto"/>
            <w:color w:val="0000FF"/>
          </w:rPr>
          <w:t>First Amendment (to Lease) by and between Wave Life Sciences</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USA, Inc. and King 115 Hartwell LLC, dated as of December 31,</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626110</wp:posOffset>
            </wp:positionH>
            <wp:positionV relativeFrom="paragraph">
              <wp:posOffset>-313055</wp:posOffset>
            </wp:positionV>
            <wp:extent cx="30073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007360" cy="8890"/>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-175895</wp:posOffset>
            </wp:positionV>
            <wp:extent cx="30333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03339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-38735</wp:posOffset>
            </wp:positionV>
            <wp:extent cx="2286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83"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jc w:val="center"/>
        <w:spacing w:after="0"/>
        <w:rPr>
          <w:sz w:val="20"/>
          <w:szCs w:val="20"/>
          <w:color w:val="auto"/>
        </w:rPr>
      </w:pPr>
      <w:r>
        <w:rPr>
          <w:rFonts w:ascii="Times New Roman" w:cs="Times New Roman" w:eastAsia="Times New Roman" w:hAnsi="Times New Roman"/>
          <w:sz w:val="18"/>
          <w:szCs w:val="18"/>
          <w:color w:val="auto"/>
        </w:rPr>
        <w:t>Form S-1</w:t>
      </w:r>
    </w:p>
    <w:p>
      <w:pPr>
        <w:spacing w:after="0" w:line="2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(Exhibit 10.7)</w:t>
      </w:r>
    </w:p>
    <w:p>
      <w:pPr>
        <w:spacing w:after="0" w:line="31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7"/>
          <w:szCs w:val="17"/>
          <w:color w:val="auto"/>
        </w:rPr>
        <w:t>(Exhibit 10.5.2)</w:t>
      </w:r>
    </w:p>
    <w:p>
      <w:pPr>
        <w:spacing w:after="0" w:line="326"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(Exhibit 10.1)</w:t>
      </w:r>
    </w:p>
    <w:p>
      <w:pPr>
        <w:spacing w:after="0" w:line="112"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(Exhibit 10.1)</w:t>
      </w:r>
    </w:p>
    <w:p>
      <w:pPr>
        <w:spacing w:after="0" w:line="31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1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10/09/2015 333-207379</w:t>
      </w:r>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03/04/2021</w:t>
      </w:r>
      <w:r>
        <w:rPr>
          <w:sz w:val="20"/>
          <w:szCs w:val="20"/>
          <w:color w:val="auto"/>
        </w:rPr>
        <w:tab/>
      </w:r>
      <w:r>
        <w:rPr>
          <w:rFonts w:ascii="Times New Roman" w:cs="Times New Roman" w:eastAsia="Times New Roman" w:hAnsi="Times New Roman"/>
          <w:sz w:val="17"/>
          <w:szCs w:val="17"/>
          <w:color w:val="auto"/>
        </w:rPr>
        <w:t>001-37627</w:t>
      </w:r>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08/11/2022</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rFonts w:ascii="Times New Roman" w:cs="Times New Roman" w:eastAsia="Times New Roman" w:hAnsi="Times New Roman"/>
          <w:sz w:val="18"/>
          <w:szCs w:val="18"/>
          <w:u w:val="single" w:color="auto"/>
          <w:color w:val="0000FF"/>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01/06/2017</w:t>
      </w:r>
      <w:r>
        <w:rPr>
          <w:sz w:val="20"/>
          <w:szCs w:val="20"/>
          <w:color w:val="auto"/>
        </w:rPr>
        <w:tab/>
      </w:r>
      <w:r>
        <w:rPr>
          <w:rFonts w:ascii="Times New Roman" w:cs="Times New Roman" w:eastAsia="Times New Roman" w:hAnsi="Times New Roman"/>
          <w:sz w:val="17"/>
          <w:szCs w:val="17"/>
          <w:color w:val="auto"/>
        </w:rPr>
        <w:t>001-37627</w:t>
      </w:r>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01/06/2017</w:t>
      </w:r>
      <w:r>
        <w:rPr>
          <w:sz w:val="20"/>
          <w:szCs w:val="20"/>
          <w:color w:val="auto"/>
        </w:rPr>
        <w:tab/>
      </w:r>
      <w:r>
        <w:rPr>
          <w:rFonts w:ascii="Times New Roman" w:cs="Times New Roman" w:eastAsia="Times New Roman" w:hAnsi="Times New Roman"/>
          <w:sz w:val="17"/>
          <w:szCs w:val="17"/>
          <w:color w:val="auto"/>
        </w:rPr>
        <w:t>001-37627</w:t>
      </w:r>
    </w:p>
    <w:p>
      <w:pPr>
        <w:sectPr>
          <w:pgSz w:w="11900" w:h="16838" w:orient="portrait"/>
          <w:cols w:equalWidth="0" w:num="3">
            <w:col w:w="7240" w:space="720"/>
            <w:col w:w="1140" w:space="300"/>
            <w:col w:w="1840"/>
          </w:cols>
          <w:pgMar w:left="320" w:top="1008"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40" w:type="dxa"/>
            <w:vAlign w:val="bottom"/>
            <w:gridSpan w:val="2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2"/>
                <w:szCs w:val="12"/>
                <w:color w:val="auto"/>
              </w:rPr>
            </w:pPr>
          </w:p>
        </w:tc>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Filed with this Report</w:t>
            </w:r>
          </w:p>
        </w:tc>
        <w:tc>
          <w:tcPr>
            <w:tcW w:w="1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26"/>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44"/>
        </w:trPr>
        <w:tc>
          <w:tcPr>
            <w:tcW w:w="60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48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Collaboration and License Agreement by and between Wave Life</w:t>
              </w:r>
            </w:hyperlink>
          </w:p>
        </w:tc>
        <w:tc>
          <w:tcPr>
            <w:tcW w:w="2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Sciences USA, Inc., Wave Life Sciences UK Limited and</w:t>
              </w:r>
            </w:hyperlink>
          </w:p>
        </w:tc>
        <w:tc>
          <w:tcPr>
            <w:tcW w:w="84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GlaxoSmithKline Intellectual Property (No. 3), dated as of December</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13, 2022</w:t>
              </w:r>
            </w:hyperlink>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03/23/2023</w:t>
            </w:r>
          </w:p>
        </w:tc>
        <w:tc>
          <w:tcPr>
            <w:tcW w:w="9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48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Share Purchase Agreement by and between Glaxo Group Limited</w:t>
              </w:r>
            </w:hyperlink>
          </w:p>
        </w:tc>
        <w:tc>
          <w:tcPr>
            <w:tcW w:w="24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tcBorders>
              <w:bottom w:val="single" w:sz="8" w:color="0000EE"/>
            </w:tcBorders>
            <w:gridSpan w:val="13"/>
          </w:tcPr>
          <w:p>
            <w:pPr>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and the Registrant, dated as of December 13, 2022</w:t>
              </w:r>
            </w:hyperlink>
          </w:p>
        </w:tc>
        <w:tc>
          <w:tcPr>
            <w:tcW w:w="134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rPr>
              <w:t>(Exhibit 10.4)</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03/23/2023</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48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Investor Agreement by and between Glaxo Group Limited and the</w:t>
              </w:r>
            </w:hyperlink>
          </w:p>
        </w:tc>
        <w:tc>
          <w:tcPr>
            <w:tcW w:w="2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bottom w:val="single" w:sz="8" w:color="0000EE"/>
            </w:tcBorders>
            <w:gridSpan w:val="8"/>
          </w:tcPr>
          <w:p>
            <w:pPr>
              <w:spacing w:after="0" w:line="182"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Registrant, dated as of January 26, 2023</w:t>
              </w:r>
            </w:hyperlink>
          </w:p>
        </w:tc>
        <w:tc>
          <w:tcPr>
            <w:tcW w:w="2100" w:type="dxa"/>
            <w:vAlign w:val="bottom"/>
            <w:gridSpan w:val="22"/>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rPr>
              <w:t>(Exhibit 10.5)</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03/23/2023</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318"/>
        </w:trPr>
        <w:tc>
          <w:tcPr>
            <w:tcW w:w="39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Agreements with Executive Officers and Directors</w:t>
            </w:r>
          </w:p>
        </w:tc>
        <w:tc>
          <w:tcPr>
            <w:tcW w:w="2120" w:type="dxa"/>
            <w:vAlign w:val="bottom"/>
            <w:gridSpan w:val="23"/>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4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Deed of Indemnity by and between the Registrant and each</w:t>
              </w:r>
            </w:hyperlink>
          </w:p>
        </w:tc>
        <w:tc>
          <w:tcPr>
            <w:tcW w:w="1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S-1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30"/>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of its directors and certain of its officers</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w w:val="99"/>
              </w:rPr>
              <w:t>(Exhibit 10.11)</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10/09/2015</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rPr>
              <w:t>333-207379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4"/>
                <w:szCs w:val="24"/>
                <w:color w:val="auto"/>
              </w:rPr>
            </w:pPr>
          </w:p>
        </w:tc>
        <w:tc>
          <w:tcPr>
            <w:tcW w:w="46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Employment Agreement, as amended and restated, between the</w:t>
              </w:r>
            </w:hyperlink>
          </w:p>
        </w:tc>
        <w:tc>
          <w:tcPr>
            <w:tcW w:w="42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40" w:type="dxa"/>
            <w:vAlign w:val="bottom"/>
            <w:tcBorders>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Registrant and Paul B. Bolno, dated as of May 8, 2020</w:t>
              </w:r>
            </w:hyperlink>
          </w:p>
        </w:tc>
        <w:tc>
          <w:tcPr>
            <w:tcW w:w="20" w:type="dxa"/>
            <w:vAlign w:val="bottom"/>
            <w:tcBorders>
              <w:bottom w:val="single" w:sz="8" w:color="0000EE"/>
            </w:tcBorders>
          </w:tcPr>
          <w:p>
            <w:pPr>
              <w:spacing w:after="0"/>
              <w:rPr>
                <w:sz w:val="17"/>
                <w:szCs w:val="17"/>
                <w:color w:val="auto"/>
              </w:rPr>
            </w:pPr>
          </w:p>
        </w:tc>
        <w:tc>
          <w:tcPr>
            <w:tcW w:w="108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rPr>
              <w:t>(Exhibit 10.1)</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08/10/2020</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rPr>
              <w:t>333-207379</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4"/>
                <w:szCs w:val="24"/>
                <w:color w:val="auto"/>
              </w:rPr>
            </w:pPr>
          </w:p>
        </w:tc>
        <w:tc>
          <w:tcPr>
            <w:tcW w:w="46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Employment Agreement, as amended and restated, between the</w:t>
              </w:r>
            </w:hyperlink>
          </w:p>
        </w:tc>
        <w:tc>
          <w:tcPr>
            <w:tcW w:w="42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30"/>
          </w:tcPr>
          <w:p>
            <w:pPr>
              <w:spacing w:after="0" w:line="182"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Registrant and Chandra Vargeese, dated as of May 8, 2020</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rPr>
              <w:t>(Exhibit 10.2)</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08/10/2020</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rPr>
              <w:t>333-207379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4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Employment Agreement between the Registrant and Christopher</w:t>
              </w:r>
            </w:hyperlink>
          </w:p>
        </w:tc>
        <w:tc>
          <w:tcPr>
            <w:tcW w:w="32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EE"/>
            </w:tcBorders>
            <w:gridSpan w:val="10"/>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Francis, Ph.D., dated as of November 8, 2022</w:t>
              </w:r>
            </w:hyperlink>
          </w:p>
        </w:tc>
        <w:tc>
          <w:tcPr>
            <w:tcW w:w="1700" w:type="dxa"/>
            <w:vAlign w:val="bottom"/>
            <w:gridSpan w:val="20"/>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w w:val="99"/>
              </w:rPr>
              <w:t>(Exhibit 10.12)</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03/23/2023</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31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24"/>
                <w:szCs w:val="24"/>
                <w:color w:val="auto"/>
              </w:rPr>
            </w:pPr>
          </w:p>
        </w:tc>
        <w:tc>
          <w:tcPr>
            <w:tcW w:w="46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Employment Agreement, as amended and restated, between the</w:t>
              </w:r>
            </w:hyperlink>
          </w:p>
        </w:tc>
        <w:tc>
          <w:tcPr>
            <w:tcW w:w="42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30"/>
          </w:tcPr>
          <w:p>
            <w:pPr>
              <w:spacing w:after="0" w:line="18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Registrant and Kyle Moran, dated as of January 1, 2021</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w w:val="99"/>
              </w:rPr>
              <w:t>(Exhibit 10.15)</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03/04/2021</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24"/>
                <w:szCs w:val="24"/>
                <w:color w:val="auto"/>
              </w:rPr>
            </w:pPr>
          </w:p>
        </w:tc>
        <w:tc>
          <w:tcPr>
            <w:tcW w:w="50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Non-Employee Director Compensation Policy, as amended, effective</w:t>
              </w:r>
            </w:hyperlink>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30"/>
          </w:tcPr>
          <w:p>
            <w:pPr>
              <w:spacing w:after="0" w:line="182"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as of August 6, 2024</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w w:val="98"/>
              </w:rPr>
              <w:t>(Exhibit 10.2+)</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11/12/2024</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24"/>
                <w:szCs w:val="24"/>
                <w:color w:val="auto"/>
              </w:rPr>
            </w:pPr>
          </w:p>
        </w:tc>
        <w:tc>
          <w:tcPr>
            <w:tcW w:w="50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Consulting Agreement by and between Ontorii, Inc. (now Wave Life</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S-1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bottom w:val="single" w:sz="8" w:color="0000FF"/>
            </w:tcBorders>
            <w:gridSpan w:val="27"/>
          </w:tcPr>
          <w:p>
            <w:pPr>
              <w:spacing w:after="0" w:line="182"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Sciences USA, Inc.) and Gregory Verdine, dated as of April 1, 2012</w:t>
              </w:r>
            </w:hyperlink>
          </w:p>
        </w:tc>
        <w:tc>
          <w:tcPr>
            <w:tcW w:w="1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w w:val="99"/>
              </w:rPr>
              <w:t>(Exhibit 10.16)</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10/09/2015</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rPr>
              <w:t>333-207379</w:t>
            </w:r>
          </w:p>
        </w:tc>
        <w:tc>
          <w:tcPr>
            <w:tcW w:w="0" w:type="dxa"/>
            <w:vAlign w:val="bottom"/>
          </w:tcPr>
          <w:p>
            <w:pPr>
              <w:spacing w:after="0"/>
              <w:rPr>
                <w:sz w:val="1"/>
                <w:szCs w:val="1"/>
                <w:color w:val="auto"/>
              </w:rPr>
            </w:pPr>
          </w:p>
        </w:tc>
      </w:tr>
      <w:tr>
        <w:trPr>
          <w:trHeight w:val="547"/>
        </w:trPr>
        <w:tc>
          <w:tcPr>
            <w:tcW w:w="60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Equity and Other Compensation Plans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24"/>
                <w:szCs w:val="24"/>
                <w:color w:val="auto"/>
              </w:rPr>
            </w:pPr>
          </w:p>
        </w:tc>
        <w:tc>
          <w:tcPr>
            <w:tcW w:w="47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Wave Life Sciences Ltd. 2014 Equity Incentive Plan, as amended</w:t>
              </w:r>
            </w:hyperlink>
          </w:p>
        </w:tc>
        <w:tc>
          <w:tcPr>
            <w:tcW w:w="26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Borders>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(the “2014 Equity Plan”)</w:t>
              </w:r>
            </w:hyperlink>
          </w:p>
        </w:tc>
        <w:tc>
          <w:tcPr>
            <w:tcW w:w="3240" w:type="dxa"/>
            <w:vAlign w:val="bottom"/>
            <w:gridSpan w:val="26"/>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rPr>
              <w:t>(Exhibit 10.1)</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11/09/2017</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tcPr>
          <w:p>
            <w:pPr>
              <w:spacing w:after="0"/>
              <w:rPr>
                <w:sz w:val="24"/>
                <w:szCs w:val="24"/>
                <w:color w:val="auto"/>
              </w:rPr>
            </w:pPr>
          </w:p>
        </w:tc>
        <w:tc>
          <w:tcPr>
            <w:tcW w:w="47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Wave Life Sciences Ltd. 2021 Equity Incentive Plan, as amended</w:t>
              </w:r>
            </w:hyperlink>
          </w:p>
        </w:tc>
        <w:tc>
          <w:tcPr>
            <w:tcW w:w="26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Form 8-K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30"/>
          </w:tcPr>
          <w:p>
            <w:pPr>
              <w:spacing w:after="0" w:line="18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(the “2021 Equity Plan”), effective August 6, 2024</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rPr>
              <w:t>(Exhibit 10.1)</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08/12/2024</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24"/>
                <w:szCs w:val="24"/>
                <w:color w:val="auto"/>
              </w:rPr>
            </w:pPr>
          </w:p>
        </w:tc>
        <w:tc>
          <w:tcPr>
            <w:tcW w:w="47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Wave Life Sciences Ltd. 2019 Employee Share Purchase Plan, as</w:t>
              </w:r>
            </w:hyperlink>
          </w:p>
        </w:tc>
        <w:tc>
          <w:tcPr>
            <w:tcW w:w="28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Form 8-K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amended, effective as of August 1, 2023</w:t>
              </w:r>
            </w:hyperlink>
          </w:p>
        </w:tc>
        <w:tc>
          <w:tcPr>
            <w:tcW w:w="2120" w:type="dxa"/>
            <w:vAlign w:val="bottom"/>
            <w:gridSpan w:val="23"/>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08/07/2023</w:t>
            </w:r>
          </w:p>
        </w:tc>
        <w:tc>
          <w:tcPr>
            <w:tcW w:w="9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10.16.1+</w:t>
            </w:r>
          </w:p>
        </w:tc>
        <w:tc>
          <w:tcPr>
            <w:tcW w:w="40" w:type="dxa"/>
            <w:vAlign w:val="bottom"/>
          </w:tcPr>
          <w:p>
            <w:pPr>
              <w:spacing w:after="0"/>
              <w:rPr>
                <w:sz w:val="24"/>
                <w:szCs w:val="24"/>
                <w:color w:val="auto"/>
              </w:rPr>
            </w:pPr>
          </w:p>
        </w:tc>
        <w:tc>
          <w:tcPr>
            <w:tcW w:w="46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Non-qualified Share Option Agreement under the 2014</w:t>
              </w:r>
            </w:hyperlink>
          </w:p>
        </w:tc>
        <w:tc>
          <w:tcPr>
            <w:tcW w:w="38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30"/>
          </w:tcPr>
          <w:p>
            <w:pPr>
              <w:spacing w:after="0" w:line="18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Equity Plan, effective as of September 20, 2016</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82" w:lineRule="exact"/>
              <w:rPr>
                <w:sz w:val="20"/>
                <w:szCs w:val="20"/>
                <w:color w:val="auto"/>
              </w:rPr>
            </w:pPr>
            <w:r>
              <w:rPr>
                <w:rFonts w:ascii="Times New Roman" w:cs="Times New Roman" w:eastAsia="Times New Roman" w:hAnsi="Times New Roman"/>
                <w:sz w:val="18"/>
                <w:szCs w:val="18"/>
                <w:color w:val="auto"/>
              </w:rPr>
              <w:t>(Exhibit 10.2)</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11/09/2017</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10.16.2+</w:t>
            </w:r>
          </w:p>
        </w:tc>
        <w:tc>
          <w:tcPr>
            <w:tcW w:w="40" w:type="dxa"/>
            <w:vAlign w:val="bottom"/>
          </w:tcPr>
          <w:p>
            <w:pPr>
              <w:spacing w:after="0"/>
              <w:rPr>
                <w:sz w:val="24"/>
                <w:szCs w:val="24"/>
                <w:color w:val="auto"/>
              </w:rPr>
            </w:pPr>
          </w:p>
        </w:tc>
        <w:tc>
          <w:tcPr>
            <w:tcW w:w="46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Non-qualified Share Option Agreement under the 2014</w:t>
              </w:r>
            </w:hyperlink>
          </w:p>
        </w:tc>
        <w:tc>
          <w:tcPr>
            <w:tcW w:w="38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30"/>
          </w:tcPr>
          <w:p>
            <w:pPr>
              <w:spacing w:after="0" w:line="18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Equity Plan, effective as of January 1, 2018</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2"/>
              <w:spacing w:after="0" w:line="182" w:lineRule="exact"/>
              <w:rPr>
                <w:sz w:val="20"/>
                <w:szCs w:val="20"/>
                <w:color w:val="auto"/>
              </w:rPr>
            </w:pPr>
            <w:r>
              <w:rPr>
                <w:rFonts w:ascii="Times New Roman" w:cs="Times New Roman" w:eastAsia="Times New Roman" w:hAnsi="Times New Roman"/>
                <w:sz w:val="18"/>
                <w:szCs w:val="18"/>
                <w:color w:val="auto"/>
              </w:rPr>
              <w:t>(Exhibit 10.23.3)</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03/01/2019</w:t>
            </w: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Borders>
              <w:top w:val="single" w:sz="8" w:color="0000FF"/>
            </w:tcBorders>
            <w:gridSpan w:val="9"/>
          </w:tcPr>
          <w:p>
            <w:pPr>
              <w:spacing w:after="0"/>
              <w:rPr>
                <w:sz w:val="24"/>
                <w:szCs w:val="24"/>
                <w:color w:val="auto"/>
              </w:rPr>
            </w:pPr>
          </w:p>
        </w:tc>
        <w:tc>
          <w:tcPr>
            <w:tcW w:w="1620" w:type="dxa"/>
            <w:vAlign w:val="bottom"/>
            <w:gridSpan w:val="1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0" w:type="dxa"/>
            <w:vAlign w:val="bottom"/>
          </w:tcPr>
          <w:p>
            <w:pPr>
              <w:spacing w:after="0"/>
              <w:rPr>
                <w:sz w:val="1"/>
                <w:szCs w:val="1"/>
                <w:color w:val="auto"/>
              </w:rPr>
            </w:pPr>
          </w:p>
        </w:tc>
      </w:tr>
      <w:tr>
        <w:trPr>
          <w:trHeight w:val="146"/>
        </w:trPr>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37"/>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2"/>
                <w:szCs w:val="12"/>
                <w:color w:val="auto"/>
              </w:rPr>
            </w:pPr>
          </w:p>
        </w:tc>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Filed with this Report</w:t>
            </w:r>
          </w:p>
        </w:tc>
        <w:tc>
          <w:tcPr>
            <w:tcW w:w="1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37"/>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0" w:type="dxa"/>
            <w:vAlign w:val="bottom"/>
          </w:tcPr>
          <w:p>
            <w:pPr>
              <w:spacing w:after="0"/>
              <w:rPr>
                <w:sz w:val="1"/>
                <w:szCs w:val="1"/>
                <w:color w:val="auto"/>
              </w:rPr>
            </w:pPr>
          </w:p>
        </w:tc>
      </w:tr>
      <w:tr>
        <w:trPr>
          <w:trHeight w:val="34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10.16.3+</w:t>
            </w:r>
          </w:p>
        </w:tc>
        <w:tc>
          <w:tcPr>
            <w:tcW w:w="40" w:type="dxa"/>
            <w:vAlign w:val="bottom"/>
          </w:tcPr>
          <w:p>
            <w:pPr>
              <w:spacing w:after="0"/>
              <w:rPr>
                <w:sz w:val="24"/>
                <w:szCs w:val="24"/>
                <w:color w:val="auto"/>
              </w:rPr>
            </w:pPr>
          </w:p>
        </w:tc>
        <w:tc>
          <w:tcPr>
            <w:tcW w:w="46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Non-qualified Share Option Agreement under the 2021</w:t>
              </w:r>
            </w:hyperlink>
          </w:p>
        </w:tc>
        <w:tc>
          <w:tcPr>
            <w:tcW w:w="38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Equity Plan, effective as August 10, 2021</w:t>
              </w:r>
            </w:hyperlink>
          </w:p>
        </w:tc>
        <w:tc>
          <w:tcPr>
            <w:tcW w:w="20" w:type="dxa"/>
            <w:vAlign w:val="bottom"/>
            <w:tcBorders>
              <w:bottom w:val="single" w:sz="8" w:color="0000EE"/>
            </w:tcBorders>
          </w:tcPr>
          <w:p>
            <w:pPr>
              <w:spacing w:after="0"/>
              <w:rPr>
                <w:sz w:val="17"/>
                <w:szCs w:val="17"/>
                <w:color w:val="auto"/>
              </w:rPr>
            </w:pPr>
          </w:p>
        </w:tc>
        <w:tc>
          <w:tcPr>
            <w:tcW w:w="2000" w:type="dxa"/>
            <w:vAlign w:val="bottom"/>
            <w:gridSpan w:val="24"/>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10.17.1+</w:t>
            </w:r>
          </w:p>
        </w:tc>
        <w:tc>
          <w:tcPr>
            <w:tcW w:w="40" w:type="dxa"/>
            <w:vAlign w:val="bottom"/>
          </w:tcPr>
          <w:p>
            <w:pPr>
              <w:spacing w:after="0"/>
              <w:rPr>
                <w:sz w:val="24"/>
                <w:szCs w:val="24"/>
                <w:color w:val="auto"/>
              </w:rPr>
            </w:pPr>
          </w:p>
        </w:tc>
        <w:tc>
          <w:tcPr>
            <w:tcW w:w="48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Incentive Share Option Agreement under the 2014 Equity</w:t>
              </w:r>
            </w:hyperlink>
          </w:p>
        </w:tc>
        <w:tc>
          <w:tcPr>
            <w:tcW w:w="1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S-8</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42"/>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Plan, effective as of December 2014</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10.17.2+</w:t>
            </w:r>
          </w:p>
        </w:tc>
        <w:tc>
          <w:tcPr>
            <w:tcW w:w="40" w:type="dxa"/>
            <w:vAlign w:val="bottom"/>
          </w:tcPr>
          <w:p>
            <w:pPr>
              <w:spacing w:after="0"/>
              <w:rPr>
                <w:sz w:val="24"/>
                <w:szCs w:val="24"/>
                <w:color w:val="auto"/>
              </w:rPr>
            </w:pPr>
          </w:p>
        </w:tc>
        <w:tc>
          <w:tcPr>
            <w:tcW w:w="48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Incentive Share Option Agreement under the 2014 Equity</w:t>
              </w:r>
            </w:hyperlink>
          </w:p>
        </w:tc>
        <w:tc>
          <w:tcPr>
            <w:tcW w:w="1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42"/>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Plan, effective as of September 20, 2016</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10.18.1+</w:t>
            </w:r>
          </w:p>
        </w:tc>
        <w:tc>
          <w:tcPr>
            <w:tcW w:w="40" w:type="dxa"/>
            <w:vAlign w:val="bottom"/>
          </w:tcPr>
          <w:p>
            <w:pPr>
              <w:spacing w:after="0"/>
              <w:rPr>
                <w:sz w:val="24"/>
                <w:szCs w:val="24"/>
                <w:color w:val="auto"/>
              </w:rPr>
            </w:pPr>
          </w:p>
        </w:tc>
        <w:tc>
          <w:tcPr>
            <w:tcW w:w="47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Restricted Share Unit Agreement under the 2014 Equity</w:t>
              </w:r>
            </w:hyperlink>
          </w:p>
        </w:tc>
        <w:tc>
          <w:tcPr>
            <w:tcW w:w="30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42"/>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Plan, effective as of June 16, 2016</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10.18.2+</w:t>
            </w:r>
          </w:p>
        </w:tc>
        <w:tc>
          <w:tcPr>
            <w:tcW w:w="40" w:type="dxa"/>
            <w:vAlign w:val="bottom"/>
          </w:tcPr>
          <w:p>
            <w:pPr>
              <w:spacing w:after="0"/>
              <w:rPr>
                <w:sz w:val="24"/>
                <w:szCs w:val="24"/>
                <w:color w:val="auto"/>
              </w:rPr>
            </w:pPr>
          </w:p>
        </w:tc>
        <w:tc>
          <w:tcPr>
            <w:tcW w:w="47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Share Unit Agreement under the 2014 Equity</w:t>
              </w:r>
            </w:hyperlink>
          </w:p>
        </w:tc>
        <w:tc>
          <w:tcPr>
            <w:tcW w:w="30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Plan, effective as of January 1, 2018</w:t>
              </w:r>
            </w:hyperlink>
          </w:p>
        </w:tc>
        <w:tc>
          <w:tcPr>
            <w:tcW w:w="20" w:type="dxa"/>
            <w:vAlign w:val="bottom"/>
            <w:tcBorders>
              <w:bottom w:val="single" w:sz="8" w:color="0000EE"/>
            </w:tcBorders>
          </w:tcPr>
          <w:p>
            <w:pPr>
              <w:spacing w:after="0"/>
              <w:rPr>
                <w:sz w:val="17"/>
                <w:szCs w:val="17"/>
                <w:color w:val="auto"/>
              </w:rPr>
            </w:pPr>
          </w:p>
        </w:tc>
        <w:tc>
          <w:tcPr>
            <w:tcW w:w="2380" w:type="dxa"/>
            <w:vAlign w:val="bottom"/>
            <w:gridSpan w:val="30"/>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rPr>
              <w:t>(Exhibit 10.25.2)</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10.18.3+</w:t>
            </w:r>
          </w:p>
        </w:tc>
        <w:tc>
          <w:tcPr>
            <w:tcW w:w="40" w:type="dxa"/>
            <w:vAlign w:val="bottom"/>
          </w:tcPr>
          <w:p>
            <w:pPr>
              <w:spacing w:after="0"/>
              <w:rPr>
                <w:sz w:val="24"/>
                <w:szCs w:val="24"/>
                <w:color w:val="auto"/>
              </w:rPr>
            </w:pPr>
          </w:p>
        </w:tc>
        <w:tc>
          <w:tcPr>
            <w:tcW w:w="47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Share Unit Agreement under the 2014 Equity</w:t>
              </w:r>
            </w:hyperlink>
          </w:p>
        </w:tc>
        <w:tc>
          <w:tcPr>
            <w:tcW w:w="30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Incentive Plan, effective as of January 1, 2019</w:t>
              </w:r>
            </w:hyperlink>
          </w:p>
        </w:tc>
        <w:tc>
          <w:tcPr>
            <w:tcW w:w="20" w:type="dxa"/>
            <w:vAlign w:val="bottom"/>
            <w:tcBorders>
              <w:bottom w:val="single" w:sz="8" w:color="0000EE"/>
            </w:tcBorders>
          </w:tcPr>
          <w:p>
            <w:pPr>
              <w:spacing w:after="0"/>
              <w:rPr>
                <w:sz w:val="17"/>
                <w:szCs w:val="17"/>
                <w:color w:val="auto"/>
              </w:rPr>
            </w:pPr>
          </w:p>
        </w:tc>
        <w:tc>
          <w:tcPr>
            <w:tcW w:w="1680" w:type="dxa"/>
            <w:vAlign w:val="bottom"/>
            <w:gridSpan w:val="22"/>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10.18.4+</w:t>
            </w:r>
          </w:p>
        </w:tc>
        <w:tc>
          <w:tcPr>
            <w:tcW w:w="40" w:type="dxa"/>
            <w:vAlign w:val="bottom"/>
          </w:tcPr>
          <w:p>
            <w:pPr>
              <w:spacing w:after="0"/>
              <w:rPr>
                <w:sz w:val="24"/>
                <w:szCs w:val="24"/>
                <w:color w:val="auto"/>
              </w:rPr>
            </w:pPr>
          </w:p>
        </w:tc>
        <w:tc>
          <w:tcPr>
            <w:tcW w:w="47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Share Unit Agreement under the 2021 Equity</w:t>
              </w:r>
            </w:hyperlink>
          </w:p>
        </w:tc>
        <w:tc>
          <w:tcPr>
            <w:tcW w:w="30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Plan, effective as of August 10, 2021</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8"/>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10.4)</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10.18.5+</w:t>
            </w:r>
          </w:p>
        </w:tc>
        <w:tc>
          <w:tcPr>
            <w:tcW w:w="40" w:type="dxa"/>
            <w:vAlign w:val="bottom"/>
          </w:tcPr>
          <w:p>
            <w:pPr>
              <w:spacing w:after="0"/>
              <w:rPr>
                <w:sz w:val="24"/>
                <w:szCs w:val="24"/>
                <w:color w:val="auto"/>
              </w:rPr>
            </w:pPr>
          </w:p>
        </w:tc>
        <w:tc>
          <w:tcPr>
            <w:tcW w:w="502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Amended and Restated 2019 Performance-Based Restricted</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Share Unit Agreement under the 2014 Equity Incentive Plan,</w:t>
              </w:r>
            </w:hyperlink>
          </w:p>
        </w:tc>
        <w:tc>
          <w:tcPr>
            <w:tcW w:w="60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effective as of March 17, 2021</w:t>
              </w:r>
            </w:hyperlink>
          </w:p>
        </w:tc>
        <w:tc>
          <w:tcPr>
            <w:tcW w:w="20" w:type="dxa"/>
            <w:vAlign w:val="bottom"/>
            <w:tcBorders>
              <w:bottom w:val="single" w:sz="8" w:color="0000EE"/>
            </w:tcBorders>
          </w:tcPr>
          <w:p>
            <w:pPr>
              <w:spacing w:after="0"/>
              <w:rPr>
                <w:sz w:val="17"/>
                <w:szCs w:val="17"/>
                <w:color w:val="auto"/>
              </w:rPr>
            </w:pPr>
          </w:p>
        </w:tc>
        <w:tc>
          <w:tcPr>
            <w:tcW w:w="2800" w:type="dxa"/>
            <w:vAlign w:val="bottom"/>
            <w:gridSpan w:val="35"/>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10.18.6+</w:t>
            </w:r>
          </w:p>
        </w:tc>
        <w:tc>
          <w:tcPr>
            <w:tcW w:w="40" w:type="dxa"/>
            <w:vAlign w:val="bottom"/>
          </w:tcPr>
          <w:p>
            <w:pPr>
              <w:spacing w:after="0"/>
              <w:rPr>
                <w:sz w:val="24"/>
                <w:szCs w:val="24"/>
                <w:color w:val="auto"/>
              </w:rPr>
            </w:pPr>
          </w:p>
        </w:tc>
        <w:tc>
          <w:tcPr>
            <w:tcW w:w="49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2021 Performance-Based Restricted Share Unit Agreement</w:t>
              </w:r>
            </w:hyperlink>
          </w:p>
        </w:tc>
        <w:tc>
          <w:tcPr>
            <w:tcW w:w="1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under the 2014 Equity Incentive Plan, effective as of March 17, 2021</w:t>
              </w:r>
            </w:hyperlink>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10.19.1+</w:t>
            </w:r>
          </w:p>
        </w:tc>
        <w:tc>
          <w:tcPr>
            <w:tcW w:w="40" w:type="dxa"/>
            <w:vAlign w:val="bottom"/>
          </w:tcPr>
          <w:p>
            <w:pPr>
              <w:spacing w:after="0"/>
              <w:rPr>
                <w:sz w:val="24"/>
                <w:szCs w:val="24"/>
                <w:color w:val="auto"/>
              </w:rPr>
            </w:pPr>
          </w:p>
        </w:tc>
        <w:tc>
          <w:tcPr>
            <w:tcW w:w="50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Non-qualified Share Option Agreement for UK Participants</w:t>
              </w:r>
            </w:hyperlink>
          </w:p>
        </w:tc>
        <w:tc>
          <w:tcPr>
            <w:tcW w:w="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under the 2014 Equity Plan, effective as of June 21, 2017</w:t>
              </w:r>
            </w:hyperlink>
          </w:p>
        </w:tc>
        <w:tc>
          <w:tcPr>
            <w:tcW w:w="20" w:type="dxa"/>
            <w:vAlign w:val="bottom"/>
            <w:tcBorders>
              <w:bottom w:val="single" w:sz="8" w:color="0000EE"/>
            </w:tcBorders>
          </w:tcPr>
          <w:p>
            <w:pPr>
              <w:spacing w:after="0"/>
              <w:rPr>
                <w:sz w:val="17"/>
                <w:szCs w:val="17"/>
                <w:color w:val="auto"/>
              </w:rPr>
            </w:pPr>
          </w:p>
        </w:tc>
        <w:tc>
          <w:tcPr>
            <w:tcW w:w="880" w:type="dxa"/>
            <w:vAlign w:val="bottom"/>
            <w:gridSpan w:val="19"/>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10.5)</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10.19.2+</w:t>
            </w:r>
          </w:p>
        </w:tc>
        <w:tc>
          <w:tcPr>
            <w:tcW w:w="40" w:type="dxa"/>
            <w:vAlign w:val="bottom"/>
          </w:tcPr>
          <w:p>
            <w:pPr>
              <w:spacing w:after="0"/>
              <w:rPr>
                <w:sz w:val="24"/>
                <w:szCs w:val="24"/>
                <w:color w:val="auto"/>
              </w:rPr>
            </w:pPr>
          </w:p>
        </w:tc>
        <w:tc>
          <w:tcPr>
            <w:tcW w:w="50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Non-qualified Share Option Agreement for UK Participants</w:t>
              </w:r>
            </w:hyperlink>
          </w:p>
        </w:tc>
        <w:tc>
          <w:tcPr>
            <w:tcW w:w="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10-K</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under the 2014 Equity Plan, effective as of January 1, 2018</w:t>
              </w:r>
            </w:hyperlink>
          </w:p>
        </w:tc>
        <w:tc>
          <w:tcPr>
            <w:tcW w:w="20" w:type="dxa"/>
            <w:vAlign w:val="bottom"/>
            <w:tcBorders>
              <w:bottom w:val="single" w:sz="8" w:color="0000EE"/>
            </w:tcBorders>
          </w:tcPr>
          <w:p>
            <w:pPr>
              <w:spacing w:after="0"/>
              <w:rPr>
                <w:sz w:val="17"/>
                <w:szCs w:val="17"/>
                <w:color w:val="auto"/>
              </w:rPr>
            </w:pPr>
          </w:p>
        </w:tc>
        <w:tc>
          <w:tcPr>
            <w:tcW w:w="74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rPr>
              <w:t>(Exhibit 10.26.2)</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10.19.3+</w:t>
            </w:r>
          </w:p>
        </w:tc>
        <w:tc>
          <w:tcPr>
            <w:tcW w:w="40" w:type="dxa"/>
            <w:vAlign w:val="bottom"/>
          </w:tcPr>
          <w:p>
            <w:pPr>
              <w:spacing w:after="0"/>
              <w:rPr>
                <w:sz w:val="24"/>
                <w:szCs w:val="24"/>
                <w:color w:val="auto"/>
              </w:rPr>
            </w:pPr>
          </w:p>
        </w:tc>
        <w:tc>
          <w:tcPr>
            <w:tcW w:w="50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Non-qualified Share Option Agreement for UK Participants</w:t>
              </w:r>
            </w:hyperlink>
          </w:p>
        </w:tc>
        <w:tc>
          <w:tcPr>
            <w:tcW w:w="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42"/>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under the 2021 Equity Plan, effective as of August 10, 2021</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Borders>
              <w:right w:val="single" w:sz="8" w:color="0000EE"/>
            </w:tcBorders>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10.19.4+</w:t>
            </w:r>
          </w:p>
        </w:tc>
        <w:tc>
          <w:tcPr>
            <w:tcW w:w="40" w:type="dxa"/>
            <w:vAlign w:val="bottom"/>
          </w:tcPr>
          <w:p>
            <w:pPr>
              <w:spacing w:after="0"/>
              <w:rPr>
                <w:sz w:val="24"/>
                <w:szCs w:val="24"/>
                <w:color w:val="auto"/>
              </w:rPr>
            </w:pPr>
          </w:p>
        </w:tc>
        <w:tc>
          <w:tcPr>
            <w:tcW w:w="498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Restricted Share Unit Agreement for UK Participants under</w:t>
              </w:r>
            </w:hyperlink>
          </w:p>
        </w:tc>
        <w:tc>
          <w:tcPr>
            <w:tcW w:w="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gridSpan w:val="42"/>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the 2021 Equity Plan, effective as of August 10, 2021</w:t>
              </w:r>
            </w:hyperlink>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4"/>
            <w:shd w:val="clear" w:color="auto" w:fill="0000FF"/>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10.20.1+</w:t>
            </w:r>
          </w:p>
        </w:tc>
        <w:tc>
          <w:tcPr>
            <w:tcW w:w="40" w:type="dxa"/>
            <w:vAlign w:val="bottom"/>
          </w:tcPr>
          <w:p>
            <w:pPr>
              <w:spacing w:after="0"/>
              <w:rPr>
                <w:sz w:val="24"/>
                <w:szCs w:val="24"/>
                <w:color w:val="auto"/>
              </w:rPr>
            </w:pPr>
          </w:p>
        </w:tc>
        <w:tc>
          <w:tcPr>
            <w:tcW w:w="44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Inducement Non-qualified Share Option Agreement,</w:t>
              </w:r>
            </w:hyperlink>
          </w:p>
        </w:tc>
        <w:tc>
          <w:tcPr>
            <w:tcW w:w="56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effective May 2024</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37"/>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10.20.2+</w:t>
            </w:r>
          </w:p>
        </w:tc>
        <w:tc>
          <w:tcPr>
            <w:tcW w:w="40" w:type="dxa"/>
            <w:vAlign w:val="bottom"/>
          </w:tcPr>
          <w:p>
            <w:pPr>
              <w:spacing w:after="0"/>
              <w:rPr>
                <w:sz w:val="24"/>
                <w:szCs w:val="24"/>
                <w:color w:val="auto"/>
              </w:rPr>
            </w:pPr>
          </w:p>
        </w:tc>
        <w:tc>
          <w:tcPr>
            <w:tcW w:w="504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Inducement Restricted Share Unit Agreement, effective May</w:t>
              </w:r>
            </w:hyperlink>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4"/>
              </w:rPr>
            </w:pPr>
            <w:hyperlink r:id="rId141">
              <w:r>
                <w:rPr>
                  <w:rFonts w:ascii="Times New Roman" w:cs="Times New Roman" w:eastAsia="Times New Roman" w:hAnsi="Times New Roman"/>
                  <w:sz w:val="18"/>
                  <w:szCs w:val="18"/>
                  <w:color w:val="0000FF"/>
                  <w:w w:val="94"/>
                </w:rPr>
                <w:t>2024</w:t>
              </w:r>
            </w:hyperlink>
          </w:p>
        </w:tc>
        <w:tc>
          <w:tcPr>
            <w:tcW w:w="20" w:type="dxa"/>
            <w:vAlign w:val="bottom"/>
            <w:tcBorders>
              <w:bottom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0" w:type="dxa"/>
            <w:vAlign w:val="bottom"/>
          </w:tcPr>
          <w:p>
            <w:pPr>
              <w:spacing w:after="0"/>
              <w:rPr>
                <w:sz w:val="1"/>
                <w:szCs w:val="1"/>
                <w:color w:val="auto"/>
              </w:rPr>
            </w:pPr>
          </w:p>
        </w:tc>
      </w:tr>
      <w:tr>
        <w:trPr>
          <w:trHeight w:val="31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10.21.1</w:t>
            </w:r>
          </w:p>
        </w:tc>
        <w:tc>
          <w:tcPr>
            <w:tcW w:w="40" w:type="dxa"/>
            <w:vAlign w:val="bottom"/>
          </w:tcPr>
          <w:p>
            <w:pPr>
              <w:spacing w:after="0"/>
              <w:rPr>
                <w:sz w:val="24"/>
                <w:szCs w:val="24"/>
                <w:color w:val="auto"/>
              </w:rPr>
            </w:pPr>
          </w:p>
        </w:tc>
        <w:tc>
          <w:tcPr>
            <w:tcW w:w="47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Open Market Sale Agreement, dated as of May 10, 2019, by and</w:t>
              </w:r>
            </w:hyperlink>
          </w:p>
        </w:tc>
        <w:tc>
          <w:tcPr>
            <w:tcW w:w="32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Form S-3ASR</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between the Registrant and Jefferies LLC</w:t>
              </w:r>
            </w:hyperlink>
          </w:p>
        </w:tc>
        <w:tc>
          <w:tcPr>
            <w:tcW w:w="20" w:type="dxa"/>
            <w:vAlign w:val="bottom"/>
            <w:tcBorders>
              <w:bottom w:val="single" w:sz="8" w:color="0000EE"/>
            </w:tcBorders>
          </w:tcPr>
          <w:p>
            <w:pPr>
              <w:spacing w:after="0"/>
              <w:rPr>
                <w:sz w:val="17"/>
                <w:szCs w:val="17"/>
                <w:color w:val="auto"/>
              </w:rPr>
            </w:pPr>
          </w:p>
        </w:tc>
        <w:tc>
          <w:tcPr>
            <w:tcW w:w="2020" w:type="dxa"/>
            <w:vAlign w:val="bottom"/>
            <w:gridSpan w:val="25"/>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9"/>
              </w:rPr>
              <w:t>(Exhibit 1.2)</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10.21.2</w:t>
            </w:r>
          </w:p>
        </w:tc>
        <w:tc>
          <w:tcPr>
            <w:tcW w:w="40" w:type="dxa"/>
            <w:vAlign w:val="bottom"/>
          </w:tcPr>
          <w:p>
            <w:pPr>
              <w:spacing w:after="0"/>
              <w:rPr>
                <w:sz w:val="24"/>
                <w:szCs w:val="24"/>
                <w:color w:val="auto"/>
              </w:rPr>
            </w:pPr>
          </w:p>
        </w:tc>
        <w:tc>
          <w:tcPr>
            <w:tcW w:w="46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No. 1 to Open Market Sale Agreement, dated as of</w:t>
              </w:r>
            </w:hyperlink>
          </w:p>
        </w:tc>
        <w:tc>
          <w:tcPr>
            <w:tcW w:w="40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POSASR</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March 2, 2020, by and between the Registrant and Jefferies LLC</w:t>
              </w:r>
            </w:hyperlink>
          </w:p>
        </w:tc>
        <w:tc>
          <w:tcPr>
            <w:tcW w:w="20" w:type="dxa"/>
            <w:vAlign w:val="bottom"/>
            <w:tcBorders>
              <w:bottom w:val="single" w:sz="8" w:color="0000EE"/>
            </w:tcBorders>
          </w:tcPr>
          <w:p>
            <w:pPr>
              <w:spacing w:after="0"/>
              <w:rPr>
                <w:sz w:val="17"/>
                <w:szCs w:val="17"/>
                <w:color w:val="auto"/>
              </w:rPr>
            </w:pPr>
          </w:p>
        </w:tc>
        <w:tc>
          <w:tcPr>
            <w:tcW w:w="34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2"/>
              <w:spacing w:after="0" w:line="196" w:lineRule="exact"/>
              <w:rPr>
                <w:sz w:val="20"/>
                <w:szCs w:val="20"/>
                <w:color w:val="auto"/>
              </w:rPr>
            </w:pPr>
            <w:r>
              <w:rPr>
                <w:rFonts w:ascii="Times New Roman" w:cs="Times New Roman" w:eastAsia="Times New Roman" w:hAnsi="Times New Roman"/>
                <w:sz w:val="18"/>
                <w:szCs w:val="18"/>
                <w:color w:val="auto"/>
                <w:w w:val="99"/>
              </w:rPr>
              <w:t>(Exhibit 1.3)</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10.21.3</w:t>
            </w:r>
          </w:p>
        </w:tc>
        <w:tc>
          <w:tcPr>
            <w:tcW w:w="40" w:type="dxa"/>
            <w:vAlign w:val="bottom"/>
          </w:tcPr>
          <w:p>
            <w:pPr>
              <w:spacing w:after="0"/>
              <w:rPr>
                <w:sz w:val="24"/>
                <w:szCs w:val="24"/>
                <w:color w:val="auto"/>
              </w:rPr>
            </w:pPr>
          </w:p>
        </w:tc>
        <w:tc>
          <w:tcPr>
            <w:tcW w:w="48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No. 2, dated March 3, 2022, to the Open Market Sale</w:t>
              </w:r>
            </w:hyperlink>
          </w:p>
        </w:tc>
        <w:tc>
          <w:tcPr>
            <w:tcW w:w="2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Agreement, dated as of May 10, 2019, by and between Wave Life</w:t>
              </w:r>
            </w:hyperlink>
          </w:p>
        </w:tc>
        <w:tc>
          <w:tcPr>
            <w:tcW w:w="2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Sciences Ltd. and Jefferies LLC</w:t>
              </w:r>
            </w:hyperlink>
          </w:p>
        </w:tc>
        <w:tc>
          <w:tcPr>
            <w:tcW w:w="40" w:type="dxa"/>
            <w:vAlign w:val="bottom"/>
            <w:tcBorders>
              <w:bottom w:val="single" w:sz="8" w:color="0000EE"/>
            </w:tcBorders>
          </w:tcPr>
          <w:p>
            <w:pPr>
              <w:spacing w:after="0"/>
              <w:rPr>
                <w:sz w:val="17"/>
                <w:szCs w:val="17"/>
                <w:color w:val="auto"/>
              </w:rPr>
            </w:pPr>
          </w:p>
        </w:tc>
        <w:tc>
          <w:tcPr>
            <w:tcW w:w="2680" w:type="dxa"/>
            <w:vAlign w:val="bottom"/>
            <w:gridSpan w:val="33"/>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4860" w:type="dxa"/>
            <w:vAlign w:val="bottom"/>
            <w:gridSpan w:val="36"/>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11/10/2021</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12/17/2015 333-208598</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11/09/2017</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11/09/2017</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03/01/2019</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05/10/2019</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11/10/2021</w:t>
      </w:r>
      <w:r>
        <w:rPr>
          <w:sz w:val="20"/>
          <w:szCs w:val="20"/>
          <w:color w:val="auto"/>
        </w:rPr>
        <w:tab/>
      </w:r>
      <w:r>
        <w:rPr>
          <w:rFonts w:ascii="Times New Roman" w:cs="Times New Roman" w:eastAsia="Times New Roman" w:hAnsi="Times New Roman"/>
          <w:sz w:val="17"/>
          <w:szCs w:val="17"/>
          <w:color w:val="auto"/>
        </w:rPr>
        <w:t>001-37627</w:t>
      </w:r>
    </w:p>
    <w:p>
      <w:pPr>
        <w:spacing w:after="0" w:line="200" w:lineRule="exact"/>
        <w:rPr>
          <w:sz w:val="20"/>
          <w:szCs w:val="20"/>
          <w:color w:val="auto"/>
        </w:rPr>
      </w:pPr>
    </w:p>
    <w:p>
      <w:pPr>
        <w:spacing w:after="0" w:line="34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05/13/2021</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05/13/2021</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11/09/2017</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03/01/2019</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11/10/2021</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11/10/2021</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08/08/2024</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08/08/2024</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05/10/2019 333-231382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03/02/2020 333-231382</w:t>
      </w:r>
    </w:p>
    <w:p>
      <w:pPr>
        <w:spacing w:after="0" w:line="200" w:lineRule="exact"/>
        <w:rPr>
          <w:sz w:val="20"/>
          <w:szCs w:val="20"/>
          <w:color w:val="auto"/>
        </w:rPr>
      </w:pPr>
    </w:p>
    <w:p>
      <w:pPr>
        <w:spacing w:after="0" w:line="34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03/03/2022</w:t>
      </w:r>
      <w:r>
        <w:rPr>
          <w:sz w:val="20"/>
          <w:szCs w:val="20"/>
          <w:color w:val="auto"/>
        </w:rPr>
        <w:tab/>
      </w:r>
      <w:r>
        <w:rPr>
          <w:rFonts w:ascii="Times New Roman" w:cs="Times New Roman" w:eastAsia="Times New Roman" w:hAnsi="Times New Roman"/>
          <w:sz w:val="17"/>
          <w:szCs w:val="17"/>
          <w:color w:val="auto"/>
        </w:rPr>
        <w:t>001-37627</w:t>
      </w:r>
    </w:p>
    <w:p>
      <w:pPr>
        <w:sectPr>
          <w:pgSz w:w="11900" w:h="16838" w:orient="portrait"/>
          <w:cols w:equalWidth="0" w:num="2">
            <w:col w:w="9340" w:space="60"/>
            <w:col w:w="1840"/>
          </w:cols>
          <w:pgMar w:left="320" w:top="123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94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2"/>
                <w:szCs w:val="12"/>
                <w:color w:val="auto"/>
              </w:rPr>
            </w:pPr>
          </w:p>
        </w:tc>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Filed with this Report</w:t>
            </w:r>
          </w:p>
        </w:tc>
        <w:tc>
          <w:tcPr>
            <w:tcW w:w="1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1236"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10.21.4</w:t>
            </w:r>
          </w:p>
        </w:tc>
        <w:tc>
          <w:tcPr>
            <w:tcW w:w="48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Amendment No. 3, dated November 12, 2024, to the Open Market</w:t>
              </w:r>
            </w:hyperlink>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Sale Agreement, dated as of May 10, 2019, by and between Wave</w:t>
              </w:r>
            </w:hyperlink>
          </w:p>
        </w:tc>
        <w:tc>
          <w:tcPr>
            <w:tcW w:w="180" w:type="dxa"/>
            <w:vAlign w:val="bottom"/>
            <w:gridSpan w:val="2"/>
          </w:tcPr>
          <w:p>
            <w:pPr>
              <w:spacing w:after="0"/>
              <w:rPr>
                <w:sz w:val="17"/>
                <w:szCs w:val="17"/>
                <w:color w:val="auto"/>
              </w:rPr>
            </w:pPr>
          </w:p>
        </w:tc>
        <w:tc>
          <w:tcPr>
            <w:tcW w:w="306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r>
      <w:tr>
        <w:trPr>
          <w:trHeight w:val="196"/>
        </w:trPr>
        <w:tc>
          <w:tcPr>
            <w:tcW w:w="980" w:type="dxa"/>
            <w:vAlign w:val="bottom"/>
          </w:tcPr>
          <w:p>
            <w:pPr>
              <w:spacing w:after="0"/>
              <w:rPr>
                <w:sz w:val="17"/>
                <w:szCs w:val="17"/>
                <w:color w:val="auto"/>
              </w:rPr>
            </w:pPr>
          </w:p>
        </w:tc>
        <w:tc>
          <w:tcPr>
            <w:tcW w:w="5000" w:type="dxa"/>
            <w:vAlign w:val="bottom"/>
            <w:gridSpan w:val="1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Life Sciences Ltd. and Jefferies LLC</w:t>
              </w:r>
            </w:hyperlink>
          </w:p>
        </w:tc>
        <w:tc>
          <w:tcPr>
            <w:tcW w:w="3060" w:type="dxa"/>
            <w:vAlign w:val="bottom"/>
          </w:tcPr>
          <w:p>
            <w:pPr>
              <w:jc w:val="center"/>
              <w:ind w:left="1950"/>
              <w:spacing w:after="0" w:line="196" w:lineRule="exact"/>
              <w:rPr>
                <w:sz w:val="20"/>
                <w:szCs w:val="20"/>
                <w:color w:val="auto"/>
              </w:rPr>
            </w:pPr>
            <w:r>
              <w:rPr>
                <w:rFonts w:ascii="Times New Roman" w:cs="Times New Roman" w:eastAsia="Times New Roman" w:hAnsi="Times New Roman"/>
                <w:sz w:val="18"/>
                <w:szCs w:val="18"/>
                <w:color w:val="auto"/>
              </w:rPr>
              <w:t>(Exhibit 10.1)</w:t>
            </w:r>
          </w:p>
        </w:tc>
      </w:tr>
      <w:tr>
        <w:trPr>
          <w:trHeight w:val="33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66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Insider Trading Policy</w:t>
              </w:r>
            </w:hyperlink>
          </w:p>
        </w:tc>
        <w:tc>
          <w:tcPr>
            <w:tcW w:w="2340" w:type="dxa"/>
            <w:vAlign w:val="bottom"/>
            <w:gridSpan w:val="6"/>
          </w:tcPr>
          <w:p>
            <w:pPr>
              <w:spacing w:after="0"/>
              <w:rPr>
                <w:sz w:val="24"/>
                <w:szCs w:val="24"/>
                <w:color w:val="auto"/>
              </w:rPr>
            </w:pPr>
          </w:p>
        </w:tc>
        <w:tc>
          <w:tcPr>
            <w:tcW w:w="306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Form 10-K</w:t>
            </w:r>
          </w:p>
        </w:tc>
      </w:tr>
      <w:tr>
        <w:trPr>
          <w:trHeight w:val="237"/>
        </w:trPr>
        <w:tc>
          <w:tcPr>
            <w:tcW w:w="98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(Exhibit 19.1)</w:t>
            </w: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000" w:type="dxa"/>
            <w:vAlign w:val="bottom"/>
            <w:gridSpan w:val="1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List of Subsidiaries of the Registrant</w:t>
              </w:r>
            </w:hyperlink>
          </w:p>
        </w:tc>
        <w:tc>
          <w:tcPr>
            <w:tcW w:w="306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Form 10-K</w:t>
            </w:r>
          </w:p>
        </w:tc>
      </w:tr>
      <w:tr>
        <w:trPr>
          <w:trHeight w:val="237"/>
        </w:trPr>
        <w:tc>
          <w:tcPr>
            <w:tcW w:w="98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(Exhibit 21.1)</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00" w:type="dxa"/>
            <w:vAlign w:val="bottom"/>
            <w:gridSpan w:val="1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Consent of Independent Registered Public Accounting Firm</w:t>
              </w:r>
            </w:hyperlink>
          </w:p>
        </w:tc>
        <w:tc>
          <w:tcPr>
            <w:tcW w:w="306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Form 10-K</w:t>
            </w:r>
          </w:p>
        </w:tc>
      </w:tr>
      <w:tr>
        <w:trPr>
          <w:trHeight w:val="237"/>
        </w:trPr>
        <w:tc>
          <w:tcPr>
            <w:tcW w:w="980" w:type="dxa"/>
            <w:vAlign w:val="bottom"/>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(Exhibit 23.1)</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00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Power of Attorney (included on signature page to the Original 10-K)</w:t>
              </w:r>
            </w:hyperlink>
          </w:p>
        </w:tc>
        <w:tc>
          <w:tcPr>
            <w:tcW w:w="306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Form 10-K</w:t>
            </w:r>
          </w:p>
        </w:tc>
      </w:tr>
      <w:tr>
        <w:trPr>
          <w:trHeight w:val="237"/>
        </w:trPr>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(Exhibit 24.1)</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pursuant to Rule 13a-</w:t>
            </w:r>
          </w:p>
        </w:tc>
        <w:tc>
          <w:tcPr>
            <w:tcW w:w="306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40" w:type="dxa"/>
            <w:vAlign w:val="bottom"/>
            <w:tcBorders>
              <w:top w:val="single" w:sz="8" w:color="0000FF"/>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14(a)</w:t>
            </w:r>
          </w:p>
        </w:tc>
        <w:tc>
          <w:tcPr>
            <w:tcW w:w="4360" w:type="dxa"/>
            <w:vAlign w:val="bottom"/>
            <w:tcBorders>
              <w:top w:val="single" w:sz="8" w:color="0000FF"/>
            </w:tcBorders>
            <w:gridSpan w:val="6"/>
          </w:tcPr>
          <w:p>
            <w:pPr>
              <w:spacing w:after="0"/>
              <w:rPr>
                <w:sz w:val="17"/>
                <w:szCs w:val="17"/>
                <w:color w:val="auto"/>
              </w:rPr>
            </w:pPr>
          </w:p>
        </w:tc>
        <w:tc>
          <w:tcPr>
            <w:tcW w:w="200" w:type="dxa"/>
            <w:vAlign w:val="bottom"/>
            <w:gridSpan w:val="3"/>
          </w:tcPr>
          <w:p>
            <w:pPr>
              <w:spacing w:after="0"/>
              <w:rPr>
                <w:sz w:val="17"/>
                <w:szCs w:val="17"/>
                <w:color w:val="auto"/>
              </w:rPr>
            </w:pPr>
          </w:p>
        </w:tc>
        <w:tc>
          <w:tcPr>
            <w:tcW w:w="306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30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Certifications of Principal Financial Officer pursuant to Rule 13a-</w:t>
            </w:r>
          </w:p>
        </w:tc>
        <w:tc>
          <w:tcPr>
            <w:tcW w:w="240" w:type="dxa"/>
            <w:vAlign w:val="bottom"/>
            <w:gridSpan w:val="4"/>
          </w:tcPr>
          <w:p>
            <w:pPr>
              <w:spacing w:after="0"/>
              <w:rPr>
                <w:sz w:val="24"/>
                <w:szCs w:val="24"/>
                <w:color w:val="auto"/>
              </w:rPr>
            </w:pPr>
          </w:p>
        </w:tc>
        <w:tc>
          <w:tcPr>
            <w:tcW w:w="306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14(a)</w:t>
            </w:r>
          </w:p>
        </w:tc>
        <w:tc>
          <w:tcPr>
            <w:tcW w:w="4560" w:type="dxa"/>
            <w:vAlign w:val="bottom"/>
            <w:gridSpan w:val="9"/>
          </w:tcPr>
          <w:p>
            <w:pPr>
              <w:spacing w:after="0"/>
              <w:rPr>
                <w:sz w:val="17"/>
                <w:szCs w:val="17"/>
                <w:color w:val="auto"/>
              </w:rPr>
            </w:pPr>
          </w:p>
        </w:tc>
        <w:tc>
          <w:tcPr>
            <w:tcW w:w="306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11/12/2024</w:t>
      </w:r>
      <w:r>
        <w:rPr>
          <w:sz w:val="20"/>
          <w:szCs w:val="20"/>
          <w:color w:val="auto"/>
        </w:rPr>
        <w:tab/>
      </w:r>
      <w:r>
        <w:rPr>
          <w:rFonts w:ascii="Times New Roman" w:cs="Times New Roman" w:eastAsia="Times New Roman" w:hAnsi="Times New Roman"/>
          <w:sz w:val="17"/>
          <w:szCs w:val="17"/>
          <w:color w:val="auto"/>
        </w:rPr>
        <w:t>001-37627</w:t>
      </w:r>
    </w:p>
    <w:p>
      <w:pPr>
        <w:spacing w:after="0" w:line="3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03/12/2018</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1184" w:lineRule="exact"/>
        <w:rPr>
          <w:sz w:val="20"/>
          <w:szCs w:val="20"/>
          <w:color w:val="auto"/>
        </w:rPr>
      </w:pPr>
    </w:p>
    <w:p>
      <w:pPr>
        <w:sectPr>
          <w:pgSz w:w="11900" w:h="16838" w:orient="portrait"/>
          <w:cols w:equalWidth="0" w:num="2">
            <w:col w:w="9040" w:space="360"/>
            <w:col w:w="1840"/>
          </w:cols>
          <w:pgMar w:left="320" w:top="123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0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Certification pursuant to 18 U.S.C. Section 1350, as adopted pursuant</w:t>
              </w:r>
            </w:hyperlink>
          </w:p>
        </w:tc>
      </w:tr>
      <w:tr>
        <w:trPr>
          <w:trHeight w:val="196"/>
        </w:trPr>
        <w:tc>
          <w:tcPr>
            <w:tcW w:w="980" w:type="dxa"/>
            <w:vAlign w:val="bottom"/>
          </w:tcPr>
          <w:p>
            <w:pPr>
              <w:spacing w:after="0"/>
              <w:rPr>
                <w:sz w:val="17"/>
                <w:szCs w:val="17"/>
                <w:color w:val="auto"/>
              </w:rPr>
            </w:pPr>
          </w:p>
        </w:tc>
        <w:tc>
          <w:tcPr>
            <w:tcW w:w="46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Section 906 of the Sarbanes-Oxley Act of 2002, by Principal</w:t>
              </w:r>
            </w:hyperlink>
          </w:p>
        </w:tc>
        <w:tc>
          <w:tcPr>
            <w:tcW w:w="4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6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Executive Officer and Principal Financial Officer.</w:t>
              </w:r>
            </w:hyperlink>
          </w:p>
        </w:tc>
        <w:tc>
          <w:tcPr>
            <w:tcW w:w="1420" w:type="dxa"/>
            <w:vAlign w:val="bottom"/>
            <w:gridSpan w:val="2"/>
          </w:tcPr>
          <w:p>
            <w:pPr>
              <w:spacing w:after="0"/>
              <w:rPr>
                <w:sz w:val="17"/>
                <w:szCs w:val="17"/>
                <w:color w:val="auto"/>
              </w:rPr>
            </w:pPr>
          </w:p>
        </w:tc>
      </w:tr>
      <w:tr>
        <w:trPr>
          <w:trHeight w:val="33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040" w:type="dxa"/>
            <w:vAlign w:val="bottom"/>
            <w:gridSpan w:val="4"/>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Clawback Policy, effective as of October 2, 2023</w:t>
              </w:r>
            </w:hyperlink>
          </w:p>
        </w:tc>
      </w:tr>
      <w:tr>
        <w:trPr>
          <w:trHeight w:val="20"/>
        </w:trPr>
        <w:tc>
          <w:tcPr>
            <w:tcW w:w="980" w:type="dxa"/>
            <w:vAlign w:val="bottom"/>
          </w:tcPr>
          <w:p>
            <w:pPr>
              <w:spacing w:after="0" w:line="20" w:lineRule="exact"/>
              <w:rPr>
                <w:sz w:val="1"/>
                <w:szCs w:val="1"/>
                <w:color w:val="auto"/>
              </w:rPr>
            </w:pPr>
          </w:p>
        </w:tc>
        <w:tc>
          <w:tcPr>
            <w:tcW w:w="35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5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w:t>
            </w:r>
          </w:p>
        </w:tc>
      </w:tr>
      <w:tr>
        <w:trPr>
          <w:trHeight w:val="216"/>
        </w:trPr>
        <w:tc>
          <w:tcPr>
            <w:tcW w:w="98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tc>
      </w:tr>
      <w:tr>
        <w:trPr>
          <w:trHeight w:val="234"/>
        </w:trPr>
        <w:tc>
          <w:tcPr>
            <w:tcW w:w="980" w:type="dxa"/>
            <w:vAlign w:val="bottom"/>
          </w:tcPr>
          <w:p>
            <w:pPr>
              <w:spacing w:after="0"/>
              <w:rPr>
                <w:sz w:val="20"/>
                <w:szCs w:val="20"/>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200" w:lineRule="exact"/>
        <w:rPr>
          <w:sz w:val="20"/>
          <w:szCs w:val="20"/>
          <w:color w:val="auto"/>
        </w:rPr>
      </w:pPr>
    </w:p>
    <w:p>
      <w:pPr>
        <w:spacing w:after="0" w:line="227" w:lineRule="exact"/>
        <w:rPr>
          <w:sz w:val="20"/>
          <w:szCs w:val="20"/>
          <w:color w:val="auto"/>
        </w:rPr>
      </w:pPr>
    </w:p>
    <w:p>
      <w:pPr>
        <w:ind w:left="980" w:right="1120" w:hanging="972"/>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this Amendment No. 1 to the Annual Report on Form 10-K for the year ended December 31, 2024 has been formatted in Inline XBRL.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(Exhibit 32)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97.1)</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101.INS)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101.SCH)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03/06/2024</w:t>
      </w:r>
      <w:r>
        <w:rPr>
          <w:sz w:val="20"/>
          <w:szCs w:val="20"/>
          <w:color w:val="auto"/>
        </w:rPr>
        <w:tab/>
      </w:r>
      <w:r>
        <w:rPr>
          <w:rFonts w:ascii="Times New Roman" w:cs="Times New Roman" w:eastAsia="Times New Roman" w:hAnsi="Times New Roman"/>
          <w:sz w:val="17"/>
          <w:szCs w:val="17"/>
          <w:color w:val="auto"/>
        </w:rPr>
        <w:t>001-37627</w:t>
      </w:r>
    </w:p>
    <w:p>
      <w:pPr>
        <w:spacing w:after="0" w:line="200" w:lineRule="exact"/>
        <w:rPr>
          <w:sz w:val="20"/>
          <w:szCs w:val="20"/>
          <w:color w:val="auto"/>
        </w:rPr>
      </w:pPr>
    </w:p>
    <w:p>
      <w:pPr>
        <w:spacing w:after="0" w:line="34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03/04/2025</w:t>
      </w:r>
      <w:r>
        <w:rPr>
          <w:sz w:val="20"/>
          <w:szCs w:val="20"/>
          <w:color w:val="auto"/>
        </w:rPr>
        <w:tab/>
      </w:r>
      <w:r>
        <w:rPr>
          <w:rFonts w:ascii="Times New Roman" w:cs="Times New Roman" w:eastAsia="Times New Roman" w:hAnsi="Times New Roman"/>
          <w:sz w:val="17"/>
          <w:szCs w:val="17"/>
          <w:color w:val="auto"/>
        </w:rPr>
        <w:t>001-37627</w:t>
      </w:r>
    </w:p>
    <w:p>
      <w:pPr>
        <w:spacing w:after="0" w:line="225" w:lineRule="exact"/>
        <w:rPr>
          <w:sz w:val="20"/>
          <w:szCs w:val="20"/>
          <w:color w:val="auto"/>
        </w:rPr>
      </w:pPr>
    </w:p>
    <w:p>
      <w:pPr>
        <w:sectPr>
          <w:pgSz w:w="11900" w:h="16838" w:orient="portrait"/>
          <w:cols w:equalWidth="0" w:num="3">
            <w:col w:w="7140" w:space="720"/>
            <w:col w:w="1360" w:space="180"/>
            <w:col w:w="1840"/>
          </w:cols>
          <w:pgMar w:left="320" w:top="1236" w:right="339" w:bottom="1440" w:gutter="0" w:footer="0" w:header="0"/>
          <w:type w:val="continuous"/>
        </w:sectPr>
      </w:pPr>
    </w:p>
    <w:p>
      <w:pPr>
        <w:ind w:left="520" w:right="160" w:hanging="512"/>
        <w:spacing w:after="0" w:line="276" w:lineRule="auto"/>
        <w:tabs>
          <w:tab w:leader="none" w:pos="37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 incorporated by reference as Exhibit 32 that was attached to the Original 10-K is not deemed filed with the SEC and is not to be incorporated by reference into any filing of Wave Life Sciences Ltd. under the Securities Act of 1933, as amended, or the Securities Exchange Act</w:t>
      </w:r>
    </w:p>
    <w:p>
      <w:pPr>
        <w:spacing w:after="0" w:line="1" w:lineRule="exact"/>
        <w:rPr>
          <w:sz w:val="20"/>
          <w:szCs w:val="20"/>
          <w:color w:val="auto"/>
        </w:rPr>
      </w:pPr>
    </w:p>
    <w:p>
      <w:pPr>
        <w:ind w:left="520" w:right="280"/>
        <w:spacing w:after="0" w:line="250" w:lineRule="auto"/>
        <w:rPr>
          <w:sz w:val="20"/>
          <w:szCs w:val="20"/>
          <w:color w:val="auto"/>
        </w:rPr>
      </w:pPr>
      <w:r>
        <w:rPr>
          <w:rFonts w:ascii="Times New Roman" w:cs="Times New Roman" w:eastAsia="Times New Roman" w:hAnsi="Times New Roman"/>
          <w:sz w:val="18"/>
          <w:szCs w:val="18"/>
          <w:color w:val="auto"/>
        </w:rPr>
        <w:t>of 1934, as amended, whether made before or after the date of the Original 10-K, irrespective of any general incorporation language contained in such filing.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9" w:lineRule="exact"/>
        <w:rPr>
          <w:sz w:val="20"/>
          <w:szCs w:val="20"/>
          <w:color w:val="auto"/>
        </w:rPr>
      </w:pPr>
    </w:p>
    <w:p>
      <w:pPr>
        <w:ind w:right="400" w:firstLine="8"/>
        <w:spacing w:after="0" w:line="250"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Omitted portions have been filed separately with the SEC. (††) Certain confidential portions of this Exhibit were omitted by means of marking such portions with brackets (“[***]”) because the identified</w:t>
      </w: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portions (i) are not material and (ii) is the type that the Registrant treats as private or confidential.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type w:val="continuous"/>
        </w:sectPr>
      </w:pPr>
    </w:p>
    <w:bookmarkStart w:id="37" w:name="page38"/>
    <w:bookmarkEnd w:id="37"/>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Amendment No. 1 to Annual Report on Form 10-K/A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9"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Date: April 29, 2025</w:t>
      </w:r>
      <w:r>
        <w:rPr>
          <w:sz w:val="20"/>
          <w:szCs w:val="20"/>
          <w:color w:val="auto"/>
        </w:rPr>
        <w:tab/>
      </w:r>
      <w:r>
        <w:rPr>
          <w:rFonts w:ascii="Times New Roman" w:cs="Times New Roman" w:eastAsia="Times New Roman" w:hAnsi="Times New Roman"/>
          <w:sz w:val="18"/>
          <w:szCs w:val="18"/>
          <w:color w:val="auto"/>
        </w:rPr>
        <w:t>By: /s/ 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5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Paul B. Bolno, M.D., MBA</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08" w:right="5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 Bolno, M.D., certify that:</w:t>
      </w:r>
    </w:p>
    <w:p>
      <w:pPr>
        <w:spacing w:after="0" w:line="117"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10-K/A of Wave Life Sciences Ltd.; and</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0" w:lineRule="exact"/>
        <w:rPr>
          <w:sz w:val="20"/>
          <w:szCs w:val="20"/>
          <w:color w:val="auto"/>
        </w:rPr>
      </w:pP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 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color w:val="auto"/>
        </w:rPr>
        <w:t>Paul B. Bolno, M.D., MBA</w:t>
      </w:r>
    </w:p>
    <w:p>
      <w:pPr>
        <w:spacing w:after="0" w:line="27"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Moran, certify that:</w:t>
      </w:r>
    </w:p>
    <w:p>
      <w:pPr>
        <w:spacing w:after="0" w:line="117"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10-K/A of Wave Life Sciences Ltd.; and</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0" w:lineRule="exact"/>
        <w:rPr>
          <w:sz w:val="20"/>
          <w:szCs w:val="20"/>
          <w:color w:val="auto"/>
        </w:rPr>
      </w:pPr>
    </w:p>
    <w:p>
      <w:pPr>
        <w:spacing w:after="0" w:line="29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color w:val="auto"/>
        </w:rPr>
        <w:t>Kyle Moran</w:t>
      </w:r>
    </w:p>
    <w:p>
      <w:pPr>
        <w:spacing w:after="0" w:line="27"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9"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9" w:right="37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amp;"/>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upperLetter"/>
      <w:start w:val="1"/>
    </w:lvl>
    <w:lvl w:ilvl="1">
      <w:lvlJc w:val="left"/>
      <w:lvlText w:val="•"/>
      <w:numFmt w:val="bullet"/>
      <w:start w:val="1"/>
    </w:lvl>
  </w:abstractNum>
  <w:abstractNum w:abstractNumId="22">
    <w:nsid w:val="836C40E"/>
    <w:multiLevelType w:val="hybridMultilevel"/>
    <w:lvl w:ilvl="0">
      <w:lvlJc w:val="left"/>
      <w:lvlText w:val="(%1)"/>
      <w:numFmt w:val="upperLetter"/>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45"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85" Type="http://schemas.openxmlformats.org/officeDocument/2006/relationships/hyperlink" Target="https://www.sec.gov/Archives/edgar/data/1631574/000119312515372814/d42123dex32.htm" TargetMode="External"/><Relationship Id="rId86" Type="http://schemas.openxmlformats.org/officeDocument/2006/relationships/hyperlink" Target="https://www.sec.gov/Archives/edgar/data/1631574/000119312515370294/d42123dex41.htm" TargetMode="External"/><Relationship Id="rId87" Type="http://schemas.openxmlformats.org/officeDocument/2006/relationships/hyperlink" Target="https://www.sec.gov/Archives/edgar/data/1631574/000095017025031322/wve-ex4_2.htm" TargetMode="External"/><Relationship Id="rId88" Type="http://schemas.openxmlformats.org/officeDocument/2006/relationships/hyperlink" Target="https://www.sec.gov/Archives/edgar/data/1631574/000119312522173529/d364213dex41.htm" TargetMode="External"/><Relationship Id="rId89" Type="http://schemas.openxmlformats.org/officeDocument/2006/relationships/hyperlink" Target="https://www.sec.gov/Archives/edgar/data/1631574/000119312524227053/d817468dex41.htm" TargetMode="External"/><Relationship Id="rId90" Type="http://schemas.openxmlformats.org/officeDocument/2006/relationships/hyperlink" Target="https://www.sec.gov/Archives/edgar/data/1631574/000119312516682053/d207833dex102.htm" TargetMode="External"/><Relationship Id="rId91" Type="http://schemas.openxmlformats.org/officeDocument/2006/relationships/hyperlink" Target="https://www.sec.gov/Archives/edgar/data/1631574/000119312515341447/d42123dex107.htm" TargetMode="External"/><Relationship Id="rId94" Type="http://schemas.openxmlformats.org/officeDocument/2006/relationships/hyperlink" Target="https://www.sec.gov/Archives/edgar/data/1631574/000156459021010718/wve-ex1052_412.htm" TargetMode="External"/><Relationship Id="rId98" Type="http://schemas.openxmlformats.org/officeDocument/2006/relationships/hyperlink" Target="https://www.sec.gov/Archives/edgar/data/1631574/000095017022016653/wve-ex10_1.htm" TargetMode="External"/><Relationship Id="rId102" Type="http://schemas.openxmlformats.org/officeDocument/2006/relationships/hyperlink" Target="https://www.sec.gov/Archives/edgar/data/1631574/000119312516720779/d261915dex101.htm" TargetMode="External"/><Relationship Id="rId105" Type="http://schemas.openxmlformats.org/officeDocument/2006/relationships/hyperlink" Target="https://www.sec.gov/Archives/edgar/data/1631574/000119312517004500/d287789dex101.htm" TargetMode="External"/><Relationship Id="rId110" Type="http://schemas.openxmlformats.org/officeDocument/2006/relationships/hyperlink" Target="https://www.sec.gov/Archives/edgar/data/1631574/000095017023009319/wve-ex10_3.htm" TargetMode="External"/><Relationship Id="rId111" Type="http://schemas.openxmlformats.org/officeDocument/2006/relationships/hyperlink" Target="https://www.sec.gov/Archives/edgar/data/1631574/000095017023009319/wve-ex10_4.htm" TargetMode="External"/><Relationship Id="rId112" Type="http://schemas.openxmlformats.org/officeDocument/2006/relationships/hyperlink" Target="https://www.sec.gov/Archives/edgar/data/1631574/000095017023009319/wve-ex10_5.htm" TargetMode="External"/><Relationship Id="rId113" Type="http://schemas.openxmlformats.org/officeDocument/2006/relationships/hyperlink" Target="https://www.sec.gov/Archives/edgar/data/1631574/000119312515341447/d42123dex1011.htm" TargetMode="External"/><Relationship Id="rId114" Type="http://schemas.openxmlformats.org/officeDocument/2006/relationships/hyperlink" Target="https://www.sec.gov/Archives/edgar/data/1631574/000156459020038620/wve-ex101_128.htm" TargetMode="External"/><Relationship Id="rId115" Type="http://schemas.openxmlformats.org/officeDocument/2006/relationships/hyperlink" Target="https://www.sec.gov/Archives/edgar/data/1631574/000156459020038620/wve-ex102_129.htm" TargetMode="External"/><Relationship Id="rId116" Type="http://schemas.openxmlformats.org/officeDocument/2006/relationships/hyperlink" Target="https://www.sec.gov/Archives/edgar/data/1631574/000095017023009319/wve-ex10_12.htm" TargetMode="External"/><Relationship Id="rId117" Type="http://schemas.openxmlformats.org/officeDocument/2006/relationships/hyperlink" Target="https://www.sec.gov/Archives/edgar/data/1631574/000156459021010718/wve-ex1015_410.htm" TargetMode="External"/><Relationship Id="rId118" Type="http://schemas.openxmlformats.org/officeDocument/2006/relationships/hyperlink" Target="https://www.sec.gov/Archives/edgar/data/1631574/000095017024124595/wve-ex10_2.htm" TargetMode="External"/><Relationship Id="rId119" Type="http://schemas.openxmlformats.org/officeDocument/2006/relationships/hyperlink" Target="https://www.sec.gov/Archives/edgar/data/1631574/000119312515341447/d42123dex1016.htm" TargetMode="External"/><Relationship Id="rId120" Type="http://schemas.openxmlformats.org/officeDocument/2006/relationships/hyperlink" Target="https://www.sec.gov/Archives/edgar/data/1631574/000156459017023225/wve-ex101_97.htm" TargetMode="External"/><Relationship Id="rId121" Type="http://schemas.openxmlformats.org/officeDocument/2006/relationships/hyperlink" Target="https://www.sec.gov/Archives/edgar/data/1631574/000119312524199020/d746777dex101.htm" TargetMode="External"/><Relationship Id="rId122" Type="http://schemas.openxmlformats.org/officeDocument/2006/relationships/hyperlink" Target="https://www.sec.gov/Archives/edgar/data/1631574/000119312523205066/d539015dex102.htm" TargetMode="External"/><Relationship Id="rId123" Type="http://schemas.openxmlformats.org/officeDocument/2006/relationships/hyperlink" Target="https://www.sec.gov/Archives/edgar/data/1631574/000156459017023225/wve-ex102_96.htm" TargetMode="External"/><Relationship Id="rId124" Type="http://schemas.openxmlformats.org/officeDocument/2006/relationships/hyperlink" Target="https://www.sec.gov/Archives/edgar/data/1631574/000156459019005671/wve-ex10233_556.htm" TargetMode="External"/><Relationship Id="rId127" Type="http://schemas.openxmlformats.org/officeDocument/2006/relationships/hyperlink" Target="https://www.sec.gov/Archives/edgar/data/1631574/000156459021055927/wve-ex103_161.htm" TargetMode="External"/><Relationship Id="rId128" Type="http://schemas.openxmlformats.org/officeDocument/2006/relationships/hyperlink" Target="https://www.sec.gov/Archives/edgar/data/1631574/000119312515406386/d38525dex101.htm" TargetMode="External"/><Relationship Id="rId129" Type="http://schemas.openxmlformats.org/officeDocument/2006/relationships/hyperlink" Target="https://www.sec.gov/Archives/edgar/data/1631574/000156459017023225/wve-ex103_95.htm" TargetMode="External"/><Relationship Id="rId130" Type="http://schemas.openxmlformats.org/officeDocument/2006/relationships/hyperlink" Target="https://www.sec.gov/Archives/edgar/data/1631574/000156459017023225/wve-ex104_94.htm" TargetMode="External"/><Relationship Id="rId131" Type="http://schemas.openxmlformats.org/officeDocument/2006/relationships/hyperlink" Target="https://www.sec.gov/Archives/edgar/data/1631574/000156459019005671/wve-ex10252_555.htm" TargetMode="External"/><Relationship Id="rId132" Type="http://schemas.openxmlformats.org/officeDocument/2006/relationships/hyperlink" Target="https://www.sec.gov/Archives/edgar/data/1631574/000156459019018521/wve-ex101_353.htm" TargetMode="External"/><Relationship Id="rId133" Type="http://schemas.openxmlformats.org/officeDocument/2006/relationships/hyperlink" Target="https://www.sec.gov/Archives/edgar/data/1631574/000156459021055927/wve-ex104_160.htm" TargetMode="External"/><Relationship Id="rId134" Type="http://schemas.openxmlformats.org/officeDocument/2006/relationships/hyperlink" Target="https://www.sec.gov/Archives/edgar/data/1631574/000156459021027223/wve-ex102_80.htm" TargetMode="External"/><Relationship Id="rId135" Type="http://schemas.openxmlformats.org/officeDocument/2006/relationships/hyperlink" Target="https://www.sec.gov/Archives/edgar/data/1631574/000156459021027223/wve-ex103_79.htm" TargetMode="External"/><Relationship Id="rId136" Type="http://schemas.openxmlformats.org/officeDocument/2006/relationships/hyperlink" Target="https://www.sec.gov/Archives/edgar/data/1631574/000156459017023225/wve-ex105_318.htm" TargetMode="External"/><Relationship Id="rId137" Type="http://schemas.openxmlformats.org/officeDocument/2006/relationships/hyperlink" Target="https://www.sec.gov/Archives/edgar/data/1631574/000156459019005671/wve-ex10262_554.htm" TargetMode="External"/><Relationship Id="rId138" Type="http://schemas.openxmlformats.org/officeDocument/2006/relationships/hyperlink" Target="https://www.sec.gov/Archives/edgar/data/1631574/000156459021055927/wve-ex105_158.htm" TargetMode="External"/><Relationship Id="rId139" Type="http://schemas.openxmlformats.org/officeDocument/2006/relationships/hyperlink" Target="https://www.sec.gov/Archives/edgar/data/1631574/000156459021055927/wve-ex106_159.htm" TargetMode="External"/><Relationship Id="rId140" Type="http://schemas.openxmlformats.org/officeDocument/2006/relationships/hyperlink" Target="https://www.sec.gov/Archives/edgar/data/1631574/000095017024093341/wve-ex10_1.htm" TargetMode="External"/><Relationship Id="rId141" Type="http://schemas.openxmlformats.org/officeDocument/2006/relationships/hyperlink" Target="https://www.sec.gov/Archives/edgar/data/1631574/000095017024093341/wve-ex10_2.htm" TargetMode="External"/><Relationship Id="rId142" Type="http://schemas.openxmlformats.org/officeDocument/2006/relationships/hyperlink" Target="https://www.sec.gov/Archives/edgar/data/1631574/000119312519144278/d711178dex12.htm" TargetMode="External"/><Relationship Id="rId143" Type="http://schemas.openxmlformats.org/officeDocument/2006/relationships/hyperlink" Target="https://www.sec.gov/Archives/edgar/data/1631574/000119312520057766/d793630dex13.htm" TargetMode="External"/><Relationship Id="rId144" Type="http://schemas.openxmlformats.org/officeDocument/2006/relationships/hyperlink" Target="https://www.sec.gov/Archives/edgar/data/1631574/000119312522064309/d307023dex101.htm" TargetMode="External"/><Relationship Id="rId146" Type="http://schemas.openxmlformats.org/officeDocument/2006/relationships/hyperlink" Target="https://www.sec.gov/Archives/edgar/data/1631574/000095017024124595/wve-ex10_1.htm" TargetMode="External"/><Relationship Id="rId147" Type="http://schemas.openxmlformats.org/officeDocument/2006/relationships/hyperlink" Target="https://www.sec.gov/Archives/edgar/data/1631574/000095017025031322/wve-ex19_1.htm" TargetMode="External"/><Relationship Id="rId148" Type="http://schemas.openxmlformats.org/officeDocument/2006/relationships/hyperlink" Target="https://www.sec.gov/Archives/edgar/data/1631574/000156459018005308/wve-ex211_10.htm" TargetMode="External"/><Relationship Id="rId149" Type="http://schemas.openxmlformats.org/officeDocument/2006/relationships/hyperlink" Target="https://www.sec.gov/Archives/edgar/data/1631574/000095017025031322/wve-ex23_1.htm" TargetMode="External"/><Relationship Id="rId150" Type="http://schemas.openxmlformats.org/officeDocument/2006/relationships/hyperlink" Target="https://www.sec.gov/ix?doc=/Archives/edgar/data/1631574/000095017025031322/wve-20241231.htm#power_attorney" TargetMode="External"/><Relationship Id="rId151" Type="http://schemas.openxmlformats.org/officeDocument/2006/relationships/hyperlink" Target="https://www.sec.gov/Archives/edgar/data/1631574/000095017025031322/wve-ex32.htm" TargetMode="External"/><Relationship Id="rId152" Type="http://schemas.openxmlformats.org/officeDocument/2006/relationships/hyperlink" Target="https://www.sec.gov/Archives/edgar/data/1631574/000095017024026876/wv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2025-04-29T16:23:57Z</dcterms:created>
  <dcterms:modified xsi:type="dcterms:W3CDTF">2025-04-29T16:23:57Z</dcterms:modified>
</cp:coreProperties>
</file>