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8507d8k.htm"/>
      <w:bookmarkStart w:id="1" w:name="ksd8850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December 9,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WAVE LIFE SCIENCES LTD.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Singapore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001-37627</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98-1356880</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7 Straits View #12-00, Marina One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East Tower</w:t>
            </w:r>
          </w:p>
          <w:p>
            <w:pPr>
              <w:pStyle w:val="TableContents"/>
              <w:bidi w:val="0"/>
              <w:spacing w:before="0" w:after="20"/>
              <w:jc w:val="center"/>
              <w:rPr>
                <w:rFonts w:ascii="Times New Roman" w:hAnsi="Times New Roman"/>
                <w:b/>
                <w:sz w:val="20"/>
              </w:rPr>
            </w:pPr>
            <w:r>
              <w:rPr>
                <w:rFonts w:ascii="Times New Roman" w:hAnsi="Times New Roman"/>
                <w:b/>
                <w:sz w:val="20"/>
              </w:rPr>
              <w:t>Singapore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018936</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+65 6236 3388</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240" w:type="dxa"/>
        <w:jc w:val="left"/>
        <w:tblInd w:w="0" w:type="dxa"/>
        <w:tblLayout w:type="fixed"/>
        <w:tblCellMar>
          <w:top w:w="0" w:type="dxa"/>
          <w:left w:w="0" w:type="dxa"/>
          <w:bottom w:w="0" w:type="dxa"/>
          <w:right w:w="0" w:type="dxa"/>
        </w:tblCellMar>
      </w:tblPr>
      <w:tblGrid>
        <w:gridCol w:w="2885"/>
        <w:gridCol w:w="60"/>
        <w:gridCol w:w="605"/>
        <w:gridCol w:w="60"/>
        <w:gridCol w:w="2630"/>
      </w:tblGrid>
      <w:tr>
        <w:trPr/>
        <w:tc>
          <w:tcPr>
            <w:tcW w:w="28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28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2885" w:type="dxa"/>
            <w:tcBorders/>
            <w:vAlign w:val="center"/>
          </w:tcPr>
          <w:p>
            <w:pPr>
              <w:pStyle w:val="TableContents"/>
              <w:bidi w:val="0"/>
              <w:spacing w:before="0" w:after="283"/>
              <w:jc w:val="center"/>
              <w:rPr/>
            </w:pPr>
            <w:r>
              <w:rPr/>
              <w:t>$0 Par Value Ordinary Shares</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WVE</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December 9, 2025, Wave Life Sciences Ltd. (the “Company,” “we” or “us”) entered into an underwriting agreement (the “Underwriting Agreement”) with Jefferies LLC, Leerink Partners LLC and BofA Securities, Inc., as representatives of the several underwriters named therein (the “Underwriters”), relating to the issuance and sale in an underwritten public offering (the “Offering”) by the Company of an aggregate of 15,789,475 of the Company’s ordinary shares, no par value (the “Firm Shares”), at a public offering price of $19.00 per Share (as defined below), and, in lieu of Shares to certain investors, pre-funded warrants (the “Pre-Funded Warrants”) to purchase up to 2,631,578 of the Company’s ordinary shares at a public offering price of $18.9999 per Pre-Funded Warrant, which represents the per share offering price for the Shares less the $0.0001 per share exercise price for each Pre-Funded Warrant. Under the terms of the Underwriting Agreement, the Underwriters have an option, exercisable for 30 days, to purchase up to an additional 2,763,157 of the Company’s ordinary shares (the “Optional Shares” and, together with the Firm Shares, the “Shares”) at the public offering price less underwriting discounts and commissions. The Underwriters exercised their option to purchase the Optional Shares in full on December 10, 2025. All of the securities of the Company in the Offering are being sold by the Company. The Offering is expected to close on or about December 11, 2025, subject to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gross proceeds to the Company from the Offering are expected to be approximately $402.5 million before deducting underwriting discounts and commissions and other offering expenses, and including gross proceeds from the exercise of the Underwriters’ option to purchase the Optional Shares in full. </w:t>
      </w:r>
    </w:p>
    <w:p>
      <w:pPr>
        <w:pStyle w:val="TextBody"/>
        <w:bidi w:val="0"/>
        <w:spacing w:before="240" w:after="0"/>
        <w:jc w:val="left"/>
        <w:rPr>
          <w:rFonts w:ascii="Times New Roman" w:hAnsi="Times New Roman"/>
          <w:sz w:val="20"/>
        </w:rPr>
      </w:pPr>
      <w:r>
        <w:rPr>
          <w:rFonts w:ascii="Times New Roman" w:hAnsi="Times New Roman"/>
          <w:sz w:val="20"/>
        </w:rPr>
        <w:t xml:space="preserve">The Shares and Pre-Funded Warrants in the Offering will be issued pursuant to the Company’s shelf registration statement on Form S-3ASR (File No. 333-283122), which was filed with the Securities and Exchange Commission (the “Commission”) on November 12, 2024 and became automatically effective upon the filing thereof. A prospectus and final prospectus supplement relating to the Offering (the “Final Prospectus Supplement”) will be filed with the Commission on December 10, 2025 pursuant to Rule 424(b) under the Securities Act of 1933, as amended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contains customary representations, warranties and agreements by the Company, customary conditions to closing, indemnification obligations of the Company and the Underwriters, including for liabilities arising under the Securities Act, other obligations of the parties and termination provisions. The representations, warranties and covenants contained in the Underwriting Agreement were made only for the purposes of such agreement and as of specific dates, were solely for the benefit of the parties to such agreement and may be subject to limitations agreed upon by the contracting parties.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terms of the Underwriting Agreement is qualified in its entirety by reference to the Underwriting Agreement, which is attached as Exhibit 1.1 hereto and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The Pre-Funded Warrants are exercisable at any time after their original issuance and on or prior to 5:00 p.m. (New York City time) on the five-year anniversary of the original issuance date. Unless and until Company shareholder approval is obtained for the issuance of the Pre-Funded Warrant shares upon exercise of all or any portion of the Pre-Funded Warrants, a holder of Pre-Funded Warrants may not exercise the warrant if the holder, together with its affiliates, would beneficially own more than, at the election of such holder, 4.99%, 9.99% or 19.99% of the number of ordinary shares outstanding or more than, at the election of such holder, 4.99%, 9.99% or 19.99% of the combined voting power of the Company’s securities outstanding immediately after giving effect to such exercise. A holder of Pre-Funded Warrants may increase or decrease this percentage to any other percentage not exceeding 19.99%, in the case of an increase, upon 61 days’ prior notice to the Company. The foregoing description of the terms of the Pre-Funded Warrants is qualified in its entirety by reference to the form of Pre-Funded Warrant, which is attached as Exhibit 4.1 hereto and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A copy of the legal opinion of WongPartnership LLP relating to the validity of the issuance and sale of the Shares and ordinary shares issuable upon exercise of the Pre-Funded Warrants offered in the Offering is attached as Exhibit 5.1 hereto. </w:t>
      </w:r>
    </w:p>
    <w:p>
      <w:pPr>
        <w:pStyle w:val="TextBody"/>
        <w:bidi w:val="0"/>
        <w:spacing w:before="240" w:after="0"/>
        <w:jc w:val="left"/>
        <w:rPr>
          <w:rFonts w:ascii="Times New Roman" w:hAnsi="Times New Roman"/>
          <w:sz w:val="20"/>
        </w:rPr>
      </w:pPr>
      <w:r>
        <w:rPr>
          <w:rFonts w:ascii="Times New Roman" w:hAnsi="Times New Roman"/>
          <w:sz w:val="20"/>
        </w:rPr>
        <w:t xml:space="preserve">A copy of the legal opinion of Mintz, Levin, Cohn, Ferris, Glovsky and Popeo, P.C. relating to the validity of the Pre-Funded Warrants offered in the Offering is attached as Exhibit 5.2 hereto.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Including the anticipated net proceeds from the Offering, the Company expects that its current cash and cash equivalents will be sufficient to fund operations into the third quarter of 2028. Potential future milestone and other payments to the Company under its GSK collaboration are not included in its cash runway. In addition, following the closing of the Offering, the Company expects to have approximately 187,693,059 ordinary shares outstanding.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information in this Item 7.01 is being furnished and shall not be deemed “filed” for purposes of Section 18 of the Securities Exchange Act of 1934, as amended (the “Exchange Act”), or otherwise subject to the liabilities of that Section, nor shall it be deemed incorporated by reference into any registration statement or other filing under the Securities Act or the Exchange Act, except as shall be expressly set forth by specific reference in such filing.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December 9, 2025, the Company issued a press release announcing the pricing of the Offering, a copy of which is attached hereto as Exhibit 99.1 and is incorporated herein by reference.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120"/>
        <w:gridCol w:w="95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center"/>
              <w:rPr>
                <w:b/>
              </w:rPr>
            </w:pPr>
            <w:r>
              <w:rPr>
                <w:b/>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88507dex11.htm">
              <w:r>
                <w:rPr>
                  <w:rStyle w:val="InternetLink"/>
                </w:rPr>
                <w:t xml:space="preserve">Underwriting Agreement, dated December 9, 2025, by and between the Company and Jefferies LLC, Leerink Partners LLC and BofA Securities, Inc.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88507dex41.htm">
              <w:r>
                <w:rPr>
                  <w:rStyle w:val="InternetLink"/>
                </w:rPr>
                <w:t xml:space="preserve">Form of Pre-Funded Warrant.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5.1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88507dex51.htm">
              <w:r>
                <w:rPr>
                  <w:rStyle w:val="InternetLink"/>
                </w:rPr>
                <w:t xml:space="preserve">Opinion of WongPartnership LLP.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5.2</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88507dex52.htm">
              <w:r>
                <w:rPr>
                  <w:rStyle w:val="InternetLink"/>
                </w:rPr>
                <w:t xml:space="preserve">Opinion of Mintz, Levin, Cohn, Ferris, Glovsky and Popeo, P.C.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88507dex991.htm">
              <w:r>
                <w:rPr>
                  <w:rStyle w:val="InternetLink"/>
                </w:rPr>
                <w:t xml:space="preserve">Press Release of Wave Life Sciences Ltd., dated December 9, 2025, announcing the pricing of the underwritten offering.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075" w:type="dxa"/>
        <w:jc w:val="left"/>
        <w:tblInd w:w="0" w:type="dxa"/>
        <w:tblLayout w:type="fixed"/>
        <w:tblCellMar>
          <w:top w:w="0" w:type="dxa"/>
          <w:left w:w="0" w:type="dxa"/>
          <w:bottom w:w="0" w:type="dxa"/>
          <w:right w:w="0" w:type="dxa"/>
        </w:tblCellMar>
      </w:tblPr>
      <w:tblGrid>
        <w:gridCol w:w="380"/>
        <w:gridCol w:w="60"/>
        <w:gridCol w:w="3635"/>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vAlign w:val="center"/>
          </w:tcPr>
          <w:p>
            <w:pPr>
              <w:pStyle w:val="TableContents"/>
              <w:bidi w:val="0"/>
              <w:spacing w:before="0" w:after="283"/>
              <w:jc w:val="left"/>
              <w:rPr>
                <w:b/>
              </w:rPr>
            </w:pPr>
            <w:r>
              <w:rPr>
                <w:b/>
              </w:rPr>
              <w:t>WAVE LIFE SCIENCES LTD.</w:t>
            </w:r>
          </w:p>
        </w:tc>
      </w:tr>
      <w:tr>
        <w:trPr/>
        <w:tc>
          <w:tcPr>
            <w:tcW w:w="380" w:type="dxa"/>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Paul B. Bolno, M.D.</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Paul B. Bolno, M.D.</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December 10, 2025 </w:t>
      </w:r>
    </w:p>
    <w:p>
      <w:pPr>
        <w:pStyle w:val="TextBody"/>
        <w:bidi w:val="0"/>
        <w:spacing w:before="0" w:after="0"/>
        <w:jc w:val="right"/>
        <w:rPr>
          <w:rFonts w:ascii="Times New Roman" w:hAnsi="Times New Roman"/>
          <w:b/>
          <w:sz w:val="20"/>
        </w:rPr>
      </w:pPr>
      <w:bookmarkStart w:id="2" w:name="d88507dex11.htm"/>
      <w:bookmarkStart w:id="3" w:name="ksd88507dex11"/>
      <w:bookmarkEnd w:id="2"/>
      <w:bookmarkEnd w:id="3"/>
      <w:r>
        <w:rPr>
          <w:rFonts w:ascii="Times New Roman" w:hAnsi="Times New Roman"/>
          <w:b/>
          <w:sz w:val="20"/>
        </w:rPr>
        <w:t xml:space="preserve">Exhibit 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15,789,475 Ordinary Shares </w:t>
      </w:r>
    </w:p>
    <w:p>
      <w:pPr>
        <w:pStyle w:val="TextBody"/>
        <w:bidi w:val="0"/>
        <w:spacing w:before="0" w:after="0"/>
        <w:jc w:val="center"/>
        <w:rPr>
          <w:rFonts w:ascii="Times New Roman" w:hAnsi="Times New Roman"/>
          <w:b/>
          <w:sz w:val="20"/>
        </w:rPr>
      </w:pPr>
      <w:r>
        <w:rPr>
          <w:rFonts w:ascii="Times New Roman" w:hAnsi="Times New Roman"/>
          <w:b/>
          <w:sz w:val="20"/>
        </w:rPr>
        <w:t xml:space="preserve">Pre-Funded Warrants to Purchase 2,631,578 Ordinary Shares </w:t>
      </w:r>
    </w:p>
    <w:p>
      <w:pPr>
        <w:pStyle w:val="TextBody"/>
        <w:bidi w:val="0"/>
        <w:spacing w:before="0" w:after="0"/>
        <w:jc w:val="center"/>
        <w:rPr>
          <w:rFonts w:ascii="Times New Roman" w:hAnsi="Times New Roman"/>
          <w:b/>
          <w:sz w:val="20"/>
        </w:rPr>
      </w:pPr>
      <w:r>
        <w:rPr>
          <w:rFonts w:ascii="Times New Roman" w:hAnsi="Times New Roman"/>
          <w:b/>
          <w:sz w:val="20"/>
        </w:rPr>
        <w:t xml:space="preserve">Wave Life Sciences Ltd.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UNDERWRITING AGREEMENT </w:t>
      </w:r>
    </w:p>
    <w:p>
      <w:pPr>
        <w:pStyle w:val="TextBody"/>
        <w:bidi w:val="0"/>
        <w:spacing w:before="240" w:after="0"/>
        <w:jc w:val="right"/>
        <w:rPr>
          <w:rFonts w:ascii="Times New Roman" w:hAnsi="Times New Roman"/>
          <w:sz w:val="20"/>
        </w:rPr>
      </w:pPr>
      <w:r>
        <w:rPr>
          <w:rFonts w:ascii="Times New Roman" w:hAnsi="Times New Roman"/>
          <w:sz w:val="20"/>
        </w:rPr>
        <w:t xml:space="preserve">December 9, 2025 </w:t>
      </w:r>
    </w:p>
    <w:p>
      <w:pPr>
        <w:pStyle w:val="TextBody"/>
        <w:bidi w:val="0"/>
        <w:spacing w:before="240" w:after="0"/>
        <w:jc w:val="left"/>
        <w:rPr>
          <w:rFonts w:ascii="Times New Roman" w:hAnsi="Times New Roman"/>
          <w:sz w:val="20"/>
        </w:rPr>
      </w:pPr>
      <w:r>
        <w:rPr>
          <w:rFonts w:ascii="Times New Roman" w:hAnsi="Times New Roman"/>
          <w:sz w:val="20"/>
        </w:rPr>
        <w:t xml:space="preserve">JEFFERIES LLC </w:t>
      </w:r>
    </w:p>
    <w:p>
      <w:pPr>
        <w:pStyle w:val="TextBody"/>
        <w:bidi w:val="0"/>
        <w:spacing w:before="0" w:after="0"/>
        <w:jc w:val="left"/>
        <w:rPr>
          <w:rFonts w:ascii="Times New Roman" w:hAnsi="Times New Roman"/>
          <w:sz w:val="20"/>
        </w:rPr>
      </w:pPr>
      <w:r>
        <w:rPr>
          <w:rFonts w:ascii="Times New Roman" w:hAnsi="Times New Roman"/>
          <w:sz w:val="20"/>
        </w:rPr>
        <w:t xml:space="preserve">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BOFA SECURITIES, INC. </w:t>
      </w:r>
    </w:p>
    <w:p>
      <w:pPr>
        <w:pStyle w:val="TextBody"/>
        <w:bidi w:val="0"/>
        <w:spacing w:before="240" w:after="0"/>
        <w:jc w:val="left"/>
        <w:rPr>
          <w:rFonts w:ascii="Times New Roman" w:hAnsi="Times New Roman"/>
          <w:sz w:val="20"/>
        </w:rPr>
      </w:pPr>
      <w:r>
        <w:rPr>
          <w:rFonts w:ascii="Times New Roman" w:hAnsi="Times New Roman"/>
          <w:sz w:val="20"/>
        </w:rPr>
        <w:t xml:space="preserve">As Representatives of the several Underwriters </w:t>
      </w:r>
    </w:p>
    <w:p>
      <w:pPr>
        <w:pStyle w:val="TextBody"/>
        <w:bidi w:val="0"/>
        <w:spacing w:before="240" w:after="0"/>
        <w:jc w:val="left"/>
        <w:rPr>
          <w:rFonts w:ascii="Times New Roman" w:hAnsi="Times New Roman"/>
          <w:sz w:val="20"/>
        </w:rPr>
      </w:pPr>
      <w:r>
        <w:rPr>
          <w:rFonts w:ascii="Times New Roman" w:hAnsi="Times New Roman"/>
          <w:sz w:val="20"/>
        </w:rPr>
        <w:t xml:space="preserve">c/o JEFFERIES LLC </w:t>
      </w:r>
    </w:p>
    <w:p>
      <w:pPr>
        <w:pStyle w:val="TextBody"/>
        <w:bidi w:val="0"/>
        <w:spacing w:before="0" w:after="0"/>
        <w:jc w:val="left"/>
        <w:rPr>
          <w:rFonts w:ascii="Times New Roman" w:hAnsi="Times New Roman"/>
          <w:sz w:val="20"/>
        </w:rPr>
      </w:pPr>
      <w:r>
        <w:rPr>
          <w:rFonts w:ascii="Times New Roman" w:hAnsi="Times New Roman"/>
          <w:sz w:val="20"/>
        </w:rPr>
        <w:t xml:space="preserve">520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p>
    <w:p>
      <w:pPr>
        <w:pStyle w:val="TextBody"/>
        <w:bidi w:val="0"/>
        <w:spacing w:before="240" w:after="0"/>
        <w:jc w:val="left"/>
        <w:rPr>
          <w:rFonts w:ascii="Times New Roman" w:hAnsi="Times New Roman"/>
          <w:sz w:val="20"/>
        </w:rPr>
      </w:pPr>
      <w:r>
        <w:rPr>
          <w:rFonts w:ascii="Times New Roman" w:hAnsi="Times New Roman"/>
          <w:sz w:val="20"/>
        </w:rPr>
        <w:t xml:space="preserve">c/o 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53 State Street, 40th Floor </w:t>
      </w:r>
    </w:p>
    <w:p>
      <w:pPr>
        <w:pStyle w:val="TextBody"/>
        <w:bidi w:val="0"/>
        <w:spacing w:before="0" w:after="0"/>
        <w:jc w:val="left"/>
        <w:rPr>
          <w:rFonts w:ascii="Times New Roman" w:hAnsi="Times New Roman"/>
          <w:sz w:val="20"/>
        </w:rPr>
      </w:pPr>
      <w:r>
        <w:rPr>
          <w:rFonts w:ascii="Times New Roman" w:hAnsi="Times New Roman"/>
          <w:sz w:val="20"/>
        </w:rPr>
        <w:t xml:space="preserve">Boston, Massachusetts 02109 </w:t>
      </w:r>
    </w:p>
    <w:p>
      <w:pPr>
        <w:pStyle w:val="TextBody"/>
        <w:bidi w:val="0"/>
        <w:spacing w:before="240" w:after="0"/>
        <w:jc w:val="left"/>
        <w:rPr>
          <w:rFonts w:ascii="Times New Roman" w:hAnsi="Times New Roman"/>
          <w:sz w:val="20"/>
        </w:rPr>
      </w:pPr>
      <w:r>
        <w:rPr>
          <w:rFonts w:ascii="Times New Roman" w:hAnsi="Times New Roman"/>
          <w:sz w:val="20"/>
        </w:rPr>
        <w:t xml:space="preserve">c/o BOFA SECURITIES, INC. </w:t>
      </w:r>
    </w:p>
    <w:p>
      <w:pPr>
        <w:pStyle w:val="TextBody"/>
        <w:bidi w:val="0"/>
        <w:spacing w:before="0" w:after="0"/>
        <w:jc w:val="left"/>
        <w:rPr>
          <w:rFonts w:ascii="Times New Roman" w:hAnsi="Times New Roman"/>
          <w:sz w:val="20"/>
        </w:rPr>
      </w:pPr>
      <w:r>
        <w:rPr>
          <w:rFonts w:ascii="Times New Roman" w:hAnsi="Times New Roman"/>
          <w:sz w:val="20"/>
        </w:rPr>
        <w:t xml:space="preserve">NC1-022-02-25 </w:t>
      </w:r>
    </w:p>
    <w:p>
      <w:pPr>
        <w:pStyle w:val="TextBody"/>
        <w:bidi w:val="0"/>
        <w:spacing w:before="0" w:after="0"/>
        <w:jc w:val="left"/>
        <w:rPr>
          <w:rFonts w:ascii="Times New Roman" w:hAnsi="Times New Roman"/>
          <w:sz w:val="20"/>
        </w:rPr>
      </w:pPr>
      <w:r>
        <w:rPr>
          <w:rFonts w:ascii="Times New Roman" w:hAnsi="Times New Roman"/>
          <w:sz w:val="20"/>
        </w:rPr>
        <w:t xml:space="preserve">201 North Tyron Street </w:t>
      </w:r>
    </w:p>
    <w:p>
      <w:pPr>
        <w:pStyle w:val="TextBody"/>
        <w:bidi w:val="0"/>
        <w:spacing w:before="0" w:after="0"/>
        <w:jc w:val="left"/>
        <w:rPr>
          <w:rFonts w:ascii="Times New Roman" w:hAnsi="Times New Roman"/>
          <w:sz w:val="20"/>
        </w:rPr>
      </w:pPr>
      <w:r>
        <w:rPr>
          <w:rFonts w:ascii="Times New Roman" w:hAnsi="Times New Roman"/>
          <w:sz w:val="20"/>
        </w:rPr>
        <w:t xml:space="preserve">Charlotte, North Carolina 28255-0001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b/>
          <w:sz w:val="20"/>
        </w:rPr>
        <w:t xml:space="preserve">Introductory. </w:t>
      </w:r>
      <w:r>
        <w:rPr>
          <w:rFonts w:ascii="Times New Roman" w:hAnsi="Times New Roman"/>
          <w:sz w:val="20"/>
        </w:rPr>
        <w:t>Wave Life Sciences Ltd. (Company Registration Number: 201218209G), a company incorporated under the laws of the Republic of Singapore (the “</w:t>
      </w:r>
      <w:r>
        <w:rPr>
          <w:rFonts w:ascii="Times New Roman" w:hAnsi="Times New Roman"/>
          <w:b/>
          <w:sz w:val="20"/>
        </w:rPr>
        <w:t>Company</w:t>
      </w:r>
      <w:r>
        <w:rPr>
          <w:rFonts w:ascii="Times New Roman" w:hAnsi="Times New Roman"/>
          <w:sz w:val="20"/>
        </w:rPr>
        <w:t xml:space="preserve">”), proposes to issue and sell to the several underwriters named in </w:t>
      </w:r>
      <w:r>
        <w:rPr>
          <w:rFonts w:ascii="Times New Roman" w:hAnsi="Times New Roman"/>
          <w:sz w:val="20"/>
          <w:u w:val="single"/>
        </w:rPr>
        <w:t>Schedule A</w:t>
      </w:r>
      <w:r>
        <w:rPr>
          <w:rFonts w:ascii="Times New Roman" w:hAnsi="Times New Roman"/>
          <w:sz w:val="20"/>
        </w:rPr>
        <w:t xml:space="preserve"> hereto (the “</w:t>
      </w:r>
      <w:r>
        <w:rPr>
          <w:rFonts w:ascii="Times New Roman" w:hAnsi="Times New Roman"/>
          <w:b/>
          <w:sz w:val="20"/>
        </w:rPr>
        <w:t>Underwriters</w:t>
      </w:r>
      <w:r>
        <w:rPr>
          <w:rFonts w:ascii="Times New Roman" w:hAnsi="Times New Roman"/>
          <w:sz w:val="20"/>
        </w:rPr>
        <w:t>”) (i) an aggregate of 15,789,475 of its ordinary shares, no par value (the “</w:t>
      </w:r>
      <w:r>
        <w:rPr>
          <w:rFonts w:ascii="Times New Roman" w:hAnsi="Times New Roman"/>
          <w:b/>
          <w:sz w:val="20"/>
        </w:rPr>
        <w:t>Shares</w:t>
      </w:r>
      <w:r>
        <w:rPr>
          <w:rFonts w:ascii="Times New Roman" w:hAnsi="Times New Roman"/>
          <w:sz w:val="20"/>
        </w:rPr>
        <w:t xml:space="preserve">”) and (ii) pre-funded warrants, substantially in the form of </w:t>
      </w:r>
      <w:r>
        <w:rPr>
          <w:rFonts w:ascii="Times New Roman" w:hAnsi="Times New Roman"/>
          <w:sz w:val="20"/>
          <w:u w:val="single"/>
        </w:rPr>
        <w:t>Exhibit C</w:t>
      </w:r>
      <w:r>
        <w:rPr>
          <w:rFonts w:ascii="Times New Roman" w:hAnsi="Times New Roman"/>
          <w:sz w:val="20"/>
        </w:rPr>
        <w:t xml:space="preserve"> hereto, to purchase up to an aggregate of 2,631,578 Shares (the “</w:t>
      </w:r>
      <w:r>
        <w:rPr>
          <w:rFonts w:ascii="Times New Roman" w:hAnsi="Times New Roman"/>
          <w:b/>
          <w:sz w:val="20"/>
        </w:rPr>
        <w:t>Pre-Funded Warrants</w:t>
      </w:r>
      <w:r>
        <w:rPr>
          <w:rFonts w:ascii="Times New Roman" w:hAnsi="Times New Roman"/>
          <w:sz w:val="20"/>
        </w:rPr>
        <w:t>”). The 15,789,475 Shares to be sold by the Company are called the “</w:t>
      </w:r>
      <w:r>
        <w:rPr>
          <w:rFonts w:ascii="Times New Roman" w:hAnsi="Times New Roman"/>
          <w:b/>
          <w:sz w:val="20"/>
        </w:rPr>
        <w:t>Firm Shares</w:t>
      </w:r>
      <w:r>
        <w:rPr>
          <w:rFonts w:ascii="Times New Roman" w:hAnsi="Times New Roman"/>
          <w:sz w:val="20"/>
        </w:rPr>
        <w:t>.” In addition, the Company has granted to the Underwriters an option to purchase up to an additional 2,763,157 Shares as provided in Section 2. The additional 2,763,157 Shares to be sold by the Company pursuant to such option are collectively called the “</w:t>
      </w:r>
      <w:r>
        <w:rPr>
          <w:rFonts w:ascii="Times New Roman" w:hAnsi="Times New Roman"/>
          <w:b/>
          <w:sz w:val="20"/>
        </w:rPr>
        <w:t>Optional Shares</w:t>
      </w:r>
      <w:r>
        <w:rPr>
          <w:rFonts w:ascii="Times New Roman" w:hAnsi="Times New Roman"/>
          <w:sz w:val="20"/>
        </w:rPr>
        <w:t>.” The Firm Shares and, if and to the extent such option is exercised, the Optional Shares are collectively called the “</w:t>
      </w:r>
      <w:r>
        <w:rPr>
          <w:rFonts w:ascii="Times New Roman" w:hAnsi="Times New Roman"/>
          <w:b/>
          <w:sz w:val="20"/>
        </w:rPr>
        <w:t>Offered Shares</w:t>
      </w:r>
      <w:r>
        <w:rPr>
          <w:rFonts w:ascii="Times New Roman" w:hAnsi="Times New Roman"/>
          <w:sz w:val="20"/>
        </w:rPr>
        <w:t>.” The Shares issuable upon exercise of the Pre-Funded Warrants are referred to herein as the “</w:t>
      </w:r>
      <w:r>
        <w:rPr>
          <w:rFonts w:ascii="Times New Roman" w:hAnsi="Times New Roman"/>
          <w:b/>
          <w:sz w:val="20"/>
        </w:rPr>
        <w:t>Warrant Shares</w:t>
      </w:r>
      <w:r>
        <w:rPr>
          <w:rFonts w:ascii="Times New Roman" w:hAnsi="Times New Roman"/>
          <w:sz w:val="20"/>
        </w:rPr>
        <w:t>.” The Offered Shares, the Pre-Funded Warrants and the Warrant Shares are collectively referred to herein as the “</w:t>
      </w:r>
      <w:r>
        <w:rPr>
          <w:rFonts w:ascii="Times New Roman" w:hAnsi="Times New Roman"/>
          <w:b/>
          <w:sz w:val="20"/>
        </w:rPr>
        <w:t>Offered Securities</w:t>
      </w:r>
      <w:r>
        <w:rPr>
          <w:rFonts w:ascii="Times New Roman" w:hAnsi="Times New Roman"/>
          <w:sz w:val="20"/>
        </w:rPr>
        <w:t>.” Jefferies LLC, Leerink Partners LLC and BofA Securities, Inc. have agreed to act as representatives of the several Underwriters (in such capacity, the “</w:t>
      </w:r>
      <w:r>
        <w:rPr>
          <w:rFonts w:ascii="Times New Roman" w:hAnsi="Times New Roman"/>
          <w:b/>
          <w:sz w:val="20"/>
        </w:rPr>
        <w:t>Representatives</w:t>
      </w:r>
      <w:r>
        <w:rPr>
          <w:rFonts w:ascii="Times New Roman" w:hAnsi="Times New Roman"/>
          <w:sz w:val="20"/>
        </w:rPr>
        <w:t xml:space="preserve">”) in connection with the offering and sale of the Offered Securities. </w:t>
      </w:r>
    </w:p>
    <w:p>
      <w:pPr>
        <w:pStyle w:val="TextBody"/>
        <w:bidi w:val="0"/>
        <w:spacing w:before="240" w:after="0"/>
        <w:jc w:val="left"/>
        <w:rPr>
          <w:rFonts w:ascii="Times New Roman" w:hAnsi="Times New Roman"/>
          <w:sz w:val="20"/>
        </w:rPr>
      </w:pPr>
      <w:r>
        <w:rPr>
          <w:rFonts w:ascii="Times New Roman" w:hAnsi="Times New Roman"/>
          <w:sz w:val="20"/>
        </w:rPr>
        <w:t>The Company has prepared and filed with the Securities and Exchange Commission (the “</w:t>
      </w:r>
      <w:r>
        <w:rPr>
          <w:rFonts w:ascii="Times New Roman" w:hAnsi="Times New Roman"/>
          <w:b/>
          <w:sz w:val="20"/>
        </w:rPr>
        <w:t>Commission</w:t>
      </w:r>
      <w:r>
        <w:rPr>
          <w:rFonts w:ascii="Times New Roman" w:hAnsi="Times New Roman"/>
          <w:sz w:val="20"/>
        </w:rPr>
        <w:t>”) an “automatic shelf registration statement,” as defined under Rule 405 under the Securities Act of 1933, as amended, and the rules and regulations promulgated thereunder (collectively, the “</w:t>
      </w:r>
      <w:r>
        <w:rPr>
          <w:rFonts w:ascii="Times New Roman" w:hAnsi="Times New Roman"/>
          <w:b/>
          <w:sz w:val="20"/>
        </w:rPr>
        <w:t>Securities Act</w:t>
      </w:r>
      <w:r>
        <w:rPr>
          <w:rFonts w:ascii="Times New Roman" w:hAnsi="Times New Roman"/>
          <w:sz w:val="20"/>
        </w:rPr>
        <w:t>”), on Form S-3ASR, File No. 333-283122, including a base prospectus (the “</w:t>
      </w:r>
      <w:r>
        <w:rPr>
          <w:rFonts w:ascii="Times New Roman" w:hAnsi="Times New Roman"/>
          <w:b/>
          <w:sz w:val="20"/>
        </w:rPr>
        <w:t>Base Prospectus</w:t>
      </w:r>
      <w:r>
        <w:rPr>
          <w:rFonts w:ascii="Times New Roman" w:hAnsi="Times New Roman"/>
          <w:sz w:val="20"/>
        </w:rPr>
        <w:t xml:space="preserve">”) to be used in connection with the public offering and sale of the Offered Securities. Such registration statement, as amended, including the financial statements, exhibits and schedules thereto, in the form in which it became effective under the Securities Act of 1933, as amended, and the rules and regulations promulgated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thereunder (collectively, the “</w:t>
      </w:r>
      <w:r>
        <w:rPr>
          <w:rFonts w:ascii="Times New Roman" w:hAnsi="Times New Roman"/>
          <w:b/>
          <w:sz w:val="20"/>
        </w:rPr>
        <w:t>Securities Act</w:t>
      </w:r>
      <w:r>
        <w:rPr>
          <w:rFonts w:ascii="Times New Roman" w:hAnsi="Times New Roman"/>
          <w:sz w:val="20"/>
        </w:rPr>
        <w:t>”), including all documents incorporated or deemed to be incorporated by reference therein and any information deemed to be a part thereof at the time of effectiveness pursuant to Rule 430A or 430B under the Securities Act, is called the “</w:t>
      </w:r>
      <w:r>
        <w:rPr>
          <w:rFonts w:ascii="Times New Roman" w:hAnsi="Times New Roman"/>
          <w:b/>
          <w:sz w:val="20"/>
        </w:rPr>
        <w:t>Registration Statement</w:t>
      </w:r>
      <w:r>
        <w:rPr>
          <w:rFonts w:ascii="Times New Roman" w:hAnsi="Times New Roman"/>
          <w:sz w:val="20"/>
        </w:rPr>
        <w:t>.” For the avoidance of doubt, the term “Registration Statement” shall also include any post-effective amendment thereto. Any prospectus supplement to the Base Prospectus in preliminary form that describes the Offered Securities and the offering thereof and is used prior to the filing of the Prospectus (as defined below), together with the Base Prospectus, is called a “</w:t>
      </w:r>
      <w:r>
        <w:rPr>
          <w:rFonts w:ascii="Times New Roman" w:hAnsi="Times New Roman"/>
          <w:b/>
          <w:sz w:val="20"/>
        </w:rPr>
        <w:t>preliminary prospectus</w:t>
      </w:r>
      <w:r>
        <w:rPr>
          <w:rFonts w:ascii="Times New Roman" w:hAnsi="Times New Roman"/>
          <w:sz w:val="20"/>
        </w:rPr>
        <w:t>.” As used herein, the term “</w:t>
      </w:r>
      <w:r>
        <w:rPr>
          <w:rFonts w:ascii="Times New Roman" w:hAnsi="Times New Roman"/>
          <w:b/>
          <w:sz w:val="20"/>
        </w:rPr>
        <w:t>Prospectus</w:t>
      </w:r>
      <w:r>
        <w:rPr>
          <w:rFonts w:ascii="Times New Roman" w:hAnsi="Times New Roman"/>
          <w:sz w:val="20"/>
        </w:rPr>
        <w:t>” shall mean the final prospectus supplement to the Base Prospectus that describes the Offered Securities and the offering thereof, together with the Base Prospectus (the “</w:t>
      </w:r>
      <w:r>
        <w:rPr>
          <w:rFonts w:ascii="Times New Roman" w:hAnsi="Times New Roman"/>
          <w:b/>
          <w:sz w:val="20"/>
        </w:rPr>
        <w:t>Final Prospectus Supplement</w:t>
      </w:r>
      <w:r>
        <w:rPr>
          <w:rFonts w:ascii="Times New Roman" w:hAnsi="Times New Roman"/>
          <w:sz w:val="20"/>
        </w:rPr>
        <w:t>”), in the form first used by the Underwriters to confirm sales of the Offered Securities or in the form first made available to the Underwriters by the Company to meet requests of purchasers pursuant to Rule 173 under the Securities Act. References herein to any preliminary prospectus and the Prospectus shall refer to both the prospectus supplement and the Base Prospectus components of such prospectus. As used herein, “</w:t>
      </w:r>
      <w:r>
        <w:rPr>
          <w:rFonts w:ascii="Times New Roman" w:hAnsi="Times New Roman"/>
          <w:b/>
          <w:sz w:val="20"/>
        </w:rPr>
        <w:t>Applicable Time</w:t>
      </w:r>
      <w:r>
        <w:rPr>
          <w:rFonts w:ascii="Times New Roman" w:hAnsi="Times New Roman"/>
          <w:sz w:val="20"/>
        </w:rPr>
        <w:t>” is 6:00 p.m. (New York City time) on December 9, 2025. As used herein, “</w:t>
      </w:r>
      <w:r>
        <w:rPr>
          <w:rFonts w:ascii="Times New Roman" w:hAnsi="Times New Roman"/>
          <w:b/>
          <w:sz w:val="20"/>
        </w:rPr>
        <w:t>free writing prospectus</w:t>
      </w:r>
      <w:r>
        <w:rPr>
          <w:rFonts w:ascii="Times New Roman" w:hAnsi="Times New Roman"/>
          <w:sz w:val="20"/>
        </w:rPr>
        <w:t>” has the meaning set forth in Rule 405 under the Securities Act, and “</w:t>
      </w:r>
      <w:r>
        <w:rPr>
          <w:rFonts w:ascii="Times New Roman" w:hAnsi="Times New Roman"/>
          <w:b/>
          <w:sz w:val="20"/>
        </w:rPr>
        <w:t>Time of Sale Prospectus</w:t>
      </w:r>
      <w:r>
        <w:rPr>
          <w:rFonts w:ascii="Times New Roman" w:hAnsi="Times New Roman"/>
          <w:sz w:val="20"/>
        </w:rPr>
        <w:t xml:space="preserve">” means the preliminary prospectus, if any, and the Base Prospectus, each as amended and supplemented immediately prior to the Applicable Time, including any document incorporated by reference therein and any prospectus supplement deemed to be a part thereof, together with the free writing prospectuses, if any, identified in </w:t>
      </w:r>
      <w:r>
        <w:rPr>
          <w:rFonts w:ascii="Times New Roman" w:hAnsi="Times New Roman"/>
          <w:sz w:val="20"/>
          <w:u w:val="single"/>
        </w:rPr>
        <w:t>Schedule B</w:t>
      </w:r>
      <w:r>
        <w:rPr>
          <w:rFonts w:ascii="Times New Roman" w:hAnsi="Times New Roman"/>
          <w:sz w:val="20"/>
        </w:rPr>
        <w:t xml:space="preserve"> hereto and the pricing information set forth on </w:t>
      </w:r>
      <w:r>
        <w:rPr>
          <w:rFonts w:ascii="Times New Roman" w:hAnsi="Times New Roman"/>
          <w:sz w:val="20"/>
          <w:u w:val="single"/>
        </w:rPr>
        <w:t>Schedule C</w:t>
      </w:r>
      <w:r>
        <w:rPr>
          <w:rFonts w:ascii="Times New Roman" w:hAnsi="Times New Roman"/>
          <w:sz w:val="20"/>
        </w:rPr>
        <w:t xml:space="preserve"> hereto. As used herein, “</w:t>
      </w:r>
      <w:r>
        <w:rPr>
          <w:rFonts w:ascii="Times New Roman" w:hAnsi="Times New Roman"/>
          <w:b/>
          <w:sz w:val="20"/>
        </w:rPr>
        <w:t xml:space="preserve">Road Show” </w:t>
      </w:r>
      <w:r>
        <w:rPr>
          <w:rFonts w:ascii="Times New Roman" w:hAnsi="Times New Roman"/>
          <w:sz w:val="20"/>
        </w:rPr>
        <w:t xml:space="preserve">means a “road show” (as defined in Rule 433 under the Securities Act) relating to the offering of the Offered Securities contemplated hereby that is a “written communication” (as defined in Rule 405 under the Securities Act). </w:t>
      </w:r>
    </w:p>
    <w:p>
      <w:pPr>
        <w:pStyle w:val="TextBody"/>
        <w:bidi w:val="0"/>
        <w:spacing w:before="240" w:after="0"/>
        <w:jc w:val="left"/>
        <w:rPr>
          <w:rFonts w:ascii="Times New Roman" w:hAnsi="Times New Roman"/>
          <w:sz w:val="20"/>
        </w:rPr>
      </w:pPr>
      <w:r>
        <w:rPr>
          <w:rFonts w:ascii="Times New Roman" w:hAnsi="Times New Roman"/>
          <w:sz w:val="20"/>
        </w:rPr>
        <w:t>All references in this Agreement to the Registration Statement, any preliminary prospectus, the Base Prospectus and the Prospectus shall include the documents incorporated or deemed to be incorporated by reference therein. All references in this Agreement to financial statements and schedules and other information which are “contained,” “included” or “stated” in, or “part of” the Registration Statement, any preliminary prospectus, the Base Prospectus, the Time of Sale Prospectus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any preliminary prospectus, the Base Prospectus, the Time of Sale Prospectus or the Prospectus, as the case may be, as of any specified date; and all references in this Agreement to amendments or supplements to the Registration Statement, any preliminary prospectus, the Base Prospectus, the Time of Sale Prospectus or the Prospectus shall be deemed to mean and include, without limitation, the filing of any document under the Exchange Act that is or is deemed to be incorporated by reference in or otherwise deemed under the Securities Act to be a part of or included in the Registration Statement, any preliminary prospectus, the Base Prospectus or the Prospectus, as the case may be. All references in this Agreement to (i) the Registration Statement, any preliminary prospectus, the Base Prospectus or the Prospectus, any amendments or supplements to any of the foregoing, or any free writing prospectus, shall include any copy thereof filed with the Commission pursuant to its Electronic Data Gathering, Analysis and Retrieval System (“</w:t>
      </w:r>
      <w:r>
        <w:rPr>
          <w:rFonts w:ascii="Times New Roman" w:hAnsi="Times New Roman"/>
          <w:b/>
          <w:sz w:val="20"/>
        </w:rPr>
        <w:t>EDGAR</w:t>
      </w:r>
      <w:r>
        <w:rPr>
          <w:rFonts w:ascii="Times New Roman" w:hAnsi="Times New Roman"/>
          <w:sz w:val="20"/>
        </w:rPr>
        <w:t xml:space="preserve">”) and (ii) the Prospectus shall be deemed to include any “electronic Prospectus” provided for use in connection with the offering of the Offered Securities as contemplated by Section 3(o)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hereby confirms its agreements with the Underwriters as follows: </w:t>
      </w:r>
    </w:p>
    <w:p>
      <w:pPr>
        <w:pStyle w:val="TextBody"/>
        <w:bidi w:val="0"/>
        <w:spacing w:before="12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w:t>
      </w:r>
      <w:r>
        <w:rPr>
          <w:rFonts w:ascii="Times New Roman" w:hAnsi="Times New Roman"/>
          <w:sz w:val="20"/>
        </w:rPr>
        <w:t xml:space="preserve"> </w:t>
      </w:r>
      <w:r>
        <w:rPr>
          <w:rFonts w:ascii="Times New Roman" w:hAnsi="Times New Roman"/>
          <w:b/>
          <w:sz w:val="20"/>
        </w:rPr>
        <w:t>Representations and Warranties of the Company</w:t>
      </w:r>
      <w:r>
        <w:rPr>
          <w:rFonts w:ascii="Times New Roman" w:hAnsi="Times New Roman"/>
          <w:sz w:val="20"/>
        </w:rPr>
        <w:t xml:space="preserve">. The Company hereby represents, warrants and covenants to each Underwriter, as of the date of this Agreement and as of the First Closing Date (as hereinafter defined) and as of each Option Closing Date (as hereinafter defined), if any,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Compliance with Registration Requirements</w:t>
      </w:r>
      <w:r>
        <w:rPr>
          <w:rFonts w:ascii="Times New Roman" w:hAnsi="Times New Roman"/>
          <w:sz w:val="20"/>
        </w:rPr>
        <w:t>. The Registration Statement has become effective upon filing with the Commission under the Securities Act. The Company has complied, to the Commission’s satisfaction with all requests of the Commission for additional or supplemental information, if any. No stop order suspending the effectiveness of the Registration Statement is in effect and no proceedings for such purpose or pursuant to Section 8A of the Securities Act have been instituted or are pending or, to the best knowledge of the Company, are contemplated or threatened by the Commission. At the time the Registration Statement originally became effective and at the time the Company’s Annual Report on Form 10-K for the year ended December 31, 2024 (the “</w:t>
      </w:r>
      <w:r>
        <w:rPr>
          <w:rFonts w:ascii="Times New Roman" w:hAnsi="Times New Roman"/>
          <w:b/>
          <w:sz w:val="20"/>
        </w:rPr>
        <w:t>Annual Report</w:t>
      </w:r>
      <w:r>
        <w:rPr>
          <w:rFonts w:ascii="Times New Roman" w:hAnsi="Times New Roman"/>
          <w:sz w:val="20"/>
        </w:rPr>
        <w:t xml:space="preserve">”) was filed with the Commission, or, if later, at the time the Registration Statement was originally filed with the Commission, the Company met the then-applicable requirements for use of Form S-3 under the Securities Act, including, but not limited to, General Instruction I.B.1. The Company meets the requirements for use of Form S-3 under the Securities Act specified in FINRA Conduct Rule 5110(h)(1)(C). The documents incorporated or deemed to be incorporated by reference in the Registration Statement, the Time of Sale Prospectus and the Prospectus, at the time they were or hereafter are filed with the Commission, or became effective under the Exchange Act, as the case may be, complied and will comply in all material respects with the requirements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Disclosure</w:t>
      </w:r>
      <w:r>
        <w:rPr>
          <w:rFonts w:ascii="Times New Roman" w:hAnsi="Times New Roman"/>
          <w:b/>
          <w:sz w:val="20"/>
        </w:rPr>
        <w:t xml:space="preserve">. </w:t>
      </w:r>
      <w:r>
        <w:rPr>
          <w:rFonts w:ascii="Times New Roman" w:hAnsi="Times New Roman"/>
          <w:sz w:val="20"/>
        </w:rPr>
        <w:t xml:space="preserve">Each preliminary prospectus and the Prospectus when filed complied in all material respects with the Securities Act and, if filed by electronic transmission pursuant to EDGAR, was identical (except as may be permitted by Regulation S-T under the Securities Act) to the copy thereof delivered to the Underwriters for use in connection with the offer and sale of the Offered Securities. Each of the Registration Statement and any post-effective amendment thereto, at the time it became or becomes effective,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Applicable Time, the Time of Sale Prospectus (including any preliminary prospectus wrapper) did not, and at the First Closing Date (as defined in Section 2) and at each applicable Option Closing Date (as defined in Section 2), will not, contain any untrue statement of a material fact or omit to state a material fact necessary to make the statements therein, in the light of the circumstances under which they were made, not misleading. The Prospectus (including any Prospectus wrapper), as of its date, did not, and at the First Closing Date and at each applicable Option Closing Date, will not, contain any untrue statement of a material fact or omit to state a material fact necessary in order to make the statements therein, in the light of the circumstances under which they were made, not misleading. None of the documents incorporated or deemed to be incorporated by reference in the Registration Statement, the Time of Sale Prospectus and the Prospectus, when they were filed with the Commission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Time of Sale Prospectus and the Prospectus, when such documents are filed with the Commission, will not contain any untrue statement of a material fact or omit to state a material fact necessary to make the statements therein, in the light of the circumstances under which they were made, not misleading. The representations and warranties set forth in the first three sentences of this Section 1(b) do not apply to statements in or omissions from the Registration Statement or any post-effective amendment thereto, or the Prospectus or the Time of Sale Prospectus, or any amendments or supplements thereto, made in reliance upon and in conformity with written information relating to any Underwriter furnished to the Company in writing by the Representatives expressly for use therein, it being understood and agreed that the only such information consists of the information described in Section 9(b) below. There are no contracts or other documents required to be described in the Time of Sale Prospectus or the Prospectus or to be filed as an exhibit to the Registration Statement which have not been described or filed as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b/>
          <w:i/>
          <w:sz w:val="20"/>
        </w:rPr>
        <w:t>Free Writing Prospectuses; Road Show</w:t>
      </w:r>
      <w:r>
        <w:rPr>
          <w:rFonts w:ascii="Times New Roman" w:hAnsi="Times New Roman"/>
          <w:b/>
          <w:sz w:val="20"/>
        </w:rPr>
        <w:t xml:space="preserve">. </w:t>
      </w:r>
      <w:r>
        <w:rPr>
          <w:rFonts w:ascii="Times New Roman" w:hAnsi="Times New Roman"/>
          <w:sz w:val="20"/>
        </w:rPr>
        <w:t xml:space="preserve">As of the determination date referenced in Rule 164(h) under the Securities Act, the Company was not, is not or will not be (as applicable) an “ineligible issuer” in connection with the offering of the Offered Securities pursuant to Rules 164, 405 and 433 under the Securities Act. Each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public offer and sale of the Offered Securities did not, does not and will not include any information that conflicted, conflicts or will conflict with the information contained in the Registration Statement, the Prospectus or any preliminary prospectus and not superseded or modified. Except for the free writing prospectuses, if any, identified in </w:t>
      </w:r>
      <w:r>
        <w:rPr>
          <w:rFonts w:ascii="Times New Roman" w:hAnsi="Times New Roman"/>
          <w:sz w:val="20"/>
          <w:u w:val="single"/>
        </w:rPr>
        <w:t>Schedule B,</w:t>
      </w:r>
      <w:r>
        <w:rPr>
          <w:rFonts w:ascii="Times New Roman" w:hAnsi="Times New Roman"/>
          <w:sz w:val="20"/>
        </w:rPr>
        <w:t xml:space="preserve"> and electronic road shows, if any, furnished to the Representatives before first use, the Company has not prepared, used or referred to, and will not, without the prior written consent of the Representatives, prepare, use or refer to, any free writing prospectus. Each Road Show, when considered together with the Time of Sale Prospectus, did not, as of the Applicable Time, contain any untrue statement of a material fact or omit to state a material fact necessary to make the statements therein, in the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i/>
          <w:sz w:val="20"/>
        </w:rPr>
        <w:t>Distribution of Offering Material By the Company</w:t>
      </w:r>
      <w:r>
        <w:rPr>
          <w:rFonts w:ascii="Times New Roman" w:hAnsi="Times New Roman"/>
          <w:b/>
          <w:sz w:val="20"/>
        </w:rPr>
        <w:t xml:space="preserve">. </w:t>
      </w:r>
      <w:r>
        <w:rPr>
          <w:rFonts w:ascii="Times New Roman" w:hAnsi="Times New Roman"/>
          <w:sz w:val="20"/>
        </w:rPr>
        <w:t xml:space="preserve">Prior to the completion of the Underwriters’ distribution of the Offered Securities, the Company has not distributed and will not distribute any offering material in connection with the offering and sale of the Offered Securities other than the Registration Statement, the Time of Sale Prospectus, the Prospectus or any free writing prospectus reviewed and consented to by the Representatives, or the free writing prospectuses, if any, identified on </w:t>
      </w:r>
      <w:r>
        <w:rPr>
          <w:rFonts w:ascii="Times New Roman" w:hAnsi="Times New Roman"/>
          <w:sz w:val="20"/>
          <w:u w:val="single"/>
        </w:rPr>
        <w:t>Schedule B</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i/>
          <w:sz w:val="20"/>
        </w:rPr>
        <w:t>The Underwriting Agreement</w:t>
      </w:r>
      <w:r>
        <w:rPr>
          <w:rFonts w:ascii="Times New Roman" w:hAnsi="Times New Roman"/>
          <w:b/>
          <w:sz w:val="20"/>
        </w:rPr>
        <w:t xml:space="preserve">. </w:t>
      </w:r>
      <w:r>
        <w:rPr>
          <w:rFonts w:ascii="Times New Roman" w:hAnsi="Times New Roman"/>
          <w:sz w:val="20"/>
        </w:rPr>
        <w:t xml:space="preserve">This Agreement has been duly authorized, executed and delivered by the Company. This Agreement conforms in all material respects to the description thereof contained in the Registration Statement, the Time of Sale Prospectus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i/>
          <w:sz w:val="20"/>
        </w:rPr>
        <w:t>Authorization of the Offered Securities</w:t>
      </w:r>
      <w:r>
        <w:rPr>
          <w:rFonts w:ascii="Times New Roman" w:hAnsi="Times New Roman"/>
          <w:b/>
          <w:sz w:val="20"/>
        </w:rPr>
        <w:t xml:space="preserve">. </w:t>
      </w:r>
      <w:r>
        <w:rPr>
          <w:rFonts w:ascii="Times New Roman" w:hAnsi="Times New Roman"/>
          <w:sz w:val="20"/>
        </w:rPr>
        <w:t xml:space="preserve">The Offered Shares have been duly authorized for issuance and sale pursuant to this Agreement and, when issued and delivered by the Company against payment therefor pursuant to this Agreement, will be validly issued, fully paid and nonassessable, and the issuance and sale of the Offered Shares is not subject to any preemptive rights, rights of first refusal or other similar rights to subscribe for or purchase the Offered Shares. The Pre-Funded Warrants have been duly authorized by the Company and, upon their execution and delivery, will be valid and binding obligations, enforceable in accordance with its terms, except as rights to indemnity hereunder may be limited by federal or state laws and except as such enforceability may be limited by bankruptcy, insolvency, reorganization or similar laws affecting the rights of creditors generally and subject to general principles of equity. The Warrant Shares have been duly authorized for issuance upon exercise of the Pre-Funded Warrants and, when issued and delivered upon valid and proper exercise of the Pre-Funded Warrants in accordance therewith, will be validly issued, fully paid and non-assessable and will conform to the descriptions thereof in the Registration Statement, the Time of Sale Prospectus and the Prospectus. The issuance of the Warrant Shares is not subject to any preemptive or similar rights. As used in this Agreement, the term “nonassessable” in relation to the Shares means that holders of such Shares, having fully paid up all amounts due on such Shares, are under no further personal liability to make payments to the Company or its creditors or contribute to the assets or liabilities of the Company in their capacities purely as holders of such Shares.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b/>
          <w:i/>
          <w:sz w:val="20"/>
        </w:rPr>
        <w:t>No Applicable Registration or Other Similar Rights</w:t>
      </w:r>
      <w:r>
        <w:rPr>
          <w:rFonts w:ascii="Times New Roman" w:hAnsi="Times New Roman"/>
          <w:b/>
          <w:sz w:val="20"/>
        </w:rPr>
        <w:t xml:space="preserve">. </w:t>
      </w:r>
      <w:r>
        <w:rPr>
          <w:rFonts w:ascii="Times New Roman" w:hAnsi="Times New Roman"/>
          <w:sz w:val="20"/>
        </w:rPr>
        <w:t xml:space="preserve">There are no persons with registration or other similar rights to have any equity or debt securities registered for sale under the Registration Statement or included in the offering contemplated by this Agreement and the Pre-Funded Warrants, except for such rights as have been duly waived.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b/>
          <w:i/>
          <w:sz w:val="20"/>
        </w:rPr>
        <w:t>No Material Adverse Change</w:t>
      </w:r>
      <w:r>
        <w:rPr>
          <w:rFonts w:ascii="Times New Roman" w:hAnsi="Times New Roman"/>
          <w:sz w:val="20"/>
        </w:rPr>
        <w:t>. Except as otherwise disclosed in the Registration Statement, the Time of Sale Prospectus and the Prospectus, subsequent to the respective dates as of which information is given in the Registration Statement, the Time of Sale Prospectus and the Prospectus: (i) there has been no material adverse change, or any development that could be expected to result in a material adverse change, in the condition, financial or otherwise, or in the earnings, business, properties, operations, assets, liabilities or prospects, whether or not arising from transactions in the ordinary course of business, of the Company and its subsidiaries, considered as one entity (any such change being referred to herein as a “</w:t>
      </w:r>
      <w:r>
        <w:rPr>
          <w:rFonts w:ascii="Times New Roman" w:hAnsi="Times New Roman"/>
          <w:b/>
          <w:sz w:val="20"/>
        </w:rPr>
        <w:t>Material Adverse Change</w:t>
      </w:r>
      <w:r>
        <w:rPr>
          <w:rFonts w:ascii="Times New Roman" w:hAnsi="Times New Roman"/>
          <w:sz w:val="20"/>
        </w:rPr>
        <w:t xml:space="preserve">”); (ii) the Company and its subsidiaries, considered as one entity, have not incurred any material liability or obligation, indirect, direct or contingent, including without limitation any losses or interference with its business from fire, explosion, flood, earthquakes, accident or other calamity, including a health epidemic or pandemic outbreak of infectious disease, whether or not covered by insurance, or from any strike, labor dispute or court or governmental action, order or decree, that are material, individually or in the aggregate, to the Company and its subsidiaries, considered as one entity, entered into any transactions not in the ordinary course of business, nor entered into any material agreement not in the ordinary course of business; and (iii) there has not been any material decrease in the share capital or capital stock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share capital or capital stock, or any repurchase or redemption by the Company or any of its subsidiaries of any class of share capital or capital stock.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b/>
          <w:i/>
          <w:sz w:val="20"/>
        </w:rPr>
        <w:t>Independent Accountants</w:t>
      </w:r>
      <w:r>
        <w:rPr>
          <w:rFonts w:ascii="Times New Roman" w:hAnsi="Times New Roman"/>
          <w:sz w:val="20"/>
        </w:rPr>
        <w:t>. KPMG LLP, which has expressed its opinion with respect to the financial statements (which term as used in this Agreement includes the related notes thereto) filed with the Commission as a part of the Registration Statement, the Time of Sale Prospectus and the Prospectus, is (i) an independent registered public accounting firm as required by the Securities Act, the Exchange Act, and the rules of the Public Company Accounting Oversight Board (“</w:t>
      </w:r>
      <w:r>
        <w:rPr>
          <w:rFonts w:ascii="Times New Roman" w:hAnsi="Times New Roman"/>
          <w:b/>
          <w:sz w:val="20"/>
        </w:rPr>
        <w:t>PCAOB</w:t>
      </w:r>
      <w:r>
        <w:rPr>
          <w:rFonts w:ascii="Times New Roman" w:hAnsi="Times New Roman"/>
          <w:sz w:val="20"/>
        </w:rPr>
        <w:t xml:space="preserve">”),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b/>
          <w:i/>
          <w:sz w:val="20"/>
        </w:rPr>
        <w:t>Financial Statements</w:t>
      </w:r>
      <w:r>
        <w:rPr>
          <w:rFonts w:ascii="Times New Roman" w:hAnsi="Times New Roman"/>
          <w:b/>
          <w:sz w:val="20"/>
        </w:rPr>
        <w:t xml:space="preserve">. </w:t>
      </w:r>
      <w:r>
        <w:rPr>
          <w:rFonts w:ascii="Times New Roman" w:hAnsi="Times New Roman"/>
          <w:sz w:val="20"/>
        </w:rPr>
        <w:t>The financial statements (including the related notes thereto) filed with the Commission as a part of the Registration Statement, the Time of Sale Prospectus and the Prospectus present fairly, in all material respects, the consolidated financial position of the Company and its subsidiaries as of the dates indicated and the results of their operations, changes in shareholders’ equity and cash flows for the periods specified. Such financial statements have been prepared in conformity with generally accepted accounting principles as applied in the United States (“</w:t>
      </w:r>
      <w:r>
        <w:rPr>
          <w:rFonts w:ascii="Times New Roman" w:hAnsi="Times New Roman"/>
          <w:b/>
          <w:sz w:val="20"/>
        </w:rPr>
        <w:t>GAAP</w:t>
      </w:r>
      <w:r>
        <w:rPr>
          <w:rFonts w:ascii="Times New Roman" w:hAnsi="Times New Roman"/>
          <w:sz w:val="20"/>
        </w:rPr>
        <w:t xml:space="preserve">”) applied on a consistent basis throughout the periods involved, except as may be expressly stated in the related notes thereto, and any supporting schedules included or incorporated by reference in the Registration Statement, the Time of Sale Prospectus and the Prospectus present fairly the information required to be stated therein; and the other financial information included or incorporated by reference in the Registration Statement, the Time of Sale Prospectus and the Prospectus has been derived from the accounting records of the Company and its subsidiaries and presents fairly the information shown thereby.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No other financial statements or supporting schedules are required to be included or incorporated by reference in the Registration Statement, the Time of Sale Prospectus or the Prospectus. The financial data set forth in each of the Registration Statement, the Time of Sale Prospectus and the Prospectus under the caption “Capitalization” fairly present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information set forth therein on a basis consistent with that of the unaudited financial statements as of and for the quarter ended September 30, 2025 contained in the Registration Statement, the Time of Sale Prospectus and the Prospectus.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or other financial data filed with the Commission as a part of the Registration Statement, the Time of Sale Prospectus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b/>
          <w:i/>
          <w:sz w:val="20"/>
        </w:rPr>
        <w:t>Company’s Accounting System</w:t>
      </w:r>
      <w:r>
        <w:rPr>
          <w:rFonts w:ascii="Times New Roman" w:hAnsi="Times New Roman"/>
          <w:b/>
          <w:sz w:val="20"/>
        </w:rPr>
        <w:t xml:space="preserve">. </w:t>
      </w:r>
      <w:r>
        <w:rPr>
          <w:rFonts w:ascii="Times New Roman" w:hAnsi="Times New Roman"/>
          <w:sz w:val="20"/>
        </w:rPr>
        <w:t xml:space="preserve">The Company and its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Except as otherwise disclosed in the Registration Statement, the Time of Sale Prospectus and the Prospectus, the Company and each of its subsidiaries make and keep accurate books and records and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the Time of Sale Prospectus and the Prospectus fairly presents the information called for in all material respects and is prepared in accordance with the Commission’s rules and guidelines applicable thereto.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b/>
          <w:i/>
          <w:sz w:val="20"/>
        </w:rPr>
        <w:t>Disclosure Controls and Procedures; Deficiencies in or Changes to Internal Control Over Financial Reporting</w:t>
      </w:r>
      <w:r>
        <w:rPr>
          <w:rFonts w:ascii="Times New Roman" w:hAnsi="Times New Roman"/>
          <w:b/>
          <w:sz w:val="20"/>
        </w:rPr>
        <w:t xml:space="preserve">. </w:t>
      </w:r>
      <w:r>
        <w:rPr>
          <w:rFonts w:ascii="Times New Roman" w:hAnsi="Times New Roman"/>
          <w:sz w:val="20"/>
        </w:rPr>
        <w:t xml:space="preserve">Except as otherwise disclosed in the Registration Statement, the Time of Sale Prospectus and the Prospectus, the Company has established and maintains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(ii) have been evaluated by management of the Company for effectiveness as of the end of the Company’s most recent fiscal year; and (iii) are effective in all material respects to perform the functions for which they were established. Except as otherwise disclosed in the Registration Statement, the Time of Sale Prospectus and the Prospectus, since the end of the Company’s most recent audited fiscal year, there have been no significant deficiencies or material weakness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w:t>
      </w:r>
      <w:r>
        <w:rPr>
          <w:rFonts w:ascii="Times New Roman" w:hAnsi="Times New Roman"/>
          <w:b/>
          <w:i/>
          <w:sz w:val="20"/>
        </w:rPr>
        <w:t>Incorporation and Good Standing of the Company</w:t>
      </w:r>
      <w:r>
        <w:rPr>
          <w:rFonts w:ascii="Times New Roman" w:hAnsi="Times New Roman"/>
          <w:b/>
          <w:sz w:val="20"/>
        </w:rPr>
        <w:t xml:space="preserve">. </w:t>
      </w:r>
      <w:r>
        <w:rPr>
          <w:rFonts w:ascii="Times New Roman" w:hAnsi="Times New Roman"/>
          <w:sz w:val="20"/>
        </w:rPr>
        <w:t>The Company has been duly incorporated and is validly existing as a corporation under the laws of the Republic of Singapore and has the corporate power and authority to own, lease and operate its properties and to conduct its business as described in the Registration Statement, the Time of Sale Prospectus and the Prospectus and to enter into and perform its obligations under this Agreement and the Pre-Funded Warrants. The Company is duly qualified as a foreign corporation to transact business and is in good standing in the Commonwealth of Massachusetts and each other jurisdiction in which such qualification is required, whether by reason of the ownership or leasing of property or the conduct of business, except where the failure to so qualify or to be in good standing would not reasonably be expected, individually or in the aggregate, to have a material adverse effect on the condition (financial or otherwise), earnings, business, properties, operations, assets, liabilities or prospects of the Company and its subsidiaries, considered as one entity (a “</w:t>
      </w:r>
      <w:r>
        <w:rPr>
          <w:rFonts w:ascii="Times New Roman" w:hAnsi="Times New Roman"/>
          <w:b/>
          <w:sz w:val="20"/>
        </w:rPr>
        <w:t>Material Adverse Effect”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b/>
          <w:i/>
          <w:sz w:val="20"/>
        </w:rPr>
        <w:t>Subsidiaries</w:t>
      </w:r>
      <w:r>
        <w:rPr>
          <w:rFonts w:ascii="Times New Roman" w:hAnsi="Times New Roman"/>
          <w:b/>
          <w:sz w:val="20"/>
        </w:rPr>
        <w:t xml:space="preserve">. </w:t>
      </w:r>
      <w:r>
        <w:rPr>
          <w:rFonts w:ascii="Times New Roman" w:hAnsi="Times New Roman"/>
          <w:sz w:val="20"/>
        </w:rPr>
        <w:t xml:space="preserve">Each of the Company’s “subsidiaries” (for purposes of this Agreement, as defined in Rule 405 under the Securities Act) has been duly incorporated or organized, as the case may be, and is validly existing as a corporation or company in good standing under the laws of the jurisdiction of its incorporation or organization and has the power and authority (corporate or other) to own, lease and operate its properties and to conduct its businesses as described in the Registration Statement, the Time of Sale Prospectus and the Prospectus. Each of the Company’s subsidiaries is duly qualified as a foreign corporation to transact business and is in good standing in each jurisdiction in which such qualification is required, whether by reason of the ownership or leasing of property or the conduct of business, except where the failure to so qualify or to be in good standing would not reasonably be expected, individually or in the aggregate, to have a Material Adverse Effect. All of the issued and outstanding share capital or capital stock or other equity or ownership interests of each of the Company’s subsidiaries have been duly authorized and validly issued, are fully paid and nonassessable and are owned by the Company, directly or through subsidiaries, free and clear of any security interest, mortgage, pledge, lien, encumbrance or adverse claim. The Company does not own or control, directly or indirectly, any corporation, association or other entity other than the subsidiaries listed in Exhibit 21.1 to the Annual Report.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b/>
          <w:i/>
          <w:sz w:val="20"/>
        </w:rPr>
        <w:t>Capitalization and Other Capital Stock Matters</w:t>
      </w:r>
      <w:r>
        <w:rPr>
          <w:rFonts w:ascii="Times New Roman" w:hAnsi="Times New Roman"/>
          <w:b/>
          <w:sz w:val="20"/>
        </w:rPr>
        <w:t xml:space="preserve">. </w:t>
      </w:r>
      <w:r>
        <w:rPr>
          <w:rFonts w:ascii="Times New Roman" w:hAnsi="Times New Roman"/>
          <w:sz w:val="20"/>
        </w:rPr>
        <w:t xml:space="preserve">The issued and outstanding capital stock of the Company is as set forth in the Registration Statement, the Time of Sale Prospectus and the Prospectus (other than for subsequent issuances, if any, pursuant to the Open Market Sale Agreement, dated as of May 10, 2019, as amended by that certain Amendment No. 1 to Open Market Sale Agreement, dated as of March 2, 2020, that certain Amendment No. 2 to Open Market Sale Agreement, dated as of March 3, 2022, and that certain Amendment No. 3 to Open Market Sale Agreement, dated as of November 12, 2024, by and between the Company and Jefferies LLC, or pursuant to employee benefit plans, or upon the exercise of outstanding options or warrants or the vesting of restricted share units or performance share units or pursuant to the 2019 employee share purchase plan, in each case described in the Registration Statement, the Time of Sale Prospectus and the Prospectus). The Shares (including the Offered Shares) and the Pre-Funded Warrants conform in all material respects to the description thereof contained in the Registration Statement, the Time of Sale Prospectus and the Prospectus. All of the issued and outstanding Shares have been duly authorized and validly issued, are fully paid and nonassessable, at the respective time of their issuance were free and clear of any security interest, mortgage, pledge, lien, encumbrance or adverse claim, have been issued in compliance with all applicable laws and the constitution of the Company, and are not subject to any restrictions on voting, pre-emptive or similar rights or transfer restrictions or liens thereunder, except as set forth in the Registration Statement, the Time of Sale Prospectus and the Prospectus. None of the outstanding Shares were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shares, capital stock or ownership interests, of the Company or any of its subsidiaries other than those described in the Registration Statement, the Time of Sale Prospectus and the Prospectus. The descriptions of the Company’s share or stock option, share or stock bonus and other share or stock plans or arrangements, and the options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other rights granted thereunder, set forth in the Registration Statement, the Time of Sale Prospectus and the Prospectus accurately and fairly presents the information required to be shown with respect to such plans, arrangements, options and rights. Except as disclosed in the Time of Sale Prospectus, the Company has not sold, issued or distributed any Shares during the six-month period preceding the date hereof, including any sales pursuant to Rule 144A under, or Regulation D or S of, the Securities Act, other than shares issued pursuant to employee benefit plans, stock option plans or other employee compensation plans or pursuant to outstanding options, restricted share units, performance share units, rights or warrants or employee share purchase plans.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b/>
          <w:i/>
          <w:sz w:val="20"/>
        </w:rPr>
        <w:t>Stock Exchange Listing</w:t>
      </w:r>
      <w:r>
        <w:rPr>
          <w:rFonts w:ascii="Times New Roman" w:hAnsi="Times New Roman"/>
          <w:b/>
          <w:sz w:val="20"/>
        </w:rPr>
        <w:t xml:space="preserve">. </w:t>
      </w:r>
      <w:r>
        <w:rPr>
          <w:rFonts w:ascii="Times New Roman" w:hAnsi="Times New Roman"/>
          <w:sz w:val="20"/>
        </w:rPr>
        <w:t>The Shares are registered pursuant to Section 12(b) of the Exchange Act and are listed on The Nasdaq Global Market (the “</w:t>
      </w:r>
      <w:r>
        <w:rPr>
          <w:rFonts w:ascii="Times New Roman" w:hAnsi="Times New Roman"/>
          <w:b/>
          <w:sz w:val="20"/>
        </w:rPr>
        <w:t>Nasdaq</w:t>
      </w:r>
      <w:r>
        <w:rPr>
          <w:rFonts w:ascii="Times New Roman" w:hAnsi="Times New Roman"/>
          <w:sz w:val="20"/>
        </w:rPr>
        <w:t xml:space="preserve">”), and the Company has taken no action designed to, or likely to have the effect of, terminating the registration of the Shares under the Exchange Act or delisting the Shares from the Nasdaq, nor has the Company received any notification that the Commission or the Nasdaq is contemplating terminating such registration or listing. To the Company’s knowledge, it is in compliance with all applicable listing requirements of Nasdaq.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b/>
          <w:i/>
          <w:sz w:val="20"/>
        </w:rPr>
        <w:t>Non-Contravention of Existing Instruments; No Further Authorizations or Approvals Required</w:t>
      </w:r>
      <w:r>
        <w:rPr>
          <w:rFonts w:ascii="Times New Roman" w:hAnsi="Times New Roman"/>
          <w:b/>
          <w:sz w:val="20"/>
        </w:rPr>
        <w:t xml:space="preserve">. </w:t>
      </w:r>
      <w:r>
        <w:rPr>
          <w:rFonts w:ascii="Times New Roman" w:hAnsi="Times New Roman"/>
          <w:sz w:val="20"/>
        </w:rPr>
        <w:t>Neither the Company nor any of its subsidiaries is (i) in violation of its constitution, memorandum and articles of association, charter, by-laws, or similar organizational documents, as applicable, (ii) is in default (or, with the giving of notice or lapse of time, would be in default) (“</w:t>
      </w:r>
      <w:r>
        <w:rPr>
          <w:rFonts w:ascii="Times New Roman" w:hAnsi="Times New Roman"/>
          <w:b/>
          <w:sz w:val="20"/>
        </w:rPr>
        <w:t>Default</w:t>
      </w:r>
      <w:r>
        <w:rPr>
          <w:rFonts w:ascii="Times New Roman" w:hAnsi="Times New Roman"/>
          <w:sz w:val="20"/>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it or any of them may be bound, or to which any of their respective properties or assets are subject (each, an “</w:t>
      </w:r>
      <w:r>
        <w:rPr>
          <w:rFonts w:ascii="Times New Roman" w:hAnsi="Times New Roman"/>
          <w:b/>
          <w:sz w:val="20"/>
        </w:rPr>
        <w:t>Existing Instrument</w:t>
      </w:r>
      <w:r>
        <w:rPr>
          <w:rFonts w:ascii="Times New Roman" w:hAnsi="Times New Roman"/>
          <w:sz w:val="20"/>
        </w:rPr>
        <w:t>”), or (iii) in violation of any law, administrative regulation or administrative or court decree applicable to the Company or any of its subsidiaries, except, in the case of clauses (ii) and (iii) above, for such Defaults or violations as would not reasonably be expected, individually or in the aggregate, to have a Material Adverse Effect. The Company’s execution, delivery and performance of this Agreement and each Pre-Funded Warrant, consummation of the transactions contemplated hereby and thereby and by the Registration Statement, the Time of Sale Prospectus and the Prospectus and the issuance and sale of the Offered Securities (including the use of proceeds from the sale of the Offered Securities as described in the Registration Statement, the Time of Sale Prospectus and the Prospectus under the caption “Use of Proceeds”) (i) have been duly authorized by all necessary corporate action and will not result in any violation of the provisions of the constitution, memorandum and articles of association, charter, by-laws, or similar organizational documents, as applicable, of the Company or any subsidiary,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and (iii) will not result in any violation of any law, administrative regulation or administrative or court decree applicable to the Company or any of its subsidiaries, except in the case of clauses (ii) and (iii) as would not reasonably be expected, individually or in the aggregate, to result in a Material Adverse Effect. No consent, approval, authorization or other order of, or registration or filing with, any court or other governmental or regulatory authority or agency, is required for the Company’s execution, delivery and performance of this Agreement and the Pre-Funded Warrants and consummation of the transactions contemplated hereby and thereby and by the Registration Statement, the Time of Sale Prospectus and the Prospectus, except such as have been obtained or made by the Company and are in full force and effect under the Securities Act and such as may be required under applicable state securities or blue sky laws or the Financial Industry Regulatory Authority, Inc. (“</w:t>
      </w:r>
      <w:r>
        <w:rPr>
          <w:rFonts w:ascii="Times New Roman" w:hAnsi="Times New Roman"/>
          <w:b/>
          <w:sz w:val="20"/>
        </w:rPr>
        <w:t>FINRA</w:t>
      </w:r>
      <w:r>
        <w:rPr>
          <w:rFonts w:ascii="Times New Roman" w:hAnsi="Times New Roman"/>
          <w:sz w:val="20"/>
        </w:rPr>
        <w:t>”). As used herein, a “</w:t>
      </w:r>
      <w:r>
        <w:rPr>
          <w:rFonts w:ascii="Times New Roman" w:hAnsi="Times New Roman"/>
          <w:b/>
          <w:sz w:val="20"/>
        </w:rPr>
        <w:t>Debt Repayment Triggering Event</w:t>
      </w:r>
      <w:r>
        <w:rPr>
          <w:rFonts w:ascii="Times New Roman" w:hAnsi="Times New Roman"/>
          <w:sz w:val="20"/>
        </w:rPr>
        <w:t xml:space="preserve">”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 </w:t>
      </w:r>
      <w:r>
        <w:rPr>
          <w:rFonts w:ascii="Times New Roman" w:hAnsi="Times New Roman"/>
          <w:b/>
          <w:i/>
          <w:sz w:val="20"/>
        </w:rPr>
        <w:t>Compliance with Laws</w:t>
      </w:r>
      <w:r>
        <w:rPr>
          <w:rFonts w:ascii="Times New Roman" w:hAnsi="Times New Roman"/>
          <w:b/>
          <w:sz w:val="20"/>
        </w:rPr>
        <w:t xml:space="preserve">. </w:t>
      </w:r>
      <w:r>
        <w:rPr>
          <w:rFonts w:ascii="Times New Roman" w:hAnsi="Times New Roman"/>
          <w:sz w:val="20"/>
        </w:rPr>
        <w:t xml:space="preserve">The Company and its subsidiaries have been and are in compliance with all applicable laws, rules and regulations, except where failure to be so in compliance could not be expected, individually or in the aggregate,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b/>
          <w:i/>
          <w:sz w:val="20"/>
        </w:rPr>
        <w:t>No Material Actions or Proceedings</w:t>
      </w:r>
      <w:r>
        <w:rPr>
          <w:rFonts w:ascii="Times New Roman" w:hAnsi="Times New Roman"/>
          <w:b/>
          <w:sz w:val="20"/>
        </w:rPr>
        <w:t xml:space="preserve">. </w:t>
      </w:r>
      <w:r>
        <w:rPr>
          <w:rFonts w:ascii="Times New Roman" w:hAnsi="Times New Roman"/>
          <w:sz w:val="20"/>
        </w:rPr>
        <w:t>There is no action, suit, proceeding, demand, claim, arbitration, inquiry or governmental or regulatory investigation brought by or before any governmental entity (“</w:t>
      </w:r>
      <w:r>
        <w:rPr>
          <w:rFonts w:ascii="Times New Roman" w:hAnsi="Times New Roman"/>
          <w:b/>
          <w:sz w:val="20"/>
        </w:rPr>
        <w:t>Action</w:t>
      </w:r>
      <w:r>
        <w:rPr>
          <w:rFonts w:ascii="Times New Roman" w:hAnsi="Times New Roman"/>
          <w:sz w:val="20"/>
        </w:rPr>
        <w:t xml:space="preserve">”) now pending or, to the knowledge of the Company, threatened, against or affecting the Company or any such subsidiary, which would reasonably be expected, individually or in the aggregate, to have a Material Adverse Effect or materially and adversely affect the consummation of the transactions contemplated by this Agreement and the Pre-Funded Warrants or the performance by the Company of its obligations hereunder or thereunder; and the aggregate of all pending legal or governmental proceedings to which the Company or any of its subsidiaries is a party or of which any of their respective properties or assets is the subject, including ordinary routine litigation incidental to the business, if determined adversely to the Company, would not reasonably be expected to have a Material Adverse Effect. There are no current or pending Actions that are required under the Securities Act to be described in the Registration Statement, the Time of Sale Prospectus and the Prospectus that are not so described in the Registration Statement, the Time of Sale Prospectus and the Prospectus, and there are no statutes or regulations that are required under the Securities Act to be described in the Registration Statement, the Time of Sale Prospectus and the Prospectus that are not so described in the Registration Statement, the Time of Sale Prospectus and the Prospectus. No labor dispute with the employees of the Company or any of its subsidiaries, or with the employees of any principal supplier, manufacturer, customer or contractor of the Company, exists or, to the knowledge of the Company, is threatened or imminent, which would reasonably be expected, individually or in the aggregate,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(t) </w:t>
      </w:r>
      <w:r>
        <w:rPr>
          <w:rFonts w:ascii="Times New Roman" w:hAnsi="Times New Roman"/>
          <w:b/>
          <w:i/>
          <w:sz w:val="20"/>
        </w:rPr>
        <w:t>Intellectual Property Rights</w:t>
      </w:r>
      <w:r>
        <w:rPr>
          <w:rFonts w:ascii="Times New Roman" w:hAnsi="Times New Roman"/>
          <w:b/>
          <w:sz w:val="20"/>
        </w:rPr>
        <w:t xml:space="preserve">. </w:t>
      </w:r>
      <w:r>
        <w:rPr>
          <w:rFonts w:ascii="Times New Roman" w:hAnsi="Times New Roman"/>
          <w:sz w:val="20"/>
        </w:rPr>
        <w:t>The Company and its subsidiaries own, or have obtained valid and enforceable licenses for, the inventions, patent applications, patents, trademarks, trade names, service names, copyrights, trade secrets and other intellectual property described in the Registration Statement, the Time of Sale Prospectus and the Prospectus as being owned or licensed by them or which are necessary for the conduct of their respective businesses as currently conducted or as currently proposed to be conducted (collectively, “</w:t>
      </w:r>
      <w:r>
        <w:rPr>
          <w:rFonts w:ascii="Times New Roman" w:hAnsi="Times New Roman"/>
          <w:b/>
          <w:sz w:val="20"/>
        </w:rPr>
        <w:t>Intellectual Property</w:t>
      </w:r>
      <w:r>
        <w:rPr>
          <w:rFonts w:ascii="Times New Roman" w:hAnsi="Times New Roman"/>
          <w:sz w:val="20"/>
        </w:rPr>
        <w:t xml:space="preserve">”). To the Company’s knowledge: (i) the Registration Statement, the Time of Sale Prospectus, and the Prospectus accurately sets forth third party ownership and other interests (including, e.g., co-exclusive license rights) in the Intellectual Property; there are no third party rights in any Intellectual Property that are not identified in the Registration Statement, the Time of Sale Prospectus, and the Prospectus; and (ii) there is no infringement by third parties of any Intellectual Property. There is no pending or, to the Company’s knowledge, threatened action, suit, proceeding or claim by others: (A) challenging the Company’s ownership of, or rights in or to, any Intellectual Property, and the Company is unaware of any facts which would form a reasonable basis for any such action, suit, proceeding or claim that, if asserted on the date hereof, would reasonably be expected to succeed; (B) challenging the validity, enforceability or scope of any Intellectual Property (other than the ordinary rejections and assertions typically levied during patent examination within patent offices), and the Company is unaware of any facts which would form a reasonable basis for any such action, suit, proceeding or claim that, if asserted on the date hereof, would reasonably be expected to succeed; or (C) asserting that the Company or any of its subsidiaries infringes or otherwise violates, or would, through pursuing the discovery and development programs described in the Registration Statement, the Time of Sale Prospectus or the Prospectus infringe or violate, any valid patent, trademark, trade name, service name, copyright, trade secret or other proprietary rights of others, and the Company is unaware of any facts which would form a reasonable basis for any such action, suit, proceeding or claim that, if asserted on the date hereof, would reasonably be expected to succeed. The Company and its subsidiaries have complied with the terms of each agreement pursuant to which Intellectual Property has been licensed to the Company or any subsidiary,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such agreements are in full force and effect, except as would not reasonably be expected, individually or in the aggregate, to have a Material Adverse Effect. The Intellectual Property includes claims that cover various valuable aspects and features of the discovery and development programs described in the Registration Statement, the Time of Sale Prospectus and the Prospectus as being pursued by the Company and/or its subsidiaries. All patents and patent applications owned by, or exclusively licensed to, the Company have been duly and properly filed and maintained, except as would not reasonably be expected, individually or in the aggregate, to have a Material Adverse Effect. To the knowledge of the Company, the parties prosecuting such patents and patent applications have complied with their duty of candor and disclosure to the U.S. Patent and Trademark Office, and the Company is not aware of any violation of such duty which would preclude the grant of a patent in connection with any such application or would reasonably be expected to form the basis of a finding of invalidity with respect to any patents that have issued from such applications. The Company has complied with applicable laws relating to privacy, data protection, and the collection and use of personal information collected, used, or held for use by it in the conduct of its business, except where the failure to do so, individually or in the aggregate, would not reasonably be expected to have a Material Adverse Effect. Since November 1, 2015, no claims have been asserted or, to the knowledge of the Company, threatened against the Company alleging a violation of any person’s privacy or personal information or data rights and, to the knowledge of the Company, the consummation of the transactions contemplated hereby will not breach or otherwise cause any violation of any law related to privacy, data protection, or the collection and use of personal information collected, used, or held for use by the Company in the conduct of the Company’s business. The Company takes reasonable measures, consistent with industry standards, to ensure that such information is protected against unauthorized access, use, modification, or other misuse, except where the failure to do so, individually or in the aggregate,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(u) </w:t>
      </w:r>
      <w:r>
        <w:rPr>
          <w:rFonts w:ascii="Times New Roman" w:hAnsi="Times New Roman"/>
          <w:b/>
          <w:i/>
          <w:sz w:val="20"/>
        </w:rPr>
        <w:t>IT Systems and Data</w:t>
      </w:r>
      <w:r>
        <w:rPr>
          <w:rFonts w:ascii="Times New Roman" w:hAnsi="Times New Roman"/>
          <w:sz w:val="20"/>
        </w:rPr>
        <w:t>. The Company and its subsidiaries’ information technology and computer systems, assets, networks, hardware, software, websites, data (including the data of their respective customers, employees, suppliers, vendors and any third party data maintained by or on behalf of them), equipment or technology (“</w:t>
      </w:r>
      <w:r>
        <w:rPr>
          <w:rFonts w:ascii="Times New Roman" w:hAnsi="Times New Roman"/>
          <w:b/>
          <w:sz w:val="20"/>
        </w:rPr>
        <w:t>IT Systems</w:t>
      </w:r>
      <w:r>
        <w:rPr>
          <w:rFonts w:ascii="Times New Roman" w:hAnsi="Times New Roman"/>
          <w:sz w:val="20"/>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w:t>
      </w:r>
      <w:r>
        <w:rPr>
          <w:rFonts w:ascii="Times New Roman" w:hAnsi="Times New Roman"/>
          <w:b/>
          <w:sz w:val="20"/>
        </w:rPr>
        <w:t>Personal Data</w:t>
      </w:r>
      <w:r>
        <w:rPr>
          <w:rFonts w:ascii="Times New Roman" w:hAnsi="Times New Roman"/>
          <w:sz w:val="20"/>
        </w:rPr>
        <w:t xml:space="preserve">”)) used in connection with their businesses. Except as would not reasonably be expected, individually or in the aggregate, to have a Material Adverse Effect, since November 1, 2015, to the Company’s knowledge, there has been no security breach or attack or other compromise of or relating to any of the Company’s and its subsidiaries’ IT Systems. The Company and its subsidiaries are presently in material compliance with all applicable laws or statues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b/>
          <w:i/>
          <w:sz w:val="20"/>
        </w:rPr>
        <w:t>All Necessary Permits, etc.</w:t>
      </w:r>
      <w:r>
        <w:rPr>
          <w:rFonts w:ascii="Times New Roman" w:hAnsi="Times New Roman"/>
          <w:sz w:val="20"/>
        </w:rPr>
        <w:t xml:space="preserve"> The Company and its subsidiaries possess such valid and current certificates, authorizations or permits required by state, federal or foreign regulatory agencies or bodies to conduct their respective businesses as currently conducted and as described in the Registration Statement, the Time of Sale Prospectus or the Prospectus (“</w:t>
      </w:r>
      <w:r>
        <w:rPr>
          <w:rFonts w:ascii="Times New Roman" w:hAnsi="Times New Roman"/>
          <w:b/>
          <w:sz w:val="20"/>
        </w:rPr>
        <w:t>Permits</w:t>
      </w:r>
      <w:r>
        <w:rPr>
          <w:rFonts w:ascii="Times New Roman" w:hAnsi="Times New Roman"/>
          <w:sz w:val="20"/>
        </w:rPr>
        <w:t xml:space="preserve">”), except where failure to so possess would not reasonably be expected to, individually or in the aggregate, have a Material Adverse Effect. Neither the Company nor any of its subsidiaries is in violation of, or in default under, any of the Permits or has received any notice of proceedings relating to the revocation or modification of, or non-compliance with, any such certificate, authorization or permit, except as would not reasonably be expected to, individually or in the aggregate,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 </w:t>
      </w:r>
      <w:r>
        <w:rPr>
          <w:rFonts w:ascii="Times New Roman" w:hAnsi="Times New Roman"/>
          <w:b/>
          <w:i/>
          <w:sz w:val="20"/>
        </w:rPr>
        <w:t>Title to Properties</w:t>
      </w:r>
      <w:r>
        <w:rPr>
          <w:rFonts w:ascii="Times New Roman" w:hAnsi="Times New Roman"/>
          <w:b/>
          <w:sz w:val="20"/>
        </w:rPr>
        <w:t xml:space="preserve">. </w:t>
      </w:r>
      <w:r>
        <w:rPr>
          <w:rFonts w:ascii="Times New Roman" w:hAnsi="Times New Roman"/>
          <w:sz w:val="20"/>
        </w:rPr>
        <w:t xml:space="preserve">The Company and its subsidiaries have good and marketable title to all of the personal property and other assets reflected as owned in the financial statements referred to in Section 1(j) above (or elsewhere in the Registration Statement, the Time of Sale Prospectus or the Prospectus), in each case free and clear of any security interests, mortgages, liens, encumbrances, equities, adverse claims and other defects, except as would not reasonably be expected, individually or in the aggregate, to have a Material Adverse Effect. The equipment and personal property held under lease by the Company or any of its subsidiaries are held under valid and enforceable leases, with such exceptions as are not material and do not materially interfere with the use made or proposed to be made of such equipment or personal property by the Company or such subsidiary. The Company and its subsidiaries do not own any real property. </w:t>
      </w:r>
    </w:p>
    <w:p>
      <w:pPr>
        <w:pStyle w:val="TextBody"/>
        <w:bidi w:val="0"/>
        <w:spacing w:before="240" w:after="0"/>
        <w:jc w:val="left"/>
        <w:rPr>
          <w:rFonts w:ascii="Times New Roman" w:hAnsi="Times New Roman"/>
          <w:sz w:val="20"/>
        </w:rPr>
      </w:pPr>
      <w:r>
        <w:rPr>
          <w:rFonts w:ascii="Times New Roman" w:hAnsi="Times New Roman"/>
          <w:sz w:val="20"/>
        </w:rPr>
        <w:t xml:space="preserve">(x) </w:t>
      </w:r>
      <w:r>
        <w:rPr>
          <w:rFonts w:ascii="Times New Roman" w:hAnsi="Times New Roman"/>
          <w:b/>
          <w:i/>
          <w:sz w:val="20"/>
        </w:rPr>
        <w:t>Tax Law Compliance</w:t>
      </w:r>
      <w:r>
        <w:rPr>
          <w:rFonts w:ascii="Times New Roman" w:hAnsi="Times New Roman"/>
          <w:b/>
          <w:sz w:val="20"/>
        </w:rPr>
        <w:t xml:space="preserve">. </w:t>
      </w:r>
      <w:r>
        <w:rPr>
          <w:rFonts w:ascii="Times New Roman" w:hAnsi="Times New Roman"/>
          <w:sz w:val="20"/>
        </w:rPr>
        <w:t xml:space="preserve">The Company and its subsidiaries have filed all necessary federal, state, local and foreign income and franchise tax returns or have properly requested extensions thereof, except as would not reasonably be expected, individually or in the aggregate, to have a Material Adverse Effect, and have paid all taxes required to be paid by any of them and, if due and payable, any related or similar assessment, fine or penalty levied against any of them except for any such taxes being contested in good faith and by appropriate proceedings or where the failure to make such payment would not reasonably be expected to have a Material Adverse Effect. The Company has made adequate charges, accruals and reserves in the financial statements referred to in Section 1(j) above in respect of all federal, state, local and foreign income and franchise taxes for all periods as to which the tax liability of the Company or any of its subsidiaries has not been finally determined, except as would not reasonably be expected, individually or in the aggregate,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(y) </w:t>
      </w:r>
      <w:r>
        <w:rPr>
          <w:rFonts w:ascii="Times New Roman" w:hAnsi="Times New Roman"/>
          <w:b/>
          <w:i/>
          <w:sz w:val="20"/>
        </w:rPr>
        <w:t>Insurance</w:t>
      </w:r>
      <w:r>
        <w:rPr>
          <w:rFonts w:ascii="Times New Roman" w:hAnsi="Times New Roman"/>
          <w:b/>
          <w:sz w:val="20"/>
        </w:rPr>
        <w:t xml:space="preserve">. </w:t>
      </w:r>
      <w:r>
        <w:rPr>
          <w:rFonts w:ascii="Times New Roman" w:hAnsi="Times New Roman"/>
          <w:sz w:val="20"/>
        </w:rPr>
        <w:t xml:space="preserve">Each of the Company and its subsidiaries are insured by recognized, financially sound and reputable institutions with policies in such amounts and with such deductibles and covering such risks as are generally deemed adequate and customary for their businesses including, but not limited to, policies covering real and personal property owned or leased by the Company and its subsidiaries against theft, damage, destruction, acts of vandalism, hurricanes and earthquakes and policies covering the Company and its subsidiaries for product liability claims and clinical trial liability claims.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would not reasonably be expected to have a Material Adverse Effect. Neither the Company nor any of its subsidiaries has been denied any insurance coverage which it has sought or for which it has applied. </w:t>
      </w:r>
    </w:p>
    <w:p>
      <w:pPr>
        <w:pStyle w:val="TextBody"/>
        <w:bidi w:val="0"/>
        <w:spacing w:before="240" w:after="0"/>
        <w:jc w:val="left"/>
        <w:rPr>
          <w:rFonts w:ascii="Times New Roman" w:hAnsi="Times New Roman"/>
          <w:sz w:val="20"/>
        </w:rPr>
      </w:pPr>
      <w:r>
        <w:rPr>
          <w:rFonts w:ascii="Times New Roman" w:hAnsi="Times New Roman"/>
          <w:sz w:val="20"/>
        </w:rPr>
        <w:t xml:space="preserve">(z) </w:t>
      </w:r>
      <w:r>
        <w:rPr>
          <w:rFonts w:ascii="Times New Roman" w:hAnsi="Times New Roman"/>
          <w:b/>
          <w:i/>
          <w:sz w:val="20"/>
        </w:rPr>
        <w:t>Compliance with Environmental Laws</w:t>
      </w:r>
      <w:r>
        <w:rPr>
          <w:rFonts w:ascii="Times New Roman" w:hAnsi="Times New Roman"/>
          <w:b/>
          <w:sz w:val="20"/>
        </w:rPr>
        <w:t xml:space="preserve">. </w:t>
      </w:r>
      <w:r>
        <w:rPr>
          <w:rFonts w:ascii="Times New Roman" w:hAnsi="Times New Roman"/>
          <w:sz w:val="20"/>
        </w:rPr>
        <w:t>Except as could not be expected, individually or in the aggregate, to have a Material Adverse Effect: (i)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Times New Roman" w:hAnsi="Times New Roman"/>
          <w:b/>
          <w:sz w:val="20"/>
        </w:rPr>
        <w:t>Hazardous Materials</w:t>
      </w:r>
      <w:r>
        <w:rPr>
          <w:rFonts w:ascii="Times New Roman" w:hAnsi="Times New Roman"/>
          <w:sz w:val="20"/>
        </w:rPr>
        <w:t>”) or to the manufacture, processing, distribution, use, treatment, storage, disposal, transport or handling of Hazardous Materials (collectively, “</w:t>
      </w:r>
      <w:r>
        <w:rPr>
          <w:rFonts w:ascii="Times New Roman" w:hAnsi="Times New Roman"/>
          <w:b/>
          <w:sz w:val="20"/>
        </w:rPr>
        <w:t>Environmental Laws</w:t>
      </w:r>
      <w:r>
        <w:rPr>
          <w:rFonts w:ascii="Times New Roman" w:hAnsi="Times New Roman"/>
          <w:sz w:val="20"/>
        </w:rPr>
        <w:t xml:space="preserve">”); (ii) the Company and its subsidiaries have all permits, authorizations and approvals required under any applicable Environmental Laws and are each in compliance with their requirements; (iii) there are no pending or, to the Company’s knowledge, threatened administrative, regulatory or judicial actions, suits, demands, demand letters, claims, liens, notices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noncompliance or violation, investigation or proceedings relating to any Environmental Law against the Company or any of its subsidiaries; and (iv) to the Company’s knowledge, there are no events or circumstances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 </w:t>
      </w:r>
    </w:p>
    <w:p>
      <w:pPr>
        <w:pStyle w:val="TextBody"/>
        <w:bidi w:val="0"/>
        <w:spacing w:before="240" w:after="0"/>
        <w:jc w:val="left"/>
        <w:rPr>
          <w:rFonts w:ascii="Times New Roman" w:hAnsi="Times New Roman"/>
          <w:sz w:val="20"/>
        </w:rPr>
      </w:pPr>
      <w:r>
        <w:rPr>
          <w:rFonts w:ascii="Times New Roman" w:hAnsi="Times New Roman"/>
          <w:sz w:val="20"/>
        </w:rPr>
        <w:t xml:space="preserve">(aa) </w:t>
      </w:r>
      <w:r>
        <w:rPr>
          <w:rFonts w:ascii="Times New Roman" w:hAnsi="Times New Roman"/>
          <w:b/>
          <w:i/>
          <w:sz w:val="20"/>
        </w:rPr>
        <w:t>ERISA Compliance</w:t>
      </w:r>
      <w:r>
        <w:rPr>
          <w:rFonts w:ascii="Times New Roman" w:hAnsi="Times New Roman"/>
          <w:b/>
          <w:sz w:val="20"/>
        </w:rPr>
        <w:t xml:space="preserve">. </w:t>
      </w:r>
      <w:r>
        <w:rPr>
          <w:rFonts w:ascii="Times New Roman" w:hAnsi="Times New Roman"/>
          <w:sz w:val="20"/>
        </w:rPr>
        <w:t>The Company and its subsidiaries and any “employee benefit plan” (as defined under the Employee Retirement Income Security Act of 1974, as amended, and the regulations and published interpretations thereunder (collectively, “</w:t>
      </w:r>
      <w:r>
        <w:rPr>
          <w:rFonts w:ascii="Times New Roman" w:hAnsi="Times New Roman"/>
          <w:b/>
          <w:sz w:val="20"/>
        </w:rPr>
        <w:t>ERISA</w:t>
      </w:r>
      <w:r>
        <w:rPr>
          <w:rFonts w:ascii="Times New Roman" w:hAnsi="Times New Roman"/>
          <w:sz w:val="20"/>
        </w:rPr>
        <w:t>”)) established or maintained by the Company, its subsidiaries or their “ERISA Affiliates” (as defined below) are in compliance in all material respects with ERISA. “</w:t>
      </w:r>
      <w:r>
        <w:rPr>
          <w:rFonts w:ascii="Times New Roman" w:hAnsi="Times New Roman"/>
          <w:b/>
          <w:sz w:val="20"/>
        </w:rPr>
        <w:t>ERISA Affiliate</w:t>
      </w:r>
      <w:r>
        <w:rPr>
          <w:rFonts w:ascii="Times New Roman" w:hAnsi="Times New Roman"/>
          <w:sz w:val="20"/>
        </w:rPr>
        <w:t>” means, with respect to the Company or any of its subsidiaries, any member of any group of organizations described in Sections 414(b), (c), (m) or (o) of the Internal Revenue Code of 1986, as amended, and the regulations and published interpretations thereunder (the “</w:t>
      </w:r>
      <w:r>
        <w:rPr>
          <w:rFonts w:ascii="Times New Roman" w:hAnsi="Times New Roman"/>
          <w:b/>
          <w:sz w:val="20"/>
        </w:rPr>
        <w:t>Code</w:t>
      </w:r>
      <w:r>
        <w:rPr>
          <w:rFonts w:ascii="Times New Roman" w:hAnsi="Times New Roman"/>
          <w:sz w:val="20"/>
        </w:rPr>
        <w:t xml:space="preserve">”) of which the Company or such subsidiary is a member. No “reportable event” (as defined under ERISA) has occurred or is reasonably expected to occur with respect to any “employee benefit plan” established or maintained by the Company, its subsidiaries or any of their ERISA Affiliates. No “employee benefit plan” established or maintained by the Company, its subsidiaries or any of their ERISA Affiliates, if such “employee benefit plan” were terminated, would have any “amount of unfunded benefit liabilities” (as defined under ERISA). Neither the Company, its subsidiaries nor any of their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its subsidiaries or any of their ERISA Affiliates that is intended to be qualified under Section 401(a) of the Code is so qualified and nothing has occurred, whether by action or failure to act, which would cause the loss of such qualification. </w:t>
      </w:r>
    </w:p>
    <w:p>
      <w:pPr>
        <w:pStyle w:val="TextBody"/>
        <w:bidi w:val="0"/>
        <w:spacing w:before="240" w:after="0"/>
        <w:jc w:val="left"/>
        <w:rPr>
          <w:rFonts w:ascii="Times New Roman" w:hAnsi="Times New Roman"/>
          <w:sz w:val="20"/>
        </w:rPr>
      </w:pPr>
      <w:r>
        <w:rPr>
          <w:rFonts w:ascii="Times New Roman" w:hAnsi="Times New Roman"/>
          <w:sz w:val="20"/>
        </w:rPr>
        <w:t xml:space="preserve">(bb) </w:t>
      </w:r>
      <w:r>
        <w:rPr>
          <w:rFonts w:ascii="Times New Roman" w:hAnsi="Times New Roman"/>
          <w:b/>
          <w:i/>
          <w:sz w:val="20"/>
        </w:rPr>
        <w:t>Company Not an “Investment Company”</w:t>
      </w:r>
      <w:r>
        <w:rPr>
          <w:rFonts w:ascii="Times New Roman" w:hAnsi="Times New Roman"/>
          <w:sz w:val="20"/>
        </w:rPr>
        <w:t>. The Company is not, and will not be, either after receipt of payment for the Offered Securities or after the application of the proceeds therefrom as described under “Use of Proceeds” in the Registration Statement, the Time of Sale Prospectus or the Prospectus, required to register as an “investment company” or an entity “controlled” by an “investment company” within the meaning of the Investment Company Act of 1940, as amended, and the rules and regulations of the Commission thereunder (the “</w:t>
      </w:r>
      <w:r>
        <w:rPr>
          <w:rFonts w:ascii="Times New Roman" w:hAnsi="Times New Roman"/>
          <w:b/>
          <w:sz w:val="20"/>
        </w:rPr>
        <w:t>Investment Company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(cc) </w:t>
      </w:r>
      <w:r>
        <w:rPr>
          <w:rFonts w:ascii="Times New Roman" w:hAnsi="Times New Roman"/>
          <w:b/>
          <w:i/>
          <w:sz w:val="20"/>
        </w:rPr>
        <w:t>No Price Stabilization or Manipulation; Compliance with Regulation M</w:t>
      </w:r>
      <w:r>
        <w:rPr>
          <w:rFonts w:ascii="Times New Roman" w:hAnsi="Times New Roman"/>
          <w:b/>
          <w:sz w:val="20"/>
        </w:rPr>
        <w:t>.</w:t>
      </w:r>
      <w:r>
        <w:rPr>
          <w:rFonts w:ascii="Times New Roman" w:hAnsi="Times New Roman"/>
          <w:sz w:val="20"/>
        </w:rPr>
        <w:t xml:space="preserve"> Neither the Company nor any of its subsidiaries has taken, directly or indirectly, any action designed to or that might cause or result in stabilization or manipulation of the price of the Shares or of any “reference security” (as defined in Rule 100 of Regulation M under the Exchange Act (“</w:t>
      </w:r>
      <w:r>
        <w:rPr>
          <w:rFonts w:ascii="Times New Roman" w:hAnsi="Times New Roman"/>
          <w:b/>
          <w:sz w:val="20"/>
        </w:rPr>
        <w:t>Regulation M”</w:t>
      </w:r>
      <w:r>
        <w:rPr>
          <w:rFonts w:ascii="Times New Roman" w:hAnsi="Times New Roman"/>
          <w:sz w:val="20"/>
        </w:rPr>
        <w:t xml:space="preserve">)) with respect to the Shares, whether to facilitate the sale or resale of the Offered Securities or otherwise, and has taken no action which would directly or indirectly violate Regulation M. </w:t>
      </w:r>
    </w:p>
    <w:p>
      <w:pPr>
        <w:pStyle w:val="TextBody"/>
        <w:bidi w:val="0"/>
        <w:spacing w:before="240" w:after="0"/>
        <w:jc w:val="left"/>
        <w:rPr>
          <w:rFonts w:ascii="Times New Roman" w:hAnsi="Times New Roman"/>
          <w:sz w:val="20"/>
        </w:rPr>
      </w:pPr>
      <w:r>
        <w:rPr>
          <w:rFonts w:ascii="Times New Roman" w:hAnsi="Times New Roman"/>
          <w:sz w:val="20"/>
        </w:rPr>
        <w:t xml:space="preserve">(dd) </w:t>
      </w:r>
      <w:r>
        <w:rPr>
          <w:rFonts w:ascii="Times New Roman" w:hAnsi="Times New Roman"/>
          <w:b/>
          <w:i/>
          <w:sz w:val="20"/>
        </w:rPr>
        <w:t>Related-Party Transactions</w:t>
      </w:r>
      <w:r>
        <w:rPr>
          <w:rFonts w:ascii="Times New Roman" w:hAnsi="Times New Roman"/>
          <w:b/>
          <w:sz w:val="20"/>
        </w:rPr>
        <w:t xml:space="preserve">. </w:t>
      </w:r>
      <w:r>
        <w:rPr>
          <w:rFonts w:ascii="Times New Roman" w:hAnsi="Times New Roman"/>
          <w:sz w:val="20"/>
        </w:rPr>
        <w:t xml:space="preserve">There are no business relationships or related-party transactions involving the Company or any of its subsidiaries or any other person required to be described in the Registration Statement, the Time of Sale Prospectus or the Prospectus that have not been described as required. </w:t>
      </w:r>
    </w:p>
    <w:p>
      <w:pPr>
        <w:pStyle w:val="TextBody"/>
        <w:bidi w:val="0"/>
        <w:spacing w:before="240" w:after="0"/>
        <w:jc w:val="left"/>
        <w:rPr>
          <w:rFonts w:ascii="Times New Roman" w:hAnsi="Times New Roman"/>
          <w:sz w:val="20"/>
        </w:rPr>
      </w:pPr>
      <w:r>
        <w:rPr>
          <w:rFonts w:ascii="Times New Roman" w:hAnsi="Times New Roman"/>
          <w:sz w:val="20"/>
        </w:rPr>
        <w:t xml:space="preserve">(ee) </w:t>
      </w:r>
      <w:r>
        <w:rPr>
          <w:rFonts w:ascii="Times New Roman" w:hAnsi="Times New Roman"/>
          <w:b/>
          <w:i/>
          <w:sz w:val="20"/>
        </w:rPr>
        <w:t>FINRA Matters</w:t>
      </w:r>
      <w:r>
        <w:rPr>
          <w:rFonts w:ascii="Times New Roman" w:hAnsi="Times New Roman"/>
          <w:b/>
          <w:sz w:val="20"/>
        </w:rPr>
        <w:t xml:space="preserve">. </w:t>
      </w:r>
      <w:r>
        <w:rPr>
          <w:rFonts w:ascii="Times New Roman" w:hAnsi="Times New Roman"/>
          <w:sz w:val="20"/>
        </w:rPr>
        <w:t xml:space="preserve">All of the information provided to the Underwriters or to counsel for the Underwriters by the Company, its counsel, its officers and directors and, to the Company’s knowledge, its counsel and the holders of any securities (debt or equity) or options to acquire any securities of the Company in connection with the offering of the Offered Securities is true, complete and correct in all material respects and compliant with FINRA’s rules and any letters, filings or other supplemental information provided to FINRA pursuant to FINRA Rules or NASD Conduct Rules is true, complete and correct in all material respects.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(ff) </w:t>
      </w:r>
      <w:r>
        <w:rPr>
          <w:rFonts w:ascii="Times New Roman" w:hAnsi="Times New Roman"/>
          <w:b/>
          <w:i/>
          <w:sz w:val="20"/>
        </w:rPr>
        <w:t>Parties to Lock-up Agreements</w:t>
      </w:r>
      <w:r>
        <w:rPr>
          <w:rFonts w:ascii="Times New Roman" w:hAnsi="Times New Roman"/>
          <w:b/>
          <w:sz w:val="20"/>
        </w:rPr>
        <w:t xml:space="preserve">. </w:t>
      </w:r>
      <w:r>
        <w:rPr>
          <w:rFonts w:ascii="Times New Roman" w:hAnsi="Times New Roman"/>
          <w:sz w:val="20"/>
        </w:rPr>
        <w:t xml:space="preserve">The Company has furnished to the Underwriters a letter agreement in the form attached hereto as </w:t>
      </w:r>
      <w:r>
        <w:rPr>
          <w:rFonts w:ascii="Times New Roman" w:hAnsi="Times New Roman"/>
          <w:sz w:val="20"/>
          <w:u w:val="single"/>
        </w:rPr>
        <w:t>Exhibit A</w:t>
      </w:r>
      <w:r>
        <w:rPr>
          <w:rFonts w:ascii="Times New Roman" w:hAnsi="Times New Roman"/>
          <w:sz w:val="20"/>
        </w:rPr>
        <w:t xml:space="preserve"> (the “</w:t>
      </w:r>
      <w:r>
        <w:rPr>
          <w:rFonts w:ascii="Times New Roman" w:hAnsi="Times New Roman"/>
          <w:b/>
          <w:sz w:val="20"/>
        </w:rPr>
        <w:t>Lock-up Agreement”</w:t>
      </w:r>
      <w:r>
        <w:rPr>
          <w:rFonts w:ascii="Times New Roman" w:hAnsi="Times New Roman"/>
          <w:sz w:val="20"/>
        </w:rPr>
        <w:t xml:space="preserve">) from each of the directors and officers of the Company included in </w:t>
      </w:r>
      <w:r>
        <w:rPr>
          <w:rFonts w:ascii="Times New Roman" w:hAnsi="Times New Roman"/>
          <w:sz w:val="20"/>
          <w:u w:val="single"/>
        </w:rPr>
        <w:t>Exhibit B</w:t>
      </w:r>
      <w:r>
        <w:rPr>
          <w:rFonts w:ascii="Times New Roman" w:hAnsi="Times New Roman"/>
          <w:sz w:val="20"/>
        </w:rPr>
        <w:t xml:space="preserve"> hereto. If any additional persons shall become directors or officers of the Company prior to the end of the Company Lock-up Period (as defined below), the Company shall cause each such person, prior to or contemporaneously with their appointment or election as a director or officer of the Company, to execute and deliver to the Representatives a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(gg) </w:t>
      </w:r>
      <w:r>
        <w:rPr>
          <w:rFonts w:ascii="Times New Roman" w:hAnsi="Times New Roman"/>
          <w:b/>
          <w:i/>
          <w:sz w:val="20"/>
        </w:rPr>
        <w:t>Statistical and Market-Related Data</w:t>
      </w:r>
      <w:r>
        <w:rPr>
          <w:rFonts w:ascii="Times New Roman" w:hAnsi="Times New Roman"/>
          <w:b/>
          <w:sz w:val="20"/>
        </w:rPr>
        <w:t xml:space="preserve">. </w:t>
      </w:r>
      <w:r>
        <w:rPr>
          <w:rFonts w:ascii="Times New Roman" w:hAnsi="Times New Roman"/>
          <w:sz w:val="20"/>
        </w:rPr>
        <w:t xml:space="preserve">All statistical, demographic and market-related data included or incorporated by reference in the Registration Statement, the Time of Sale Prospectus or the Prospectus are based on or derived from sources that the Company believes to be reliable and accurate in all material respects. To the extent required, the Company has obtained the written consent to the use of such data from such sources. </w:t>
      </w:r>
    </w:p>
    <w:p>
      <w:pPr>
        <w:pStyle w:val="TextBody"/>
        <w:bidi w:val="0"/>
        <w:spacing w:before="240" w:after="0"/>
        <w:jc w:val="left"/>
        <w:rPr>
          <w:rFonts w:ascii="Times New Roman" w:hAnsi="Times New Roman"/>
          <w:sz w:val="20"/>
        </w:rPr>
      </w:pPr>
      <w:r>
        <w:rPr>
          <w:rFonts w:ascii="Times New Roman" w:hAnsi="Times New Roman"/>
          <w:sz w:val="20"/>
        </w:rPr>
        <w:t xml:space="preserve">(hh) </w:t>
      </w:r>
      <w:r>
        <w:rPr>
          <w:rFonts w:ascii="Times New Roman" w:hAnsi="Times New Roman"/>
          <w:b/>
          <w:i/>
          <w:sz w:val="20"/>
        </w:rPr>
        <w:t>No Unlawful Contributions or Other Payments</w:t>
      </w:r>
      <w:r>
        <w:rPr>
          <w:rFonts w:ascii="Times New Roman" w:hAnsi="Times New Roman"/>
          <w:sz w:val="20"/>
        </w:rPr>
        <w:t xml:space="preserve">. Neither the Company nor any subsidiary nor, to the best of the Company’s knowledge, any employee or agent of the Company or any of its subsidiaries, has made any contribution or other payment to any official of, or candidate for, any federal, state or foreign office in violation of any law or of the character required to be disclosed in the Registration Statement, the Time of Sale Prospectus or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b/>
          <w:i/>
          <w:sz w:val="20"/>
        </w:rPr>
        <w:t>Foreign Corrupt Practices Act</w:t>
      </w:r>
      <w:r>
        <w:rPr>
          <w:rFonts w:ascii="Times New Roman" w:hAnsi="Times New Roman"/>
          <w:b/>
          <w:sz w:val="20"/>
        </w:rPr>
        <w:t xml:space="preserve">. </w:t>
      </w:r>
      <w:r>
        <w:rPr>
          <w:rFonts w:ascii="Times New Roman" w:hAnsi="Times New Roman"/>
          <w:sz w:val="20"/>
        </w:rPr>
        <w:t>Neither the Company nor any of its subsidiaries nor, to the knowledge of the Company, any director, officer, agent, employee,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 act in furtherance of an offer, promise or authorization of any direct or indirect unlawful payment or benefit to any domestic government official, “foreign official” (as defined in the U.S. Foreign Corrupt Practices Act of 1977, as amended, and the rules and regulations thereunder (collectively, the “</w:t>
      </w:r>
      <w:r>
        <w:rPr>
          <w:rFonts w:ascii="Times New Roman" w:hAnsi="Times New Roman"/>
          <w:b/>
          <w:sz w:val="20"/>
        </w:rPr>
        <w:t>FCPA</w:t>
      </w:r>
      <w:r>
        <w:rPr>
          <w:rFonts w:ascii="Times New Roman" w:hAnsi="Times New Roman"/>
          <w:sz w:val="20"/>
        </w:rPr>
        <w:t xml:space="preserve">”) or employee, including of any government-owned or controlled entity or of a public international organization, or any person acting in an official capacity for or on behalf of any of the foregoing, or any political party or party official or candidate for political office, from corporate funds; (iii) violated or is in violation of any provision of the FCPA, or any applicable law or regulation implementing the OECD Convention on Combating Bribery of Foreign Public Officials in International Business Transactions, or committed an offence under the Bribery Act of 2010 of the United Kingdom or any other applicable anti-bribery or anti-corruption statute or regulation; or (iv) made, offered, agreed, requested or taken an act in furtherance of any unlawful bribe or other unlawful benefit, including, without limitation, any rebate, payoff, influence payment, kickback or other unlawful or improper payment or benefit; and the Company and its subsidiaries and, to the knowledge of the Company, the Company’s affiliates have conducted their respective businesses in compliance with all applicable anti-bribery and anti-corruption laws and have instituted and maintain policies and procedures designed to ensure, and which are reasonably expected to continue to ensure, continued compliance therewith. </w:t>
      </w:r>
    </w:p>
    <w:p>
      <w:pPr>
        <w:pStyle w:val="TextBody"/>
        <w:bidi w:val="0"/>
        <w:spacing w:before="240" w:after="0"/>
        <w:jc w:val="left"/>
        <w:rPr>
          <w:rFonts w:ascii="Times New Roman" w:hAnsi="Times New Roman"/>
          <w:sz w:val="20"/>
        </w:rPr>
      </w:pPr>
      <w:r>
        <w:rPr>
          <w:rFonts w:ascii="Times New Roman" w:hAnsi="Times New Roman"/>
          <w:sz w:val="20"/>
        </w:rPr>
        <w:t xml:space="preserve">(jj) </w:t>
      </w:r>
      <w:r>
        <w:rPr>
          <w:rFonts w:ascii="Times New Roman" w:hAnsi="Times New Roman"/>
          <w:b/>
          <w:i/>
          <w:sz w:val="20"/>
        </w:rPr>
        <w:t>Money Laundering Laws</w:t>
      </w:r>
      <w:r>
        <w:rPr>
          <w:rFonts w:ascii="Times New Roman" w:hAnsi="Times New Roman"/>
          <w:b/>
          <w:sz w:val="20"/>
        </w:rPr>
        <w:t xml:space="preserve">. </w:t>
      </w:r>
      <w:r>
        <w:rPr>
          <w:rFonts w:ascii="Times New Roman" w:hAnsi="Times New Roman"/>
          <w:sz w:val="20"/>
        </w:rPr>
        <w:t>The operations of the Company and its subsidiaries are, and have been conducted at all times, in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(Title III of Pub. L. 107-56 (signed into law October 26, 2001)) (the “</w:t>
      </w:r>
      <w:r>
        <w:rPr>
          <w:rFonts w:ascii="Times New Roman" w:hAnsi="Times New Roman"/>
          <w:b/>
          <w:sz w:val="20"/>
        </w:rPr>
        <w:t>USA Patriot Act</w:t>
      </w:r>
      <w:r>
        <w:rPr>
          <w:rFonts w:ascii="Times New Roman" w:hAnsi="Times New Roman"/>
          <w:sz w:val="20"/>
        </w:rPr>
        <w:t>”), and those of the Currency and Foreign Transactions Reporting Act of 1970, as amended, and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 w:hAnsi="Times New Roman"/>
          <w:b/>
          <w:sz w:val="20"/>
        </w:rPr>
        <w:t>Money Laundering Laws</w:t>
      </w:r>
      <w:r>
        <w:rPr>
          <w:rFonts w:ascii="Times New Roman" w:hAnsi="Times New Roman"/>
          <w:sz w:val="20"/>
        </w:rPr>
        <w:t xml:space="preserve">”) and no action, suit or proceeding by or before any court or governmental agency, authority or body or any arbitrator involving the Company or any of its subsidiaries with respect to the Money Laundering Laws is pending or, to the best knowledge of the Company, threatened.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(kk) </w:t>
      </w:r>
      <w:r>
        <w:rPr>
          <w:rFonts w:ascii="Times New Roman" w:hAnsi="Times New Roman"/>
          <w:b/>
          <w:i/>
          <w:sz w:val="20"/>
        </w:rPr>
        <w:t>Sanctions</w:t>
      </w:r>
      <w:r>
        <w:rPr>
          <w:rFonts w:ascii="Times New Roman" w:hAnsi="Times New Roman"/>
          <w:b/>
          <w:sz w:val="20"/>
        </w:rPr>
        <w:t xml:space="preserve">. </w:t>
      </w:r>
      <w:r>
        <w:rPr>
          <w:rFonts w:ascii="Times New Roman" w:hAnsi="Times New Roman"/>
          <w:sz w:val="20"/>
        </w:rPr>
        <w:t>Neither the Company nor any of its subsidiaries nor, to the knowledge of the Company, after due inquiry, any director, officer, agent, employee, affiliate or person acting on behalf of the Company or any of its subsidiaries is currently the subject or target of any U.S. sanctions (including, without limitation, the Office of Foreign Assets Control of the U.S. Treasury Department or the U.S. Department of State and including, without limitation, the designation as a “specially designated national” or “blocked person”), the United Nations Security Council, the European Union, His Majesty’s Treasury or other relevant sanctions authority (“</w:t>
      </w:r>
      <w:r>
        <w:rPr>
          <w:rFonts w:ascii="Times New Roman" w:hAnsi="Times New Roman"/>
          <w:b/>
          <w:sz w:val="20"/>
        </w:rPr>
        <w:t>Sanctions</w:t>
      </w:r>
      <w:r>
        <w:rPr>
          <w:rFonts w:ascii="Times New Roman" w:hAnsi="Times New Roman"/>
          <w:sz w:val="20"/>
        </w:rPr>
        <w:t>”), nor is the Company or any of its subsidiaries located, organized or resident in a country or territory that is the subject or target of Sanctions, including, without limitation, the so-called Donetsk People’s Republic, the so-called Luhansk People’s Republic, the Crimea Region of Ukraine, the non-government controlled areas of the Zaporizhzhia and Kherson Regions, Cuba, Iran, and North Korea (each, a “</w:t>
      </w:r>
      <w:r>
        <w:rPr>
          <w:rFonts w:ascii="Times New Roman" w:hAnsi="Times New Roman"/>
          <w:b/>
          <w:sz w:val="20"/>
        </w:rPr>
        <w:t>Sanctioned Country</w:t>
      </w:r>
      <w:r>
        <w:rPr>
          <w:rFonts w:ascii="Times New Roman" w:hAnsi="Times New Roman"/>
          <w:sz w:val="20"/>
        </w:rPr>
        <w:t xml:space="preserve">”); and the Company will not directly or indirectly use the proceeds of this offering, or lend, contribute or otherwise make available such proceeds to any subsidiary, or any joint venture partner or other person or entity (i) to fund or facilitate any activities of or business with any person that, at the time of such funding or facilitation, is the subject or target of Sanctions or (ii) in any other manner that will result in a violation by any person (including any person participating in the transaction whether as underwriter, advisor, investor or otherwise) of Sanctions. Since April 24, 2019, the Company and its subsidiaries have not knowingly engaged in, and the Company and its subsidiaries are not now knowingly engaged in, any dealings or transactions with any individual or entity that at the time of the dealing or transaction is or was the subject or the target of Sanctions or with any Sanctioned Country. </w:t>
      </w:r>
    </w:p>
    <w:p>
      <w:pPr>
        <w:pStyle w:val="TextBody"/>
        <w:bidi w:val="0"/>
        <w:spacing w:before="240" w:after="0"/>
        <w:jc w:val="left"/>
        <w:rPr>
          <w:rFonts w:ascii="Times New Roman" w:hAnsi="Times New Roman"/>
          <w:sz w:val="20"/>
        </w:rPr>
      </w:pPr>
      <w:r>
        <w:rPr>
          <w:rFonts w:ascii="Times New Roman" w:hAnsi="Times New Roman"/>
          <w:sz w:val="20"/>
        </w:rPr>
        <w:t xml:space="preserve">(ll) </w:t>
      </w:r>
      <w:r>
        <w:rPr>
          <w:rFonts w:ascii="Times New Roman" w:hAnsi="Times New Roman"/>
          <w:b/>
          <w:i/>
          <w:sz w:val="20"/>
        </w:rPr>
        <w:t>Brokers</w:t>
      </w:r>
      <w:r>
        <w:rPr>
          <w:rFonts w:ascii="Times New Roman" w:hAnsi="Times New Roman"/>
          <w:b/>
          <w:sz w:val="20"/>
        </w:rPr>
        <w:t xml:space="preserve">. </w:t>
      </w:r>
      <w:r>
        <w:rPr>
          <w:rFonts w:ascii="Times New Roman" w:hAnsi="Times New Roman"/>
          <w:sz w:val="20"/>
        </w:rPr>
        <w:t xml:space="preserve">Except pursuant to this Agreement, there is no broker, finder or other party that is entitled to receive from the Company any brokerage or finder’s fee or other fee or commission as a result of any transactions contemplated by this Agreement and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(mm) </w:t>
      </w:r>
      <w:r>
        <w:rPr>
          <w:rFonts w:ascii="Times New Roman" w:hAnsi="Times New Roman"/>
          <w:b/>
          <w:i/>
          <w:sz w:val="20"/>
        </w:rPr>
        <w:t>Forward-Looking Statements</w:t>
      </w:r>
      <w:r>
        <w:rPr>
          <w:rFonts w:ascii="Times New Roman" w:hAnsi="Times New Roman"/>
          <w:b/>
          <w:sz w:val="20"/>
        </w:rPr>
        <w:t xml:space="preserve">. </w:t>
      </w:r>
      <w:r>
        <w:rPr>
          <w:rFonts w:ascii="Times New Roman" w:hAnsi="Times New Roman"/>
          <w:sz w:val="20"/>
        </w:rPr>
        <w:t xml:space="preserve">Each financial or operational projection or other “forward-looking statement” (as defined by Section 27A of the Securities Act or Section 21E of the Exchange Act) contained in the Registration Statement, the Time of Sale Prospectus or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forward-looking statement. No such statement was made with the knowledge of an executive officer or director of the Company that it was false or misleading. </w:t>
      </w:r>
    </w:p>
    <w:p>
      <w:pPr>
        <w:pStyle w:val="TextBody"/>
        <w:bidi w:val="0"/>
        <w:spacing w:before="240" w:after="0"/>
        <w:jc w:val="left"/>
        <w:rPr>
          <w:rFonts w:ascii="Times New Roman" w:hAnsi="Times New Roman"/>
          <w:sz w:val="20"/>
        </w:rPr>
      </w:pPr>
      <w:r>
        <w:rPr>
          <w:rFonts w:ascii="Times New Roman" w:hAnsi="Times New Roman"/>
          <w:sz w:val="20"/>
        </w:rPr>
        <w:t xml:space="preserve">(nn) </w:t>
      </w:r>
      <w:r>
        <w:rPr>
          <w:rFonts w:ascii="Times New Roman" w:hAnsi="Times New Roman"/>
          <w:b/>
          <w:i/>
          <w:sz w:val="20"/>
        </w:rPr>
        <w:t>Dividend Restrictions</w:t>
      </w:r>
      <w:r>
        <w:rPr>
          <w:rFonts w:ascii="Times New Roman" w:hAnsi="Times New Roman"/>
          <w:b/>
          <w:sz w:val="20"/>
        </w:rPr>
        <w:t xml:space="preserve">. </w:t>
      </w:r>
      <w:r>
        <w:rPr>
          <w:rFonts w:ascii="Times New Roman" w:hAnsi="Times New Roman"/>
          <w:sz w:val="20"/>
        </w:rPr>
        <w:t xml:space="preserve">Except in each case as otherwise disclosed in the Registration Statement, the Time of Sale Prospectus and the Prospectus, no subsidiaries of the Company are prohibited or restricted, directly or indirectly, from paying any dividends to the Company, or from making any other distribution with respect to such subsidiary’s equity securities or from repaying to the Company any amounts that may from time to time become due under any loans or advances to either of the subsidiaries from the Company or from transferring any property or assets to the Company or any other subsidiary of the Company. No approvals of any governmental or regulatory body or agency are required in the Republic of Singapore in order for the Company to pay dividends or other distributions declared by the Company to the holders of Shares. As described in the Registration Statement, the Time of Sale Prospectus and the Prospectus, pursuant to Singapore law and the constitution of the Company, no dividend is payable (i) except out of the profits of the Company or (ii) in excess of the amount recommended by the directors of the Company. Except as described in the Registration Statement, the Time of Sale Prospectus and the Prospectus, under the laws and regulations of the Republic of Singapore (A) any amounts payable with respect to the Shares upon liquidation of the Company or upon redemption thereof and dividends and other distributions declared and payable on the Shares may be paid by the Company to the holders of Shares in Singapore dollars that may be converted into foreign currency and freely transferred out of the Republic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Singapore; and (B) no such payments made to holders thereof or therein who are non-residents of the Republic of Singapore will be subject to income, withholding or other taxes under the laws and regulations of the Republic of Singapore or taxing authority thereof or therein and will otherwise be free and clear of any other tax, duty, withholding or deduction in the Republic of Singapore or taxing authority thereof or therein and without the necessity of obtaining any governmental authorization in the Republic of Singapore or taxing authority thereof or therein. </w:t>
      </w:r>
    </w:p>
    <w:p>
      <w:pPr>
        <w:pStyle w:val="TextBody"/>
        <w:bidi w:val="0"/>
        <w:spacing w:before="240" w:after="0"/>
        <w:jc w:val="left"/>
        <w:rPr>
          <w:rFonts w:ascii="Times New Roman" w:hAnsi="Times New Roman"/>
          <w:sz w:val="20"/>
        </w:rPr>
      </w:pPr>
      <w:r>
        <w:rPr>
          <w:rFonts w:ascii="Times New Roman" w:hAnsi="Times New Roman"/>
          <w:sz w:val="20"/>
        </w:rPr>
        <w:t xml:space="preserve">(oo) </w:t>
      </w:r>
      <w:r>
        <w:rPr>
          <w:rFonts w:ascii="Times New Roman" w:hAnsi="Times New Roman"/>
          <w:b/>
          <w:i/>
          <w:sz w:val="20"/>
        </w:rPr>
        <w:t>No Outstanding Loans or Other Extensions of Credit</w:t>
      </w:r>
      <w:r>
        <w:rPr>
          <w:rFonts w:ascii="Times New Roman" w:hAnsi="Times New Roman"/>
          <w:sz w:val="20"/>
        </w:rPr>
        <w:t xml:space="preserve">. Neither the Company nor its subsidiaries has any outstanding extension of credit, in the form of a personal loan, to or for any director or executive officer (or equivalent thereof) of the Company and/or its subsidiaries except for such extensions of credit as are expressly permitted by Section 13(k) of the Exchange Act and the Companies Act 1967 of Singapore. </w:t>
      </w:r>
    </w:p>
    <w:p>
      <w:pPr>
        <w:pStyle w:val="TextBody"/>
        <w:bidi w:val="0"/>
        <w:spacing w:before="240" w:after="0"/>
        <w:jc w:val="left"/>
        <w:rPr>
          <w:rFonts w:ascii="Times New Roman" w:hAnsi="Times New Roman"/>
          <w:sz w:val="20"/>
        </w:rPr>
      </w:pPr>
      <w:r>
        <w:rPr>
          <w:rFonts w:ascii="Times New Roman" w:hAnsi="Times New Roman"/>
          <w:sz w:val="20"/>
        </w:rPr>
        <w:t xml:space="preserve">(pp) </w:t>
      </w:r>
      <w:r>
        <w:rPr>
          <w:rFonts w:ascii="Times New Roman" w:hAnsi="Times New Roman"/>
          <w:b/>
          <w:i/>
          <w:sz w:val="20"/>
        </w:rPr>
        <w:t>Communications</w:t>
      </w:r>
      <w:r>
        <w:rPr>
          <w:rFonts w:ascii="Times New Roman" w:hAnsi="Times New Roman"/>
          <w:b/>
          <w:sz w:val="20"/>
        </w:rPr>
        <w:t xml:space="preserve">. </w:t>
      </w:r>
      <w:r>
        <w:rPr>
          <w:rFonts w:ascii="Times New Roman" w:hAnsi="Times New Roman"/>
          <w:sz w:val="20"/>
        </w:rPr>
        <w:t xml:space="preserve">Since November 2015, the Company has not engaged in any communications with potential investors in reliance on Section 5(d)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(qq) </w:t>
      </w:r>
      <w:r>
        <w:rPr>
          <w:rFonts w:ascii="Times New Roman" w:hAnsi="Times New Roman"/>
          <w:b/>
          <w:i/>
          <w:sz w:val="20"/>
        </w:rPr>
        <w:t>Clinical Data and Regulatory Compliance</w:t>
      </w:r>
      <w:r>
        <w:rPr>
          <w:rFonts w:ascii="Times New Roman" w:hAnsi="Times New Roman"/>
          <w:b/>
          <w:sz w:val="20"/>
        </w:rPr>
        <w:t xml:space="preserve">. </w:t>
      </w:r>
      <w:r>
        <w:rPr>
          <w:rFonts w:ascii="Times New Roman" w:hAnsi="Times New Roman"/>
          <w:sz w:val="20"/>
        </w:rPr>
        <w:t>The preclinical studies and clinical trials, and other studies (collectively, “</w:t>
      </w:r>
      <w:r>
        <w:rPr>
          <w:rFonts w:ascii="Times New Roman" w:hAnsi="Times New Roman"/>
          <w:b/>
          <w:sz w:val="20"/>
        </w:rPr>
        <w:t>studies</w:t>
      </w:r>
      <w:r>
        <w:rPr>
          <w:rFonts w:ascii="Times New Roman" w:hAnsi="Times New Roman"/>
          <w:sz w:val="20"/>
        </w:rPr>
        <w:t>”) being conducted by or, to the knowledge of the Company, for the Company, or that are described in, or the results of which are referred to in, the Registration Statement, the Time of Sale Prospectus or the Prospectus were and, if still pending, are being conducted in all material respects in accordance with the protocols, procedures and controls designed and approved for such studies and with standard medical and scientific research procedures; each description of the results of such studies is accurate and complete in all material respects and fairly presents the data derived from such studies, and the Company and its subsidiaries have no knowledge of any other studies the results of which are inconsistent with, or otherwise call into question, the results described or referred to in the Registration Statement, the Time of Sale Prospectuses or the Prospectus; the Company and its subsidiaries have made all such filings and obtained all such approvals as may be required by the Food and Drug Administration of the U.S. Department of Health and Human Services or from any other applicable U.S. or foreign governmental agency engaged in the regulation of drugs or medical devices (including diagnostics) (collectively, the “</w:t>
      </w:r>
      <w:r>
        <w:rPr>
          <w:rFonts w:ascii="Times New Roman" w:hAnsi="Times New Roman"/>
          <w:b/>
          <w:sz w:val="20"/>
        </w:rPr>
        <w:t>Regulatory Agencies</w:t>
      </w:r>
      <w:r>
        <w:rPr>
          <w:rFonts w:ascii="Times New Roman" w:hAnsi="Times New Roman"/>
          <w:sz w:val="20"/>
        </w:rPr>
        <w:t xml:space="preserve">”), except where the failure to obtain such approval would not reasonably be expected to have a Material Adverse Effect; neither the Company nor any of its subsidiaries has received any written notice of, or other correspondence from, any Regulatory Agency requiring the termination, suspension or modification of any clinical trials that are described or referred to in the Registration Statement, the Time of Sale Prospectus or the Prospectus, except those which have been removed or are no longer applicable or in effect or are disclosed in the Registration Statement, the Time of Sale Prospectus and the Prospectus; and the Company and its subsidiaries have each operated and currently are in compliance in all material respects with all applicable rules, regulations and policies of the Regulatory Agencies. </w:t>
      </w:r>
    </w:p>
    <w:p>
      <w:pPr>
        <w:pStyle w:val="TextBody"/>
        <w:bidi w:val="0"/>
        <w:spacing w:before="240" w:after="0"/>
        <w:jc w:val="left"/>
        <w:rPr>
          <w:rFonts w:ascii="Times New Roman" w:hAnsi="Times New Roman"/>
          <w:sz w:val="20"/>
        </w:rPr>
      </w:pPr>
      <w:r>
        <w:rPr>
          <w:rFonts w:ascii="Times New Roman" w:hAnsi="Times New Roman"/>
          <w:sz w:val="20"/>
        </w:rPr>
        <w:t xml:space="preserve">(rr) </w:t>
      </w:r>
      <w:r>
        <w:rPr>
          <w:rFonts w:ascii="Times New Roman" w:hAnsi="Times New Roman"/>
          <w:b/>
          <w:i/>
          <w:sz w:val="20"/>
        </w:rPr>
        <w:t>Compliance with Health Care Laws</w:t>
      </w:r>
      <w:r>
        <w:rPr>
          <w:rFonts w:ascii="Times New Roman" w:hAnsi="Times New Roman"/>
          <w:b/>
          <w:sz w:val="20"/>
        </w:rPr>
        <w:t xml:space="preserve">. </w:t>
      </w:r>
      <w:r>
        <w:rPr>
          <w:rFonts w:ascii="Times New Roman" w:hAnsi="Times New Roman"/>
          <w:sz w:val="20"/>
        </w:rPr>
        <w:t>The Company’s and each of its subsidiaries’ business practices have been structured in a manner reasonably designed to comply with the state, federal and foreign Health Care Laws applicable to the Company and its subsidiaries respective businesses, and the Company and its subsidiaries are in compliance with Health Care Laws, except where the failure to do so would not reasonably be expected to have a Material Adverse Effect. The Company and its subsidiaries have not engaged in activities which to its knowledge are cause for false claims liability, civil penalties, or mandatory or permissive exclusion from Medicare, Medicaid, or any other state health care program or federal health care program. For purposes of this Agreement, “</w:t>
      </w:r>
      <w:r>
        <w:rPr>
          <w:rFonts w:ascii="Times New Roman" w:hAnsi="Times New Roman"/>
          <w:b/>
          <w:sz w:val="20"/>
        </w:rPr>
        <w:t>Health Care Laws</w:t>
      </w:r>
      <w:r>
        <w:rPr>
          <w:rFonts w:ascii="Times New Roman" w:hAnsi="Times New Roman"/>
          <w:sz w:val="20"/>
        </w:rPr>
        <w:t xml:space="preserve">” includes without limitation applicable provisions of the: (i) the Federal Food, Drug, and Cosmetic Act (21 U.S.C. § 301 et seq.) and the regulations promulgated thereunder; (ii) all applicable federal, state, local and all applicable foreign health care related fraud and abuse laws, including, without limitation, the U.S. Anti-Kickback Statute (42 U.S.C. Section 1320a-7b(b)), the U.S. civil False Claims Act (31 U.S.C. Section 3729 et seq.), the federal criminal false claims law (42 U.S.C. § 1320a-7b(a)), the federal civil monetary penalties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(42 U.S.C. § 1320a-7a), the Stark Law (42 U.S.C. §1395nn), 18 U.S.C. Sections 286 and 287, the health care fraud criminal provisions under the U.S. Health Insurance Portability and Accountability Act of 1996 (“</w:t>
      </w:r>
      <w:r>
        <w:rPr>
          <w:rFonts w:ascii="Times New Roman" w:hAnsi="Times New Roman"/>
          <w:b/>
          <w:sz w:val="20"/>
        </w:rPr>
        <w:t>HIPAA</w:t>
      </w:r>
      <w:r>
        <w:rPr>
          <w:rFonts w:ascii="Times New Roman" w:hAnsi="Times New Roman"/>
          <w:sz w:val="20"/>
        </w:rPr>
        <w:t xml:space="preserve">”) (42 U.S.C. Section 1320d et seq.), the exclusion laws (42 U.S.C. §1320a-7), the statutes and regulations government healthcare programs, including the European Union General Data Protection Regulation (EU 2016 679), Medicare, Title XVIII of the Social Security Act, and Medicaid, Title XIX of the Social Security Act, and the regulations promulgated pursuant to such statutes; (iii) the U.S. federal Prescription Drug Marketing Act of 1987, as amended, and the regulations promulgated thereunder; (iv) the U.S. Controlled Substances Act; (v) the Clinical Laboratory Improvement Act; and (vi) the Standards for Privacy of Individually Identifiable Health Information, the Security Standards, and the Standards for Electronic Transactions and Code Sets promulgated under HIPAA, the Health Information Technology for Economic and Clinical Health Act (42 U.S.C. Section 17921 et seq.), and the regulations promulgated thereunder and any state or non-U.S. counterpart thereof or other law or regulation the purpose of which is to protect the privacy of individuals or prescribers. Neither the Company nor its subsidiaries have received written notice of any claim, action, suit, proceeding, hearing, enforcement, investigation, arbitration or other action from any court or arbitrator or governmental or regulatory authority or third party alleging that any product, operation or activity is in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its subsidiaries are a party to any corporate integrity agreements, monitoring agreements, consent decrees, plans of correction, settlement orders, or similar agreements with or imposed by any governmental or regulatory authority. Additionally, neither the Company, its subsidiaries nor any of their respective employees, officers or directors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 </w:t>
      </w:r>
    </w:p>
    <w:p>
      <w:pPr>
        <w:pStyle w:val="TextBody"/>
        <w:bidi w:val="0"/>
        <w:spacing w:before="240" w:after="0"/>
        <w:jc w:val="left"/>
        <w:rPr>
          <w:rFonts w:ascii="Times New Roman" w:hAnsi="Times New Roman"/>
          <w:sz w:val="20"/>
        </w:rPr>
      </w:pPr>
      <w:r>
        <w:rPr>
          <w:rFonts w:ascii="Times New Roman" w:hAnsi="Times New Roman"/>
          <w:sz w:val="20"/>
        </w:rPr>
        <w:t xml:space="preserve">(ss) </w:t>
      </w:r>
      <w:r>
        <w:rPr>
          <w:rFonts w:ascii="Times New Roman" w:hAnsi="Times New Roman"/>
          <w:b/>
          <w:i/>
          <w:sz w:val="20"/>
        </w:rPr>
        <w:t>No Rights to Purchase Preferred Shares</w:t>
      </w:r>
      <w:r>
        <w:rPr>
          <w:rFonts w:ascii="Times New Roman" w:hAnsi="Times New Roman"/>
          <w:b/>
          <w:sz w:val="20"/>
        </w:rPr>
        <w:t xml:space="preserve">. </w:t>
      </w:r>
      <w:r>
        <w:rPr>
          <w:rFonts w:ascii="Times New Roman" w:hAnsi="Times New Roman"/>
          <w:sz w:val="20"/>
        </w:rPr>
        <w:t xml:space="preserve">The issuance and sale of the Shares as contemplated hereby will not cause any holder of any shares, securities convertible into or exchangeable or exercisable for shares or options, warrants or other rights to purchase shares or any other securities of the Company to have any right to acquire any preference shares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(tt) </w:t>
      </w:r>
      <w:r>
        <w:rPr>
          <w:rFonts w:ascii="Times New Roman" w:hAnsi="Times New Roman"/>
          <w:b/>
          <w:i/>
          <w:sz w:val="20"/>
        </w:rPr>
        <w:t>No Contract Terminations</w:t>
      </w:r>
      <w:r>
        <w:rPr>
          <w:rFonts w:ascii="Times New Roman" w:hAnsi="Times New Roman"/>
          <w:b/>
          <w:sz w:val="20"/>
        </w:rPr>
        <w:t xml:space="preserve">. </w:t>
      </w:r>
      <w:r>
        <w:rPr>
          <w:rFonts w:ascii="Times New Roman" w:hAnsi="Times New Roman"/>
          <w:sz w:val="20"/>
        </w:rPr>
        <w:t xml:space="preserve">Neither the Company nor any of its subsidiaries has sent or received any communication regarding termination of, or intent not to renew, any of the contracts or agreements referred to or described in any preliminary prospectus, the Prospectus or any free writing prospectus, or referred to or described in, or filed as an exhibit to, the Registration Statement, and no such termination or non-renewal has been threatened by the Company or any of its subsidiaries or, to the Company’s knowledge, any other party to any such contract or agreement, which threat of termination or non-renewal has not been rescinded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(uu) </w:t>
      </w:r>
      <w:r>
        <w:rPr>
          <w:rFonts w:ascii="Times New Roman" w:hAnsi="Times New Roman"/>
          <w:b/>
          <w:i/>
          <w:sz w:val="20"/>
        </w:rPr>
        <w:t>Submission to Jurisdiction</w:t>
      </w:r>
      <w:r>
        <w:rPr>
          <w:rFonts w:ascii="Times New Roman" w:hAnsi="Times New Roman"/>
          <w:sz w:val="20"/>
        </w:rPr>
        <w:t xml:space="preserve">. The choice of laws of the State of New York as the governing law of this Agreement is a valid choice of law under the laws of the Republic of Singapore and will be recognized as a valid choice of law by the courts of the Republic of Singapore, provided that the choice of laws of the State of New York is a </w:t>
      </w:r>
      <w:r>
        <w:rPr>
          <w:rFonts w:ascii="Times New Roman" w:hAnsi="Times New Roman"/>
          <w:i/>
          <w:sz w:val="20"/>
        </w:rPr>
        <w:t>bona fide</w:t>
      </w:r>
      <w:r>
        <w:rPr>
          <w:rFonts w:ascii="Times New Roman" w:hAnsi="Times New Roman"/>
          <w:sz w:val="20"/>
        </w:rPr>
        <w:t xml:space="preserve"> choice of law and legal and not entered into pursuant to a fraud or under duress nor with a view to avoid the applicability of any other applicable law, and such law is proven to the satisfaction of the courts of Singapore. This is subject also to the restrictions described under the caption “Enforcement of Civil Liabilities under United States Securities Laws” in the Registration Statement, the Time of Sale Prospectus and the Prospectus. Such law will be disregarded if the application of the laws of the State of New York will be illegal or contravene some mandatory rule or public policy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Singapore. The Company and each of its subsidiaries has the power to submit, and pursuant to Section 18 of this Agreement, has legally, validly, effectively and irrevocably submitted, to the personal jurisdiction of the Specified Courts (as defined below), and the Company and each of its subsidiaries has the power to designate, appoint and authorize, and pursuant to Section 18 of this Agreement, has legally, validly, effectively and irrevocably designated, appointed and authorized an agent for service of process in any action arising out of or relating to this Agreement, the Pre-Funded Warrants or the Offered Securities in any state or federal court in the Borough of Manhattan in the City of New York, and service of process effected on such authorized agent will be effective to confer valid personal jurisdiction over the Company as provided in Section 18 hereof. </w:t>
      </w:r>
    </w:p>
    <w:p>
      <w:pPr>
        <w:pStyle w:val="TextBody"/>
        <w:bidi w:val="0"/>
        <w:spacing w:before="240" w:after="0"/>
        <w:jc w:val="left"/>
        <w:rPr>
          <w:rFonts w:ascii="Times New Roman" w:hAnsi="Times New Roman"/>
          <w:sz w:val="20"/>
        </w:rPr>
      </w:pPr>
      <w:r>
        <w:rPr>
          <w:rFonts w:ascii="Times New Roman" w:hAnsi="Times New Roman"/>
          <w:sz w:val="20"/>
        </w:rPr>
        <w:t xml:space="preserve">(vv) </w:t>
      </w:r>
      <w:r>
        <w:rPr>
          <w:rFonts w:ascii="Times New Roman" w:hAnsi="Times New Roman"/>
          <w:b/>
          <w:i/>
          <w:sz w:val="20"/>
        </w:rPr>
        <w:t>Enforcement of Foreign Judgments</w:t>
      </w:r>
      <w:r>
        <w:rPr>
          <w:rFonts w:ascii="Times New Roman" w:hAnsi="Times New Roman"/>
          <w:sz w:val="20"/>
        </w:rPr>
        <w:t xml:space="preserve">. Subject to the restrictions described in the Registration Statement, the Time of Sale Prospectus and the Prospectus, any final judgment for a fixed or determined sum of money rendered by any U.S. federal or New York state court located in the State of New York having jurisdiction under its own laws in respect of any suit, action or proceeding against the Company based upon this Agreement may be enforced against the Company by the courts of the Republic of Singapore by commencing an action for the amount due under it. </w:t>
      </w:r>
    </w:p>
    <w:p>
      <w:pPr>
        <w:pStyle w:val="TextBody"/>
        <w:bidi w:val="0"/>
        <w:spacing w:before="240" w:after="0"/>
        <w:jc w:val="left"/>
        <w:rPr>
          <w:rFonts w:ascii="Times New Roman" w:hAnsi="Times New Roman"/>
          <w:sz w:val="20"/>
        </w:rPr>
      </w:pPr>
      <w:r>
        <w:rPr>
          <w:rFonts w:ascii="Times New Roman" w:hAnsi="Times New Roman"/>
          <w:sz w:val="20"/>
        </w:rPr>
        <w:t xml:space="preserve">(ww) </w:t>
      </w:r>
      <w:r>
        <w:rPr>
          <w:rFonts w:ascii="Times New Roman" w:hAnsi="Times New Roman"/>
          <w:b/>
          <w:i/>
          <w:sz w:val="20"/>
        </w:rPr>
        <w:t>No Immunity</w:t>
      </w:r>
      <w:r>
        <w:rPr>
          <w:rFonts w:ascii="Times New Roman" w:hAnsi="Times New Roman"/>
          <w:sz w:val="20"/>
        </w:rPr>
        <w:t xml:space="preserve">. Neither the Company nor any of its subsidiaries or their properties or assets has immunity under the Republic of Singapore, U.S. federal or New York state law from any legal action, suit or proceeding, from the giving of any relief in any such legal action, suit or proceeding, from set-off or counterclaim, from the jurisdiction of any Republic of Singapore, U.S. federal or New York state court, from service of process, attachment upon or prior to judgment, or attachment in aid of execution of judgment, or from execution of a judgment, or other legal process or proceeding for the giving of any relief or for the enforcement of a judgment, in any such court with respect to their respective obligations, liabilities or any other matter under or arising out of or in connection herewith; and, to the extent that the Company or any of its subsidiaries or any of its properties, assets or revenues may have or may hereafter become entitled to any such right of immunity in any such court in which proceedings arising out of, or relating to the transactions contemplated by this Agreement, may at any time be commenced, the Company has, pursuant to Section 21(b) of this Agreement, waived, and it will waive, or will cause its subsidiaries to waive, such right to the extent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(xx) </w:t>
      </w:r>
      <w:r>
        <w:rPr>
          <w:rFonts w:ascii="Times New Roman" w:hAnsi="Times New Roman"/>
          <w:b/>
          <w:i/>
          <w:sz w:val="20"/>
        </w:rPr>
        <w:t>Stamp Taxes</w:t>
      </w:r>
      <w:r>
        <w:rPr>
          <w:rFonts w:ascii="Times New Roman" w:hAnsi="Times New Roman"/>
          <w:sz w:val="20"/>
        </w:rPr>
        <w:t>. Subject to the restrictions described in the Registration Statement, the Time of Sale Prospectus and the Prospectus, other than any net income, capital gains or franchise taxes imposed on the Underwriters by the Republic of Singapore or any political subdivision or taxing authority thereof or therein as a result of any present or former connection (other than any connection resulting from the transactions contemplated by this Agreement) between the Underwriters and the jurisdiction imposing such tax, no stamp duties or other issuance or transfer taxes are payable by or on behalf of the Underwriters in the Republic of Singapore, the United States or any political subdivision or taxing authority thereof solely in connection with (A) the execution, delivery and performance of this Agreement, (B) the issuance and delivery of the Offered Securities in the manner contemplated by this Agreement and the Registration Statement, the Time of Sale Prospectus and the Prospectus or (C) the sale and delivery by the Underwriters of the Offered Shares as contemplated herein and in the Registration Statement, the Time of Sale Prospectus and the Prospectus.</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(yy) </w:t>
      </w:r>
      <w:r>
        <w:rPr>
          <w:rFonts w:ascii="Times New Roman" w:hAnsi="Times New Roman"/>
          <w:b/>
          <w:i/>
          <w:sz w:val="20"/>
        </w:rPr>
        <w:t>Passive Foreign Investment Company</w:t>
      </w:r>
      <w:r>
        <w:rPr>
          <w:rFonts w:ascii="Times New Roman" w:hAnsi="Times New Roman"/>
          <w:sz w:val="20"/>
        </w:rPr>
        <w:t>. The Company expects the Company was not a “passive foreign investment company” (“</w:t>
      </w:r>
      <w:r>
        <w:rPr>
          <w:rFonts w:ascii="Times New Roman" w:hAnsi="Times New Roman"/>
          <w:b/>
          <w:sz w:val="20"/>
        </w:rPr>
        <w:t>PFIC</w:t>
      </w:r>
      <w:r>
        <w:rPr>
          <w:rFonts w:ascii="Times New Roman" w:hAnsi="Times New Roman"/>
          <w:sz w:val="20"/>
        </w:rPr>
        <w:t xml:space="preserve">”) as defined in Section 1297 of the Code for its most recently completed taxable year and the Company does not expect to be a PFIC for the foreseeable future. </w:t>
      </w:r>
    </w:p>
    <w:p>
      <w:pPr>
        <w:pStyle w:val="TextBody"/>
        <w:bidi w:val="0"/>
        <w:spacing w:before="240" w:after="0"/>
        <w:jc w:val="left"/>
        <w:rPr>
          <w:rFonts w:ascii="Times New Roman" w:hAnsi="Times New Roman"/>
          <w:sz w:val="20"/>
        </w:rPr>
      </w:pPr>
      <w:r>
        <w:rPr>
          <w:rFonts w:ascii="Times New Roman" w:hAnsi="Times New Roman"/>
          <w:sz w:val="20"/>
        </w:rPr>
        <w:t xml:space="preserve">(zz) </w:t>
      </w:r>
      <w:r>
        <w:rPr>
          <w:rFonts w:ascii="Times New Roman" w:hAnsi="Times New Roman"/>
          <w:b/>
          <w:i/>
          <w:sz w:val="20"/>
        </w:rPr>
        <w:t>Legality</w:t>
      </w:r>
      <w:r>
        <w:rPr>
          <w:rFonts w:ascii="Times New Roman" w:hAnsi="Times New Roman"/>
          <w:sz w:val="20"/>
        </w:rPr>
        <w:t xml:space="preserve">. To ensure the legality, validity, enforceability or admissibility into evidence of any of the Registration Statement, the Time of Sale Prospectus, the Prospectus, this Agreement or the Offered Securities in Singapore, it is not necessary that such document be submitted to, filed or recorded with any court or other authority in any such jurisdiction on or before the date hereof or that any tax, imposition or charge be paid on or in respect of any such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(aaa) </w:t>
      </w:r>
      <w:r>
        <w:rPr>
          <w:rFonts w:ascii="Times New Roman" w:hAnsi="Times New Roman"/>
          <w:b/>
          <w:i/>
          <w:sz w:val="20"/>
        </w:rPr>
        <w:t>No Rated Debt</w:t>
      </w:r>
      <w:r>
        <w:rPr>
          <w:rFonts w:ascii="Times New Roman" w:hAnsi="Times New Roman"/>
          <w:sz w:val="20"/>
        </w:rPr>
        <w:t xml:space="preserve">. There are no debt securities or preferred stock issued, or guaranteed, by the Company or any of its subsidiaries that are rated by a “nationally recognized statistical rating organization,” as such term is defined in Section 3(a)(62)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(bbb) </w:t>
      </w:r>
      <w:r>
        <w:rPr>
          <w:rFonts w:ascii="Times New Roman" w:hAnsi="Times New Roman"/>
          <w:b/>
          <w:i/>
          <w:sz w:val="20"/>
        </w:rPr>
        <w:t>Compliance with Sarbanes-Oxley</w:t>
      </w:r>
      <w:r>
        <w:rPr>
          <w:rFonts w:ascii="Times New Roman" w:hAnsi="Times New Roman"/>
          <w:sz w:val="20"/>
        </w:rPr>
        <w:t xml:space="preserve">. There is and has been no failure on the part of the Company or any of the Company’s directors or officers, in their capacities as such, to comply with any provision of the Sarbanes-Oxley Act of 2002, as amended, and all rules and regulations promulgated thereunder, including Section 402 related to loans and Sections 302 and 906 related to certifications. </w:t>
      </w:r>
    </w:p>
    <w:p>
      <w:pPr>
        <w:pStyle w:val="TextBody"/>
        <w:bidi w:val="0"/>
        <w:spacing w:before="240" w:after="0"/>
        <w:jc w:val="left"/>
        <w:rPr>
          <w:rFonts w:ascii="Times New Roman" w:hAnsi="Times New Roman"/>
          <w:sz w:val="20"/>
        </w:rPr>
      </w:pPr>
      <w:r>
        <w:rPr>
          <w:rFonts w:ascii="Times New Roman" w:hAnsi="Times New Roman"/>
          <w:sz w:val="20"/>
        </w:rPr>
        <w:t xml:space="preserve">(ccc) </w:t>
      </w:r>
      <w:r>
        <w:rPr>
          <w:rFonts w:ascii="Times New Roman" w:hAnsi="Times New Roman"/>
          <w:b/>
          <w:i/>
          <w:sz w:val="20"/>
        </w:rPr>
        <w:t>Well-Known Seasoned Issuer</w:t>
      </w:r>
      <w:r>
        <w:rPr>
          <w:rFonts w:ascii="Times New Roman" w:hAnsi="Times New Roman"/>
          <w:sz w:val="20"/>
        </w:rPr>
        <w:t xml:space="preserve">. (i) At the original effectiveness of the Registration Statement, (ii) at the time of the most recent amendment thereto for the purposes of complying with Section 10(a)(3) of the Securities Act (whether such amendment was by post-effective amendment or incorporated report filed pursuant to Section 13 or 15(d) of the Exchange Act or in the form of a prospectus), (iii) at the time the Company or any person acting on its behalf (within the meaning, for this clause only, of Rule 163(c) under the Securities Act) made any offer relating to the Offered Securities in reliance on the exemption of Rule 163 under the Securities Act, and (iv) as of the Applicable Time, the Company was and is a “well-known seasoned issuer” (as defined in Rule 405). </w:t>
      </w:r>
    </w:p>
    <w:p>
      <w:pPr>
        <w:pStyle w:val="TextBody"/>
        <w:bidi w:val="0"/>
        <w:spacing w:before="240" w:after="0"/>
        <w:jc w:val="left"/>
        <w:rPr>
          <w:rFonts w:ascii="Times New Roman" w:hAnsi="Times New Roman"/>
          <w:sz w:val="20"/>
        </w:rPr>
      </w:pPr>
      <w:r>
        <w:rPr>
          <w:rFonts w:ascii="Times New Roman" w:hAnsi="Times New Roman"/>
          <w:sz w:val="20"/>
        </w:rPr>
        <w:t xml:space="preserve">(ddd) </w:t>
      </w:r>
      <w:r>
        <w:rPr>
          <w:rFonts w:ascii="Times New Roman" w:hAnsi="Times New Roman"/>
          <w:b/>
          <w:i/>
          <w:sz w:val="20"/>
        </w:rPr>
        <w:t>Margin Rules</w:t>
      </w:r>
      <w:r>
        <w:rPr>
          <w:rFonts w:ascii="Times New Roman" w:hAnsi="Times New Roman"/>
          <w:sz w:val="20"/>
        </w:rPr>
        <w:t xml:space="preserve">. Neither the issuance, sale and delivery of the Offered Securities nor the application of the proceeds thereof by the Company as described in each of the Registration Statement, the Time of Sale Prospectus and the Prospectus will violate Regulation T, U or X of the Board of Governors of the Federal Reserve System or any other regulation of such Board of Governors.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 signed by any officer of the Company or any of its subsidiaries and delivered to any Underwriter or to counsel for the Underwriters in connection with the offering, or the purchase and sale, of the Offered Securities shall be deemed a representation and warranty by the Company to each Underwriter as to the matters covered thereby.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 reasonable basis for making each of the representations set forth in this Section 1. The Company acknowledges that the Underwriters and, for purposes of the opinions to be delivered pursuant to Section 6 hereof, counsel to the Company and counsel to the Underwriters, will rely upon the accuracy and truthfulness of the foregoing representations and hereby consents to such reliance.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w:t>
      </w:r>
      <w:r>
        <w:rPr>
          <w:rFonts w:ascii="Times New Roman" w:hAnsi="Times New Roman"/>
          <w:sz w:val="20"/>
        </w:rPr>
        <w:t xml:space="preserve"> </w:t>
      </w:r>
      <w:r>
        <w:rPr>
          <w:rFonts w:ascii="Times New Roman" w:hAnsi="Times New Roman"/>
          <w:b/>
          <w:sz w:val="20"/>
        </w:rPr>
        <w:t>Purchase, Sale and Delivery of the Offered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The Firm Shares and Pre-Funded Warrants</w:t>
      </w:r>
      <w:r>
        <w:rPr>
          <w:rFonts w:ascii="Times New Roman" w:hAnsi="Times New Roman"/>
          <w:b/>
          <w:sz w:val="20"/>
        </w:rPr>
        <w:t xml:space="preserve">. </w:t>
      </w:r>
      <w:r>
        <w:rPr>
          <w:rFonts w:ascii="Times New Roman" w:hAnsi="Times New Roman"/>
          <w:sz w:val="20"/>
        </w:rPr>
        <w:t xml:space="preserve">Upon the terms herein set forth, the Company agrees to issue and sell to the several Underwriters an aggregate of 15,789,475 Firm Shares and Pre-Funded Warrants to purchase 2,631,578 Shares. On the basis of the representations, warranties and agreements herein contained, and upon the terms but subject to the conditions herein set forth, the Underwriters agree, severally and not jointly, to purchase from the Company the respective number of Firm Shares and Pre-Funded Warrants set forth opposite their names on </w:t>
      </w:r>
      <w:r>
        <w:rPr>
          <w:rFonts w:ascii="Times New Roman" w:hAnsi="Times New Roman"/>
          <w:sz w:val="20"/>
          <w:u w:val="single"/>
        </w:rPr>
        <w:t>Schedule A</w:t>
      </w:r>
      <w:r>
        <w:rPr>
          <w:rFonts w:ascii="Times New Roman" w:hAnsi="Times New Roman"/>
          <w:sz w:val="20"/>
        </w:rPr>
        <w:t xml:space="preserve"> hereto. The purchase price per Firm Share to be paid by the several Underwriters to the Company shall be $17.86 per share (the “</w:t>
      </w:r>
      <w:r>
        <w:rPr>
          <w:rFonts w:ascii="Times New Roman" w:hAnsi="Times New Roman"/>
          <w:b/>
          <w:sz w:val="20"/>
        </w:rPr>
        <w:t>Share Purchase Price</w:t>
      </w:r>
      <w:r>
        <w:rPr>
          <w:rFonts w:ascii="Times New Roman" w:hAnsi="Times New Roman"/>
          <w:sz w:val="20"/>
        </w:rPr>
        <w:t>”). The purchase price per Pre-Funded Warrant to be paid by the several Underwriters to the Company shall be $17.8599 per Pre-Funded Warrant (the “</w:t>
      </w:r>
      <w:r>
        <w:rPr>
          <w:rFonts w:ascii="Times New Roman" w:hAnsi="Times New Roman"/>
          <w:b/>
          <w:sz w:val="20"/>
        </w:rPr>
        <w:t>Pre-Funded Warrant Purchase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First Closing Date</w:t>
      </w:r>
      <w:r>
        <w:rPr>
          <w:rFonts w:ascii="Times New Roman" w:hAnsi="Times New Roman"/>
          <w:b/>
          <w:sz w:val="20"/>
        </w:rPr>
        <w:t xml:space="preserve">. </w:t>
      </w:r>
      <w:r>
        <w:rPr>
          <w:rFonts w:ascii="Times New Roman" w:hAnsi="Times New Roman"/>
          <w:sz w:val="20"/>
        </w:rPr>
        <w:t xml:space="preserve">Delivery of the Firm Shares and the Pre-Funded Warrants to be purchased by the Underwriters and payment therefor shall be made at the offices of White &amp; Case LLP, 1221 Avenue of the Americas, New York, New York (or such other place as may be agreed to by the Company and the Representatives) at 9:00 a.m. New York City time, on December 11, 2025, or such other time and date not later than 1:30 p.m. New York City time, on December 11, 2025 as the Representatives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shall designate by notice to the Company (the time and date of such closing are called the “</w:t>
      </w:r>
      <w:r>
        <w:rPr>
          <w:rFonts w:ascii="Times New Roman" w:hAnsi="Times New Roman"/>
          <w:b/>
          <w:sz w:val="20"/>
        </w:rPr>
        <w:t>First Closing Date</w:t>
      </w:r>
      <w:r>
        <w:rPr>
          <w:rFonts w:ascii="Times New Roman" w:hAnsi="Times New Roman"/>
          <w:sz w:val="20"/>
        </w:rPr>
        <w:t xml:space="preserve">”). The Company hereby acknowledges that circumstances under which the Representatives may provide notice to postpone the First Closing Date as originally scheduled include, but are not limited to, any determination by the Company or the Representatives to recirculate to the public copies of an amended or supplemented Prospectus or a delay as contemplated by the provisions of Section 11.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i/>
          <w:sz w:val="20"/>
        </w:rPr>
        <w:t>The Optional Shares; Option Closing Date</w:t>
      </w:r>
      <w:r>
        <w:rPr>
          <w:rFonts w:ascii="Times New Roman" w:hAnsi="Times New Roman"/>
          <w:sz w:val="20"/>
        </w:rPr>
        <w:t>. In addition, on the basis of the representations, warranties and agreements herein contained, and upon the terms but subject to the conditions herein set forth, the Company hereby grants an option to the several Underwriters to purchase, severally and not jointly, up to an aggregate of 2,763,157 Optional Shares from the Company. The purchase price per Optional Share to be paid by the several Underwriters shall be the Share Purchase Price. The option granted hereunder may be exercised at any time and from time to time in whole or in part upon notice by the Representatives to the Company, which notice may be given at any time within 30 days from the date of this Agreement. Such notice shall set forth (i) the aggregate number of Optional Shares as to which the Underwriters are exercising the option and (ii) the time, date and place at which the Optional Shares will be delivered (which time and date may be simultaneous, but not earlier than, the First Closing Date; and in the event that such time and date are simultaneous with the First Closing Date, the term “</w:t>
      </w:r>
      <w:r>
        <w:rPr>
          <w:rFonts w:ascii="Times New Roman" w:hAnsi="Times New Roman"/>
          <w:b/>
          <w:sz w:val="20"/>
        </w:rPr>
        <w:t>First Closing Date</w:t>
      </w:r>
      <w:r>
        <w:rPr>
          <w:rFonts w:ascii="Times New Roman" w:hAnsi="Times New Roman"/>
          <w:sz w:val="20"/>
        </w:rPr>
        <w:t>” shall refer to the time and date of delivery of the Firm Shares and such Optional Shares). Any such time and date of delivery, if subsequent to the First Closing Date, is called an “</w:t>
      </w:r>
      <w:r>
        <w:rPr>
          <w:rFonts w:ascii="Times New Roman" w:hAnsi="Times New Roman"/>
          <w:b/>
          <w:sz w:val="20"/>
        </w:rPr>
        <w:t>Option Closing Date</w:t>
      </w:r>
      <w:r>
        <w:rPr>
          <w:rFonts w:ascii="Times New Roman" w:hAnsi="Times New Roman"/>
          <w:sz w:val="20"/>
        </w:rPr>
        <w:t xml:space="preserve">,” shall be determined by the Representatives and shall not be earlier than three or later than five full business days after delivery of such notice of exercise. If any Optional Shares are to be purchased, each Underwriter agrees, severally and not jointly, to purchase the number of Optional Shares (subject to such adjustments to eliminate fractional shares as the Representatives may determine) that bears the same proportion to the total number of Optional Shares to be purchased as the number of Firm Shares set forth on </w:t>
      </w:r>
      <w:r>
        <w:rPr>
          <w:rFonts w:ascii="Times New Roman" w:hAnsi="Times New Roman"/>
          <w:sz w:val="20"/>
          <w:u w:val="single"/>
        </w:rPr>
        <w:t>Schedule A</w:t>
      </w:r>
      <w:r>
        <w:rPr>
          <w:rFonts w:ascii="Times New Roman" w:hAnsi="Times New Roman"/>
          <w:sz w:val="20"/>
        </w:rPr>
        <w:t xml:space="preserve"> opposite the name of such Underwriter bears to the total number of Firm Shares. The Representatives may cancel the option at any time prior to its expiration by giving written notice of such cancellation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i/>
          <w:sz w:val="20"/>
        </w:rPr>
        <w:t>Public Offering of the Offered Securities</w:t>
      </w:r>
      <w:r>
        <w:rPr>
          <w:rFonts w:ascii="Times New Roman" w:hAnsi="Times New Roman"/>
          <w:b/>
          <w:sz w:val="20"/>
        </w:rPr>
        <w:t xml:space="preserve">. </w:t>
      </w:r>
      <w:r>
        <w:rPr>
          <w:rFonts w:ascii="Times New Roman" w:hAnsi="Times New Roman"/>
          <w:sz w:val="20"/>
        </w:rPr>
        <w:t xml:space="preserve">The Representatives hereby advise the Company that the Underwriters intend to offer for sale to the public, initially on the terms set forth in the Registration Statement, the Time of Sale Prospectus and the Prospectus, their respective portions of the Offered Securities as soon after this Agreement has been executed and the Representatives, in their sole judgment, have determined is advisable and practicable.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i/>
          <w:sz w:val="20"/>
        </w:rPr>
        <w:t>Payment for the Offered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Payment for the Offered Securities shall be made at the First Closing Date (and, if applicable, at each Option Closing Date) by wire transfer of immediately available funds to the order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(ii) It is understood that the Representatives have been authorized, for their own accounts and the accounts of the several Underwriters, to accept delivery of and receipt for, and make payment of the purchase price for, the Firm Shares and any Optional Shares the Underwriters have agreed to purchase. Jefferies LLC, Leerink Partners LLC and BofA Securities, Inc., individually and not as the Representatives of the Underwriters, may (but shall not be obligated to) make payment for any Offered Shares and Pre-Funded Warrants to be purchased by any Underwriter whose funds shall not have been received by the Representatives by the First Closing Date or the applicable Option Closing Date, as the case may be, for the account of such Underwriter, but any such payment shall not relieve such Underwriter from any of its obligations under this Agreement or the Pre-Funded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b/>
          <w:i/>
          <w:sz w:val="20"/>
        </w:rPr>
        <w:t>Delivery of the Offered Securities</w:t>
      </w:r>
      <w:r>
        <w:rPr>
          <w:rFonts w:ascii="Times New Roman" w:hAnsi="Times New Roman"/>
          <w:b/>
          <w:sz w:val="20"/>
        </w:rPr>
        <w:t xml:space="preserve">. </w:t>
      </w:r>
      <w:r>
        <w:rPr>
          <w:rFonts w:ascii="Times New Roman" w:hAnsi="Times New Roman"/>
          <w:sz w:val="20"/>
        </w:rPr>
        <w:t>The Company shall deliver, or cause to be delivered, through the facilities of the Depository Trust Company (“</w:t>
      </w:r>
      <w:r>
        <w:rPr>
          <w:rFonts w:ascii="Times New Roman" w:hAnsi="Times New Roman"/>
          <w:b/>
          <w:sz w:val="20"/>
        </w:rPr>
        <w:t>DTC</w:t>
      </w:r>
      <w:r>
        <w:rPr>
          <w:rFonts w:ascii="Times New Roman" w:hAnsi="Times New Roman"/>
          <w:sz w:val="20"/>
        </w:rPr>
        <w:t xml:space="preserve">”) unless the Representatives otherwise instruct, to the Representatives for the accounts of the several Underwriters the Firm Shares at the First Closing Date, against release of a wire transfer of immediately available funds for the amount of the purchase price therefor. The Company shall also deliver, or cause to be delivered, through the facilities of DTC unless the Representatives otherwise instruct, to the Representatives for the accounts of the several Underwriters, the Optional Shares the Underwriters have agreed to purchase at the First Closing Date or the applicable Option Closing Date, as the case may be, against the release of a wire transfer of immediately available funds for the amount of the purchase price therefor. The Pre-Funded Warrants shall be delivered to the Representatives in definitive form. The Pre-Funded Warrants will be made available for inspection by the Representatives on the business day prior to the First Closing Date. The Offered Shares and the Pre-Funded Warrants shall be registered in such names and denominations as the Representatives shall have requested at least one full business day prior to the First Closing Date (or the applicable Option Closing Date, as the case may be) and shall be made available for inspection on the business day preceding the First Closing Date (or the applicable Option Closing Date, as the case may be) at a location in New York City as the Representatives may designate. Time shall be of the essence, and delivery at the time and place specified in this Agreement is a further condition to the obligations of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Company and the Representatives shall instruct purchasers of the Pre-Funded Warrants in the public offering to make payment for the Pre-Funded Warrants on the First Closing Date to the Company by wire transfer in immediately available funds to the account specified by the Company at a purchase price of $18.9999 per Pre-Funded Warrant, in lieu of payment by the Underwriters for such Pre-Funded Warrants, and the Company shall deliver such Pre-Funded Warrants to such purchasers on the First Closing Date in definitive form against such payment, in lieu of the Company’s obligation to deliver such Pre-Funded Warrants to the Underwriters; provided that, the underwriting discounts and commissions in respect of the Pre-Funded Warrants, as calculated by subtracting the Pre-Funded Warrant Purchase Price set forth in Section 2(a) hereof from the Price per Pre-Funded Warrant to the Public set forth on </w:t>
      </w:r>
      <w:r>
        <w:rPr>
          <w:rFonts w:ascii="Times New Roman" w:hAnsi="Times New Roman"/>
          <w:sz w:val="20"/>
          <w:u w:val="single"/>
        </w:rPr>
        <w:t>Schedule C</w:t>
      </w:r>
      <w:r>
        <w:rPr>
          <w:rFonts w:ascii="Times New Roman" w:hAnsi="Times New Roman"/>
          <w:sz w:val="20"/>
        </w:rPr>
        <w:t xml:space="preserve"> hereto, shall be deducted and withheld from the amount otherwise payable by the Representatives to the Company for the Shares as set forth above in this Section 2(f). </w:t>
      </w:r>
    </w:p>
    <w:p>
      <w:pPr>
        <w:pStyle w:val="TextBody"/>
        <w:bidi w:val="0"/>
        <w:spacing w:before="240" w:after="0"/>
        <w:jc w:val="left"/>
        <w:rPr>
          <w:rFonts w:ascii="Times New Roman" w:hAnsi="Times New Roman"/>
          <w:sz w:val="20"/>
        </w:rPr>
      </w:pPr>
      <w:r>
        <w:rPr>
          <w:rFonts w:ascii="Times New Roman" w:hAnsi="Times New Roman"/>
          <w:sz w:val="20"/>
        </w:rPr>
        <w:t>In the event that any purchaser of the Pre-Funded Warrants in the public offering fails to make payment to the Company for all or part of the Pre-Funded Warrants (the “</w:t>
      </w:r>
      <w:r>
        <w:rPr>
          <w:rFonts w:ascii="Times New Roman" w:hAnsi="Times New Roman"/>
          <w:b/>
          <w:sz w:val="20"/>
        </w:rPr>
        <w:t>Failed Warrants</w:t>
      </w:r>
      <w:r>
        <w:rPr>
          <w:rFonts w:ascii="Times New Roman" w:hAnsi="Times New Roman"/>
          <w:sz w:val="20"/>
        </w:rPr>
        <w:t xml:space="preserve">”) on the First Closing Date, the Representatives may elect, by written notice to the Company and payment of the Share Purchase Price by wire transfer in immediately available funds to the account specified by the Company at the location and time designated in Section 2(b) for the First Closing Date, to receive Shares at the Share Purchase Price in lieu of the Failed Warrants that were otherwise to have been delivered to the purchasers thereof under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w:t>
      </w:r>
      <w:r>
        <w:rPr>
          <w:rFonts w:ascii="Times New Roman" w:hAnsi="Times New Roman"/>
          <w:sz w:val="20"/>
        </w:rPr>
        <w:t xml:space="preserve"> </w:t>
      </w:r>
      <w:r>
        <w:rPr>
          <w:rFonts w:ascii="Times New Roman" w:hAnsi="Times New Roman"/>
          <w:b/>
          <w:sz w:val="20"/>
        </w:rPr>
        <w:t>Additional Covenants of the Company</w:t>
      </w:r>
      <w:r>
        <w:rPr>
          <w:rFonts w:ascii="Times New Roman" w:hAnsi="Times New Roman"/>
          <w:sz w:val="20"/>
        </w:rPr>
        <w:t xml:space="preserve">. The Company further covenants and agrees with each Underwriter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Delivery of Registration Statement, Time of Sale Prospectus and Prospectus</w:t>
      </w:r>
      <w:r>
        <w:rPr>
          <w:rFonts w:ascii="Times New Roman" w:hAnsi="Times New Roman"/>
          <w:b/>
          <w:sz w:val="20"/>
        </w:rPr>
        <w:t xml:space="preserve">. </w:t>
      </w:r>
      <w:r>
        <w:rPr>
          <w:rFonts w:ascii="Times New Roman" w:hAnsi="Times New Roman"/>
          <w:sz w:val="20"/>
        </w:rPr>
        <w:t xml:space="preserve">The Company shall furnish to each Underwriter in New York City, without charge, prior to 10:00 a.m. New York City time on the second business day following the date of this Agreement and during the period when a prospectus relating to the Offered Securities is required by the Securities Act to be delivered (whether physically or through compliance with Rule 172 under the Securities Act or any similar rule) in connection with sales of the Offered Securities, as many copies of the Time of Sale Prospectus, the Prospectus and any supplements and amendments thereto or to the Registration Statement as such Underwriter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Representatives’ Review of Proposed Amendments and Supplements</w:t>
      </w:r>
      <w:r>
        <w:rPr>
          <w:rFonts w:ascii="Times New Roman" w:hAnsi="Times New Roman"/>
          <w:b/>
          <w:sz w:val="20"/>
        </w:rPr>
        <w:t xml:space="preserve">. </w:t>
      </w:r>
      <w:r>
        <w:rPr>
          <w:rFonts w:ascii="Times New Roman" w:hAnsi="Times New Roman"/>
          <w:sz w:val="20"/>
        </w:rPr>
        <w:t xml:space="preserve">During the period when a prospectus relating to the Offered Securities is required by the Securities Act to be delivered (whether physically or through compliance with Rule 172 under the Securities Act or any similar rule), the Company (i) will furnish to the Representatives for review, a reasonable period of time prior to the proposed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time of filing of any proposed amendment or supplement to the Registration Statement (including any amendment or supplement through incorporation of any report filed under the Exchange Act), a copy of each such amendment or supplement and (ii) will not amend or supplement the Registration Statement (including any amendment or supplement through incorporation of any report filed under the Exchange Act) without the Representatives’ prior written consent, which consent shall not be unreasonably withheld, conditioned or delayed. Prior to amending or supplementing any preliminary prospectus, the Time of Sale Prospectus or the Prospectus (including any amendment or supplement through incorporation of any report filed under the Exchange Act), the Company shall furnish to the Representatives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which consent shall not be unreasonably withheld, conditioned or delayed. The Company shall file with the Commission within the applicable period specified in Rule 424(b) under the Securities Act any prospectus required to be filed pursuant to such Rule.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i/>
          <w:sz w:val="20"/>
        </w:rPr>
        <w:t>Free Writing Prospectuses</w:t>
      </w:r>
      <w:r>
        <w:rPr>
          <w:rFonts w:ascii="Times New Roman" w:hAnsi="Times New Roman"/>
          <w:sz w:val="20"/>
        </w:rPr>
        <w:t xml:space="preserve">. The Company shall furnish to the Representatives for review, a reasonable amount of time prior to the proposed time of filing or use thereof, a copy of each proposed free writing prospectus or any amendment or supplement thereto prepared by or on behalf of, used by, or referred to by the Company, and the Company shall not file, use or refer to any proposed free writing prospectus or any amendment or supplement thereto without the Representatives’ prior written consent, which consent shall not be unreasonably withheld, conditioned or delayed. The Company shall furnish to each Underwriter, without charge, as many copies of any free writing prospectus prepared by or on behalf of, used by or referred to by the Company as such Underwriter may reasonably request. If at any time when a prospectus is required by the Securities Act to be delivered (whether physically or through compliance with Rule 172 under the Securities Act or any similar rule) in connection with sales of the Offered Securities (but in any event if at any time through and including the First Closing Date)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such time, not misleading, the Company shall promptly amend or supplement such free writing prospectus to eliminate or correct such conflict so that the statements in such free writing prospectus as so amended or supplemented will not include an untrue statement of a material fact or omit to state a material fact necessary in order to make the statements therein, in the light of the circumstances prevailing at such time, not misleading, as the case may be; provided, however, that prior to amending or supplementing any such free writing prospectus, the Company shall furnish to the Representatives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Representatives’ prior written consent, which consent shall not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i/>
          <w:sz w:val="20"/>
        </w:rPr>
        <w:t>Filing of Underwriter Free Writing Prospectuses</w:t>
      </w:r>
      <w:r>
        <w:rPr>
          <w:rFonts w:ascii="Times New Roman" w:hAnsi="Times New Roman"/>
          <w:b/>
          <w:sz w:val="20"/>
        </w:rPr>
        <w:t xml:space="preserve">. </w:t>
      </w:r>
      <w:r>
        <w:rPr>
          <w:rFonts w:ascii="Times New Roman" w:hAnsi="Times New Roman"/>
          <w:sz w:val="20"/>
        </w:rPr>
        <w:t xml:space="preserve">The Company shall not take any action that would result in an Underwriter or the Company being required to file with the Commission pursuant to Rule 433(d) under the Securities Act a free writing prospectus prepared by or on behalf of such Underwriter that such Underwriter otherwise would not have been required to file thereunder.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i/>
          <w:sz w:val="20"/>
        </w:rPr>
        <w:t>Amendments and Supplements to Time of Sale Prospectus</w:t>
      </w:r>
      <w:r>
        <w:rPr>
          <w:rFonts w:ascii="Times New Roman" w:hAnsi="Times New Roman"/>
          <w:b/>
          <w:sz w:val="20"/>
        </w:rPr>
        <w:t xml:space="preserve">. </w:t>
      </w:r>
      <w:r>
        <w:rPr>
          <w:rFonts w:ascii="Times New Roman" w:hAnsi="Times New Roman"/>
          <w:sz w:val="20"/>
        </w:rPr>
        <w:t xml:space="preserve">If the Time of Sale Prospectus is being used to solicit offers to buy the Offered Securities 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conflicts with the information contained in the Registration Statement, or if, in the opinion of counsel for the Underwriters, it is necessary to amend or supplement the Time of Sale Prospectus to comply with applicable law, the Company shall (subject to Section 3(b) and Section 3(c)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i/>
          <w:sz w:val="20"/>
        </w:rPr>
        <w:t>Certain Notifications and Required Actions</w:t>
      </w:r>
      <w:r>
        <w:rPr>
          <w:rFonts w:ascii="Times New Roman" w:hAnsi="Times New Roman"/>
          <w:b/>
          <w:sz w:val="20"/>
        </w:rPr>
        <w:t xml:space="preserve">. </w:t>
      </w:r>
      <w:r>
        <w:rPr>
          <w:rFonts w:ascii="Times New Roman" w:hAnsi="Times New Roman"/>
          <w:sz w:val="20"/>
        </w:rPr>
        <w:t xml:space="preserve">After the date of this Agreement, the Company shall promptly advise the Representatives in writing of: (i) the receipt of any comments of, or requests for additional or supplemental information from, the Commission relating to the Registration Statement received by the Company; (ii) the time and date of any filing of any post-effective amendment to the Registration Statement or any amendment or supplement to any preliminary prospectus, the Time of Sale Prospectus, any free writing prospectus or the Prospectus; (iii) the time and date that any post-effective amendment to the Registration Statement becomes effective; and (iv) the issuance by the Commission of any stop order suspending the effectiveness of the Registration Statement or any post-effective amendment thereto or any amendment or supplement to any preliminary prospectus, the Time of Sale Prospectus or the Prospectus or of any order preventing or suspending the use of any preliminary prospectus, the Time of Sale Prospectus, any free writing prospectus or the Prospectus, or of any proceedings to remove, suspend or terminate from listing or quotation the Shares from any securities exchange upon which they are listed for trading or included or designated for quotation, or of the threatening or initiation of any proceedings for any of such purposes or pursuant to Section 8A of the Securities Act. If the Commission shall enter any such stop order at any time, the Company will use its best efforts to obtain the lifting of such order as soon as practicable. Additionally, the Company agrees that it shall comply with all applicable provisions of Rule 424(b), Rule 433 and Rule 430B under the Securities Act and will use its reasonable efforts to confirm that any filings made by the Company under Rule 424(b) or Rule 433 were received in a timely manner by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b/>
          <w:i/>
          <w:sz w:val="20"/>
        </w:rPr>
        <w:t>Amendments and Supplements to the Prospectus and Other Securities Act Matters</w:t>
      </w:r>
      <w:r>
        <w:rPr>
          <w:rFonts w:ascii="Times New Roman" w:hAnsi="Times New Roman"/>
          <w:b/>
          <w:sz w:val="20"/>
        </w:rPr>
        <w:t xml:space="preserve">. </w:t>
      </w:r>
      <w:r>
        <w:rPr>
          <w:rFonts w:ascii="Times New Roman" w:hAnsi="Times New Roman"/>
          <w:sz w:val="20"/>
        </w:rPr>
        <w:t xml:space="preserve">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if in the opinion of the Representatives or counsel for the Underwriters it is otherwise necessary to amend or supplement the Prospectus to comply with applicable law, the Company agrees (subject to Section 3(b) and Section 3(c))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applicable law. Neither the Representatives’ consent to, nor delivery of, any such amendment or supplement shall constitute a waiver of any of the Company’s obligations under Section 3(b) or Section 3(c).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b/>
          <w:i/>
          <w:sz w:val="20"/>
        </w:rPr>
        <w:t>Blue Sky Compliance</w:t>
      </w:r>
      <w:r>
        <w:rPr>
          <w:rFonts w:ascii="Times New Roman" w:hAnsi="Times New Roman"/>
          <w:b/>
          <w:sz w:val="20"/>
        </w:rPr>
        <w:t xml:space="preserve">. </w:t>
      </w:r>
      <w:r>
        <w:rPr>
          <w:rFonts w:ascii="Times New Roman" w:hAnsi="Times New Roman"/>
          <w:sz w:val="20"/>
        </w:rPr>
        <w:t xml:space="preserve">The Company shall cooperate with the Representatives and counsel for the Underwriters to qualify or register the Offered Securities for sale under (or obtain exemptions from the application of) the state securities or blue sky laws or Canadian provincial securities laws (or other foreign laws) of those jurisdictions designated by the Representatives, shall comply with such laws and shall continue such qualifications, registrations and exemptions in effect so long as required for the distribution of the Offered Securities.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Representatives promptly of the suspension of the qualification or registration of (or any such exemption relating to) the Offered Securities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as soon as possible.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b/>
          <w:i/>
          <w:sz w:val="20"/>
        </w:rPr>
        <w:t>Use of Proceeds</w:t>
      </w:r>
      <w:r>
        <w:rPr>
          <w:rFonts w:ascii="Times New Roman" w:hAnsi="Times New Roman"/>
          <w:b/>
          <w:sz w:val="20"/>
        </w:rPr>
        <w:t xml:space="preserve">. </w:t>
      </w:r>
      <w:r>
        <w:rPr>
          <w:rFonts w:ascii="Times New Roman" w:hAnsi="Times New Roman"/>
          <w:sz w:val="20"/>
        </w:rPr>
        <w:t xml:space="preserve">The Company intends to apply the net proceeds from the sale of the Offered Securities (including any cash exercise of the Pre-Funded Warrants) sold by it in the manner described under the caption “Use of Proceeds” in the Registration Statement, the Time of Sale Prospectus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b/>
          <w:i/>
          <w:sz w:val="20"/>
        </w:rPr>
        <w:t>Transfer Agent</w:t>
      </w:r>
      <w:r>
        <w:rPr>
          <w:rFonts w:ascii="Times New Roman" w:hAnsi="Times New Roman"/>
          <w:b/>
          <w:sz w:val="20"/>
        </w:rPr>
        <w:t xml:space="preserve">. </w:t>
      </w:r>
      <w:r>
        <w:rPr>
          <w:rFonts w:ascii="Times New Roman" w:hAnsi="Times New Roman"/>
          <w:sz w:val="20"/>
        </w:rPr>
        <w:t xml:space="preserve">The Company shall maintain, at its expense, a registrar and transfer agent for the Shares (including the Offered Shares and the Warrant Shares).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b/>
          <w:i/>
          <w:sz w:val="20"/>
        </w:rPr>
        <w:t>Earnings Statement</w:t>
      </w:r>
      <w:r>
        <w:rPr>
          <w:rFonts w:ascii="Times New Roman" w:hAnsi="Times New Roman"/>
          <w:b/>
          <w:sz w:val="20"/>
        </w:rPr>
        <w:t xml:space="preserve">. </w:t>
      </w:r>
      <w:r>
        <w:rPr>
          <w:rFonts w:ascii="Times New Roman" w:hAnsi="Times New Roman"/>
          <w:sz w:val="20"/>
        </w:rPr>
        <w:t xml:space="preserve">The Company will make generally available to its security holders and to the Representatives as soon as practicable an earnings statement (which need not be audited) covering a period of at least 12 months beginning with the first fiscal quarter of the Company commencing after the date of this Agreement that will satisfy the provisions of Section 11(a) of the Securities Act and the rules and regulations of the Commission thereunder; provided that the Company will be deemed to have satisfied such requirement to the extent such information is filed on EDGAR or any successor system.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b/>
          <w:i/>
          <w:sz w:val="20"/>
        </w:rPr>
        <w:t>Continued Compliance with Securities Laws</w:t>
      </w:r>
      <w:r>
        <w:rPr>
          <w:rFonts w:ascii="Times New Roman" w:hAnsi="Times New Roman"/>
          <w:b/>
          <w:sz w:val="20"/>
        </w:rPr>
        <w:t xml:space="preserve">. </w:t>
      </w:r>
      <w:r>
        <w:rPr>
          <w:rFonts w:ascii="Times New Roman" w:hAnsi="Times New Roman"/>
          <w:sz w:val="20"/>
        </w:rPr>
        <w:t>The Company will comply with the Securities Act and the Exchange Act so as to permit the completion of the distribution of the Offered Securities as contemplated by this Agreement</w:t>
      </w:r>
      <w:r>
        <w:rPr>
          <w:rFonts w:ascii="Times New Roman" w:hAnsi="Times New Roman"/>
          <w:b/>
          <w:sz w:val="20"/>
        </w:rPr>
        <w:t xml:space="preserve">, </w:t>
      </w:r>
      <w:r>
        <w:rPr>
          <w:rFonts w:ascii="Times New Roman" w:hAnsi="Times New Roman"/>
          <w:sz w:val="20"/>
        </w:rPr>
        <w:t xml:space="preserve">the Registration Statement, the Time of Sale Prospectus and the Prospectus. Without limiting the generality of the foregoing, the Company will, during the period when a prospectus relating to the Offered Securities is required by the Securities Act to be delivered (whether physically or through compliance with Rule 172 under the Securities Act or any similar rule), file on a timely basis with the Commission and the Nasdaq all reports and documents required to be filed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b/>
          <w:i/>
          <w:sz w:val="20"/>
        </w:rPr>
        <w:t>Listing</w:t>
      </w:r>
      <w:r>
        <w:rPr>
          <w:rFonts w:ascii="Times New Roman" w:hAnsi="Times New Roman"/>
          <w:b/>
          <w:sz w:val="20"/>
        </w:rPr>
        <w:t xml:space="preserve">. </w:t>
      </w:r>
      <w:r>
        <w:rPr>
          <w:rFonts w:ascii="Times New Roman" w:hAnsi="Times New Roman"/>
          <w:sz w:val="20"/>
        </w:rPr>
        <w:t xml:space="preserve">The Company will use its best efforts to list, subject to notice of issuance, the Offered Shares and the Warrant Shares on the Nasdaq.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b/>
          <w:i/>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b/>
          <w:i/>
          <w:sz w:val="20"/>
        </w:rPr>
        <w:t>Company to Provide Copy of the Prospectus in Form That May be Downloaded from the Internet</w:t>
      </w:r>
      <w:r>
        <w:rPr>
          <w:rFonts w:ascii="Times New Roman" w:hAnsi="Times New Roman"/>
          <w:b/>
          <w:sz w:val="20"/>
        </w:rPr>
        <w:t xml:space="preserve">. </w:t>
      </w:r>
      <w:r>
        <w:rPr>
          <w:rFonts w:ascii="Times New Roman" w:hAnsi="Times New Roman"/>
          <w:sz w:val="20"/>
        </w:rPr>
        <w:t>If requested by the Representatives, the Company shall cause to be prepared and delivered, at its expense, within one business day from the effective date of this Agreement, to the Representatives an “</w:t>
      </w:r>
      <w:r>
        <w:rPr>
          <w:rFonts w:ascii="Times New Roman" w:hAnsi="Times New Roman"/>
          <w:b/>
          <w:sz w:val="20"/>
        </w:rPr>
        <w:t>electronic Prospectus</w:t>
      </w:r>
      <w:r>
        <w:rPr>
          <w:rFonts w:ascii="Times New Roman" w:hAnsi="Times New Roman"/>
          <w:sz w:val="20"/>
        </w:rPr>
        <w:t>” to be used by the Underwriters in connection with the offering and sale of the Offered Securities. As used herein, the term “</w:t>
      </w:r>
      <w:r>
        <w:rPr>
          <w:rFonts w:ascii="Times New Roman" w:hAnsi="Times New Roman"/>
          <w:b/>
          <w:sz w:val="20"/>
        </w:rPr>
        <w:t>electronic Prospectus</w:t>
      </w:r>
      <w:r>
        <w:rPr>
          <w:rFonts w:ascii="Times New Roman" w:hAnsi="Times New Roman"/>
          <w:sz w:val="20"/>
        </w:rPr>
        <w:t xml:space="preserve">” means a form of Time of Sale Prospectus, and any amendment or supplement thereto, that meets each of the following conditions: (i) it shall be encoded in an electronic format, satisfactory to the Representatives, that may be transmitted electronically by the Representatives and the other Underwriters to offerees and purchasers of the Offered Securities; (ii) it shall disclose the same information as the paper Time of Sale Prospectus,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into a paper format or an electronic format, satisfactory to the Representatives, that will allow investors to store and have continuously ready access to the Time of Sale Prospectus at any future time, without charge to investors (other than any fee charged for subscription to the Internet as a whole and for on-line time).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b/>
          <w:i/>
          <w:sz w:val="20"/>
        </w:rPr>
        <w:t>Agreement Not to Offer or Sell Additional Shares</w:t>
      </w:r>
      <w:r>
        <w:rPr>
          <w:rFonts w:ascii="Times New Roman" w:hAnsi="Times New Roman"/>
          <w:b/>
          <w:sz w:val="20"/>
        </w:rPr>
        <w:t xml:space="preserve">. </w:t>
      </w:r>
      <w:r>
        <w:rPr>
          <w:rFonts w:ascii="Times New Roman" w:hAnsi="Times New Roman"/>
          <w:sz w:val="20"/>
        </w:rPr>
        <w:t>During the period commencing on and including the date hereof and continuing through and including the 45th day following the date of the Prospectus (such period being referred to herein as the “</w:t>
      </w:r>
      <w:r>
        <w:rPr>
          <w:rFonts w:ascii="Times New Roman" w:hAnsi="Times New Roman"/>
          <w:b/>
          <w:sz w:val="20"/>
        </w:rPr>
        <w:t>Lock-up Period</w:t>
      </w:r>
      <w:r>
        <w:rPr>
          <w:rFonts w:ascii="Times New Roman" w:hAnsi="Times New Roman"/>
          <w:sz w:val="20"/>
        </w:rPr>
        <w:t>”), the Company will not, without the prior written consent of Jefferies LLC and Leerink Partners LLC (which consent may be withheld in their sole discretion), directly or indirectly: (i) sell, offer to sell, contract to sell or lend any Shares or Related Securities (as defined below); (ii) effect any short sale, or establish or increase any “put equivalent position” (as defined in Rule 16a-1(h) under the Exchange Act) or liquidate or decrease any “call equivalent position” (as defined in Rule 16a-1(b) under the Exchange Act) of any Shares or Related Securities; (iii) pledge, hypothecate or grant any security interest in any Shares or Related Securities; (iv) in any other way transfer or dispose of any Shares or Related Securities; (v) enter into any swap, hedge or similar arrangement or agreement that transfers, in whole or in part, the economic risk of ownership of any Shares or Related Securities, regardless of whether any such transaction is to be settled in securities, in cash or otherwise; (vi) announce the offering of any Shares or Related Securities; (vii) file any registration statement under the Securities Act in respect of any Shares or Related Securities (other than as contemplated by this Agreement with respect to the Offered Securities); or (viii) publicly announce the intention to do any of the foregoing; provided, however, that the Company may (A) effect the transactions contemplated hereby, (B) issue Shares, options or other rights to receive or purchase Shares, or issue Shares upon exercise of options or vesting of restricted share units or performance share units, pursuant to any share or stock option, share or stock bonus or other share or stock plan or arrangement described in the Registration Statement, the Time of Sale Prospectus and the Prospectus provided that any directors or officers who are recipients thereof have provided to the Representatives a signed Lock-up Agreement, (C) file a registration statement on Form S-8 to register Shares issuable pursuant to the terms of a stock option, stock bonus or other stock plan or arrangement described in the Registration Statement, Time of Sale Prospectus and the Prospectus or any amendment to any such plan or arrangement;; and (D) issue Shares or Related Securities, or enter into an agreement to issue Shares or Related Securities, in connection with any merger, joint venture, strategic alliances, commercial or other collaborative transaction or the acquisition or license of the business, property, technology or other assets of another individual or entity or the assumption of an employee benefit plan in connection with a merger or acquisition; provided that the aggregate number of Shares or Related Securities that the Company may issue or agree to issue pursuant to this clause (E) shall not exceed 7% of the total outstanding share capital of the Company immediately following the issuance of the Offered Securities; and provided further that the recipients thereof provide to the Representatives a signed Lock-up Agreement. For purposes of the foregoing, “</w:t>
      </w:r>
      <w:r>
        <w:rPr>
          <w:rFonts w:ascii="Times New Roman" w:hAnsi="Times New Roman"/>
          <w:b/>
          <w:sz w:val="20"/>
        </w:rPr>
        <w:t>Related Securities</w:t>
      </w:r>
      <w:r>
        <w:rPr>
          <w:rFonts w:ascii="Times New Roman" w:hAnsi="Times New Roman"/>
          <w:sz w:val="20"/>
        </w:rPr>
        <w:t xml:space="preserve">” shall mean any options or warrants or other rights to acquire Shares or any securities exchangeable or exercisable for or convertible into Shares, or to acquire other securities or rights ultimately exchangeable or exercisable for, or convertible into, Shares.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b/>
          <w:i/>
          <w:sz w:val="20"/>
        </w:rPr>
        <w:t>Future Reports to the Representatives</w:t>
      </w:r>
      <w:r>
        <w:rPr>
          <w:rFonts w:ascii="Times New Roman" w:hAnsi="Times New Roman"/>
          <w:b/>
          <w:sz w:val="20"/>
        </w:rPr>
        <w:t xml:space="preserve">. </w:t>
      </w:r>
      <w:r>
        <w:rPr>
          <w:rFonts w:ascii="Times New Roman" w:hAnsi="Times New Roman"/>
          <w:sz w:val="20"/>
        </w:rPr>
        <w:t xml:space="preserve">During the period of five years hereafter, the Company will furnish to the Representatives c/o Jefferies LLC, 520 Madison AvenueNew York, New York 10022, Attention: Global Head of Equity Syndicate, c/o Leerink Partners LLC, 53 State Street, 40th Floor, Boston, Massachusetts 02109, Attention: Syndicate Department, c/o BofA Securities, Inc., One Bryant Park, New York, NY 10036, Email: </w:t>
      </w:r>
      <w:r>
        <w:rPr>
          <w:rFonts w:ascii="Times New Roman" w:hAnsi="Times New Roman"/>
          <w:sz w:val="20"/>
          <w:u w:val="single"/>
        </w:rPr>
        <w:t>dg.ecm_execution_services@bofa.com</w:t>
      </w:r>
      <w:r>
        <w:rPr>
          <w:rFonts w:ascii="Times New Roman" w:hAnsi="Times New Roman"/>
          <w:sz w:val="20"/>
        </w:rPr>
        <w:t xml:space="preserve">, Attention: Syndicate Department with a copy to: Email: </w:t>
      </w:r>
      <w:r>
        <w:rPr>
          <w:rFonts w:ascii="Times New Roman" w:hAnsi="Times New Roman"/>
          <w:sz w:val="20"/>
          <w:u w:val="single"/>
        </w:rPr>
        <w:t>dg.ecm_legal@bofa.com</w:t>
      </w:r>
      <w:r>
        <w:rPr>
          <w:rFonts w:ascii="Times New Roman" w:hAnsi="Times New Roman"/>
          <w:sz w:val="20"/>
        </w:rPr>
        <w:t xml:space="preserve">, Attention: ECM Legal: (i) as soon as practicable after the end of each fiscal year, copies of the Annual Report of the Company containing the balance sheet of the Company as of the close of such fiscal year and statements of income, shareholders’ equity and cash flows for the year then ended and the opinion thereon of the Company’s independent public or certified public accountants; (ii) as soon as practicable after the filing thereof, copies of each proxy statement, Annual Report on Form 10-K, Quarterly Report on Form 10-Q, Current Report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Form 8-K or other similar report filed by the Company with the Commission or any securities exchange; and (iii) as soon as available, copies of any report or communication of the Company furnished or made available generally to holders of its shares; provided, however, that the requirements of this Section 3(q) shall be satisfied to the extent that such reports, statement, communications, financial statements or other documents are available on EDGAR.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b/>
          <w:i/>
          <w:sz w:val="20"/>
        </w:rPr>
        <w:t>Investment Limitation</w:t>
      </w:r>
      <w:r>
        <w:rPr>
          <w:rFonts w:ascii="Times New Roman" w:hAnsi="Times New Roman"/>
          <w:b/>
          <w:sz w:val="20"/>
        </w:rPr>
        <w:t xml:space="preserve">. </w:t>
      </w:r>
      <w:r>
        <w:rPr>
          <w:rFonts w:ascii="Times New Roman" w:hAnsi="Times New Roman"/>
          <w:sz w:val="20"/>
        </w:rPr>
        <w:t xml:space="preserve">The Company shall not invest or otherwise use the proceeds received by the Company from its sale of the Offered Securities in such a manner as would require the Company or any of its subsidiaries to register as an investment company under the Investment Company Act.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b/>
          <w:i/>
          <w:sz w:val="20"/>
        </w:rPr>
        <w:t>No Stabilization or Manipulation; Compliance with Regulation M</w:t>
      </w:r>
      <w:r>
        <w:rPr>
          <w:rFonts w:ascii="Times New Roman" w:hAnsi="Times New Roman"/>
          <w:b/>
          <w:sz w:val="20"/>
        </w:rPr>
        <w:t xml:space="preserve">. </w:t>
      </w:r>
      <w:r>
        <w:rPr>
          <w:rFonts w:ascii="Times New Roman" w:hAnsi="Times New Roman"/>
          <w:sz w:val="20"/>
        </w:rPr>
        <w:t xml:space="preserve">The Company will not take, and will ensure that no affiliate of the Company will take, directly or indirectly, any action designed to or that might cause or result in stabilization or manipulation of the price of the Shares or any reference security with respect to the Shares, whether to facilitate the sale or resale of the Offered Securities or otherwise, and the Company will, and shall cause each of its affiliates to, comply with all applicable provisions of Regulation M. </w:t>
      </w:r>
    </w:p>
    <w:p>
      <w:pPr>
        <w:pStyle w:val="TextBody"/>
        <w:bidi w:val="0"/>
        <w:spacing w:before="240" w:after="0"/>
        <w:jc w:val="left"/>
        <w:rPr>
          <w:rFonts w:ascii="Times New Roman" w:hAnsi="Times New Roman"/>
          <w:sz w:val="20"/>
        </w:rPr>
      </w:pPr>
      <w:r>
        <w:rPr>
          <w:rFonts w:ascii="Times New Roman" w:hAnsi="Times New Roman"/>
          <w:sz w:val="20"/>
        </w:rPr>
        <w:t xml:space="preserve">(t) </w:t>
      </w:r>
      <w:r>
        <w:rPr>
          <w:rFonts w:ascii="Times New Roman" w:hAnsi="Times New Roman"/>
          <w:b/>
          <w:i/>
          <w:sz w:val="20"/>
        </w:rPr>
        <w:t>Enforce Lock-up Agreements</w:t>
      </w:r>
      <w:r>
        <w:rPr>
          <w:rFonts w:ascii="Times New Roman" w:hAnsi="Times New Roman"/>
          <w:b/>
          <w:sz w:val="20"/>
        </w:rPr>
        <w:t xml:space="preserve">. </w:t>
      </w:r>
      <w:r>
        <w:rPr>
          <w:rFonts w:ascii="Times New Roman" w:hAnsi="Times New Roman"/>
          <w:sz w:val="20"/>
        </w:rPr>
        <w:t xml:space="preserve">During the Lock-up Period, the Company will enforce all agreements between the Company and any of its security holders that restrict or prohibit, expressly or in operation, the offer, sale or transfer of Shares or Related Securities or any of the other actions restricted or prohibited under the terms of the form of Lock-up Agreement. In addition, the Company will direct the transfer agent to place stop transfer restrictions upon any such securities of the Company that are bound by any “lock-up” agreements for the duration of the periods contemplated in such agreements, including, without limitation, the Lock-up Agreements entered into by the Company’s officers and directors pursuant to Section 6(k) hereof. </w:t>
      </w:r>
    </w:p>
    <w:p>
      <w:pPr>
        <w:pStyle w:val="TextBody"/>
        <w:bidi w:val="0"/>
        <w:spacing w:before="240" w:after="0"/>
        <w:jc w:val="left"/>
        <w:rPr>
          <w:rFonts w:ascii="Times New Roman" w:hAnsi="Times New Roman"/>
          <w:sz w:val="20"/>
        </w:rPr>
      </w:pPr>
      <w:r>
        <w:rPr>
          <w:rFonts w:ascii="Times New Roman" w:hAnsi="Times New Roman"/>
          <w:sz w:val="20"/>
        </w:rPr>
        <w:t xml:space="preserve">(u) </w:t>
      </w:r>
      <w:r>
        <w:rPr>
          <w:rFonts w:ascii="Times New Roman" w:hAnsi="Times New Roman"/>
          <w:b/>
          <w:i/>
          <w:sz w:val="20"/>
        </w:rPr>
        <w:t>Company to Provide Interim Financial Statements</w:t>
      </w:r>
      <w:r>
        <w:rPr>
          <w:rFonts w:ascii="Times New Roman" w:hAnsi="Times New Roman"/>
          <w:b/>
          <w:sz w:val="20"/>
        </w:rPr>
        <w:t xml:space="preserve">. </w:t>
      </w:r>
      <w:r>
        <w:rPr>
          <w:rFonts w:ascii="Times New Roman" w:hAnsi="Times New Roman"/>
          <w:sz w:val="20"/>
        </w:rPr>
        <w:t xml:space="preserve">Prior to the First Closing Date and each applicable Option Closing Date, upon the request of the Representatives, the Company will furnish the Underwriters, as soon as practicable after they have been prepared by or are available to the Company, a copy of any unaudited interim financial statements of the Company for any period subsequent to the period covered by the most recent financial statements appearing in the Registration Statement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b/>
          <w:i/>
          <w:sz w:val="20"/>
        </w:rPr>
        <w:t>Tax Indemnity</w:t>
      </w:r>
      <w:r>
        <w:rPr>
          <w:rFonts w:ascii="Times New Roman" w:hAnsi="Times New Roman"/>
          <w:sz w:val="20"/>
        </w:rPr>
        <w:t xml:space="preserve">. The Company will indemnify and hold harmless the Underwriters against any documentary, stamp, registration or similar issuance tax, including any interest and penalties, on the sale of the Offered Securities by the Company to the Underwriters and on the execution and delivery of this Agreement. All indemnity payments to be made by the Company hereunder in respect of this Section 3(v) shall be made without withholding or deduction for or on account of any present or future Republic of Singapore taxes, duties or governmental shares whatsoever unless the Company is compelled by law to deduct or withhold such taxes, duties or charges. In that event, except for any net income, capital gains or franchise taxes imposed on the Underwriters by the Republic of Singapore or the United States or any political subdivision of taxing authority thereof or therein as a result of any present or former connection (other than any connection resulting from the transactions contemplated by this Agreement) between the Underwriters and the jurisdiction imposing such withholding or deductions, the Company shall pay such additional amounts as may be necessary in order to ensure that the net amounts received after such withholding or deductions shall equal the amounts that would have been received if no withholding or deduction has been made. </w:t>
      </w:r>
    </w:p>
    <w:p>
      <w:pPr>
        <w:pStyle w:val="TextBody"/>
        <w:bidi w:val="0"/>
        <w:spacing w:before="240" w:after="0"/>
        <w:jc w:val="left"/>
        <w:rPr>
          <w:rFonts w:ascii="Times New Roman" w:hAnsi="Times New Roman"/>
          <w:sz w:val="20"/>
        </w:rPr>
      </w:pPr>
      <w:r>
        <w:rPr>
          <w:rFonts w:ascii="Times New Roman" w:hAnsi="Times New Roman"/>
          <w:sz w:val="20"/>
        </w:rPr>
        <w:t xml:space="preserve">The Representatives, on behalf of the several Underwriters, may, in their sole discretion, waive in writing the performance by the Company of any one or more of the foregoing covenants or extend the time for their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w:t>
      </w:r>
      <w:r>
        <w:rPr>
          <w:rFonts w:ascii="Times New Roman" w:hAnsi="Times New Roman"/>
          <w:sz w:val="20"/>
        </w:rPr>
        <w:t xml:space="preserve"> </w:t>
      </w:r>
      <w:r>
        <w:rPr>
          <w:rFonts w:ascii="Times New Roman" w:hAnsi="Times New Roman"/>
          <w:b/>
          <w:sz w:val="20"/>
        </w:rPr>
        <w:t>Payment of Expenses</w:t>
      </w:r>
      <w:r>
        <w:rPr>
          <w:rFonts w:ascii="Times New Roman" w:hAnsi="Times New Roman"/>
          <w:sz w:val="20"/>
        </w:rPr>
        <w:t xml:space="preserve">. The Company agrees to pay all costs, fees and expenses incurred in connection with the performance of its obligations hereunder and in connection with the transactions contemplated hereby, including without limitation (i) all expenses incident to the issuance and delivery of the Offered Securities (including all printing and engraving costs), (ii) all fees and expenses of the registrar and transfer agent of the Shares and, if any, the warrant agent for the Pre-Funded Warrants, (iii) all necessary issue, transfer and other stamp taxes in connection with the issuance and sale of the Offered Securities to the Underwriters,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Time of Sale Prospectus, the Prospectus, each free writing prospectus prepared by or on behalf of, used by, or referred to by the Company, and each preliminary prospectus, and all amendments and supplements thereto, and this Agreement, (vi) all filing fees, reasonable attorneys’ fees and expenses incurred by the Company or the Underwriters in connection with qualifying or registering (or obtaining exemptions from the qualification or registration of) all or any part of the Offered Securities for offer and sale under the state securities or blue sky laws or the provincial securities laws of Canada and, if requested by the Representatives, preparing and printing a “Blue Sky Survey” or memorandum and a “Canadian wrapper”, and any supplements thereto, advising the Underwriters of such qualifications, registrations and exemptions (such fees and expenses of counsel in an aggregate amount not to exceed $10,000), (vii) the costs, fees and expenses incurred by the Underwriters in connection with determining their compliance with the rules and regulations of FINRA related to the Underwriters’ participation in the offering and distribution of the Offered Securities, including any related filing fees and the legal fees of, and disbursements by, counsel to the Underwriters, in an aggregate amount not to exceed $10,000, (viii) the costs and expenses of the Company relating to investor presentations on any “road show” undertaken in connection with the offering of the Offered Securities,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any such consultants, and 50% of the cost of any aircraft chartered in connection with the road show with the remaining 50% of the cost of such aircraft to be paid by the Underwriters, (ix) the fees and expenses associated with listing the Offered Shares and the Warrant Shares on the Nasdaq, and (x) all other fees, costs and expenses of the nature referred to in Item 14 of Part II of the Registration Statement. Except as provided in this Section 4 or in Section 7, Section 9 or Section 10 hereof, the Underwriters shall pay their own expenses, including the fees and disbursements of their counsel and travel and lodging expenses of their representatives and employees.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w:t>
      </w:r>
      <w:r>
        <w:rPr>
          <w:rFonts w:ascii="Times New Roman" w:hAnsi="Times New Roman"/>
          <w:sz w:val="20"/>
        </w:rPr>
        <w:t xml:space="preserve"> </w:t>
      </w:r>
      <w:r>
        <w:rPr>
          <w:rFonts w:ascii="Times New Roman" w:hAnsi="Times New Roman"/>
          <w:b/>
          <w:sz w:val="20"/>
        </w:rPr>
        <w:t>Covenant of the Underwriters</w:t>
      </w:r>
      <w:r>
        <w:rPr>
          <w:rFonts w:ascii="Times New Roman" w:hAnsi="Times New Roman"/>
          <w:sz w:val="20"/>
        </w:rPr>
        <w:t xml:space="preserve">. Each Underwriter severally and not jointly covenants with the Company not to take any action that would result in the Company being required to file with the Commission pursuant to Rule 433(d) under the Securities Act a free writing prospectus prepared by or on behalf of such Underwriter that otherwise would not, but for such actions, be required to be filed by the Company under Rule 433(d).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w:t>
      </w:r>
      <w:r>
        <w:rPr>
          <w:rFonts w:ascii="Times New Roman" w:hAnsi="Times New Roman"/>
          <w:sz w:val="20"/>
        </w:rPr>
        <w:t xml:space="preserve"> </w:t>
      </w:r>
      <w:r>
        <w:rPr>
          <w:rFonts w:ascii="Times New Roman" w:hAnsi="Times New Roman"/>
          <w:b/>
          <w:sz w:val="20"/>
        </w:rPr>
        <w:t>Conditions of the Obligations of the Underwriters</w:t>
      </w:r>
      <w:r>
        <w:rPr>
          <w:rFonts w:ascii="Times New Roman" w:hAnsi="Times New Roman"/>
          <w:sz w:val="20"/>
        </w:rPr>
        <w:t xml:space="preserve">. The respective obligations of the several Underwriters hereunder to purchase and pay for the Offered Securities as provided herein on the First Closing Date and, with respect to the Optional Shares, each Option Closing Date, shall be subject to the accuracy of the representations and warranties on the part of the Company set forth in Section 1 hereof as of the date hereof and as of the First Closing Date as though then made and, with respect to the Optional Shares, as of each Option Closing Date, to the timely performance by the Company of its covenants and other obligations hereunder, and to each of the following additional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Comfort Letter</w:t>
      </w:r>
      <w:r>
        <w:rPr>
          <w:rFonts w:ascii="Times New Roman" w:hAnsi="Times New Roman"/>
          <w:b/>
          <w:sz w:val="20"/>
        </w:rPr>
        <w:t xml:space="preserve">. </w:t>
      </w:r>
      <w:r>
        <w:rPr>
          <w:rFonts w:ascii="Times New Roman" w:hAnsi="Times New Roman"/>
          <w:sz w:val="20"/>
        </w:rPr>
        <w:t xml:space="preserve">On the date hereof, the Representatives shall have received from KPMG LLP, independent registered public accountants for the Company and its subsidiaries, a letter dated the date hereof addressed to the Underwriters, in form and substance satisfactory to the Representatives, containing statements and information of the type ordinarily included in accountant’s “comfort letters” to underwriters, delivered according to Statement of Auditing Standards No. 72 (or any successor bulletin), with respect to the consolidated audited and unaudited financial statements of the Company, and certain financial information contained in the Registration Statement, the Time of Sale Prospectus, and each free writing prospectus, if 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Compliance with Registration Requirements; No Stop Order; No Objection from FINRA</w:t>
      </w:r>
      <w:r>
        <w:rPr>
          <w:rFonts w:ascii="Times New Roman" w:hAnsi="Times New Roman"/>
          <w:b/>
          <w:sz w:val="20"/>
        </w:rPr>
        <w:t xml:space="preserve">. </w:t>
      </w:r>
      <w:r>
        <w:rPr>
          <w:rFonts w:ascii="Times New Roman" w:hAnsi="Times New Roman"/>
          <w:sz w:val="20"/>
        </w:rPr>
        <w:t xml:space="preserve">For the period from and after the date of this Agreement and through and including the First Closing Date, and, with respect to any Optional Shares purchased after the First Closing Date, each Option Closing Date: </w:t>
      </w:r>
    </w:p>
    <w:p>
      <w:pPr>
        <w:pStyle w:val="TextBody"/>
        <w:bidi w:val="0"/>
        <w:spacing w:before="120" w:after="0"/>
        <w:jc w:val="left"/>
        <w:rPr>
          <w:rFonts w:ascii="Times New Roman" w:hAnsi="Times New Roman"/>
          <w:sz w:val="20"/>
        </w:rPr>
      </w:pPr>
      <w:r>
        <w:rPr>
          <w:rFonts w:ascii="Times New Roman" w:hAnsi="Times New Roman"/>
          <w:sz w:val="20"/>
        </w:rPr>
        <w:t xml:space="preserve">(i) The Company shall have filed the Prospectus with the Commission (including the information previously omitted from the Registration Statement pursuant to Rule 430B under the Securities Act) in the manner and within the time period required by Rule 424(b) under the Securities Act; or the Company shall have filed a post-effective amendment to the Registration Statement previously omitted from the Registration Statement pursuant to Rule 430B, and such post-effective amendment shall have become effective. </w:t>
      </w:r>
    </w:p>
    <w:p>
      <w:pPr>
        <w:pStyle w:val="TextBody"/>
        <w:bidi w:val="0"/>
        <w:spacing w:before="240" w:after="0"/>
        <w:jc w:val="left"/>
        <w:rPr>
          <w:rFonts w:ascii="Times New Roman" w:hAnsi="Times New Roman"/>
          <w:sz w:val="20"/>
        </w:rPr>
      </w:pPr>
      <w:r>
        <w:rPr>
          <w:rFonts w:ascii="Times New Roman" w:hAnsi="Times New Roman"/>
          <w:sz w:val="20"/>
        </w:rPr>
        <w:t xml:space="preserve">(ii) No stop order suspending the effectiveness of the Registration Statement or any post-effective amendment to the Registration Statement shall be in effect, and no proceedings for such purpose or pursuant to Section 8A of the Securities Act shall have been instituted or threatened by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(iii) FINRA shall have raised no objection to the fairness and reasonableness of the underwriting terms and arrangements.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i/>
          <w:sz w:val="20"/>
        </w:rPr>
        <w:t>No Material Adverse Change</w:t>
      </w:r>
      <w:r>
        <w:rPr>
          <w:rFonts w:ascii="Times New Roman" w:hAnsi="Times New Roman"/>
          <w:b/>
          <w:sz w:val="20"/>
        </w:rPr>
        <w:t xml:space="preserve">. </w:t>
      </w:r>
      <w:r>
        <w:rPr>
          <w:rFonts w:ascii="Times New Roman" w:hAnsi="Times New Roman"/>
          <w:sz w:val="20"/>
        </w:rPr>
        <w:t xml:space="preserve">For the period from and after the date of this Agreement and through and including the First Closing Date and, with respect to any Optional Shares purchased after the First Closing Date, each Option Closing Date in the judgment of the Representatives there shall not have occurred any Material Adverse Change.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i/>
          <w:sz w:val="20"/>
        </w:rPr>
        <w:t>Opinion and Negative Assurance Letter of U.S. Counsel for the Company</w:t>
      </w:r>
      <w:r>
        <w:rPr>
          <w:rFonts w:ascii="Times New Roman" w:hAnsi="Times New Roman"/>
          <w:b/>
          <w:sz w:val="20"/>
        </w:rPr>
        <w:t xml:space="preserve">. </w:t>
      </w:r>
      <w:r>
        <w:rPr>
          <w:rFonts w:ascii="Times New Roman" w:hAnsi="Times New Roman"/>
          <w:sz w:val="20"/>
        </w:rPr>
        <w:t xml:space="preserve">On each of the First Closing Date and each Option Closing Date, the Representatives shall have received the opinion and negative assurance letter of Mintz, Levin, Cohn, Ferris, Glovsky and Popeo, P.C., U.S. counsel for the Company, dated as of such date, in the form agreed to amongst the parties.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i/>
          <w:sz w:val="20"/>
        </w:rPr>
        <w:t>Opinion of Local Counsel for the Company</w:t>
      </w:r>
      <w:r>
        <w:rPr>
          <w:rFonts w:ascii="Times New Roman" w:hAnsi="Times New Roman"/>
          <w:b/>
          <w:sz w:val="20"/>
        </w:rPr>
        <w:t xml:space="preserve">. </w:t>
      </w:r>
      <w:r>
        <w:rPr>
          <w:rFonts w:ascii="Times New Roman" w:hAnsi="Times New Roman"/>
          <w:sz w:val="20"/>
        </w:rPr>
        <w:t xml:space="preserve">On each of the First Closing Date and each Option Closing Date, the Representatives shall have received the opinion of WongPartnership LLP, Singapore counsel for the Company, dated as of such date, in the form agreed to amongst the parties.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i/>
          <w:sz w:val="20"/>
        </w:rPr>
        <w:t>Opinion of Intellectual Property Counsel for the Company</w:t>
      </w:r>
      <w:r>
        <w:rPr>
          <w:rFonts w:ascii="Times New Roman" w:hAnsi="Times New Roman"/>
          <w:b/>
          <w:sz w:val="20"/>
        </w:rPr>
        <w:t xml:space="preserve">. </w:t>
      </w:r>
      <w:r>
        <w:rPr>
          <w:rFonts w:ascii="Times New Roman" w:hAnsi="Times New Roman"/>
          <w:sz w:val="20"/>
        </w:rPr>
        <w:t xml:space="preserve">On each of the First Closing Date and each Option Closing Date, the Representatives shall have received the opinion of Choate Hall &amp; Stewart LLP, intellectual property counsel for the Company, dated as of such date, in the form agreed to amongst the parties.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b/>
          <w:i/>
          <w:sz w:val="20"/>
        </w:rPr>
        <w:t>Opinion and Negative Assurance Letter of U.S. Counsel for the Underwriters</w:t>
      </w:r>
      <w:r>
        <w:rPr>
          <w:rFonts w:ascii="Times New Roman" w:hAnsi="Times New Roman"/>
          <w:b/>
          <w:sz w:val="20"/>
        </w:rPr>
        <w:t xml:space="preserve">. </w:t>
      </w:r>
      <w:r>
        <w:rPr>
          <w:rFonts w:ascii="Times New Roman" w:hAnsi="Times New Roman"/>
          <w:sz w:val="20"/>
        </w:rPr>
        <w:t xml:space="preserve">On each of the First Closing Date and each Option Closing Date, the Underwriters shall have received the opinion and negative assurance letter of White &amp; Case LLP, counsel for the Underwriters in connection with the offer and sale of the Offered Securities, in form and substance satisfactory to the Underwriters, dated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[Reserved.]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b/>
          <w:i/>
          <w:sz w:val="20"/>
        </w:rPr>
        <w:t>Officers’ Certificate</w:t>
      </w:r>
      <w:r>
        <w:rPr>
          <w:rFonts w:ascii="Times New Roman" w:hAnsi="Times New Roman"/>
          <w:b/>
          <w:sz w:val="20"/>
        </w:rPr>
        <w:t xml:space="preserve">. </w:t>
      </w:r>
      <w:r>
        <w:rPr>
          <w:rFonts w:ascii="Times New Roman" w:hAnsi="Times New Roman"/>
          <w:sz w:val="20"/>
        </w:rPr>
        <w:t xml:space="preserve">On each of the First Closing Date and each Option Closing Date, the Representatives shall have received a certificate executed by the Principal Executive Officer and the Principal Financial Officer of the Company, dated as of such date, to the effect set forth in Section 6(b)(ii) and further to the effect that: </w:t>
      </w:r>
    </w:p>
    <w:p>
      <w:pPr>
        <w:pStyle w:val="TextBody"/>
        <w:bidi w:val="0"/>
        <w:spacing w:before="120" w:after="0"/>
        <w:jc w:val="left"/>
        <w:rPr>
          <w:rFonts w:ascii="Times New Roman" w:hAnsi="Times New Roman"/>
          <w:sz w:val="20"/>
        </w:rPr>
      </w:pPr>
      <w:r>
        <w:rPr>
          <w:rFonts w:ascii="Times New Roman" w:hAnsi="Times New Roman"/>
          <w:sz w:val="20"/>
        </w:rPr>
        <w:t xml:space="preserve">(i) for the period from and including the date of this Agreement through and including such date, there has not occurred any Material Adverse Change; </w:t>
      </w:r>
    </w:p>
    <w:p>
      <w:pPr>
        <w:pStyle w:val="TextBody"/>
        <w:bidi w:val="0"/>
        <w:spacing w:before="240" w:after="0"/>
        <w:jc w:val="left"/>
        <w:rPr>
          <w:rFonts w:ascii="Times New Roman" w:hAnsi="Times New Roman"/>
          <w:sz w:val="20"/>
        </w:rPr>
      </w:pPr>
      <w:r>
        <w:rPr>
          <w:rFonts w:ascii="Times New Roman" w:hAnsi="Times New Roman"/>
          <w:sz w:val="20"/>
        </w:rPr>
        <w:t xml:space="preserve">(ii) the representations, warranties and covenants of the Company set forth in Section 1 of this Agreement are true and correct with the same force and effect as though expressly made on and as of such date; and </w:t>
      </w:r>
    </w:p>
    <w:p>
      <w:pPr>
        <w:pStyle w:val="TextBody"/>
        <w:bidi w:val="0"/>
        <w:spacing w:before="240" w:after="0"/>
        <w:jc w:val="left"/>
        <w:rPr>
          <w:rFonts w:ascii="Times New Roman" w:hAnsi="Times New Roman"/>
          <w:sz w:val="20"/>
        </w:rPr>
      </w:pPr>
      <w:r>
        <w:rPr>
          <w:rFonts w:ascii="Times New Roman" w:hAnsi="Times New Roman"/>
          <w:sz w:val="20"/>
        </w:rPr>
        <w:t xml:space="preserve">(iii) the Company has complied with all the agreements hereunder and satisfied all the conditions on its part to be performed or satisfied hereunder at or prior to such date.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b/>
          <w:i/>
          <w:sz w:val="20"/>
        </w:rPr>
        <w:t>Bring-down Comfort Letters</w:t>
      </w:r>
      <w:r>
        <w:rPr>
          <w:rFonts w:ascii="Times New Roman" w:hAnsi="Times New Roman"/>
          <w:b/>
          <w:sz w:val="20"/>
        </w:rPr>
        <w:t xml:space="preserve">. </w:t>
      </w:r>
      <w:r>
        <w:rPr>
          <w:rFonts w:ascii="Times New Roman" w:hAnsi="Times New Roman"/>
          <w:sz w:val="20"/>
        </w:rPr>
        <w:t xml:space="preserve">On each of the First Closing Date and each Option Closing Date, the Representatives shall have received from KPMG LLP, independent registered public accountants for the Company, a letter dated such date, in form and substance satisfactory to the Representatives, which letter shall: (i) reaffirm the statements made in the letter furnished by them pursuant to Section 6(a), except that the specified date referred to therein for the carrying out of procedures shall be no more than three business days prior to each of the First Closing Date and each Option Closing Date, as the case may be; and (ii) cover certain financial information contained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b/>
          <w:i/>
          <w:sz w:val="20"/>
        </w:rPr>
        <w:t>Lock-up Agreements</w:t>
      </w:r>
      <w:r>
        <w:rPr>
          <w:rFonts w:ascii="Times New Roman" w:hAnsi="Times New Roman"/>
          <w:b/>
          <w:sz w:val="20"/>
        </w:rPr>
        <w:t xml:space="preserve">. </w:t>
      </w:r>
      <w:r>
        <w:rPr>
          <w:rFonts w:ascii="Times New Roman" w:hAnsi="Times New Roman"/>
          <w:sz w:val="20"/>
        </w:rPr>
        <w:t xml:space="preserve">On or prior to the date hereof, the Company shall have furnished to the Representatives an agreement in the form of </w:t>
      </w:r>
      <w:r>
        <w:rPr>
          <w:rFonts w:ascii="Times New Roman" w:hAnsi="Times New Roman"/>
          <w:sz w:val="20"/>
          <w:u w:val="single"/>
        </w:rPr>
        <w:t>Exhibit A</w:t>
      </w:r>
      <w:r>
        <w:rPr>
          <w:rFonts w:ascii="Times New Roman" w:hAnsi="Times New Roman"/>
          <w:sz w:val="20"/>
        </w:rPr>
        <w:t xml:space="preserve"> hereto from each of the directors and officers of the Company included in </w:t>
      </w:r>
      <w:r>
        <w:rPr>
          <w:rFonts w:ascii="Times New Roman" w:hAnsi="Times New Roman"/>
          <w:sz w:val="20"/>
          <w:u w:val="single"/>
        </w:rPr>
        <w:t>Exhibit B</w:t>
      </w:r>
      <w:r>
        <w:rPr>
          <w:rFonts w:ascii="Times New Roman" w:hAnsi="Times New Roman"/>
          <w:sz w:val="20"/>
        </w:rPr>
        <w:t xml:space="preserve"> hereto, and each such agreement shall be in full force and effect on each of the First Closing Date and each Option Closing Date.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b/>
          <w:i/>
          <w:sz w:val="20"/>
        </w:rPr>
        <w:t>Pre-Funded Warrants</w:t>
      </w:r>
      <w:r>
        <w:rPr>
          <w:rFonts w:ascii="Times New Roman" w:hAnsi="Times New Roman"/>
          <w:sz w:val="20"/>
        </w:rPr>
        <w:t xml:space="preserve">. At least one (1) full business day prior to the First Closing Date, the Representatives shall have received electronic copies of the Pre-Funded Warrants, substantially in the form of </w:t>
      </w:r>
      <w:r>
        <w:rPr>
          <w:rFonts w:ascii="Times New Roman" w:hAnsi="Times New Roman"/>
          <w:sz w:val="20"/>
          <w:u w:val="single"/>
        </w:rPr>
        <w:t>Exhibit C</w:t>
      </w:r>
      <w:r>
        <w:rPr>
          <w:rFonts w:ascii="Times New Roman" w:hAnsi="Times New Roman"/>
          <w:sz w:val="20"/>
        </w:rPr>
        <w:t xml:space="preserve">, executed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b/>
          <w:i/>
          <w:sz w:val="20"/>
        </w:rPr>
        <w:t>Nasdaq</w:t>
      </w:r>
      <w:r>
        <w:rPr>
          <w:rFonts w:ascii="Times New Roman" w:hAnsi="Times New Roman"/>
          <w:sz w:val="20"/>
        </w:rPr>
        <w:t xml:space="preserve">. The Company shall have submitted a listing of additional shares notification form to Nasdaq with respect to the Offered Shares and the Warrant Shares and shall have received no objection to list thereto from Nasdaq.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b/>
          <w:i/>
          <w:sz w:val="20"/>
        </w:rPr>
        <w:t>No Legal Impediment to Issuance and Sale</w:t>
      </w:r>
      <w:r>
        <w:rPr>
          <w:rFonts w:ascii="Times New Roman" w:hAnsi="Times New Roman"/>
          <w:sz w:val="20"/>
        </w:rPr>
        <w:t xml:space="preserve">. No action shall have been taken and no statute, rule, regulation or order shall have been enacted, adopted or issued by any federal, state or foreign governmental or regulatory authority that would, as of the First Closing Date and each Option Closing Date, prevent the issuance or sale of the Offered Securities; and no injunction or order of any federal, state or foreign court shall have been issued that would, as of the First Closing Date and each Option Closing Date, prevent the issuance or sale of the Offered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b/>
          <w:i/>
          <w:sz w:val="20"/>
        </w:rPr>
        <w:t>Additional Documents</w:t>
      </w:r>
      <w:r>
        <w:rPr>
          <w:rFonts w:ascii="Times New Roman" w:hAnsi="Times New Roman"/>
          <w:sz w:val="20"/>
        </w:rPr>
        <w:t xml:space="preserve">. On or before each of the First Closing Date and each Option Closing Date, the Representatives and counsel for the Underwriters shall have received such information, documents and opinions as they may reasonably request for the purposes of enabling them to pass upon the issuance and sale of the Offered Securities as contemplated herein, or in order to evidence the accuracy of any of the representations and warranties, or the satisfaction of any of the conditions or agreements, herein contained; and all proceedings taken by the Company in connection with the issuance and sale of the Offered Securities as contemplated herein and in connection with the other transactions contemplated by this Agreement shall be satisfactory in form and substance to the Representatives and counsel for the Underwriters.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any condition specified in this Section 6 is not satisfied when and as required to be satisfied, this Agreement may be terminated by the Representatives by notice from the Representatives to the Company at any time on or prior to the First Closing Date and, with respect to the Optional Shares, at any time on or prior to the applicable Option Closing Date, which termination shall be without liability on the part of any party to any other party, except that Section 4, Section 7, Section 9 and Section 10 shall at all times be effective and shall survive such termination.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w:t>
      </w:r>
      <w:r>
        <w:rPr>
          <w:rFonts w:ascii="Times New Roman" w:hAnsi="Times New Roman"/>
          <w:sz w:val="20"/>
        </w:rPr>
        <w:t xml:space="preserve"> </w:t>
      </w:r>
      <w:r>
        <w:rPr>
          <w:rFonts w:ascii="Times New Roman" w:hAnsi="Times New Roman"/>
          <w:b/>
          <w:sz w:val="20"/>
        </w:rPr>
        <w:t>Reimbursement of Underwriters’ Expenses</w:t>
      </w:r>
      <w:r>
        <w:rPr>
          <w:rFonts w:ascii="Times New Roman" w:hAnsi="Times New Roman"/>
          <w:sz w:val="20"/>
        </w:rPr>
        <w:t xml:space="preserve">. If this Agreement is terminated by the Representatives pursuant to Section 6, Section 11 or Section 12(i), (iv) or (v), or if the sale to the Underwriters of the Offered Securities on the First Closing Date is not consummated because of any refusal, inability or failure on the part of the Company to perform any agreement herein or to comply with any provision hereof, the Company agrees to reimburse the Representatives and the other Underwriters, severally, upon demand for all out-of-pocket expenses that shall have been reasonably incurred by the Representatives and the Underwriters in connection with the proposed purchase and the offering and sale of the Offered Securities, including, but not limited to, fees and disbursements of counsel, printing expenses, travel expenses, postage, facsimile and telephone charges; </w:t>
      </w:r>
      <w:r>
        <w:rPr>
          <w:rFonts w:ascii="Times New Roman" w:hAnsi="Times New Roman"/>
          <w:i/>
          <w:sz w:val="20"/>
        </w:rPr>
        <w:t>provided</w:t>
      </w:r>
      <w:r>
        <w:rPr>
          <w:rFonts w:ascii="Times New Roman" w:hAnsi="Times New Roman"/>
          <w:sz w:val="20"/>
        </w:rPr>
        <w:t xml:space="preserve"> that, in the event any such termination is effected after the First Closing Date but prior to any Option Closing Date with respect to the purchase of any Optional Shares, the Company shall only reimburse the Underwriters for all of their out-of-pocket expenses, including the reasonable fees and disbursements of counsel for the Underwriters, incurred after the First Closing Date in connection with the proposed purchase of any such Optional Shares. For the avoidance of doubt, it is understood that the Company will not pay or reimburse any costs, fees or expenses incurred by any Underwriter that defaults on its obligations to purchase the Offered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w:t>
      </w:r>
      <w:r>
        <w:rPr>
          <w:rFonts w:ascii="Times New Roman" w:hAnsi="Times New Roman"/>
          <w:sz w:val="20"/>
        </w:rPr>
        <w:t xml:space="preserve"> </w:t>
      </w:r>
      <w:r>
        <w:rPr>
          <w:rFonts w:ascii="Times New Roman" w:hAnsi="Times New Roman"/>
          <w:b/>
          <w:sz w:val="20"/>
        </w:rPr>
        <w:t>Effectiveness of this Agreement</w:t>
      </w:r>
      <w:r>
        <w:rPr>
          <w:rFonts w:ascii="Times New Roman" w:hAnsi="Times New Roman"/>
          <w:sz w:val="20"/>
        </w:rPr>
        <w:t xml:space="preserve">. This Agreement shall become effective upon the execution and delivery hereof by the parties hereto.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w:t>
      </w:r>
      <w:r>
        <w:rPr>
          <w:rFonts w:ascii="Times New Roman" w:hAnsi="Times New Roman"/>
          <w:sz w:val="20"/>
        </w:rPr>
        <w:t xml:space="preserve"> </w:t>
      </w:r>
      <w:r>
        <w:rPr>
          <w:rFonts w:ascii="Times New Roman" w:hAnsi="Times New Roman"/>
          <w:b/>
          <w:sz w:val="20"/>
        </w:rPr>
        <w:t>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Indemnification of the Underwriters</w:t>
      </w:r>
      <w:r>
        <w:rPr>
          <w:rFonts w:ascii="Times New Roman" w:hAnsi="Times New Roman"/>
          <w:b/>
          <w:sz w:val="20"/>
        </w:rPr>
        <w:t xml:space="preserve">. </w:t>
      </w:r>
      <w:r>
        <w:rPr>
          <w:rFonts w:ascii="Times New Roman" w:hAnsi="Times New Roman"/>
          <w:sz w:val="20"/>
        </w:rPr>
        <w:t>The Company agrees to indemnify and hold harmless each Underwriter, its affiliates, directors and officers and each person, if any, who controls such Underwriter within the meaning of Section 15 of the Securities Act or Section 20 of the Exchange Act, from and against any and all losses, claims, damages and liabilities (including, without limitation, reasonable and documented legal fees and other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free writing prospectus that the Company has filed, or is required to file, pursuant to Rule 433(d) of the Securities Act, any “issuer information” filed or required to be filed pursuant to Rule 433(d) under the Securities Act, any road show as defined in Rule 433(h) under the Securities Act (a “</w:t>
      </w:r>
      <w:r>
        <w:rPr>
          <w:rFonts w:ascii="Times New Roman" w:hAnsi="Times New Roman"/>
          <w:b/>
          <w:sz w:val="20"/>
        </w:rPr>
        <w:t>road show</w:t>
      </w:r>
      <w:r>
        <w:rPr>
          <w:rFonts w:ascii="Times New Roman" w:hAnsi="Times New Roman"/>
          <w:sz w:val="20"/>
        </w:rPr>
        <w:t xml:space="preserve">”) or any Time of Sale Prospectus (including any Time of Sale Prospectus that has subsequently been amended), or caused by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paragraph (b)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Indemnification of the Company and its Directors and Officers</w:t>
      </w:r>
      <w:r>
        <w:rPr>
          <w:rFonts w:ascii="Times New Roman" w:hAnsi="Times New Roman"/>
          <w:sz w:val="20"/>
        </w:rPr>
        <w:t xml:space="preserve">. Each Underwriter agrees, severally and not jointly, to indemnify and hold harmless the Company, its directors,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preliminary prospectus, any free writing prospectus that the Company has filed, or is required to file, pursuant to Rule 433(d) of the Securities Act, any road show or any Time of Sale Prospectus (including any Time of Sale Prospectus that has subsequently been amended), it being understood and agreed upon that the only such information that the Representatives have furnished to the Company expressly for use in the Registration Statement, any preliminary prospectus, the Time of Sale Prospectus, any free writing prospectus that the Company has filed, or is required to file, pursuant to Rule 433(d) of the Securities Act or the Prospectus (or any amendment or supplement to the foregoing) are the selling and concession figures in the third paragraph and the statements appearing in the eleventh, twelfth and thirteenth paragraphs, each under the caption “Underwriting” in the Final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i/>
          <w:sz w:val="20"/>
        </w:rPr>
        <w:t>Notifications and Other Indemnification Procedures</w:t>
      </w:r>
      <w:r>
        <w:rPr>
          <w:rFonts w:ascii="Times New Roman" w:hAnsi="Times New Roman"/>
          <w:b/>
          <w:sz w:val="20"/>
        </w:rPr>
        <w:t xml:space="preserve">. </w:t>
      </w:r>
      <w:r>
        <w:rPr>
          <w:rFonts w:ascii="Times New Roman" w:hAnsi="Times New Roman"/>
          <w:sz w:val="20"/>
        </w:rPr>
        <w:t>If any suit, action, proceeding (including any governmental or regulatory investigation), claim or demand shall be brought or asserted against any person in respect of which indemnification may be sought pursuant to the preceding paragraphs of this Section 9, such person (the “</w:t>
      </w:r>
      <w:r>
        <w:rPr>
          <w:rFonts w:ascii="Times New Roman" w:hAnsi="Times New Roman"/>
          <w:b/>
          <w:sz w:val="20"/>
        </w:rPr>
        <w:t>Indemnified Person</w:t>
      </w:r>
      <w:r>
        <w:rPr>
          <w:rFonts w:ascii="Times New Roman" w:hAnsi="Times New Roman"/>
          <w:sz w:val="20"/>
        </w:rPr>
        <w:t>”) shall promptly notify the person against whom such indemnification may be sought (the “</w:t>
      </w:r>
      <w:r>
        <w:rPr>
          <w:rFonts w:ascii="Times New Roman" w:hAnsi="Times New Roman"/>
          <w:b/>
          <w:sz w:val="20"/>
        </w:rPr>
        <w:t>Indemnifying Person</w:t>
      </w:r>
      <w:r>
        <w:rPr>
          <w:rFonts w:ascii="Times New Roman" w:hAnsi="Times New Roman"/>
          <w:sz w:val="20"/>
        </w:rPr>
        <w:t xml:space="preserve">”) in writing; provided that the failure to notify the Indemnifying Person shall not relieve it from any liability that it may have under the preceding paragraphs of this Section 9 except to the extent that it has been materially prejudiced (through the forfeiture of substantive rights or defenses) by such failure; and provided, further, that the failure to notify the Indemnifying Person shall not relieve it from any liability that it may have to an Indemnified Person otherwise than under the preceding paragraphs of this Section 9.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that the Indemnifying Person may designate in such proceeding and shall pay the reasonable and documented fees and expenses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reasonable and documented fees and expenses shall be paid or reimbursed as they are incurred. Any such separate firm for any Underwriter, its affiliates, directors and officers and any control persons of such Underwriter shall be designated in writing by the Representatives and any such separate firm for the Company, its directors, its officers who signed the Registration Statement and any control persons of the Company shall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designated in writing by the Company. The Indemnifying Person shall not be liable for any settlement of any proceeding effected without its written consent, but if settled with such consent, the Indemnifying Person agrees to indemnify each Indemnified Person from and against any loss or liability by reason of such settlement. Notwithstanding the foregoing sentence, if at any time an Indemnified Person shall have requested that an Indemnifying Person reimburse the Indemnified Person for reasonable and documented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w:t>
      </w:r>
      <w:r>
        <w:rPr>
          <w:rFonts w:ascii="Times New Roman" w:hAnsi="Times New Roman"/>
          <w:sz w:val="20"/>
        </w:rPr>
        <w:t xml:space="preserve"> </w:t>
      </w:r>
      <w:r>
        <w:rPr>
          <w:rFonts w:ascii="Times New Roman" w:hAnsi="Times New Roman"/>
          <w:b/>
          <w:sz w:val="20"/>
        </w:rPr>
        <w:t>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Contribution</w:t>
      </w:r>
      <w:r>
        <w:rPr>
          <w:rFonts w:ascii="Times New Roman" w:hAnsi="Times New Roman"/>
          <w:sz w:val="20"/>
        </w:rPr>
        <w:t xml:space="preserve">. If the indemnification provided for in Section 9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Offered Securities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Offered Securities and the total underwriting discounts and commissions received by the Underwriters in connection therewith, in each case as set forth in the table on the cover of the Prospectus, bear to the aggregate offering price of the Offered Securities.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Limitation on Liability</w:t>
      </w:r>
      <w:r>
        <w:rPr>
          <w:rFonts w:ascii="Times New Roman" w:hAnsi="Times New Roman"/>
          <w:sz w:val="20"/>
        </w:rPr>
        <w:t xml:space="preserve">. The Company and the Underwriters agree that it would not be just and equitable if contribution pursuant to paragraph (a) above were determined by pro rata allocation (even if the Underwriters were treated as one entity for such purpose) or by any other method of allocation that does not take account of the equitable considerations referred to in paragraph (a) above. The amount paid or payable by an Indemnified Person as a result of the losses, claims, damages and liabilities referred to in paragraph (a) above shall be deemed to include, subject to the limitations set forth above, any reasonable and documented legal or other expenses incurred by such Indemnified Person in connection with any such action or claim. Notwithstanding the provisions of paragraphs (a) and (b), in no event shall an Underwriter be required to contribute any amount in excess of the amount by which the total underwriting discounts and commissions received by such Underwriter with respect to the offering of the Offered Securities exceeds the amount of any damages that such Underwriter has otherwise been required to pay by reason of such untrue or alleged untrue statement or omission or alleged omission. No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guilty of fraudulent misrepresentation (within the meaning of Section 11(f) of the Securities Act) shall be entitled to contribution from any person who was not guilty of such fraudulent misrepresentation. The Underwriters’ obligations to contribute pursuant to paragraphs (a) and (b) are several in proportion to their respective purchase obligations hereunder and not joint.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i/>
          <w:sz w:val="20"/>
        </w:rPr>
        <w:t>Non-Exclusive Remedies</w:t>
      </w:r>
      <w:r>
        <w:rPr>
          <w:rFonts w:ascii="Times New Roman" w:hAnsi="Times New Roman"/>
          <w:sz w:val="20"/>
        </w:rPr>
        <w:t xml:space="preserve">. The remedies provided for in Sections 9 and 10 hereto are not exclusive and shall not limit any rights or remedies which may otherwise be available to any Indemnified Person at law or in equity.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w:t>
      </w:r>
      <w:r>
        <w:rPr>
          <w:rFonts w:ascii="Times New Roman" w:hAnsi="Times New Roman"/>
          <w:sz w:val="20"/>
        </w:rPr>
        <w:t xml:space="preserve"> </w:t>
      </w:r>
      <w:r>
        <w:rPr>
          <w:rFonts w:ascii="Times New Roman" w:hAnsi="Times New Roman"/>
          <w:b/>
          <w:sz w:val="20"/>
        </w:rPr>
        <w:t>Default of One or More of the Several Underwriters</w:t>
      </w:r>
      <w:r>
        <w:rPr>
          <w:rFonts w:ascii="Times New Roman" w:hAnsi="Times New Roman"/>
          <w:i/>
          <w:sz w:val="20"/>
        </w:rPr>
        <w:t xml:space="preserve">. </w:t>
      </w:r>
      <w:r>
        <w:rPr>
          <w:rFonts w:ascii="Times New Roman" w:hAnsi="Times New Roman"/>
          <w:sz w:val="20"/>
        </w:rPr>
        <w:t xml:space="preserve">If, on the First Closing Date or any Option Closing Date any one or more of the several Underwriters shall fail or refuse to purchase Offered Securities that it or they have agreed to purchase hereunder on such date, and the aggregate number of Offered Securities which such defaulting Underwriter or Underwriters agreed but failed or refused to purchase does not exceed 10% of the aggregate number of the Offered Securities to be purchased on such date, the Representatives may make arrangements satisfactory to the Company for the purchase of such Offered Securities by other persons, including any of the Underwriters, but if no such arrangements are made by such date, the other Underwriters shall be obligated, severally and not jointly, in the proportions that the number of Firm Shares and Pre-Funded Warrants set forth opposite their respective names on </w:t>
      </w:r>
      <w:r>
        <w:rPr>
          <w:rFonts w:ascii="Times New Roman" w:hAnsi="Times New Roman"/>
          <w:sz w:val="20"/>
          <w:u w:val="single"/>
        </w:rPr>
        <w:t>Schedule A</w:t>
      </w:r>
      <w:r>
        <w:rPr>
          <w:rFonts w:ascii="Times New Roman" w:hAnsi="Times New Roman"/>
          <w:sz w:val="20"/>
        </w:rPr>
        <w:t xml:space="preserve"> bears to the aggregate number of Firm Shares and Pre-Funded Warrants set forth opposite the names of all such non-defaulting Underwriters, or in such other proportions as may be specified by the Representatives with the consent of the non-defaulting Underwriters, to purchase the Offered Securities which such defaulting Underwriter or Underwriters agreed but failed or refused to purchase on such date. If, on the First Closing Date or any Option Closing Date any one or more of the Underwriters shall fail or refuse to purchase Offered Securities and the aggregate number of Offered Securities with respect to which such default occurs exceeds 10% of the aggregate number of Offered Securities to be purchased on such date, and arrangements satisfactory to the Representatives and the Company for the purchase of such Offered Securities are not made within 48 hours after such default, this Agreement shall terminate without liability of any party to any other party except that the provisions of Section 4, Section 7, Section 9 and Section 10 shall at all times be effective and shall survive such termination. In any such case either the Representatives or the Company shall have the right to postpone the First Closing Date or the applicable Option Closing Date, as the case may be, but in no event for longer than seven days in order that the required changes, if any, to the Registration Statement and the Prospectus or any other documents or arrangements may be effected. </w:t>
      </w:r>
    </w:p>
    <w:p>
      <w:pPr>
        <w:pStyle w:val="TextBody"/>
        <w:bidi w:val="0"/>
        <w:spacing w:before="240" w:after="0"/>
        <w:jc w:val="left"/>
        <w:rPr>
          <w:rFonts w:ascii="Times New Roman" w:hAnsi="Times New Roman"/>
          <w:sz w:val="20"/>
        </w:rPr>
      </w:pPr>
      <w:r>
        <w:rPr>
          <w:rFonts w:ascii="Times New Roman" w:hAnsi="Times New Roman"/>
          <w:sz w:val="20"/>
        </w:rPr>
        <w:t>As used in this Agreement, the term “</w:t>
      </w:r>
      <w:r>
        <w:rPr>
          <w:rFonts w:ascii="Times New Roman" w:hAnsi="Times New Roman"/>
          <w:b/>
          <w:sz w:val="20"/>
        </w:rPr>
        <w:t>Underwriter</w:t>
      </w:r>
      <w:r>
        <w:rPr>
          <w:rFonts w:ascii="Times New Roman" w:hAnsi="Times New Roman"/>
          <w:sz w:val="20"/>
        </w:rPr>
        <w:t xml:space="preserve">” shall be deemed to include any person substituted for a defaulting Underwriter under this Section 11. Any action taken under this Section 11 shall not relieve any defaulting Underwriter from liability in respect of any default of such Underwriter under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w:t>
      </w:r>
      <w:r>
        <w:rPr>
          <w:rFonts w:ascii="Times New Roman" w:hAnsi="Times New Roman"/>
          <w:sz w:val="20"/>
        </w:rPr>
        <w:t xml:space="preserve"> </w:t>
      </w:r>
      <w:r>
        <w:rPr>
          <w:rFonts w:ascii="Times New Roman" w:hAnsi="Times New Roman"/>
          <w:b/>
          <w:sz w:val="20"/>
        </w:rPr>
        <w:t>Termination of this Agreement</w:t>
      </w:r>
      <w:r>
        <w:rPr>
          <w:rFonts w:ascii="Times New Roman" w:hAnsi="Times New Roman"/>
          <w:sz w:val="20"/>
        </w:rPr>
        <w:t xml:space="preserve">. Prior to the purchase of the Firm Shares by the Underwriters on the First Closing Date, this Agreement may be terminated by the Representatives by notice given to the Company if at any time: (i) trading or quotation in any of the Company’s securities shall have been suspended or limited by the Commission or by the Nasdaq, or trading in securities generally on either the Nasdaq or the NYSE shall have been suspended or limited, or minimum or maximum prices shall have been generally established on any of such stock exchanges; (ii) a general banking moratorium shall have been declared by any federal, New York, Delaware, Massachusetts or Singapore authorities;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Representatives is material and adverse and makes it impracticable to market the Offered Securities in the manner and on the terms described in the Time of Sale Prospectus or the Prospectus or to enforce contracts for the sale of securities; (iv) in the judgment of the Representatives there shall have occurred any Material Adverse Change; or (v) the Company shall have sustained a loss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strike, fire, flood, earthquake, accident or other calamity, including a health epidemic or pandemic outbreak of infectious disease, of such character as in the judgment of the Representatives may interfere materially with the conduct of the business and operations of the Company regardless of whether or not such loss shall have been insured. Any termination pursuant to this Section 12 shall be without liability on the part of (a) the Company to any Underwriter, except that the Company shall be obligated to reimburse the expenses of the Representatives and the Underwriters pursuant to Section 4 or Section 7 hereof or (b) any Underwriter to the Company; </w:t>
      </w:r>
      <w:r>
        <w:rPr>
          <w:rFonts w:ascii="Times New Roman" w:hAnsi="Times New Roman"/>
          <w:i/>
          <w:sz w:val="20"/>
        </w:rPr>
        <w:t>provided, however,</w:t>
      </w:r>
      <w:r>
        <w:rPr>
          <w:rFonts w:ascii="Times New Roman" w:hAnsi="Times New Roman"/>
          <w:sz w:val="20"/>
        </w:rPr>
        <w:t xml:space="preserve"> that the provisions of Section 9 and Section 10 shall at all times be effective and shall survive such termination.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w:t>
      </w:r>
      <w:r>
        <w:rPr>
          <w:rFonts w:ascii="Times New Roman" w:hAnsi="Times New Roman"/>
          <w:sz w:val="20"/>
        </w:rPr>
        <w:t xml:space="preserve"> </w:t>
      </w:r>
      <w:r>
        <w:rPr>
          <w:rFonts w:ascii="Times New Roman" w:hAnsi="Times New Roman"/>
          <w:b/>
          <w:sz w:val="20"/>
        </w:rPr>
        <w:t>No Advisory or Fiduciary Relationship</w:t>
      </w:r>
      <w:r>
        <w:rPr>
          <w:rFonts w:ascii="Times New Roman" w:hAnsi="Times New Roman"/>
          <w:sz w:val="20"/>
        </w:rPr>
        <w:t xml:space="preserve">. The Company acknowledges and agrees that (a) the purchase and sale of the Offered Securities pursuant to this Agreement, including the determination of the public offering price of the Offered Securities and any related discounts and commissions, is an arm’s-length commercial transaction between the Company, on the one hand, and the several Underwriters, on the other hand, (b) in connection with the offering contemplated hereby and the process leading to such transaction, each Underwriter is and has been acting solely as a principal and is not the agent or fiduciary of the Company, or its security holders,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contemplated hereby and the Company has consulted its own legal, accounting, regulatory and tax advisors to the extent it deemed appropriate.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14.</w:t>
      </w:r>
      <w:r>
        <w:rPr>
          <w:rFonts w:ascii="Times New Roman" w:hAnsi="Times New Roman"/>
          <w:sz w:val="20"/>
        </w:rPr>
        <w:t xml:space="preserve"> </w:t>
      </w:r>
      <w:r>
        <w:rPr>
          <w:rFonts w:ascii="Times New Roman" w:hAnsi="Times New Roman"/>
          <w:b/>
          <w:sz w:val="20"/>
        </w:rPr>
        <w:t>Representations and Indemnities to Survive Delivery</w:t>
      </w:r>
      <w:r>
        <w:rPr>
          <w:rFonts w:ascii="Times New Roman" w:hAnsi="Times New Roman"/>
          <w:i/>
          <w:sz w:val="20"/>
        </w:rPr>
        <w:t xml:space="preserve">. </w:t>
      </w:r>
      <w:r>
        <w:rPr>
          <w:rFonts w:ascii="Times New Roman" w:hAnsi="Times New Roman"/>
          <w:sz w:val="20"/>
        </w:rPr>
        <w:t xml:space="preserve">The respective indemnities, agreements, representations, warranties and other statements of the Company, of its officers, and of the several Underwriters set forth in or made pursuant to this Agreement will remain in full force and effect, regardless of any investigation made by or on behalf of any Underwriter or the Company or any of its or their partners, officers or directors or any controlling person, as the case may be, and, anything herein to the contrary notwithstanding, will survive delivery of and payment for the Offered Securities sold hereunder and any termination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15.</w:t>
      </w:r>
      <w:r>
        <w:rPr>
          <w:rFonts w:ascii="Times New Roman" w:hAnsi="Times New Roman"/>
          <w:sz w:val="20"/>
        </w:rPr>
        <w:t xml:space="preserve"> </w:t>
      </w:r>
      <w:r>
        <w:rPr>
          <w:rFonts w:ascii="Times New Roman" w:hAnsi="Times New Roman"/>
          <w:b/>
          <w:sz w:val="20"/>
        </w:rPr>
        <w:t>Notices</w:t>
      </w:r>
      <w:r>
        <w:rPr>
          <w:rFonts w:ascii="Times New Roman" w:hAnsi="Times New Roman"/>
          <w:sz w:val="20"/>
        </w:rPr>
        <w:t xml:space="preserve">. All communications hereunder shall be in writing and shall be mailed, hand delivered or telecopied and confirmed to the parties hereto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1"/>
        <w:gridCol w:w="120"/>
        <w:gridCol w:w="7954"/>
      </w:tblGrid>
      <w:tr>
        <w:trPr/>
        <w:tc>
          <w:tcPr>
            <w:tcW w:w="213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954" w:type="dxa"/>
            <w:tcBorders/>
            <w:vAlign w:val="center"/>
          </w:tcPr>
          <w:p>
            <w:pPr>
              <w:pStyle w:val="TableContents"/>
              <w:bidi w:val="0"/>
              <w:spacing w:before="0" w:after="283"/>
              <w:jc w:val="left"/>
              <w:rPr>
                <w:sz w:val="4"/>
                <w:szCs w:val="4"/>
              </w:rPr>
            </w:pPr>
            <w:r>
              <w:rPr>
                <w:sz w:val="4"/>
                <w:szCs w:val="4"/>
              </w:rPr>
            </w:r>
          </w:p>
        </w:tc>
      </w:tr>
      <w:tr>
        <w:trPr/>
        <w:tc>
          <w:tcPr>
            <w:tcW w:w="2131" w:type="dxa"/>
            <w:tcBorders/>
          </w:tcPr>
          <w:p>
            <w:pPr>
              <w:pStyle w:val="TableContents"/>
              <w:bidi w:val="0"/>
              <w:spacing w:before="0" w:after="283"/>
              <w:jc w:val="left"/>
              <w:rPr/>
            </w:pPr>
            <w:r>
              <w:rPr/>
              <w:t>If to the Representatives:</w:t>
            </w:r>
          </w:p>
        </w:tc>
        <w:tc>
          <w:tcPr>
            <w:tcW w:w="120" w:type="dxa"/>
            <w:tcBorders/>
            <w:vAlign w:val="bottom"/>
          </w:tcPr>
          <w:p>
            <w:pPr>
              <w:pStyle w:val="TableContents"/>
              <w:bidi w:val="0"/>
              <w:spacing w:before="0" w:after="283"/>
              <w:jc w:val="left"/>
              <w:rPr/>
            </w:pPr>
            <w:r>
              <w:rPr/>
              <w:t>  </w:t>
            </w:r>
          </w:p>
        </w:tc>
        <w:tc>
          <w:tcPr>
            <w:tcW w:w="7954" w:type="dxa"/>
            <w:tcBorders/>
          </w:tcPr>
          <w:p>
            <w:pPr>
              <w:pStyle w:val="TableContents"/>
              <w:bidi w:val="0"/>
              <w:spacing w:before="0" w:after="0"/>
              <w:jc w:val="left"/>
              <w:rPr>
                <w:rFonts w:ascii="Times New Roman" w:hAnsi="Times New Roman"/>
                <w:sz w:val="20"/>
              </w:rPr>
            </w:pPr>
            <w:r>
              <w:rPr>
                <w:rFonts w:ascii="Times New Roman" w:hAnsi="Times New Roman"/>
                <w:sz w:val="20"/>
              </w:rPr>
              <w:t>Jefferies LLC</w:t>
            </w:r>
          </w:p>
          <w:p>
            <w:pPr>
              <w:pStyle w:val="TableContents"/>
              <w:bidi w:val="0"/>
              <w:spacing w:before="0" w:after="0"/>
              <w:jc w:val="left"/>
              <w:rPr>
                <w:rFonts w:ascii="Times New Roman" w:hAnsi="Times New Roman"/>
                <w:sz w:val="20"/>
              </w:rPr>
            </w:pPr>
            <w:r>
              <w:rPr>
                <w:rFonts w:ascii="Times New Roman" w:hAnsi="Times New Roman"/>
                <w:sz w:val="20"/>
              </w:rPr>
              <w:t>520 Madison Avenue</w:t>
            </w:r>
          </w:p>
          <w:p>
            <w:pPr>
              <w:pStyle w:val="TableContents"/>
              <w:bidi w:val="0"/>
              <w:spacing w:before="0" w:after="0"/>
              <w:jc w:val="left"/>
              <w:rPr>
                <w:rFonts w:ascii="Times New Roman" w:hAnsi="Times New Roman"/>
                <w:sz w:val="20"/>
              </w:rPr>
            </w:pPr>
            <w:r>
              <w:rPr>
                <w:rFonts w:ascii="Times New Roman" w:hAnsi="Times New Roman"/>
                <w:sz w:val="20"/>
              </w:rPr>
              <w:t>New York, New York 10022</w:t>
            </w:r>
          </w:p>
          <w:p>
            <w:pPr>
              <w:pStyle w:val="TableContents"/>
              <w:bidi w:val="0"/>
              <w:spacing w:before="0" w:after="0"/>
              <w:jc w:val="left"/>
              <w:rPr>
                <w:rFonts w:ascii="Times New Roman" w:hAnsi="Times New Roman"/>
                <w:sz w:val="20"/>
              </w:rPr>
            </w:pPr>
            <w:r>
              <w:rPr>
                <w:rFonts w:ascii="Times New Roman" w:hAnsi="Times New Roman"/>
                <w:sz w:val="20"/>
              </w:rPr>
              <w:t>Facsimile: (212) 336-7460</w:t>
            </w:r>
          </w:p>
          <w:p>
            <w:pPr>
              <w:pStyle w:val="TableContents"/>
              <w:bidi w:val="0"/>
              <w:spacing w:before="0" w:after="0"/>
              <w:jc w:val="left"/>
              <w:rPr>
                <w:rFonts w:ascii="Times New Roman" w:hAnsi="Times New Roman"/>
                <w:sz w:val="20"/>
              </w:rPr>
            </w:pPr>
            <w:r>
              <w:rPr>
                <w:rFonts w:ascii="Times New Roman" w:hAnsi="Times New Roman"/>
                <w:sz w:val="20"/>
              </w:rPr>
              <w:t>Attention: Global Head of Equity Syndicate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Leerink Partners LLC</w:t>
            </w:r>
          </w:p>
          <w:p>
            <w:pPr>
              <w:pStyle w:val="TableContents"/>
              <w:bidi w:val="0"/>
              <w:spacing w:before="0" w:after="0"/>
              <w:jc w:val="left"/>
              <w:rPr>
                <w:rFonts w:ascii="Times New Roman" w:hAnsi="Times New Roman"/>
                <w:sz w:val="20"/>
              </w:rPr>
            </w:pPr>
            <w:r>
              <w:rPr>
                <w:rFonts w:ascii="Times New Roman" w:hAnsi="Times New Roman"/>
                <w:sz w:val="20"/>
              </w:rPr>
              <w:t>1301 Avenue of the Americas</w:t>
            </w:r>
          </w:p>
          <w:p>
            <w:pPr>
              <w:pStyle w:val="TableContents"/>
              <w:bidi w:val="0"/>
              <w:spacing w:before="0" w:after="0"/>
              <w:jc w:val="left"/>
              <w:rPr>
                <w:rFonts w:ascii="Times New Roman" w:hAnsi="Times New Roman"/>
                <w:sz w:val="20"/>
              </w:rPr>
            </w:pPr>
            <w:r>
              <w:rPr>
                <w:rFonts w:ascii="Times New Roman" w:hAnsi="Times New Roman"/>
                <w:sz w:val="20"/>
              </w:rPr>
              <w:t>5th Floor</w:t>
            </w:r>
          </w:p>
          <w:p>
            <w:pPr>
              <w:pStyle w:val="TableContents"/>
              <w:bidi w:val="0"/>
              <w:spacing w:before="0" w:after="0"/>
              <w:jc w:val="left"/>
              <w:rPr>
                <w:rFonts w:ascii="Times New Roman" w:hAnsi="Times New Roman"/>
                <w:sz w:val="20"/>
              </w:rPr>
            </w:pPr>
            <w:r>
              <w:rPr>
                <w:rFonts w:ascii="Times New Roman" w:hAnsi="Times New Roman"/>
                <w:sz w:val="20"/>
              </w:rPr>
              <w:t>New York, New York 10019</w:t>
            </w:r>
          </w:p>
          <w:p>
            <w:pPr>
              <w:pStyle w:val="TableContents"/>
              <w:bidi w:val="0"/>
              <w:spacing w:before="0" w:after="0"/>
              <w:jc w:val="left"/>
              <w:rPr>
                <w:rFonts w:ascii="Times New Roman" w:hAnsi="Times New Roman"/>
                <w:sz w:val="20"/>
              </w:rPr>
            </w:pPr>
            <w:r>
              <w:rPr>
                <w:rFonts w:ascii="Times New Roman" w:hAnsi="Times New Roman"/>
                <w:sz w:val="20"/>
              </w:rPr>
              <w:t>Facsimile: (646) 499-7051</w:t>
            </w:r>
          </w:p>
          <w:p>
            <w:pPr>
              <w:pStyle w:val="TableContents"/>
              <w:bidi w:val="0"/>
              <w:spacing w:before="0" w:after="0"/>
              <w:jc w:val="left"/>
              <w:rPr>
                <w:rFonts w:ascii="Times New Roman" w:hAnsi="Times New Roman"/>
                <w:sz w:val="20"/>
              </w:rPr>
            </w:pPr>
            <w:r>
              <w:rPr>
                <w:rFonts w:ascii="Times New Roman" w:hAnsi="Times New Roman"/>
                <w:sz w:val="20"/>
              </w:rPr>
              <w:t>Attention: Stuart Nayman, Esq.</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BofA Securities, Inc.</w:t>
            </w:r>
          </w:p>
          <w:p>
            <w:pPr>
              <w:pStyle w:val="TableContents"/>
              <w:bidi w:val="0"/>
              <w:spacing w:before="0" w:after="0"/>
              <w:jc w:val="left"/>
              <w:rPr>
                <w:rFonts w:ascii="Times New Roman" w:hAnsi="Times New Roman"/>
                <w:sz w:val="20"/>
              </w:rPr>
            </w:pPr>
            <w:r>
              <w:rPr>
                <w:rFonts w:ascii="Times New Roman" w:hAnsi="Times New Roman"/>
                <w:sz w:val="20"/>
              </w:rPr>
              <w:t>One Bryant Park</w:t>
            </w:r>
          </w:p>
          <w:p>
            <w:pPr>
              <w:pStyle w:val="TableContents"/>
              <w:bidi w:val="0"/>
              <w:spacing w:before="0" w:after="0"/>
              <w:jc w:val="left"/>
              <w:rPr>
                <w:rFonts w:ascii="Times New Roman" w:hAnsi="Times New Roman"/>
                <w:sz w:val="20"/>
              </w:rPr>
            </w:pPr>
            <w:r>
              <w:rPr>
                <w:rFonts w:ascii="Times New Roman" w:hAnsi="Times New Roman"/>
                <w:sz w:val="20"/>
              </w:rPr>
              <w:t>New York, NY 10036</w:t>
            </w:r>
          </w:p>
          <w:p>
            <w:pPr>
              <w:pStyle w:val="TableContents"/>
              <w:bidi w:val="0"/>
              <w:spacing w:before="0" w:after="0"/>
              <w:jc w:val="left"/>
              <w:rPr>
                <w:rFonts w:ascii="Times New Roman" w:hAnsi="Times New Roman"/>
                <w:sz w:val="20"/>
              </w:rPr>
            </w:pPr>
            <w:r>
              <w:rPr>
                <w:rFonts w:ascii="Times New Roman" w:hAnsi="Times New Roman"/>
                <w:sz w:val="20"/>
              </w:rPr>
              <w:t>Email:</w:t>
            </w:r>
          </w:p>
          <w:p>
            <w:pPr>
              <w:pStyle w:val="TableContents"/>
              <w:bidi w:val="0"/>
              <w:spacing w:before="0" w:after="0"/>
              <w:jc w:val="left"/>
              <w:rPr>
                <w:rFonts w:ascii="Times New Roman" w:hAnsi="Times New Roman"/>
                <w:sz w:val="20"/>
              </w:rPr>
            </w:pPr>
            <w:r>
              <w:rPr>
                <w:rFonts w:ascii="Times New Roman" w:hAnsi="Times New Roman"/>
                <w:sz w:val="20"/>
              </w:rPr>
              <w:t>Attention: Syndicate Department</w:t>
            </w:r>
          </w:p>
          <w:p>
            <w:pPr>
              <w:pStyle w:val="TableContents"/>
              <w:bidi w:val="0"/>
              <w:spacing w:before="0" w:after="0"/>
              <w:jc w:val="left"/>
              <w:rPr>
                <w:rFonts w:ascii="Times New Roman" w:hAnsi="Times New Roman"/>
                <w:sz w:val="20"/>
              </w:rPr>
            </w:pPr>
            <w:r>
              <w:rPr>
                <w:rFonts w:ascii="Times New Roman" w:hAnsi="Times New Roman"/>
                <w:sz w:val="20"/>
              </w:rPr>
              <w:t>with a copy to:</w:t>
            </w:r>
          </w:p>
          <w:p>
            <w:pPr>
              <w:pStyle w:val="TableContents"/>
              <w:bidi w:val="0"/>
              <w:spacing w:before="0" w:after="0"/>
              <w:jc w:val="left"/>
              <w:rPr>
                <w:rFonts w:ascii="Times New Roman" w:hAnsi="Times New Roman"/>
                <w:sz w:val="20"/>
              </w:rPr>
            </w:pPr>
            <w:r>
              <w:rPr>
                <w:rFonts w:ascii="Times New Roman" w:hAnsi="Times New Roman"/>
                <w:sz w:val="20"/>
              </w:rPr>
              <w:t>Email:</w:t>
            </w:r>
          </w:p>
          <w:p>
            <w:pPr>
              <w:pStyle w:val="TableContents"/>
              <w:bidi w:val="0"/>
              <w:spacing w:before="0" w:after="20"/>
              <w:jc w:val="left"/>
              <w:rPr>
                <w:rFonts w:ascii="Times New Roman" w:hAnsi="Times New Roman"/>
                <w:sz w:val="20"/>
              </w:rPr>
            </w:pPr>
            <w:r>
              <w:rPr>
                <w:rFonts w:ascii="Times New Roman" w:hAnsi="Times New Roman"/>
                <w:sz w:val="20"/>
              </w:rPr>
              <w:t>Attention: ECM Legal</w:t>
            </w:r>
          </w:p>
        </w:tc>
      </w:tr>
      <w:tr>
        <w:trPr>
          <w:trHeight w:val="120" w:hRule="atLeast"/>
        </w:trPr>
        <w:tc>
          <w:tcPr>
            <w:tcW w:w="2131" w:type="dxa"/>
            <w:tcBorders/>
            <w:vAlign w:val="center"/>
          </w:tcPr>
          <w:p>
            <w:pPr>
              <w:pStyle w:val="TableContents"/>
              <w:bidi w:val="0"/>
              <w:spacing w:before="0" w:after="283"/>
              <w:jc w:val="left"/>
              <w:rPr>
                <w:sz w:val="4"/>
                <w:szCs w:val="4"/>
              </w:rPr>
            </w:pPr>
            <w:r>
              <w:rPr>
                <w:sz w:val="4"/>
                <w:szCs w:val="4"/>
              </w:rPr>
            </w:r>
          </w:p>
        </w:tc>
        <w:tc>
          <w:tcPr>
            <w:tcW w:w="8074" w:type="dxa"/>
            <w:gridSpan w:val="2"/>
            <w:tcBorders/>
            <w:vAlign w:val="center"/>
          </w:tcPr>
          <w:p>
            <w:pPr>
              <w:pStyle w:val="TableContents"/>
              <w:bidi w:val="0"/>
              <w:spacing w:before="0" w:after="283"/>
              <w:jc w:val="left"/>
              <w:rPr>
                <w:sz w:val="4"/>
                <w:szCs w:val="4"/>
              </w:rPr>
            </w:pPr>
            <w:r>
              <w:rPr>
                <w:sz w:val="4"/>
                <w:szCs w:val="4"/>
              </w:rPr>
            </w:r>
          </w:p>
        </w:tc>
      </w:tr>
      <w:tr>
        <w:trPr/>
        <w:tc>
          <w:tcPr>
            <w:tcW w:w="2131" w:type="dxa"/>
            <w:tcBorders/>
          </w:tcPr>
          <w:p>
            <w:pPr>
              <w:pStyle w:val="TableContents"/>
              <w:bidi w:val="0"/>
              <w:spacing w:before="0" w:after="283"/>
              <w:jc w:val="left"/>
              <w:rPr/>
            </w:pPr>
            <w:r>
              <w:rPr/>
              <w:t>with a copy to:</w:t>
            </w:r>
          </w:p>
        </w:tc>
        <w:tc>
          <w:tcPr>
            <w:tcW w:w="120" w:type="dxa"/>
            <w:tcBorders/>
            <w:vAlign w:val="bottom"/>
          </w:tcPr>
          <w:p>
            <w:pPr>
              <w:pStyle w:val="TableContents"/>
              <w:bidi w:val="0"/>
              <w:spacing w:before="0" w:after="283"/>
              <w:jc w:val="left"/>
              <w:rPr/>
            </w:pPr>
            <w:r>
              <w:rPr/>
              <w:t>  </w:t>
            </w:r>
          </w:p>
        </w:tc>
        <w:tc>
          <w:tcPr>
            <w:tcW w:w="7954" w:type="dxa"/>
            <w:tcBorders/>
          </w:tcPr>
          <w:p>
            <w:pPr>
              <w:pStyle w:val="TableContents"/>
              <w:bidi w:val="0"/>
              <w:spacing w:before="0" w:after="0"/>
              <w:jc w:val="left"/>
              <w:rPr>
                <w:rFonts w:ascii="Times New Roman" w:hAnsi="Times New Roman"/>
                <w:sz w:val="20"/>
              </w:rPr>
            </w:pPr>
            <w:r>
              <w:rPr>
                <w:rFonts w:ascii="Times New Roman" w:hAnsi="Times New Roman"/>
                <w:sz w:val="20"/>
              </w:rPr>
              <w:t>White &amp; Case LLP</w:t>
            </w:r>
          </w:p>
          <w:p>
            <w:pPr>
              <w:pStyle w:val="TableContents"/>
              <w:bidi w:val="0"/>
              <w:spacing w:before="0" w:after="0"/>
              <w:jc w:val="left"/>
              <w:rPr>
                <w:rFonts w:ascii="Times New Roman" w:hAnsi="Times New Roman"/>
                <w:sz w:val="20"/>
              </w:rPr>
            </w:pPr>
            <w:r>
              <w:rPr>
                <w:rFonts w:ascii="Times New Roman" w:hAnsi="Times New Roman"/>
                <w:sz w:val="20"/>
              </w:rPr>
              <w:t>1221 Avenue of the Americas</w:t>
            </w:r>
          </w:p>
          <w:p>
            <w:pPr>
              <w:pStyle w:val="TableContents"/>
              <w:bidi w:val="0"/>
              <w:spacing w:before="0" w:after="0"/>
              <w:jc w:val="left"/>
              <w:rPr>
                <w:rFonts w:ascii="Times New Roman" w:hAnsi="Times New Roman"/>
                <w:sz w:val="20"/>
              </w:rPr>
            </w:pPr>
            <w:r>
              <w:rPr>
                <w:rFonts w:ascii="Times New Roman" w:hAnsi="Times New Roman"/>
                <w:sz w:val="20"/>
              </w:rPr>
              <w:t>New York, New York 10020</w:t>
            </w:r>
          </w:p>
          <w:p>
            <w:pPr>
              <w:pStyle w:val="TableContents"/>
              <w:bidi w:val="0"/>
              <w:spacing w:before="0" w:after="0"/>
              <w:jc w:val="left"/>
              <w:rPr>
                <w:rFonts w:ascii="Times New Roman" w:hAnsi="Times New Roman"/>
                <w:sz w:val="20"/>
              </w:rPr>
            </w:pPr>
            <w:r>
              <w:rPr>
                <w:rFonts w:ascii="Times New Roman" w:hAnsi="Times New Roman"/>
                <w:sz w:val="20"/>
              </w:rPr>
              <w:t>Facsimile: (212) 354-8113</w:t>
            </w:r>
          </w:p>
          <w:p>
            <w:pPr>
              <w:pStyle w:val="TableContents"/>
              <w:bidi w:val="0"/>
              <w:spacing w:before="0" w:after="20"/>
              <w:jc w:val="left"/>
              <w:rPr>
                <w:rFonts w:ascii="Times New Roman" w:hAnsi="Times New Roman"/>
                <w:sz w:val="20"/>
              </w:rPr>
            </w:pPr>
            <w:r>
              <w:rPr>
                <w:rFonts w:ascii="Times New Roman" w:hAnsi="Times New Roman"/>
                <w:sz w:val="20"/>
              </w:rPr>
              <w:t>Attention: Jessica Y. Chen, Esq.</w:t>
            </w:r>
          </w:p>
        </w:tc>
      </w:tr>
      <w:tr>
        <w:trPr>
          <w:trHeight w:val="120" w:hRule="atLeast"/>
        </w:trPr>
        <w:tc>
          <w:tcPr>
            <w:tcW w:w="2131" w:type="dxa"/>
            <w:tcBorders/>
            <w:vAlign w:val="center"/>
          </w:tcPr>
          <w:p>
            <w:pPr>
              <w:pStyle w:val="TableContents"/>
              <w:bidi w:val="0"/>
              <w:spacing w:before="0" w:after="283"/>
              <w:jc w:val="left"/>
              <w:rPr>
                <w:sz w:val="4"/>
                <w:szCs w:val="4"/>
              </w:rPr>
            </w:pPr>
            <w:r>
              <w:rPr>
                <w:sz w:val="4"/>
                <w:szCs w:val="4"/>
              </w:rPr>
            </w:r>
          </w:p>
        </w:tc>
        <w:tc>
          <w:tcPr>
            <w:tcW w:w="8074" w:type="dxa"/>
            <w:gridSpan w:val="2"/>
            <w:tcBorders/>
            <w:vAlign w:val="center"/>
          </w:tcPr>
          <w:p>
            <w:pPr>
              <w:pStyle w:val="TableContents"/>
              <w:bidi w:val="0"/>
              <w:spacing w:before="0" w:after="283"/>
              <w:jc w:val="left"/>
              <w:rPr>
                <w:sz w:val="4"/>
                <w:szCs w:val="4"/>
              </w:rPr>
            </w:pPr>
            <w:r>
              <w:rPr>
                <w:sz w:val="4"/>
                <w:szCs w:val="4"/>
              </w:rPr>
            </w:r>
          </w:p>
        </w:tc>
      </w:tr>
      <w:tr>
        <w:trPr/>
        <w:tc>
          <w:tcPr>
            <w:tcW w:w="2131" w:type="dxa"/>
            <w:tcBorders/>
          </w:tcPr>
          <w:p>
            <w:pPr>
              <w:pStyle w:val="TableContents"/>
              <w:bidi w:val="0"/>
              <w:spacing w:before="0" w:after="283"/>
              <w:jc w:val="left"/>
              <w:rPr/>
            </w:pPr>
            <w:r>
              <w:rPr/>
              <w:t>If to the Company:</w:t>
            </w:r>
          </w:p>
        </w:tc>
        <w:tc>
          <w:tcPr>
            <w:tcW w:w="120" w:type="dxa"/>
            <w:tcBorders/>
            <w:vAlign w:val="bottom"/>
          </w:tcPr>
          <w:p>
            <w:pPr>
              <w:pStyle w:val="TableContents"/>
              <w:bidi w:val="0"/>
              <w:spacing w:before="0" w:after="283"/>
              <w:jc w:val="left"/>
              <w:rPr/>
            </w:pPr>
            <w:r>
              <w:rPr/>
              <w:t>  </w:t>
            </w:r>
          </w:p>
        </w:tc>
        <w:tc>
          <w:tcPr>
            <w:tcW w:w="7954" w:type="dxa"/>
            <w:tcBorders/>
          </w:tcPr>
          <w:p>
            <w:pPr>
              <w:pStyle w:val="TableContents"/>
              <w:bidi w:val="0"/>
              <w:spacing w:before="0" w:after="0"/>
              <w:jc w:val="left"/>
              <w:rPr>
                <w:rFonts w:ascii="Times New Roman" w:hAnsi="Times New Roman"/>
                <w:sz w:val="20"/>
              </w:rPr>
            </w:pPr>
            <w:r>
              <w:rPr>
                <w:rFonts w:ascii="Times New Roman" w:hAnsi="Times New Roman"/>
                <w:sz w:val="20"/>
              </w:rPr>
              <w:t>Wave Life Sciences Ltd.</w:t>
            </w:r>
          </w:p>
          <w:p>
            <w:pPr>
              <w:pStyle w:val="TableContents"/>
              <w:bidi w:val="0"/>
              <w:spacing w:before="0" w:after="0"/>
              <w:jc w:val="left"/>
              <w:rPr>
                <w:rFonts w:ascii="Times New Roman" w:hAnsi="Times New Roman"/>
                <w:sz w:val="20"/>
              </w:rPr>
            </w:pPr>
            <w:r>
              <w:rPr>
                <w:rFonts w:ascii="Times New Roman" w:hAnsi="Times New Roman"/>
                <w:sz w:val="20"/>
              </w:rPr>
              <w:t>733 Concord Ave</w:t>
            </w:r>
          </w:p>
          <w:p>
            <w:pPr>
              <w:pStyle w:val="TableContents"/>
              <w:bidi w:val="0"/>
              <w:spacing w:before="0" w:after="0"/>
              <w:jc w:val="left"/>
              <w:rPr>
                <w:rFonts w:ascii="Times New Roman" w:hAnsi="Times New Roman"/>
                <w:sz w:val="20"/>
              </w:rPr>
            </w:pPr>
            <w:r>
              <w:rPr>
                <w:rFonts w:ascii="Times New Roman" w:hAnsi="Times New Roman"/>
                <w:sz w:val="20"/>
              </w:rPr>
              <w:t>Cambridge, Massachusetts 02138</w:t>
            </w:r>
          </w:p>
          <w:p>
            <w:pPr>
              <w:pStyle w:val="TableContents"/>
              <w:bidi w:val="0"/>
              <w:spacing w:before="0" w:after="0"/>
              <w:jc w:val="left"/>
              <w:rPr>
                <w:rFonts w:ascii="Times New Roman" w:hAnsi="Times New Roman"/>
                <w:sz w:val="20"/>
              </w:rPr>
            </w:pPr>
            <w:r>
              <w:rPr>
                <w:rFonts w:ascii="Times New Roman" w:hAnsi="Times New Roman"/>
                <w:sz w:val="20"/>
              </w:rPr>
              <w:t>Facsimile: (339) 204-9300</w:t>
            </w:r>
          </w:p>
          <w:p>
            <w:pPr>
              <w:pStyle w:val="TableContents"/>
              <w:bidi w:val="0"/>
              <w:spacing w:before="0" w:after="20"/>
              <w:jc w:val="left"/>
              <w:rPr>
                <w:rFonts w:ascii="Times New Roman" w:hAnsi="Times New Roman"/>
                <w:sz w:val="20"/>
              </w:rPr>
            </w:pPr>
            <w:r>
              <w:rPr>
                <w:rFonts w:ascii="Times New Roman" w:hAnsi="Times New Roman"/>
                <w:sz w:val="20"/>
              </w:rPr>
              <w:t>Attention: Paul Bolno</w:t>
            </w:r>
          </w:p>
        </w:tc>
      </w:tr>
      <w:tr>
        <w:trPr>
          <w:trHeight w:val="120" w:hRule="atLeast"/>
        </w:trPr>
        <w:tc>
          <w:tcPr>
            <w:tcW w:w="2131" w:type="dxa"/>
            <w:tcBorders/>
            <w:vAlign w:val="center"/>
          </w:tcPr>
          <w:p>
            <w:pPr>
              <w:pStyle w:val="TableContents"/>
              <w:bidi w:val="0"/>
              <w:spacing w:before="0" w:after="283"/>
              <w:jc w:val="left"/>
              <w:rPr>
                <w:sz w:val="4"/>
                <w:szCs w:val="4"/>
              </w:rPr>
            </w:pPr>
            <w:r>
              <w:rPr>
                <w:sz w:val="4"/>
                <w:szCs w:val="4"/>
              </w:rPr>
            </w:r>
          </w:p>
        </w:tc>
        <w:tc>
          <w:tcPr>
            <w:tcW w:w="8074" w:type="dxa"/>
            <w:gridSpan w:val="2"/>
            <w:tcBorders/>
            <w:vAlign w:val="center"/>
          </w:tcPr>
          <w:p>
            <w:pPr>
              <w:pStyle w:val="TableContents"/>
              <w:bidi w:val="0"/>
              <w:spacing w:before="0" w:after="283"/>
              <w:jc w:val="left"/>
              <w:rPr>
                <w:sz w:val="4"/>
                <w:szCs w:val="4"/>
              </w:rPr>
            </w:pPr>
            <w:r>
              <w:rPr>
                <w:sz w:val="4"/>
                <w:szCs w:val="4"/>
              </w:rPr>
            </w:r>
          </w:p>
        </w:tc>
      </w:tr>
      <w:tr>
        <w:trPr/>
        <w:tc>
          <w:tcPr>
            <w:tcW w:w="2131" w:type="dxa"/>
            <w:tcBorders/>
          </w:tcPr>
          <w:p>
            <w:pPr>
              <w:pStyle w:val="TableContents"/>
              <w:bidi w:val="0"/>
              <w:spacing w:before="0" w:after="283"/>
              <w:jc w:val="left"/>
              <w:rPr/>
            </w:pPr>
            <w:r>
              <w:rPr/>
              <w:t>with a copy to:</w:t>
            </w:r>
          </w:p>
        </w:tc>
        <w:tc>
          <w:tcPr>
            <w:tcW w:w="120" w:type="dxa"/>
            <w:tcBorders/>
            <w:vAlign w:val="bottom"/>
          </w:tcPr>
          <w:p>
            <w:pPr>
              <w:pStyle w:val="TableContents"/>
              <w:bidi w:val="0"/>
              <w:spacing w:before="0" w:after="283"/>
              <w:jc w:val="left"/>
              <w:rPr/>
            </w:pPr>
            <w:r>
              <w:rPr/>
              <w:t>  </w:t>
            </w:r>
          </w:p>
        </w:tc>
        <w:tc>
          <w:tcPr>
            <w:tcW w:w="7954" w:type="dxa"/>
            <w:tcBorders/>
          </w:tcPr>
          <w:p>
            <w:pPr>
              <w:pStyle w:val="TableContents"/>
              <w:bidi w:val="0"/>
              <w:spacing w:before="0" w:after="0"/>
              <w:jc w:val="left"/>
              <w:rPr>
                <w:rFonts w:ascii="Times New Roman" w:hAnsi="Times New Roman"/>
                <w:sz w:val="20"/>
              </w:rPr>
            </w:pPr>
            <w:r>
              <w:rPr>
                <w:rFonts w:ascii="Times New Roman" w:hAnsi="Times New Roman"/>
                <w:sz w:val="20"/>
              </w:rPr>
              <w:t>Mintz, Levin, Cohn, Ferris, Glovsky and Popeo, P.C.</w:t>
            </w:r>
          </w:p>
          <w:p>
            <w:pPr>
              <w:pStyle w:val="TableContents"/>
              <w:bidi w:val="0"/>
              <w:spacing w:before="0" w:after="0"/>
              <w:jc w:val="left"/>
              <w:rPr>
                <w:rFonts w:ascii="Times New Roman" w:hAnsi="Times New Roman"/>
                <w:sz w:val="20"/>
              </w:rPr>
            </w:pPr>
            <w:r>
              <w:rPr>
                <w:rFonts w:ascii="Times New Roman" w:hAnsi="Times New Roman"/>
                <w:sz w:val="20"/>
              </w:rPr>
              <w:t>One Financial Center</w:t>
            </w:r>
          </w:p>
          <w:p>
            <w:pPr>
              <w:pStyle w:val="TableContents"/>
              <w:bidi w:val="0"/>
              <w:spacing w:before="0" w:after="0"/>
              <w:jc w:val="left"/>
              <w:rPr>
                <w:rFonts w:ascii="Times New Roman" w:hAnsi="Times New Roman"/>
                <w:sz w:val="20"/>
              </w:rPr>
            </w:pPr>
            <w:r>
              <w:rPr>
                <w:rFonts w:ascii="Times New Roman" w:hAnsi="Times New Roman"/>
                <w:sz w:val="20"/>
              </w:rPr>
              <w:t>Boston, MA 02111</w:t>
            </w:r>
          </w:p>
          <w:p>
            <w:pPr>
              <w:pStyle w:val="TableContents"/>
              <w:bidi w:val="0"/>
              <w:spacing w:before="0" w:after="0"/>
              <w:jc w:val="left"/>
              <w:rPr>
                <w:rFonts w:ascii="Times New Roman" w:hAnsi="Times New Roman"/>
                <w:sz w:val="20"/>
              </w:rPr>
            </w:pPr>
            <w:r>
              <w:rPr>
                <w:rFonts w:ascii="Times New Roman" w:hAnsi="Times New Roman"/>
                <w:sz w:val="20"/>
              </w:rPr>
              <w:t>Facsimile: (617) 542-2241</w:t>
            </w:r>
          </w:p>
          <w:p>
            <w:pPr>
              <w:pStyle w:val="TableContents"/>
              <w:bidi w:val="0"/>
              <w:spacing w:before="0" w:after="20"/>
              <w:jc w:val="left"/>
              <w:rPr>
                <w:rFonts w:ascii="Times New Roman" w:hAnsi="Times New Roman"/>
                <w:sz w:val="20"/>
              </w:rPr>
            </w:pPr>
            <w:r>
              <w:rPr>
                <w:rFonts w:ascii="Times New Roman" w:hAnsi="Times New Roman"/>
                <w:sz w:val="20"/>
              </w:rPr>
              <w:t>Attention: John Rudy, Esq.; Nishant M. Dharia, Esq.; Alok C. Choksi, Esq.</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party hereto may change the address for receipt of communications by giving written notice to the others.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16.</w:t>
      </w:r>
      <w:r>
        <w:rPr>
          <w:rFonts w:ascii="Times New Roman" w:hAnsi="Times New Roman"/>
          <w:sz w:val="20"/>
        </w:rPr>
        <w:t xml:space="preserve"> </w:t>
      </w:r>
      <w:r>
        <w:rPr>
          <w:rFonts w:ascii="Times New Roman" w:hAnsi="Times New Roman"/>
          <w:b/>
          <w:sz w:val="20"/>
        </w:rPr>
        <w:t>Successors</w:t>
      </w:r>
      <w:r>
        <w:rPr>
          <w:rFonts w:ascii="Times New Roman" w:hAnsi="Times New Roman"/>
          <w:i/>
          <w:sz w:val="20"/>
        </w:rPr>
        <w:t xml:space="preserve">. </w:t>
      </w:r>
      <w:r>
        <w:rPr>
          <w:rFonts w:ascii="Times New Roman" w:hAnsi="Times New Roman"/>
          <w:sz w:val="20"/>
        </w:rPr>
        <w:t xml:space="preserve">This Agreement will inure to the benefit of and be binding upon the parties hereto, including any substitute Underwriters pursuant to Section 11 hereof, and to the benefit of the affiliates, directors, officers, employees, agents and controlling persons referred to in Section 9 and Section 10, and in each case their respective successors, and personal representatives, and no other person will have any right or obligation hereunder. The term “successors” shall not include any purchaser of the Offered Securities as such from any of the Underwriters merely by reason of such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17.</w:t>
      </w:r>
      <w:r>
        <w:rPr>
          <w:rFonts w:ascii="Times New Roman" w:hAnsi="Times New Roman"/>
          <w:sz w:val="20"/>
        </w:rPr>
        <w:t xml:space="preserve"> </w:t>
      </w:r>
      <w:r>
        <w:rPr>
          <w:rFonts w:ascii="Times New Roman" w:hAnsi="Times New Roman"/>
          <w:b/>
          <w:sz w:val="20"/>
        </w:rPr>
        <w:t>Partial Unenforceability</w:t>
      </w:r>
      <w:r>
        <w:rPr>
          <w:rFonts w:ascii="Times New Roman" w:hAnsi="Times New Roman"/>
          <w:sz w:val="20"/>
        </w:rPr>
        <w:t xml:space="preserve">.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18.</w:t>
      </w:r>
      <w:r>
        <w:rPr>
          <w:rFonts w:ascii="Times New Roman" w:hAnsi="Times New Roman"/>
          <w:sz w:val="20"/>
        </w:rPr>
        <w:t xml:space="preserve"> </w:t>
      </w:r>
      <w:r>
        <w:rPr>
          <w:rFonts w:ascii="Times New Roman" w:hAnsi="Times New Roman"/>
          <w:b/>
          <w:sz w:val="20"/>
        </w:rPr>
        <w:t>Governing Law Provisions</w:t>
      </w:r>
      <w:r>
        <w:rPr>
          <w:rFonts w:ascii="Times New Roman" w:hAnsi="Times New Roman"/>
          <w:i/>
          <w:sz w:val="20"/>
        </w:rPr>
        <w:t xml:space="preserve">. </w:t>
      </w:r>
      <w:r>
        <w:rPr>
          <w:rFonts w:ascii="Times New Roman" w:hAnsi="Times New Roman"/>
          <w:sz w:val="20"/>
        </w:rPr>
        <w:t>This Agreement and any claim, controversy or dispute arising under or related to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w:t>
      </w:r>
      <w:r>
        <w:rPr>
          <w:rFonts w:ascii="Times New Roman" w:hAnsi="Times New Roman"/>
          <w:b/>
          <w:sz w:val="20"/>
        </w:rPr>
        <w:t>Related Proceeding</w:t>
      </w:r>
      <w:r>
        <w:rPr>
          <w:rFonts w:ascii="Times New Roman" w:hAnsi="Times New Roman"/>
          <w:sz w:val="20"/>
        </w:rPr>
        <w:t>s”)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 w:hAnsi="Times New Roman"/>
          <w:b/>
          <w:sz w:val="20"/>
        </w:rPr>
        <w:t>Specified Courts</w:t>
      </w:r>
      <w:r>
        <w:rPr>
          <w:rFonts w:ascii="Times New Roman" w:hAnsi="Times New Roman"/>
          <w:sz w:val="20"/>
        </w:rPr>
        <w:t>”), and each party irrevocably submits to the exclusive jurisdiction (except for proceedings instituted in regard to the enforcement of a judgment of any such court (a “</w:t>
      </w:r>
      <w:r>
        <w:rPr>
          <w:rFonts w:ascii="Times New Roman" w:hAnsi="Times New Roman"/>
          <w:b/>
          <w:sz w:val="20"/>
        </w:rPr>
        <w:t>Related Judgment</w:t>
      </w:r>
      <w:r>
        <w:rPr>
          <w:rFonts w:ascii="Times New Roman" w:hAnsi="Times New Roman"/>
          <w:sz w:val="20"/>
        </w:rPr>
        <w:t xml:space="preserve">”),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Each party not located in the United States has irrevocably appointed CT Corporation, which currently maintains a New York City office at 111 Eighth Avenue, 13th floor, New York, NY 10011, United States of America, as its agent to receive service of process or other legal summons for purposes of any such suit, action or proceeding that may be instituted in any state or federal court in the Borough of Manhattan in the City of New York.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any Related Proceeding, each party irrevocably waives, to the fullest extent permitted by applicable law, all immunity (whether on the basis of sovereignty or otherwise) from jurisdiction, service of process, attachment (both before and after judgment) and execution to which it might otherwise be entitled in the Specified Courts, and with respect to any Related Judgment, each party waives any such immunity in the Specified Courts or any other court of competent jurisdiction, and will not raise or claim or cause to be pleaded any such immunity at or in respect of any such Related Proceeding or Related Judgment, including, without limitation, any immunity pursuant to the United States Foreign Sovereign Immunities Act of 1976, as amended.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19.</w:t>
      </w:r>
      <w:r>
        <w:rPr>
          <w:rFonts w:ascii="Times New Roman" w:hAnsi="Times New Roman"/>
          <w:sz w:val="20"/>
        </w:rPr>
        <w:t xml:space="preserve"> </w:t>
      </w:r>
      <w:r>
        <w:rPr>
          <w:rFonts w:ascii="Times New Roman" w:hAnsi="Times New Roman"/>
          <w:b/>
          <w:sz w:val="20"/>
        </w:rPr>
        <w:t>Recognition of the U.S. Special Resolution Regimes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used in this Section 19: </w:t>
      </w:r>
    </w:p>
    <w:p>
      <w:pPr>
        <w:pStyle w:val="TextBody"/>
        <w:bidi w:val="0"/>
        <w:spacing w:before="120" w:after="0"/>
        <w:jc w:val="left"/>
        <w:rPr/>
      </w:pPr>
      <w:r>
        <w:rPr/>
        <w:t>“</w:t>
      </w:r>
      <w:r>
        <w:rPr>
          <w:rFonts w:ascii="Times New Roman" w:hAnsi="Times New Roman"/>
          <w:b/>
          <w:sz w:val="20"/>
        </w:rPr>
        <w:t>BHC Act Affiliate</w:t>
      </w:r>
      <w:r>
        <w:rPr>
          <w:rFonts w:ascii="Times New Roman" w:hAnsi="Times New Roman"/>
          <w:sz w:val="20"/>
        </w:rPr>
        <w:t xml:space="preserve">” has the meaning assigned to the term “affiliate” in, and shall be interpreted in accordance with, 12 U.S.C. § 1841(k). </w:t>
      </w:r>
    </w:p>
    <w:p>
      <w:pPr>
        <w:pStyle w:val="TextBody"/>
        <w:bidi w:val="0"/>
        <w:spacing w:before="120" w:after="0"/>
        <w:jc w:val="left"/>
        <w:rPr/>
      </w:pPr>
      <w:r>
        <w:rPr/>
        <w:t>“</w:t>
      </w:r>
      <w:r>
        <w:rPr>
          <w:rFonts w:ascii="Times New Roman" w:hAnsi="Times New Roman"/>
          <w:b/>
          <w:sz w:val="20"/>
        </w:rPr>
        <w:t>Covered Entity</w:t>
      </w:r>
      <w:r>
        <w:rPr>
          <w:rFonts w:ascii="Times New Roman" w:hAnsi="Times New Roman"/>
          <w:sz w:val="20"/>
        </w:rPr>
        <w:t xml:space="preserve">” means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“covered entity” as that term is defined in, and interpreted in accordance with, 12 C.F.R. § 252.82(b); </w:t>
      </w:r>
    </w:p>
    <w:p>
      <w:pPr>
        <w:pStyle w:val="TextBody"/>
        <w:bidi w:val="0"/>
        <w:spacing w:before="240" w:after="0"/>
        <w:jc w:val="left"/>
        <w:rPr>
          <w:rFonts w:ascii="Times New Roman" w:hAnsi="Times New Roman"/>
          <w:sz w:val="20"/>
        </w:rPr>
      </w:pPr>
      <w:r>
        <w:rPr>
          <w:rFonts w:ascii="Times New Roman" w:hAnsi="Times New Roman"/>
          <w:sz w:val="20"/>
        </w:rPr>
        <w:t xml:space="preserve">(ii) a “covered bank” as that term is defined in, and interpreted in accordance with, 12 C.F.R. § 47.3(b); or </w:t>
      </w:r>
    </w:p>
    <w:p>
      <w:pPr>
        <w:pStyle w:val="TextBody"/>
        <w:bidi w:val="0"/>
        <w:spacing w:before="240" w:after="0"/>
        <w:jc w:val="left"/>
        <w:rPr>
          <w:rFonts w:ascii="Times New Roman" w:hAnsi="Times New Roman"/>
          <w:sz w:val="20"/>
        </w:rPr>
      </w:pPr>
      <w:r>
        <w:rPr>
          <w:rFonts w:ascii="Times New Roman" w:hAnsi="Times New Roman"/>
          <w:sz w:val="20"/>
        </w:rPr>
        <w:t xml:space="preserve">(iii) a “covered FSI” as that term is defined in, and interpreted in accordance with, 12 C.F.R. § 382.2(b). </w:t>
      </w:r>
    </w:p>
    <w:p>
      <w:pPr>
        <w:pStyle w:val="TextBody"/>
        <w:bidi w:val="0"/>
        <w:spacing w:before="120" w:after="0"/>
        <w:jc w:val="left"/>
        <w:rPr/>
      </w:pPr>
      <w:r>
        <w:rPr/>
        <w:t>“</w:t>
      </w:r>
      <w:r>
        <w:rPr>
          <w:rFonts w:ascii="Times New Roman" w:hAnsi="Times New Roman"/>
          <w:b/>
          <w:sz w:val="20"/>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120" w:after="0"/>
        <w:jc w:val="left"/>
        <w:rPr/>
      </w:pPr>
      <w:r>
        <w:rPr/>
        <w:t>“</w:t>
      </w:r>
      <w:r>
        <w:rPr>
          <w:rFonts w:ascii="Times New Roman" w:hAnsi="Times New Roman"/>
          <w:b/>
          <w:sz w:val="20"/>
        </w:rPr>
        <w:t>U.S. Special Resolution Regime</w:t>
      </w:r>
      <w:r>
        <w:rPr>
          <w:rFonts w:ascii="Times New Roman" w:hAnsi="Times New Roman"/>
          <w:sz w:val="20"/>
        </w:rPr>
        <w:t xml:space="preserv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w:t>
      </w:r>
      <w:r>
        <w:rPr>
          <w:rFonts w:ascii="Times New Roman" w:hAnsi="Times New Roman"/>
          <w:sz w:val="20"/>
        </w:rPr>
        <w:t xml:space="preserve"> </w:t>
      </w:r>
      <w:r>
        <w:rPr>
          <w:rFonts w:ascii="Times New Roman" w:hAnsi="Times New Roman"/>
          <w:b/>
          <w:sz w:val="20"/>
        </w:rPr>
        <w:t>Compliance with USA Patriot Act</w:t>
      </w:r>
      <w:r>
        <w:rPr>
          <w:rFonts w:ascii="Times New Roman" w:hAnsi="Times New Roman"/>
          <w:sz w:val="20"/>
        </w:rPr>
        <w:t xml:space="preserve">. In accordance with the requirements of the USA Patriot Act,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w:t>
      </w:r>
      <w:r>
        <w:rPr>
          <w:rFonts w:ascii="Times New Roman" w:hAnsi="Times New Roman"/>
          <w:sz w:val="20"/>
        </w:rPr>
        <w:t xml:space="preserve"> </w:t>
      </w:r>
      <w:r>
        <w:rPr>
          <w:rFonts w:ascii="Times New Roman" w:hAnsi="Times New Roman"/>
          <w:b/>
          <w:sz w:val="20"/>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Judgment Currency</w:t>
      </w:r>
      <w:r>
        <w:rPr>
          <w:rFonts w:ascii="Times New Roman" w:hAnsi="Times New Roman"/>
          <w:sz w:val="20"/>
        </w:rPr>
        <w:t>. The Company agrees to indemnify each Underwriter, its directors, officers, affiliates and each person, if any, who controls such Underwriter within the meaning of Section 15 of the Securities Act or Section 20 of the Exchange Act, against any loss incurred by such Underwriter as a result of any judgment or order being given or made for any amount due hereunder and such judgment or order being expressed and paid in a currency (the “</w:t>
      </w:r>
      <w:r>
        <w:rPr>
          <w:rFonts w:ascii="Times New Roman" w:hAnsi="Times New Roman"/>
          <w:b/>
          <w:sz w:val="20"/>
        </w:rPr>
        <w:t>judgment currency</w:t>
      </w:r>
      <w:r>
        <w:rPr>
          <w:rFonts w:ascii="Times New Roman" w:hAnsi="Times New Roman"/>
          <w:sz w:val="20"/>
        </w:rPr>
        <w:t xml:space="preserve">”) other than U.S. dollars and as a result of any variation as between (i) the rate of exchange at which the U.S. dollar amount is converted into the judgment currency for the purpose of such judgment or order, and (ii) the rate of exchange at which such indemnified person is able to purchase U.S. dollars with the amount of the judgment currency actually received by the indemnified person. The foregoing indemnity shall constitute a separate and independent obligation of the Company and shall continue in full force and effect notwithstanding any such judgment or order as aforesaid. The term “rate of exchange” shall include any premiums and costs of exchange payable in connection with the purchase of, or conversion into, the relevant currency.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Waiver of Immunity</w:t>
      </w:r>
      <w:r>
        <w:rPr>
          <w:rFonts w:ascii="Times New Roman" w:hAnsi="Times New Roman"/>
          <w:sz w:val="20"/>
        </w:rPr>
        <w:t xml:space="preserve">. To the extent that the Company has or hereafter may acquire any immunity (sovereign or otherwise) from jurisdiction of any court of (i) the Republic of Singapore, or any political subdivision thereof, (ii) the United States or the State of New York, (iii) any jurisdiction in which it owns or leases property or assets or from any legal process (whether through service of notice, attachment prior to judgment, attachment in aid of execution, execution, set-off or otherwise) with respect to themselves or their respective property and assets or this Agreement, the Company hereby irrevocably waives such immunity in respect of its obligations under this Agreement to the fullest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i/>
          <w:sz w:val="20"/>
        </w:rPr>
        <w:t>Waiver of Jury Trial</w:t>
      </w:r>
      <w:r>
        <w:rPr>
          <w:rFonts w:ascii="Times New Roman" w:hAnsi="Times New Roman"/>
          <w:sz w:val="20"/>
        </w:rPr>
        <w:t xml:space="preserve">. Each of the parties hereto hereby waives any right to trial by jury in any suit or proceeding arising out of or relating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22.</w:t>
      </w:r>
      <w:r>
        <w:rPr>
          <w:rFonts w:ascii="Times New Roman" w:hAnsi="Times New Roman"/>
          <w:sz w:val="20"/>
        </w:rPr>
        <w:t xml:space="preserve"> </w:t>
      </w:r>
      <w:r>
        <w:rPr>
          <w:rFonts w:ascii="Times New Roman" w:hAnsi="Times New Roman"/>
          <w:b/>
          <w:sz w:val="20"/>
        </w:rPr>
        <w:t>General Provisions</w:t>
      </w:r>
      <w:r>
        <w:rPr>
          <w:rFonts w:ascii="Times New Roman" w:hAnsi="Times New Roman"/>
          <w:sz w:val="20"/>
        </w:rPr>
        <w:t xml:space="preserve">.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Each of the parties hereto acknowledges that it is a sophisticated business person who was adequately represented by counsel during negotiations regarding the provisions hereof, including, without limitation, the indemnification provisions of Section 9 and the contribution provisions of Section 10, and is fully informed regarding said provisions. Each of the parties hereto further acknowledges that the provisions of Section 9 and Section 10 hereof fairly allocate the risks in light of the ability of the parties to investigate the Company, its affairs and its business in order to assure that adequate disclosure has been made in the Registration Statement, any preliminary prospectus, the Time of Sale Prospectus, each free writing prospectus and the Prospectus (and any amendments and supplements to the foregoing), as contemplated by the Securities Act and the Exchange Act.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of our agreement, kindly sign and return to the Company the enclosed copies hereof, whereupon this instrument, along with all counterparts hereof, shall become a binding agreement in accordance with its terms.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4"/>
        <w:gridCol w:w="60"/>
        <w:gridCol w:w="657"/>
        <w:gridCol w:w="60"/>
        <w:gridCol w:w="2941"/>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vAlign w:val="bottom"/>
          </w:tcPr>
          <w:p>
            <w:pPr>
              <w:pStyle w:val="TableContents"/>
              <w:bidi w:val="0"/>
              <w:spacing w:before="0" w:after="283"/>
              <w:jc w:val="left"/>
              <w:rPr/>
            </w:pPr>
            <w:r>
              <w:rPr/>
              <w:t>Very truly yours,</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vAlign w:val="bottom"/>
          </w:tcPr>
          <w:p>
            <w:pPr>
              <w:pStyle w:val="TableContents"/>
              <w:bidi w:val="0"/>
              <w:spacing w:before="0" w:after="283"/>
              <w:jc w:val="left"/>
              <w:rPr>
                <w:b/>
              </w:rPr>
            </w:pPr>
            <w:r>
              <w:rPr>
                <w:b/>
              </w:rPr>
              <w:t>WAVE LIFE SCIENCES LTD.</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8" w:type="dxa"/>
            <w:gridSpan w:val="3"/>
            <w:tcBorders>
              <w:bottom w:val="single" w:sz="2" w:space="0" w:color="000000"/>
            </w:tcBorders>
            <w:tcMar>
              <w:bottom w:w="28" w:type="dxa"/>
            </w:tcMar>
          </w:tcPr>
          <w:p>
            <w:pPr>
              <w:pStyle w:val="TableContents"/>
              <w:bidi w:val="0"/>
              <w:spacing w:before="0" w:after="283"/>
              <w:jc w:val="left"/>
              <w:rPr/>
            </w:pPr>
            <w:r>
              <w:rPr/>
              <w:t>/s/ Paul B. Bolno, M.D.</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283"/>
              <w:jc w:val="left"/>
              <w:rPr/>
            </w:pPr>
            <w:r>
              <w:rPr/>
              <w:t>Paul B. Bolno, M.D.</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283"/>
              <w:jc w:val="left"/>
              <w:rPr/>
            </w:pPr>
            <w:r>
              <w:rPr/>
              <w:t>President and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Underwriting Agreement is hereby confirmed and accepted by the Representatives in New York, New York as of the date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64"/>
        <w:gridCol w:w="60"/>
        <w:gridCol w:w="690"/>
        <w:gridCol w:w="60"/>
        <w:gridCol w:w="2908"/>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08"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JEFFERIES LLC</w:t>
            </w:r>
          </w:p>
          <w:p>
            <w:pPr>
              <w:pStyle w:val="TableContents"/>
              <w:bidi w:val="0"/>
              <w:spacing w:before="0" w:after="0"/>
              <w:jc w:val="left"/>
              <w:rPr>
                <w:rFonts w:ascii="Times New Roman" w:hAnsi="Times New Roman"/>
                <w:b/>
                <w:sz w:val="20"/>
              </w:rPr>
            </w:pPr>
            <w:r>
              <w:rPr>
                <w:rFonts w:ascii="Times New Roman" w:hAnsi="Times New Roman"/>
                <w:b/>
                <w:sz w:val="20"/>
              </w:rPr>
              <w:t>LEERINK PARTNERS LLC</w:t>
            </w:r>
          </w:p>
          <w:p>
            <w:pPr>
              <w:pStyle w:val="TableContents"/>
              <w:bidi w:val="0"/>
              <w:spacing w:before="0" w:after="20"/>
              <w:jc w:val="left"/>
              <w:rPr>
                <w:rFonts w:ascii="Times New Roman" w:hAnsi="Times New Roman"/>
                <w:b/>
                <w:sz w:val="20"/>
              </w:rPr>
            </w:pPr>
            <w:r>
              <w:rPr>
                <w:rFonts w:ascii="Times New Roman" w:hAnsi="Times New Roman"/>
                <w:b/>
                <w:sz w:val="20"/>
              </w:rPr>
              <w:t>BOFA SECURITIES, INC.</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vAlign w:val="bottom"/>
          </w:tcPr>
          <w:p>
            <w:pPr>
              <w:pStyle w:val="TableContents"/>
              <w:bidi w:val="0"/>
              <w:spacing w:before="0" w:after="283"/>
              <w:jc w:val="left"/>
              <w:rPr/>
            </w:pPr>
            <w:r>
              <w:rPr/>
              <w:t xml:space="preserve">Acting individually and as Representatives of the several Underwriters named in the attached </w:t>
            </w:r>
            <w:r>
              <w:rPr>
                <w:u w:val="single"/>
              </w:rPr>
              <w:t>Schedule A</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vAlign w:val="bottom"/>
          </w:tcPr>
          <w:p>
            <w:pPr>
              <w:pStyle w:val="TableContents"/>
              <w:bidi w:val="0"/>
              <w:spacing w:before="0" w:after="283"/>
              <w:jc w:val="left"/>
              <w:rPr>
                <w:b/>
              </w:rPr>
            </w:pPr>
            <w:r>
              <w:rPr>
                <w:b/>
              </w:rPr>
              <w:t>JEFFERIES LLC</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8" w:type="dxa"/>
            <w:gridSpan w:val="3"/>
            <w:tcBorders>
              <w:bottom w:val="single" w:sz="2" w:space="0" w:color="000000"/>
            </w:tcBorders>
            <w:tcMar>
              <w:bottom w:w="28" w:type="dxa"/>
            </w:tcMar>
          </w:tcPr>
          <w:p>
            <w:pPr>
              <w:pStyle w:val="TableContents"/>
              <w:bidi w:val="0"/>
              <w:spacing w:before="0" w:after="283"/>
              <w:jc w:val="left"/>
              <w:rPr/>
            </w:pPr>
            <w:r>
              <w:rPr/>
              <w:t>/s/ Philip Ross</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08" w:type="dxa"/>
            <w:tcBorders/>
          </w:tcPr>
          <w:p>
            <w:pPr>
              <w:pStyle w:val="TableContents"/>
              <w:bidi w:val="0"/>
              <w:spacing w:before="0" w:after="283"/>
              <w:jc w:val="left"/>
              <w:rPr/>
            </w:pPr>
            <w:r>
              <w:rPr/>
              <w:t>Philip Ross</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08" w:type="dxa"/>
            <w:tcBorders/>
          </w:tcPr>
          <w:p>
            <w:pPr>
              <w:pStyle w:val="TableContents"/>
              <w:bidi w:val="0"/>
              <w:spacing w:before="0" w:after="283"/>
              <w:jc w:val="left"/>
              <w:rPr/>
            </w:pPr>
            <w:r>
              <w:rPr/>
              <w:t>Vice Chairman</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vAlign w:val="bottom"/>
          </w:tcPr>
          <w:p>
            <w:pPr>
              <w:pStyle w:val="TableContents"/>
              <w:bidi w:val="0"/>
              <w:spacing w:before="0" w:after="283"/>
              <w:jc w:val="left"/>
              <w:rPr>
                <w:b/>
              </w:rPr>
            </w:pPr>
            <w:r>
              <w:rPr>
                <w:b/>
              </w:rPr>
              <w:t>LEERINK PARTNERS LLC</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8" w:type="dxa"/>
            <w:gridSpan w:val="3"/>
            <w:tcBorders>
              <w:bottom w:val="single" w:sz="2" w:space="0" w:color="000000"/>
            </w:tcBorders>
            <w:tcMar>
              <w:bottom w:w="28" w:type="dxa"/>
            </w:tcMar>
          </w:tcPr>
          <w:p>
            <w:pPr>
              <w:pStyle w:val="TableContents"/>
              <w:bidi w:val="0"/>
              <w:spacing w:before="0" w:after="283"/>
              <w:jc w:val="left"/>
              <w:rPr/>
            </w:pPr>
            <w:r>
              <w:rPr/>
              <w:t>/s/ Sean Pitt</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08" w:type="dxa"/>
            <w:tcBorders/>
          </w:tcPr>
          <w:p>
            <w:pPr>
              <w:pStyle w:val="TableContents"/>
              <w:bidi w:val="0"/>
              <w:spacing w:before="0" w:after="283"/>
              <w:jc w:val="left"/>
              <w:rPr/>
            </w:pPr>
            <w:r>
              <w:rPr/>
              <w:t>Sean Pitt</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08" w:type="dxa"/>
            <w:tcBorders/>
          </w:tcPr>
          <w:p>
            <w:pPr>
              <w:pStyle w:val="TableContents"/>
              <w:bidi w:val="0"/>
              <w:spacing w:before="0" w:after="283"/>
              <w:jc w:val="left"/>
              <w:rPr/>
            </w:pPr>
            <w:r>
              <w:rPr/>
              <w:t>Senior Managing Director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BOFA SECURITIES,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/s/ Lorenzo Paoletti</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0"/>
              <w:jc w:val="left"/>
              <w:rPr>
                <w:rFonts w:ascii="Times New Roman" w:hAnsi="Times New Roman"/>
                <w:sz w:val="20"/>
              </w:rPr>
            </w:pPr>
            <w:r>
              <w:rPr>
                <w:rFonts w:ascii="Times New Roman" w:hAnsi="Times New Roman"/>
                <w:sz w:val="20"/>
              </w:rPr>
              <w:t>Name:   Lorenzo Paoletti</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0"/>
              <w:jc w:val="left"/>
              <w:rPr>
                <w:rFonts w:ascii="Times New Roman" w:hAnsi="Times New Roman"/>
                <w:sz w:val="20"/>
              </w:rPr>
            </w:pPr>
            <w:r>
              <w:rPr>
                <w:rFonts w:ascii="Times New Roman" w:hAnsi="Times New Roman"/>
                <w:sz w:val="20"/>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70"/>
        <w:gridCol w:w="145"/>
        <w:gridCol w:w="60"/>
        <w:gridCol w:w="1141"/>
        <w:gridCol w:w="60"/>
        <w:gridCol w:w="145"/>
        <w:gridCol w:w="72"/>
        <w:gridCol w:w="1205"/>
        <w:gridCol w:w="60"/>
        <w:gridCol w:w="145"/>
        <w:gridCol w:w="80"/>
        <w:gridCol w:w="1356"/>
        <w:gridCol w:w="66"/>
      </w:tblGrid>
      <w:tr>
        <w:trPr/>
        <w:tc>
          <w:tcPr>
            <w:tcW w:w="5670"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5670" w:type="dxa"/>
            <w:tcBorders/>
            <w:vAlign w:val="bottom"/>
          </w:tcPr>
          <w:p>
            <w:pPr>
              <w:pStyle w:val="TableContents"/>
              <w:bidi w:val="0"/>
              <w:spacing w:before="0" w:after="283"/>
              <w:jc w:val="left"/>
              <w:rPr>
                <w:b/>
              </w:rPr>
            </w:pPr>
            <w:r>
              <w:rPr>
                <w:b/>
              </w:rPr>
              <w:t>Underwriters</w:t>
            </w:r>
          </w:p>
        </w:tc>
        <w:tc>
          <w:tcPr>
            <w:tcW w:w="145" w:type="dxa"/>
            <w:tcBorders/>
            <w:vAlign w:val="bottom"/>
          </w:tcPr>
          <w:p>
            <w:pPr>
              <w:pStyle w:val="TableContents"/>
              <w:bidi w:val="0"/>
              <w:spacing w:before="0" w:after="283"/>
              <w:jc w:val="left"/>
              <w:rPr/>
            </w:pPr>
            <w:r>
              <w:rPr/>
              <w:t>  </w:t>
            </w:r>
          </w:p>
        </w:tc>
        <w:tc>
          <w:tcPr>
            <w:tcW w:w="1201" w:type="dxa"/>
            <w:gridSpan w:val="2"/>
            <w:tcBorders/>
            <w:vAlign w:val="bottom"/>
          </w:tcPr>
          <w:p>
            <w:pPr>
              <w:pStyle w:val="TableContents"/>
              <w:bidi w:val="0"/>
              <w:spacing w:before="0" w:after="283"/>
              <w:jc w:val="center"/>
              <w:rPr>
                <w:b/>
              </w:rPr>
            </w:pPr>
            <w:r>
              <w:rPr>
                <w:b/>
              </w:rPr>
              <w:t>Number of</w:t>
              <w:br/>
              <w:t>Firm Shares</w:t>
              <w:br/>
              <w:t>to be</w:t>
              <w:br/>
              <w:t>Purchased</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bidi w:val="0"/>
              <w:spacing w:before="0" w:after="283"/>
              <w:jc w:val="center"/>
              <w:rPr>
                <w:b/>
              </w:rPr>
            </w:pPr>
            <w:r>
              <w:rPr>
                <w:b/>
              </w:rPr>
              <w:t>Number of</w:t>
              <w:br/>
              <w:t>Optional</w:t>
              <w:br/>
              <w:t>Shares to be</w:t>
              <w:br/>
              <w:t>Purchased</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36" w:type="dxa"/>
            <w:gridSpan w:val="2"/>
            <w:tcBorders/>
            <w:vAlign w:val="bottom"/>
          </w:tcPr>
          <w:p>
            <w:pPr>
              <w:pStyle w:val="TableContents"/>
              <w:bidi w:val="0"/>
              <w:spacing w:before="0" w:after="283"/>
              <w:jc w:val="center"/>
              <w:rPr>
                <w:b/>
              </w:rPr>
            </w:pPr>
            <w:r>
              <w:rPr>
                <w:b/>
              </w:rPr>
              <w:t>Number of</w:t>
              <w:br/>
              <w:t>Pre-Funded</w:t>
              <w:br/>
              <w:t>Warrants to</w:t>
              <w:br/>
              <w:t>be Purchased</w:t>
            </w:r>
          </w:p>
        </w:tc>
        <w:tc>
          <w:tcPr>
            <w:tcW w:w="66" w:type="dxa"/>
            <w:tcBorders/>
            <w:vAlign w:val="bottom"/>
          </w:tcPr>
          <w:p>
            <w:pPr>
              <w:pStyle w:val="TableContents"/>
              <w:bidi w:val="0"/>
              <w:spacing w:before="0" w:after="283"/>
              <w:jc w:val="left"/>
              <w:rPr/>
            </w:pPr>
            <w:r>
              <w:rPr/>
              <w:t> </w:t>
            </w:r>
          </w:p>
        </w:tc>
      </w:tr>
      <w:tr>
        <w:trPr/>
        <w:tc>
          <w:tcPr>
            <w:tcW w:w="56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Jefferies LLC</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5,368,422</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939,473</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894,737</w:t>
            </w:r>
          </w:p>
        </w:tc>
        <w:tc>
          <w:tcPr>
            <w:tcW w:w="66" w:type="dxa"/>
            <w:tcBorders/>
            <w:shd w:fill="CCEEFF" w:val="clear"/>
            <w:vAlign w:val="bottom"/>
          </w:tcPr>
          <w:p>
            <w:pPr>
              <w:pStyle w:val="TableContents"/>
              <w:bidi w:val="0"/>
              <w:spacing w:before="0" w:after="283"/>
              <w:jc w:val="left"/>
              <w:rPr/>
            </w:pPr>
            <w:r>
              <w:rPr/>
              <w:t> </w:t>
            </w:r>
          </w:p>
        </w:tc>
      </w:tr>
      <w:tr>
        <w:trPr/>
        <w:tc>
          <w:tcPr>
            <w:tcW w:w="5670" w:type="dxa"/>
            <w:tcBorders/>
          </w:tcPr>
          <w:p>
            <w:pPr>
              <w:pStyle w:val="TableContents"/>
              <w:bidi w:val="0"/>
              <w:spacing w:before="0" w:after="0"/>
              <w:jc w:val="left"/>
              <w:rPr>
                <w:rFonts w:ascii="Times New Roman" w:hAnsi="Times New Roman"/>
                <w:sz w:val="20"/>
              </w:rPr>
            </w:pPr>
            <w:r>
              <w:rPr>
                <w:rFonts w:ascii="Times New Roman" w:hAnsi="Times New Roman"/>
                <w:sz w:val="20"/>
              </w:rPr>
              <w:t>Leerink Partners LLC</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5,368,422</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939,473</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894,737</w:t>
            </w:r>
          </w:p>
        </w:tc>
        <w:tc>
          <w:tcPr>
            <w:tcW w:w="66" w:type="dxa"/>
            <w:tcBorders/>
            <w:vAlign w:val="bottom"/>
          </w:tcPr>
          <w:p>
            <w:pPr>
              <w:pStyle w:val="TableContents"/>
              <w:bidi w:val="0"/>
              <w:spacing w:before="0" w:after="283"/>
              <w:jc w:val="left"/>
              <w:rPr/>
            </w:pPr>
            <w:r>
              <w:rPr/>
              <w:t> </w:t>
            </w:r>
          </w:p>
        </w:tc>
      </w:tr>
      <w:tr>
        <w:trPr/>
        <w:tc>
          <w:tcPr>
            <w:tcW w:w="56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3,157,895</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552,631</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526,316</w:t>
            </w:r>
          </w:p>
        </w:tc>
        <w:tc>
          <w:tcPr>
            <w:tcW w:w="66" w:type="dxa"/>
            <w:tcBorders/>
            <w:shd w:fill="CCEEFF" w:val="clear"/>
            <w:vAlign w:val="bottom"/>
          </w:tcPr>
          <w:p>
            <w:pPr>
              <w:pStyle w:val="TableContents"/>
              <w:bidi w:val="0"/>
              <w:spacing w:before="0" w:after="283"/>
              <w:jc w:val="left"/>
              <w:rPr/>
            </w:pPr>
            <w:r>
              <w:rPr/>
              <w:t> </w:t>
            </w:r>
          </w:p>
        </w:tc>
      </w:tr>
      <w:tr>
        <w:trPr/>
        <w:tc>
          <w:tcPr>
            <w:tcW w:w="5670" w:type="dxa"/>
            <w:tcBorders/>
          </w:tcPr>
          <w:p>
            <w:pPr>
              <w:pStyle w:val="TableContents"/>
              <w:bidi w:val="0"/>
              <w:spacing w:before="0" w:after="0"/>
              <w:jc w:val="left"/>
              <w:rPr>
                <w:rFonts w:ascii="Times New Roman" w:hAnsi="Times New Roman"/>
                <w:sz w:val="20"/>
              </w:rPr>
            </w:pPr>
            <w:r>
              <w:rPr>
                <w:rFonts w:ascii="Times New Roman" w:hAnsi="Times New Roman"/>
                <w:sz w:val="20"/>
              </w:rPr>
              <w:t>Truist Securities, Inc.</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1,105,262</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193,422</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184,209</w:t>
            </w:r>
          </w:p>
        </w:tc>
        <w:tc>
          <w:tcPr>
            <w:tcW w:w="66" w:type="dxa"/>
            <w:tcBorders/>
            <w:vAlign w:val="bottom"/>
          </w:tcPr>
          <w:p>
            <w:pPr>
              <w:pStyle w:val="TableContents"/>
              <w:bidi w:val="0"/>
              <w:spacing w:before="0" w:after="283"/>
              <w:jc w:val="left"/>
              <w:rPr/>
            </w:pPr>
            <w:r>
              <w:rPr/>
              <w:t> </w:t>
            </w:r>
          </w:p>
        </w:tc>
      </w:tr>
      <w:tr>
        <w:trPr/>
        <w:tc>
          <w:tcPr>
            <w:tcW w:w="56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Mizuho Securities USA LLC</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789,474</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138,158</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131,579</w:t>
            </w:r>
          </w:p>
        </w:tc>
        <w:tc>
          <w:tcPr>
            <w:tcW w:w="66" w:type="dxa"/>
            <w:tcBorders/>
            <w:shd w:fill="CCEEFF" w:val="clear"/>
            <w:vAlign w:val="bottom"/>
          </w:tcPr>
          <w:p>
            <w:pPr>
              <w:pStyle w:val="TableContents"/>
              <w:bidi w:val="0"/>
              <w:spacing w:before="0" w:after="283"/>
              <w:jc w:val="left"/>
              <w:rPr/>
            </w:pPr>
            <w:r>
              <w:rPr/>
              <w:t> </w:t>
            </w:r>
          </w:p>
        </w:tc>
      </w:tr>
      <w:tr>
        <w:trPr/>
        <w:tc>
          <w:tcPr>
            <w:tcW w:w="567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15,789,475</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2,763,157</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2,631,578</w:t>
            </w:r>
          </w:p>
        </w:tc>
        <w:tc>
          <w:tcPr>
            <w:tcW w:w="66"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B </w:t>
      </w:r>
    </w:p>
    <w:p>
      <w:pPr>
        <w:pStyle w:val="TextBody"/>
        <w:bidi w:val="0"/>
        <w:spacing w:before="240" w:after="0"/>
        <w:jc w:val="center"/>
        <w:rPr>
          <w:rFonts w:ascii="Times New Roman" w:hAnsi="Times New Roman"/>
          <w:b/>
          <w:sz w:val="20"/>
        </w:rPr>
      </w:pPr>
      <w:r>
        <w:rPr>
          <w:rFonts w:ascii="Times New Roman" w:hAnsi="Times New Roman"/>
          <w:b/>
          <w:sz w:val="20"/>
        </w:rPr>
        <w:t xml:space="preserve">Free Writing Prospectuses Included in the Time of Sale Prospectus </w:t>
      </w:r>
    </w:p>
    <w:p>
      <w:pPr>
        <w:pStyle w:val="TextBody"/>
        <w:bidi w:val="0"/>
        <w:spacing w:before="120" w:after="0"/>
        <w:jc w:val="center"/>
        <w:rPr>
          <w:rFonts w:ascii="Times New Roman" w:hAnsi="Times New Roman"/>
          <w:sz w:val="20"/>
        </w:rPr>
      </w:pPr>
      <w:r>
        <w:rPr>
          <w:rFonts w:ascii="Times New Roman" w:hAnsi="Times New Roman"/>
          <w:sz w:val="20"/>
        </w:rPr>
        <w:t xml:space="preserve">[None.]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C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Pricing Information Included in the Time of Sale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48"/>
        <w:gridCol w:w="424"/>
        <w:gridCol w:w="140"/>
        <w:gridCol w:w="1131"/>
        <w:gridCol w:w="62"/>
      </w:tblGrid>
      <w:tr>
        <w:trPr/>
        <w:tc>
          <w:tcPr>
            <w:tcW w:w="8448" w:type="dxa"/>
            <w:tcBorders/>
            <w:vAlign w:val="center"/>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4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Price per Offered Share to the Public:</w:t>
            </w:r>
          </w:p>
        </w:tc>
        <w:tc>
          <w:tcPr>
            <w:tcW w:w="4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31" w:type="dxa"/>
            <w:tcBorders/>
            <w:shd w:fill="CCEEFF" w:val="clear"/>
            <w:vAlign w:val="bottom"/>
          </w:tcPr>
          <w:p>
            <w:pPr>
              <w:pStyle w:val="TableContents"/>
              <w:bidi w:val="0"/>
              <w:spacing w:before="0" w:after="283"/>
              <w:jc w:val="right"/>
              <w:rPr/>
            </w:pPr>
            <w:r>
              <w:rPr/>
              <w:t>19.00</w:t>
            </w:r>
          </w:p>
        </w:tc>
        <w:tc>
          <w:tcPr>
            <w:tcW w:w="62" w:type="dxa"/>
            <w:tcBorders/>
            <w:shd w:fill="CCEEFF" w:val="clear"/>
            <w:vAlign w:val="bottom"/>
          </w:tcPr>
          <w:p>
            <w:pPr>
              <w:pStyle w:val="TableContents"/>
              <w:bidi w:val="0"/>
              <w:spacing w:before="0" w:after="283"/>
              <w:jc w:val="left"/>
              <w:rPr/>
            </w:pPr>
            <w:r>
              <w:rPr/>
              <w:t> </w:t>
            </w:r>
          </w:p>
        </w:tc>
      </w:tr>
      <w:tr>
        <w:trPr/>
        <w:tc>
          <w:tcPr>
            <w:tcW w:w="8448" w:type="dxa"/>
            <w:tcBorders/>
          </w:tcPr>
          <w:p>
            <w:pPr>
              <w:pStyle w:val="TableContents"/>
              <w:bidi w:val="0"/>
              <w:spacing w:before="0" w:after="0"/>
              <w:jc w:val="left"/>
              <w:rPr>
                <w:rFonts w:ascii="Times New Roman" w:hAnsi="Times New Roman"/>
                <w:sz w:val="20"/>
              </w:rPr>
            </w:pPr>
            <w:r>
              <w:rPr>
                <w:rFonts w:ascii="Times New Roman" w:hAnsi="Times New Roman"/>
                <w:sz w:val="20"/>
              </w:rPr>
              <w:t>Number of Firm Shares:</w:t>
            </w:r>
          </w:p>
        </w:tc>
        <w:tc>
          <w:tcPr>
            <w:tcW w:w="4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15,789,475</w:t>
            </w:r>
          </w:p>
        </w:tc>
        <w:tc>
          <w:tcPr>
            <w:tcW w:w="62" w:type="dxa"/>
            <w:tcBorders/>
            <w:vAlign w:val="bottom"/>
          </w:tcPr>
          <w:p>
            <w:pPr>
              <w:pStyle w:val="TableContents"/>
              <w:bidi w:val="0"/>
              <w:spacing w:before="0" w:after="283"/>
              <w:jc w:val="left"/>
              <w:rPr/>
            </w:pPr>
            <w:r>
              <w:rPr/>
              <w:t> </w:t>
            </w:r>
          </w:p>
        </w:tc>
      </w:tr>
      <w:tr>
        <w:trPr/>
        <w:tc>
          <w:tcPr>
            <w:tcW w:w="84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Number of Optional Shares:</w:t>
            </w:r>
          </w:p>
        </w:tc>
        <w:tc>
          <w:tcPr>
            <w:tcW w:w="4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2,763,157</w:t>
            </w:r>
          </w:p>
        </w:tc>
        <w:tc>
          <w:tcPr>
            <w:tcW w:w="62" w:type="dxa"/>
            <w:tcBorders/>
            <w:shd w:fill="CCEEFF" w:val="clear"/>
            <w:vAlign w:val="bottom"/>
          </w:tcPr>
          <w:p>
            <w:pPr>
              <w:pStyle w:val="TableContents"/>
              <w:bidi w:val="0"/>
              <w:spacing w:before="0" w:after="283"/>
              <w:jc w:val="left"/>
              <w:rPr/>
            </w:pPr>
            <w:r>
              <w:rPr/>
              <w:t> </w:t>
            </w:r>
          </w:p>
        </w:tc>
      </w:tr>
      <w:tr>
        <w:trPr/>
        <w:tc>
          <w:tcPr>
            <w:tcW w:w="8448" w:type="dxa"/>
            <w:tcBorders/>
          </w:tcPr>
          <w:p>
            <w:pPr>
              <w:pStyle w:val="TableContents"/>
              <w:bidi w:val="0"/>
              <w:spacing w:before="0" w:after="0"/>
              <w:jc w:val="left"/>
              <w:rPr>
                <w:rFonts w:ascii="Times New Roman" w:hAnsi="Times New Roman"/>
                <w:sz w:val="20"/>
              </w:rPr>
            </w:pPr>
            <w:r>
              <w:rPr>
                <w:rFonts w:ascii="Times New Roman" w:hAnsi="Times New Roman"/>
                <w:sz w:val="20"/>
              </w:rPr>
              <w:t>Price per Pre-Funded Warrant to the Public:</w:t>
            </w:r>
          </w:p>
        </w:tc>
        <w:tc>
          <w:tcPr>
            <w:tcW w:w="4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31" w:type="dxa"/>
            <w:tcBorders/>
            <w:vAlign w:val="bottom"/>
          </w:tcPr>
          <w:p>
            <w:pPr>
              <w:pStyle w:val="TableContents"/>
              <w:bidi w:val="0"/>
              <w:spacing w:before="0" w:after="283"/>
              <w:jc w:val="right"/>
              <w:rPr/>
            </w:pPr>
            <w:r>
              <w:rPr/>
              <w:t>18.9999</w:t>
            </w:r>
          </w:p>
        </w:tc>
        <w:tc>
          <w:tcPr>
            <w:tcW w:w="62" w:type="dxa"/>
            <w:tcBorders/>
            <w:vAlign w:val="bottom"/>
          </w:tcPr>
          <w:p>
            <w:pPr>
              <w:pStyle w:val="TableContents"/>
              <w:bidi w:val="0"/>
              <w:spacing w:before="0" w:after="283"/>
              <w:jc w:val="left"/>
              <w:rPr/>
            </w:pPr>
            <w:r>
              <w:rPr/>
              <w:t> </w:t>
            </w:r>
          </w:p>
        </w:tc>
      </w:tr>
      <w:tr>
        <w:trPr/>
        <w:tc>
          <w:tcPr>
            <w:tcW w:w="84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Number of Pre-Funded Warrants:</w:t>
            </w:r>
          </w:p>
        </w:tc>
        <w:tc>
          <w:tcPr>
            <w:tcW w:w="4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2,631,578</w:t>
            </w:r>
          </w:p>
        </w:tc>
        <w:tc>
          <w:tcPr>
            <w:tcW w:w="62"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December ___, 2025 </w:t>
      </w:r>
    </w:p>
    <w:p>
      <w:pPr>
        <w:pStyle w:val="TextBody"/>
        <w:bidi w:val="0"/>
        <w:spacing w:before="240" w:after="0"/>
        <w:jc w:val="left"/>
        <w:rPr>
          <w:rFonts w:ascii="Times New Roman" w:hAnsi="Times New Roman"/>
          <w:sz w:val="20"/>
        </w:rPr>
      </w:pPr>
      <w:r>
        <w:rPr>
          <w:rFonts w:ascii="Times New Roman" w:hAnsi="Times New Roman"/>
          <w:sz w:val="20"/>
        </w:rPr>
        <w:t xml:space="preserve">Jefferies LLC </w:t>
      </w:r>
    </w:p>
    <w:p>
      <w:pPr>
        <w:pStyle w:val="TextBody"/>
        <w:bidi w:val="0"/>
        <w:spacing w:before="0" w:after="0"/>
        <w:jc w:val="left"/>
        <w:rPr>
          <w:rFonts w:ascii="Times New Roman" w:hAnsi="Times New Roman"/>
          <w:sz w:val="20"/>
        </w:rPr>
      </w:pPr>
      <w:r>
        <w:rPr>
          <w:rFonts w:ascii="Times New Roman" w:hAnsi="Times New Roman"/>
          <w:sz w:val="20"/>
        </w:rPr>
        <w:t xml:space="preserve">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BofA Securities, Inc. </w:t>
      </w:r>
    </w:p>
    <w:p>
      <w:pPr>
        <w:pStyle w:val="TextBody"/>
        <w:bidi w:val="0"/>
        <w:spacing w:before="0" w:after="0"/>
        <w:jc w:val="left"/>
        <w:rPr>
          <w:rFonts w:ascii="Times New Roman" w:hAnsi="Times New Roman"/>
          <w:sz w:val="20"/>
        </w:rPr>
      </w:pPr>
      <w:r>
        <w:rPr>
          <w:rFonts w:ascii="Times New Roman" w:hAnsi="Times New Roman"/>
          <w:sz w:val="20"/>
        </w:rPr>
        <w:t xml:space="preserve">As Representatives of the Several Underwriters </w:t>
      </w:r>
    </w:p>
    <w:p>
      <w:pPr>
        <w:pStyle w:val="TextBody"/>
        <w:bidi w:val="0"/>
        <w:spacing w:before="240" w:after="0"/>
        <w:jc w:val="left"/>
        <w:rPr>
          <w:rFonts w:ascii="Times New Roman" w:hAnsi="Times New Roman"/>
          <w:sz w:val="20"/>
        </w:rPr>
      </w:pPr>
      <w:r>
        <w:rPr>
          <w:rFonts w:ascii="Times New Roman" w:hAnsi="Times New Roman"/>
          <w:sz w:val="20"/>
        </w:rPr>
        <w:t xml:space="preserve">c/o JEFFERIES LLC </w:t>
      </w:r>
    </w:p>
    <w:p>
      <w:pPr>
        <w:pStyle w:val="TextBody"/>
        <w:bidi w:val="0"/>
        <w:spacing w:before="0" w:after="0"/>
        <w:jc w:val="left"/>
        <w:rPr>
          <w:rFonts w:ascii="Times New Roman" w:hAnsi="Times New Roman"/>
          <w:sz w:val="20"/>
        </w:rPr>
      </w:pPr>
      <w:r>
        <w:rPr>
          <w:rFonts w:ascii="Times New Roman" w:hAnsi="Times New Roman"/>
          <w:sz w:val="20"/>
        </w:rPr>
        <w:t xml:space="preserve">520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p>
    <w:p>
      <w:pPr>
        <w:pStyle w:val="TextBody"/>
        <w:bidi w:val="0"/>
        <w:spacing w:before="240" w:after="0"/>
        <w:jc w:val="left"/>
        <w:rPr>
          <w:rFonts w:ascii="Times New Roman" w:hAnsi="Times New Roman"/>
          <w:sz w:val="20"/>
        </w:rPr>
      </w:pPr>
      <w:r>
        <w:rPr>
          <w:rFonts w:ascii="Times New Roman" w:hAnsi="Times New Roman"/>
          <w:sz w:val="20"/>
        </w:rPr>
        <w:t xml:space="preserve">c/o 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53 State Street, 40th Floor </w:t>
      </w:r>
    </w:p>
    <w:p>
      <w:pPr>
        <w:pStyle w:val="TextBody"/>
        <w:bidi w:val="0"/>
        <w:spacing w:before="0" w:after="0"/>
        <w:jc w:val="left"/>
        <w:rPr>
          <w:rFonts w:ascii="Times New Roman" w:hAnsi="Times New Roman"/>
          <w:sz w:val="20"/>
        </w:rPr>
      </w:pPr>
      <w:r>
        <w:rPr>
          <w:rFonts w:ascii="Times New Roman" w:hAnsi="Times New Roman"/>
          <w:sz w:val="20"/>
        </w:rPr>
        <w:t xml:space="preserve">Boston, Massachusetts 02109 </w:t>
      </w:r>
    </w:p>
    <w:p>
      <w:pPr>
        <w:pStyle w:val="TextBody"/>
        <w:bidi w:val="0"/>
        <w:spacing w:before="240" w:after="0"/>
        <w:jc w:val="left"/>
        <w:rPr>
          <w:rFonts w:ascii="Times New Roman" w:hAnsi="Times New Roman"/>
          <w:sz w:val="20"/>
        </w:rPr>
      </w:pPr>
      <w:r>
        <w:rPr>
          <w:rFonts w:ascii="Times New Roman" w:hAnsi="Times New Roman"/>
          <w:sz w:val="20"/>
        </w:rPr>
        <w:t xml:space="preserve">c/o BOFA SECURITIES, INC. </w:t>
      </w:r>
    </w:p>
    <w:p>
      <w:pPr>
        <w:pStyle w:val="TextBody"/>
        <w:bidi w:val="0"/>
        <w:spacing w:before="0" w:after="0"/>
        <w:jc w:val="left"/>
        <w:rPr>
          <w:rFonts w:ascii="Times New Roman" w:hAnsi="Times New Roman"/>
          <w:sz w:val="20"/>
        </w:rPr>
      </w:pPr>
      <w:r>
        <w:rPr>
          <w:rFonts w:ascii="Times New Roman" w:hAnsi="Times New Roman"/>
          <w:sz w:val="20"/>
        </w:rPr>
        <w:t xml:space="preserve">NC1-022-02-25 </w:t>
      </w:r>
    </w:p>
    <w:p>
      <w:pPr>
        <w:pStyle w:val="TextBody"/>
        <w:bidi w:val="0"/>
        <w:spacing w:before="0" w:after="0"/>
        <w:jc w:val="left"/>
        <w:rPr>
          <w:rFonts w:ascii="Times New Roman" w:hAnsi="Times New Roman"/>
          <w:sz w:val="20"/>
        </w:rPr>
      </w:pPr>
      <w:r>
        <w:rPr>
          <w:rFonts w:ascii="Times New Roman" w:hAnsi="Times New Roman"/>
          <w:sz w:val="20"/>
        </w:rPr>
        <w:t xml:space="preserve">201 North Tyron Street </w:t>
      </w:r>
    </w:p>
    <w:p>
      <w:pPr>
        <w:pStyle w:val="TextBody"/>
        <w:bidi w:val="0"/>
        <w:spacing w:before="0" w:after="0"/>
        <w:jc w:val="left"/>
        <w:rPr>
          <w:rFonts w:ascii="Times New Roman" w:hAnsi="Times New Roman"/>
          <w:sz w:val="20"/>
        </w:rPr>
      </w:pPr>
      <w:r>
        <w:rPr>
          <w:rFonts w:ascii="Times New Roman" w:hAnsi="Times New Roman"/>
          <w:sz w:val="20"/>
        </w:rPr>
        <w:t xml:space="preserve">Charlotte, North Carolina 28255-0001 </w:t>
      </w:r>
    </w:p>
    <w:p>
      <w:pPr>
        <w:pStyle w:val="TextBody"/>
        <w:bidi w:val="0"/>
        <w:spacing w:before="240" w:after="0"/>
        <w:jc w:val="left"/>
        <w:rPr>
          <w:rFonts w:ascii="Times New Roman" w:hAnsi="Times New Roman"/>
          <w:sz w:val="20"/>
        </w:rPr>
      </w:pPr>
      <w:r>
        <w:rPr>
          <w:rFonts w:ascii="Times New Roman" w:hAnsi="Times New Roman"/>
          <w:sz w:val="20"/>
        </w:rPr>
        <w:t>RE: Wave Life Sciences Ltd. (the “</w:t>
      </w:r>
      <w:r>
        <w:rPr>
          <w:rFonts w:ascii="Times New Roman" w:hAnsi="Times New Roman"/>
          <w:b/>
          <w:sz w:val="20"/>
        </w:rPr>
        <w:t>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The undersigned is an owner of the Company’s ordinary shares, no par value (“</w:t>
      </w:r>
      <w:r>
        <w:rPr>
          <w:rFonts w:ascii="Times New Roman" w:hAnsi="Times New Roman"/>
          <w:b/>
          <w:sz w:val="20"/>
        </w:rPr>
        <w:t>Shares</w:t>
      </w:r>
      <w:r>
        <w:rPr>
          <w:rFonts w:ascii="Times New Roman" w:hAnsi="Times New Roman"/>
          <w:sz w:val="20"/>
        </w:rPr>
        <w:t>”), or of securities convertible into or exchangeable or exercisable for Shares. The Company proposes to conduct a public offering (the “</w:t>
      </w:r>
      <w:r>
        <w:rPr>
          <w:rFonts w:ascii="Times New Roman" w:hAnsi="Times New Roman"/>
          <w:b/>
          <w:sz w:val="20"/>
        </w:rPr>
        <w:t>Offering</w:t>
      </w:r>
      <w:r>
        <w:rPr>
          <w:rFonts w:ascii="Times New Roman" w:hAnsi="Times New Roman"/>
          <w:sz w:val="20"/>
        </w:rPr>
        <w:t>”) of Shares and, in lieu of Shares to certain investors that so choose, pre-funded warrants to purchase Shares (the “</w:t>
      </w:r>
      <w:r>
        <w:rPr>
          <w:rFonts w:ascii="Times New Roman" w:hAnsi="Times New Roman"/>
          <w:b/>
          <w:sz w:val="20"/>
        </w:rPr>
        <w:t>Offered Securities</w:t>
      </w:r>
      <w:r>
        <w:rPr>
          <w:rFonts w:ascii="Times New Roman" w:hAnsi="Times New Roman"/>
          <w:sz w:val="20"/>
        </w:rPr>
        <w:t>”) for which Jefferies LLC (“</w:t>
      </w:r>
      <w:r>
        <w:rPr>
          <w:rFonts w:ascii="Times New Roman" w:hAnsi="Times New Roman"/>
          <w:b/>
          <w:sz w:val="20"/>
        </w:rPr>
        <w:t>Jefferies</w:t>
      </w:r>
      <w:r>
        <w:rPr>
          <w:rFonts w:ascii="Times New Roman" w:hAnsi="Times New Roman"/>
          <w:sz w:val="20"/>
        </w:rPr>
        <w:t>”), Leerink Partners LLC (“</w:t>
      </w:r>
      <w:r>
        <w:rPr>
          <w:rFonts w:ascii="Times New Roman" w:hAnsi="Times New Roman"/>
          <w:b/>
          <w:sz w:val="20"/>
        </w:rPr>
        <w:t>Leerink Partners</w:t>
      </w:r>
      <w:r>
        <w:rPr>
          <w:rFonts w:ascii="Times New Roman" w:hAnsi="Times New Roman"/>
          <w:sz w:val="20"/>
        </w:rPr>
        <w:t>”) and BofA Securities, Inc. (collectively, the “</w:t>
      </w:r>
      <w:r>
        <w:rPr>
          <w:rFonts w:ascii="Times New Roman" w:hAnsi="Times New Roman"/>
          <w:b/>
          <w:sz w:val="20"/>
        </w:rPr>
        <w:t>Representatives</w:t>
      </w:r>
      <w:r>
        <w:rPr>
          <w:rFonts w:ascii="Times New Roman" w:hAnsi="Times New Roman"/>
          <w:sz w:val="20"/>
        </w:rPr>
        <w:t>”) will act as the representatives of the several underwriters (the “</w:t>
      </w:r>
      <w:r>
        <w:rPr>
          <w:rFonts w:ascii="Times New Roman" w:hAnsi="Times New Roman"/>
          <w:b/>
          <w:sz w:val="20"/>
        </w:rPr>
        <w:t>Underwriters</w:t>
      </w:r>
      <w:r>
        <w:rPr>
          <w:rFonts w:ascii="Times New Roman" w:hAnsi="Times New Roman"/>
          <w:sz w:val="20"/>
        </w:rPr>
        <w:t>”). The undersigned recognizes that the Offering will benefit each of the Company and the undersigned. The undersigned acknowledges that the Underwriters are relying on the representations and agreements of the undersigned contained in this letter agreement in conducting the Offering and, at a subsequent date, in entering into an underwriting agreement (the “</w:t>
      </w:r>
      <w:r>
        <w:rPr>
          <w:rFonts w:ascii="Times New Roman" w:hAnsi="Times New Roman"/>
          <w:b/>
          <w:sz w:val="20"/>
        </w:rPr>
        <w:t>Underwriting Agreement</w:t>
      </w:r>
      <w:r>
        <w:rPr>
          <w:rFonts w:ascii="Times New Roman" w:hAnsi="Times New Roman"/>
          <w:sz w:val="20"/>
        </w:rPr>
        <w:t xml:space="preserve">”) and other underwriting arrangements with the Company with respect to the Offering. </w:t>
      </w:r>
    </w:p>
    <w:p>
      <w:pPr>
        <w:pStyle w:val="TextBody"/>
        <w:bidi w:val="0"/>
        <w:spacing w:before="240" w:after="0"/>
        <w:jc w:val="left"/>
        <w:rPr>
          <w:rFonts w:ascii="Times New Roman" w:hAnsi="Times New Roman"/>
          <w:sz w:val="20"/>
        </w:rPr>
      </w:pPr>
      <w:r>
        <w:rPr>
          <w:rFonts w:ascii="Times New Roman" w:hAnsi="Times New Roman"/>
          <w:sz w:val="20"/>
          <w:u w:val="single"/>
        </w:rPr>
        <w:t>Annex A</w:t>
      </w:r>
      <w:r>
        <w:rPr>
          <w:rFonts w:ascii="Times New Roman" w:hAnsi="Times New Roman"/>
          <w:sz w:val="20"/>
        </w:rPr>
        <w:t xml:space="preserve"> sets forth definitions for capitalized terms used in this letter agreement that are not defined in the body of this letter agreement. Those definitions are a part of this letter agreement.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foregoing, and for other good and valuable consideration, the receipt and sufficiency of which are hereby acknowledged, the undersigned hereby agrees that, during the Lock-up Period, the undersigned will not (and will cause any Family Member not to), subject to the exceptions set forth in this letter agreement, without the prior written consent of Jefferies and Leerink Partners, which may withhold their consent in their sole discretion: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or Offer to Sell any Shares or Related Securities currently or hereafter owned either of record or beneficially (as defined in Rule 13d-3 under the Exchange Act) by the undersigned or such Family Member,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Swap,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demand for, or exercise any right with respect to, the registration under the Securities Act of the offer and sale of any Shares or Related Securities, or cause to be filed a registration statement, prospectus or prospectus supplement (or an amendment or supplement thereto) with respect to any such registration,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publicly announce any intention to do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will not apply to the registration of the offer and sale of the Offered Securities, and the sale of the Offered Securities to the Underwriters, in each case as contemplated by the Underwriting Agreement. In addition, the foregoing restrictions shall not apply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transactions relating to Shares or other securities acquired in (x) the Offering from the Underwriters (other than any Company directed Offered Securities purchased in the Offering by an officer or director of the Company) and (y) open market transactions after the completion of the Offering, </w:t>
            </w:r>
            <w:r>
              <w:rPr>
                <w:rFonts w:ascii="Times New Roman" w:hAnsi="Times New Roman"/>
                <w:i/>
                <w:sz w:val="20"/>
              </w:rPr>
              <w:t>provided</w:t>
            </w:r>
            <w:r>
              <w:rPr>
                <w:rFonts w:ascii="Times New Roman" w:hAnsi="Times New Roman"/>
                <w:sz w:val="20"/>
              </w:rPr>
              <w:t xml:space="preserve"> that no public announcement and no filing under Section 16(a) of the Exchange Act or other regulatory authority in respect thereof will be required or will be voluntarily made during the Lock-up Period in connection with subsequent sales of Shares or other securities acquired in the Offering or such open market transactions during the Lock-up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Shares or Related Securities as a bona fide gift or charitable contribution;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(x) distributions of Shares or Related Securities to limited partners, members, stockholders or holders of similar equity interests in the undersigned and (y) transfers or disposition of the undersigned’s Shares or Related Securities to any corporation, partnership, limited liability company or other legal entity all of the beneficial ownership interests of which are held by the undersigned or any Family Member in a transaction not involving a disposition for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Shares or Related Securities by will or intestacy or to any Family Member or to a trust whose beneficiaries consist exclusively of one or more of the undersigned and/or a Family Member;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Shares pursuant to a domestic order or negotiated divorce settlement;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(vi)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of a stock option granted under a stock incentive plan described in the Prospectus by the undersigned, and the receipt by the undersigned from the Company of Shares upon such exercise, insofar as such option is outstanding as of the date of the Prospectus, </w:t>
            </w:r>
            <w:r>
              <w:rPr>
                <w:rFonts w:ascii="Times New Roman" w:hAnsi="Times New Roman"/>
                <w:i/>
                <w:sz w:val="20"/>
              </w:rPr>
              <w:t>provided</w:t>
            </w:r>
            <w:r>
              <w:rPr>
                <w:rFonts w:ascii="Times New Roman" w:hAnsi="Times New Roman"/>
                <w:sz w:val="20"/>
              </w:rPr>
              <w:t xml:space="preserve"> that the underlying Shares shall continue to be subject to the restrictions on transfer set forth in this letter agreement and </w:t>
            </w:r>
            <w:r>
              <w:rPr>
                <w:rFonts w:ascii="Times New Roman" w:hAnsi="Times New Roman"/>
                <w:i/>
                <w:sz w:val="20"/>
              </w:rPr>
              <w:t>provided, further</w:t>
            </w:r>
            <w:r>
              <w:rPr>
                <w:rFonts w:ascii="Times New Roman" w:hAnsi="Times New Roman"/>
                <w:sz w:val="20"/>
              </w:rPr>
              <w:t xml:space="preserve"> that, if required, any public report or filing under Section 16 of the Exchange Act shall clearly indicate in the footnotes thereto that the filing relates to the exercise of a stock option, that no Shares were sold by the reporting person and that Shares received upon exercise of the stock option are subject to this letter agreement with the Underwriters;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disposition of Shares to the Company, or the withholding of Shares by the Company, in a transaction exempt from Section 16(b) of the Exchange Act solely in connection with the payment of taxes due with respect to the vesting of restricted stock units granted under a stock incentive plan or pursuant to a contractual employment arrangement described in the Prospectus, insofar as such restricted stock unit is outstanding as of the date of the Prospectus, </w:t>
            </w:r>
            <w:r>
              <w:rPr>
                <w:rFonts w:ascii="Times New Roman" w:hAnsi="Times New Roman"/>
                <w:i/>
                <w:sz w:val="20"/>
              </w:rPr>
              <w:t>provided</w:t>
            </w:r>
            <w:r>
              <w:rPr>
                <w:rFonts w:ascii="Times New Roman" w:hAnsi="Times New Roman"/>
                <w:sz w:val="20"/>
              </w:rPr>
              <w:t xml:space="preserve"> that no filing under Section 16(a) of the Exchange Act shall be required or shall be voluntarily made during the Lock-up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to the Company in connection with the repurchase of Shares in connection with the termination of the undersigned’s employment with the Company pursuant to contractual agreements with the Company as in effect as of the date of the Prospectus, </w:t>
            </w:r>
            <w:r>
              <w:rPr>
                <w:rFonts w:ascii="Times New Roman" w:hAnsi="Times New Roman"/>
                <w:i/>
                <w:sz w:val="20"/>
              </w:rPr>
              <w:t>provided</w:t>
            </w:r>
            <w:r>
              <w:rPr>
                <w:rFonts w:ascii="Times New Roman" w:hAnsi="Times New Roman"/>
                <w:sz w:val="20"/>
              </w:rPr>
              <w:t xml:space="preserve"> that no filing under Section 16(a) of the Exchange Act shall be required or shall be voluntarily made during the Lock-up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(ix)</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establishment of a trading plan and/or other written instruction pursuant to Rule 10b5-1 under the Exchange Act (a “</w:t>
            </w:r>
            <w:r>
              <w:rPr>
                <w:rFonts w:ascii="Times New Roman" w:hAnsi="Times New Roman"/>
                <w:b/>
                <w:sz w:val="20"/>
              </w:rPr>
              <w:t>Plan</w:t>
            </w:r>
            <w:r>
              <w:rPr>
                <w:rFonts w:ascii="Times New Roman" w:hAnsi="Times New Roman"/>
                <w:sz w:val="20"/>
              </w:rPr>
              <w:t xml:space="preserve">”) for the transfer of Shares, </w:t>
            </w:r>
            <w:r>
              <w:rPr>
                <w:rFonts w:ascii="Times New Roman" w:hAnsi="Times New Roman"/>
                <w:i/>
                <w:sz w:val="20"/>
              </w:rPr>
              <w:t>provided</w:t>
            </w:r>
            <w:r>
              <w:rPr>
                <w:rFonts w:ascii="Times New Roman" w:hAnsi="Times New Roman"/>
                <w:sz w:val="20"/>
              </w:rPr>
              <w:t xml:space="preserve"> that (a) such Plan does not provide for the transfer of Shares during the Lock-up Period and (b) the entry into such Plan is not publicly disclosed, including in any filings under the Exchange Act, during the Lock-up Period, except as required under applicable securities laws, in which case, any public announcement or filing under the Exchange Act made by any person regarding the establishment of such plan during the Lock-up Period shall include a statement that the undersigned is not permitted to transfer, sell or otherwise dispose of Shares under such plan during the Lock-up Period in contravention of this letter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(x)</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undersigned is an individual, sales pursuant to a Plan established before the date of the Prospectus; </w:t>
            </w:r>
            <w:r>
              <w:rPr>
                <w:rFonts w:ascii="Times New Roman" w:hAnsi="Times New Roman"/>
                <w:i/>
                <w:sz w:val="20"/>
              </w:rPr>
              <w:t>provided,</w:t>
            </w:r>
            <w:r>
              <w:rPr>
                <w:rFonts w:ascii="Times New Roman" w:hAnsi="Times New Roman"/>
                <w:sz w:val="20"/>
              </w:rPr>
              <w:t xml:space="preserve"> that any filing made under the Exchange Act in connection with such a sale shall disclose that the sale was made pursuant to a Plan entered into on a date before the date of the Prospectus;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a bona fide third party tender offer for all outstanding Shares of the Company, merger, consolidation or other similar transaction made to all holders of the Company’s securities involving a “change of control” (as defined below) of the Company (including, without limitation, the entering into any lock-up, voting or similar agreement pursuant to which the undersigned may agree to transfer, sell, tender or otherwise dispose of Shares or other such securities in connection with such transaction, or vote any Shares or other such securities in favor of any such transaction), provided that in the event that such tender offer, merger, consolidation or other such transaction is not completed, such securities held by the undersigned shall remain subject to the provisions of this letter agreement. For purposes hereof, “change of control” shall mean the transfer (whether by tender offer, merger, consolidation or other similar transaction), in one transaction or a series of related transactions, to a person or group of affiliated persons, of Shares if, after such transfer, such person or group of affiliated persons would hold at least a majority of the outstanding voting securities of the Company (or the surviving entity); </w:t>
            </w:r>
          </w:p>
        </w:tc>
      </w:tr>
    </w:tbl>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(A) in the case of any transfer or distribution pursuant to clause (ii), (iii), (iv) and (v), it shall be a condition to such transfer that such transfer shall not involve a disposition for value and each donee, transferee or distributee executes and delivers to the Representatives an agreement in form and substance satisfactory to the Representatives stating that such donee, transferee or distributee is receiving and holding such Shares and/or Related Securities subject to the provisions of this letter agreement and agrees not to Sell or Offer to Sell such Shares and/or Related Securities, engage in any Swap or engage in any other activities restricted under this letter agreement except in accordance with this letter agreement (as if such donee, transferee or distributee had been an original signatory hereto); and (B) in the case of any transfer or distribution pursuant to clause (iii), (iv) and (v), prior to the expiration of the Lock-up Period, no public disclosure or filing under the Exchange Act by any party to the transfer (donor, donee, transferor,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transferee, distributor or distributee) shall be required, or made voluntarily (other than any such disclosure required to be made by applicable law or regulation, including, without limitation, one or more filings on Form 4, Form 5, Schedule 13G or Schedule 13D, in each case, in accordance with applicable law and made after the expiration of the Lock-up Period).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also agrees and consents to the entry of stop transfer instructions with the Company’s transfer agent and registrar against the transfer of Shares or Related Securities held by the undersigned and the undersigned’s Family Members, if any, except in compliance with the foregoing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acknowledges and agrees that the Underwriters have not provided any recommendation or investment advice nor have the Underwriters solicited any action from the undersigned with respect to the Offering of the Offered Securities (as defined in the Underwriting Agreement), and the undersigned has consulted their own legal, accounting, financial, regulatory and tax advisors to the extent deemed appropriate. The undersigned further acknowledges and agrees that, although the Representatives may be required or choose to provide certain Regulation Best Interest and Form CRS disclosures to you in connection with the Offering, the Representatives and the other Underwriters are not making a recommendation to you to enter into this letter agreement, and nothing set forth in such disclosures is intended to suggest that the Representatives or any Underwriter is making such a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Offering only, the undersigned waives any registration rights relating to registration under the Securities Act of the offer and sale of any Shares and/or any Related Securities owned either of record or beneficially by the undersigned, including any rights to receive notice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confirms that the undersigned has not, and has no knowledge that any Family Member has, directly or indirectly, taken any action designed to or that might reasonably be expected to cause or result in the stabilization or manipulation of the price of any security of the Company to facilitate the sale of the Shares. The undersigned will not, and will cause any Family Member not to take, directly or indirectly, any such action.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the Offering occurs as currently contemplated or at all depends on market conditions and other factors. The Offering will only be made pursuant to the Underwriting Agreement, the terms of which are subject to negotiation between the Company and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represents and warrants that the undersigned has full power, capacity and authority to enter into this letter agreement. This letter agreement is irrevocable and will be binding on the undersigned and the successors, heirs, personal representatives and assigns of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This letter agreement and any claim, controversy or dispute arising under or related to this letter agreement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If (i) the Company notifies the Representatives in writing that it does not intend to proceed with the Offering, (ii) the Underwriting Agreement is not executed before December 31, 2025 or (iii) the Underwriting Agreement (other than the provisions thereof that survive termination) terminates or is terminated prior to payment for and delivery of the Offered Shares and the Pre-Funded Warrants (each as defined in the Underwriting Agreement), then in each case, this letter agreement shall automatically, and without any action on the part of any other party, terminate and be of no further force and effect, and the undersigned shall automatically be released from the obligations under this letter agreement.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Signature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Printed Name of Person Signing</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w:t>
            </w:r>
            <w:r>
              <w:rPr>
                <w:i/>
              </w:rPr>
              <w:t>Indicate capacity of person signing if signing as custodian or trustee, or on behalf of an entity</w:t>
            </w:r>
            <w:r>
              <w:rPr/>
              <w:t>)</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Annex A </w:t>
      </w:r>
    </w:p>
    <w:p>
      <w:pPr>
        <w:pStyle w:val="TextBody"/>
        <w:bidi w:val="0"/>
        <w:spacing w:before="240" w:after="0"/>
        <w:jc w:val="center"/>
        <w:rPr>
          <w:rFonts w:ascii="Times New Roman" w:hAnsi="Times New Roman"/>
          <w:b/>
          <w:sz w:val="20"/>
        </w:rPr>
      </w:pPr>
      <w:r>
        <w:rPr>
          <w:rFonts w:ascii="Times New Roman" w:hAnsi="Times New Roman"/>
          <w:b/>
          <w:sz w:val="20"/>
        </w:rPr>
        <w:t xml:space="preserve">Certain Defined Terms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Used in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letter agreement to which this Annex A is attached and of which it is made a part: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b/>
                <w:sz w:val="20"/>
              </w:rPr>
              <w:t>Call Equivalent Position</w:t>
            </w:r>
            <w:r>
              <w:rPr>
                <w:rFonts w:ascii="Times New Roman" w:hAnsi="Times New Roman"/>
                <w:sz w:val="20"/>
              </w:rPr>
              <w:t xml:space="preserve">” shall have the meaning set forth in Rule 16a-1(b) under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b/>
                <w:sz w:val="20"/>
              </w:rPr>
              <w:t>Exchange Act</w:t>
            </w:r>
            <w:r>
              <w:rPr>
                <w:rFonts w:ascii="Times New Roman" w:hAnsi="Times New Roman"/>
                <w:sz w:val="20"/>
              </w:rPr>
              <w:t xml:space="preserve">” shall mean the Securities Exchange Act of 1934,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b/>
                <w:sz w:val="20"/>
              </w:rPr>
              <w:t>Family Member</w:t>
            </w:r>
            <w:r>
              <w:rPr>
                <w:rFonts w:ascii="Times New Roman" w:hAnsi="Times New Roman"/>
                <w:sz w:val="20"/>
              </w:rPr>
              <w:t>” shall mean the spouse of the undersigned, an immediate family member of the undersigned or an immediate family member of the undersigned’s spouse, in each case living in the undersigned’s household or whose principal residence is the undersigned’s household (regardless of whether such spouse or family member may at the time be living elsewhere due to educational activities, health care treatment, military service, temporary internship or employment or otherwise). “</w:t>
            </w:r>
            <w:r>
              <w:rPr>
                <w:rFonts w:ascii="Times New Roman" w:hAnsi="Times New Roman"/>
                <w:b/>
                <w:sz w:val="20"/>
              </w:rPr>
              <w:t>Immediate family member</w:t>
            </w:r>
            <w:r>
              <w:rPr>
                <w:rFonts w:ascii="Times New Roman" w:hAnsi="Times New Roman"/>
                <w:sz w:val="20"/>
              </w:rPr>
              <w:t xml:space="preserve">” as used above shall have the meaning set forth in Rule 16a-1(e) under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b/>
                <w:sz w:val="20"/>
              </w:rPr>
              <w:t>Lock-up Period</w:t>
            </w:r>
            <w:r>
              <w:rPr>
                <w:rFonts w:ascii="Times New Roman" w:hAnsi="Times New Roman"/>
                <w:sz w:val="20"/>
              </w:rPr>
              <w:t xml:space="preserve">” shall mean the period beginning on the date hereof and continuing through the close of trading on the date that is 45 days after the date of the Prospectus (as defined in the Underwriting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b/>
                <w:sz w:val="20"/>
              </w:rPr>
              <w:t>Put Equivalent Position</w:t>
            </w:r>
            <w:r>
              <w:rPr>
                <w:rFonts w:ascii="Times New Roman" w:hAnsi="Times New Roman"/>
                <w:sz w:val="20"/>
              </w:rPr>
              <w:t xml:space="preserve">” shall have the meaning set forth in Rule 16a-1(h) under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b/>
                <w:sz w:val="20"/>
              </w:rPr>
              <w:t>Related Securities</w:t>
            </w:r>
            <w:r>
              <w:rPr>
                <w:rFonts w:ascii="Times New Roman" w:hAnsi="Times New Roman"/>
                <w:sz w:val="20"/>
              </w:rPr>
              <w:t xml:space="preserve">” shall mean any options, contracts or warrants or other rights to acquire Shares or any securities exchangeable or exercisable for or convertible into Shares (including, without limitation, Shares or such other securities of the Company which may be deemed to be beneficially owned by the undersigned in accordance with the rules and regulations of the Commission and securities of the Company which may be issued upon exercise of a stock option or warrant), or to acquire other securities or rights ultimately exchangeable or exercisable for or convertible into Shares (including, without limitation, Shares or such other securities of the Company which may be deemed to be beneficially owned by the undersigned in accordance with the rules and regulations of the Commission and securities of the Company which may be issued upon exercise of a stock option or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b/>
                <w:sz w:val="20"/>
              </w:rPr>
              <w:t>Securities Act</w:t>
            </w:r>
            <w:r>
              <w:rPr>
                <w:rFonts w:ascii="Times New Roman" w:hAnsi="Times New Roman"/>
                <w:sz w:val="20"/>
              </w:rPr>
              <w:t xml:space="preserve">” shall mean the Securities Act of 1933,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b/>
                <w:sz w:val="20"/>
              </w:rPr>
              <w:t>Sell or Offer to Sell</w:t>
            </w:r>
            <w:r>
              <w:rPr>
                <w:rFonts w:ascii="Times New Roman" w:hAnsi="Times New Roman"/>
                <w:sz w:val="20"/>
              </w:rPr>
              <w:t xml:space="preserve">” shall mean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offer to sell, contract to sell or lend,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 any short sale or establish or increase a Put Equivalent Position or liquidate or decrease any Call Equivalent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pledge, hypothecate or grant any security interest in,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way transfer or dispose 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each case whether effected directly or indirectly.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b/>
                <w:sz w:val="20"/>
              </w:rPr>
              <w:t>Swap</w:t>
            </w:r>
            <w:r>
              <w:rPr>
                <w:rFonts w:ascii="Times New Roman" w:hAnsi="Times New Roman"/>
                <w:sz w:val="20"/>
              </w:rPr>
              <w:t xml:space="preserve">” shall mean any swap, hedge or similar arrangement or agreement that transfers, in whole or in part, any of the economic risk of ownership of Shares or Related Securities, regardless of whether any such transaction is to be settled in securities, in cash or otherwise.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Capitalized terms not defined in this Annex A shall have the meanings given to them in the body of this letter agreement.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Directors and Executive Officers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Signing Lock-up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Directors: </w:t>
      </w:r>
    </w:p>
    <w:p>
      <w:pPr>
        <w:pStyle w:val="TextBody"/>
        <w:bidi w:val="0"/>
        <w:spacing w:before="120" w:after="0"/>
        <w:jc w:val="left"/>
        <w:rPr>
          <w:rFonts w:ascii="Times New Roman" w:hAnsi="Times New Roman"/>
          <w:sz w:val="20"/>
        </w:rPr>
      </w:pPr>
      <w:r>
        <w:rPr>
          <w:rFonts w:ascii="Times New Roman" w:hAnsi="Times New Roman"/>
          <w:sz w:val="20"/>
        </w:rPr>
        <w:t xml:space="preserve">Paul B. Bolno </w:t>
      </w:r>
    </w:p>
    <w:p>
      <w:pPr>
        <w:pStyle w:val="TextBody"/>
        <w:bidi w:val="0"/>
        <w:spacing w:before="240" w:after="0"/>
        <w:jc w:val="left"/>
        <w:rPr>
          <w:rFonts w:ascii="Times New Roman" w:hAnsi="Times New Roman"/>
          <w:sz w:val="20"/>
        </w:rPr>
      </w:pPr>
      <w:r>
        <w:rPr>
          <w:rFonts w:ascii="Times New Roman" w:hAnsi="Times New Roman"/>
          <w:sz w:val="20"/>
        </w:rPr>
        <w:t xml:space="preserve">Christian Henry </w:t>
      </w:r>
    </w:p>
    <w:p>
      <w:pPr>
        <w:pStyle w:val="TextBody"/>
        <w:bidi w:val="0"/>
        <w:spacing w:before="240" w:after="0"/>
        <w:jc w:val="left"/>
        <w:rPr>
          <w:rFonts w:ascii="Times New Roman" w:hAnsi="Times New Roman"/>
          <w:sz w:val="20"/>
        </w:rPr>
      </w:pPr>
      <w:r>
        <w:rPr>
          <w:rFonts w:ascii="Times New Roman" w:hAnsi="Times New Roman"/>
          <w:sz w:val="20"/>
        </w:rPr>
        <w:t xml:space="preserve">Peter Kolchinsky </w:t>
      </w:r>
    </w:p>
    <w:p>
      <w:pPr>
        <w:pStyle w:val="TextBody"/>
        <w:bidi w:val="0"/>
        <w:spacing w:before="240" w:after="0"/>
        <w:jc w:val="left"/>
        <w:rPr>
          <w:rFonts w:ascii="Times New Roman" w:hAnsi="Times New Roman"/>
          <w:sz w:val="20"/>
        </w:rPr>
      </w:pPr>
      <w:r>
        <w:rPr>
          <w:rFonts w:ascii="Times New Roman" w:hAnsi="Times New Roman"/>
          <w:sz w:val="20"/>
        </w:rPr>
        <w:t xml:space="preserve">Adrian Rawcliffe </w:t>
      </w:r>
    </w:p>
    <w:p>
      <w:pPr>
        <w:pStyle w:val="TextBody"/>
        <w:bidi w:val="0"/>
        <w:spacing w:before="240" w:after="0"/>
        <w:jc w:val="left"/>
        <w:rPr>
          <w:rFonts w:ascii="Times New Roman" w:hAnsi="Times New Roman"/>
          <w:sz w:val="20"/>
        </w:rPr>
      </w:pPr>
      <w:r>
        <w:rPr>
          <w:rFonts w:ascii="Times New Roman" w:hAnsi="Times New Roman"/>
          <w:sz w:val="20"/>
        </w:rPr>
        <w:t xml:space="preserve">Ken Takanashi </w:t>
      </w:r>
    </w:p>
    <w:p>
      <w:pPr>
        <w:pStyle w:val="TextBody"/>
        <w:bidi w:val="0"/>
        <w:spacing w:before="240" w:after="0"/>
        <w:jc w:val="left"/>
        <w:rPr>
          <w:rFonts w:ascii="Times New Roman" w:hAnsi="Times New Roman"/>
          <w:sz w:val="20"/>
        </w:rPr>
      </w:pPr>
      <w:r>
        <w:rPr>
          <w:rFonts w:ascii="Times New Roman" w:hAnsi="Times New Roman"/>
          <w:sz w:val="20"/>
        </w:rPr>
        <w:t xml:space="preserve">Gregory L. Verdine </w:t>
      </w:r>
    </w:p>
    <w:p>
      <w:pPr>
        <w:pStyle w:val="TextBody"/>
        <w:bidi w:val="0"/>
        <w:spacing w:before="240" w:after="0"/>
        <w:jc w:val="left"/>
        <w:rPr>
          <w:rFonts w:ascii="Times New Roman" w:hAnsi="Times New Roman"/>
          <w:sz w:val="20"/>
        </w:rPr>
      </w:pPr>
      <w:r>
        <w:rPr>
          <w:rFonts w:ascii="Times New Roman" w:hAnsi="Times New Roman"/>
          <w:sz w:val="20"/>
        </w:rPr>
        <w:t xml:space="preserve">Heidi L. Wagner </w:t>
      </w:r>
    </w:p>
    <w:p>
      <w:pPr>
        <w:pStyle w:val="TextBody"/>
        <w:bidi w:val="0"/>
        <w:spacing w:before="240" w:after="0"/>
        <w:jc w:val="left"/>
        <w:rPr>
          <w:rFonts w:ascii="Times New Roman" w:hAnsi="Times New Roman"/>
          <w:sz w:val="20"/>
        </w:rPr>
      </w:pPr>
      <w:r>
        <w:rPr>
          <w:rFonts w:ascii="Times New Roman" w:hAnsi="Times New Roman"/>
          <w:sz w:val="20"/>
        </w:rPr>
        <w:t xml:space="preserve">Mark H. N. Corrigan </w:t>
      </w:r>
    </w:p>
    <w:p>
      <w:pPr>
        <w:pStyle w:val="TextBody"/>
        <w:bidi w:val="0"/>
        <w:spacing w:before="240" w:after="0"/>
        <w:jc w:val="left"/>
        <w:rPr>
          <w:rFonts w:ascii="Times New Roman" w:hAnsi="Times New Roman"/>
          <w:sz w:val="20"/>
        </w:rPr>
      </w:pPr>
      <w:r>
        <w:rPr>
          <w:rFonts w:ascii="Times New Roman" w:hAnsi="Times New Roman"/>
          <w:sz w:val="20"/>
        </w:rPr>
        <w:t xml:space="preserve">Aik Na Tan </w:t>
      </w:r>
    </w:p>
    <w:p>
      <w:pPr>
        <w:pStyle w:val="TextBody"/>
        <w:bidi w:val="0"/>
        <w:spacing w:before="360" w:after="0"/>
        <w:jc w:val="left"/>
        <w:rPr>
          <w:rFonts w:ascii="Times New Roman" w:hAnsi="Times New Roman"/>
          <w:b/>
          <w:sz w:val="20"/>
        </w:rPr>
      </w:pPr>
      <w:r>
        <w:rPr>
          <w:rFonts w:ascii="Times New Roman" w:hAnsi="Times New Roman"/>
          <w:b/>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Christopher Francis </w:t>
      </w:r>
    </w:p>
    <w:p>
      <w:pPr>
        <w:pStyle w:val="TextBody"/>
        <w:bidi w:val="0"/>
        <w:spacing w:before="240" w:after="0"/>
        <w:jc w:val="left"/>
        <w:rPr>
          <w:rFonts w:ascii="Times New Roman" w:hAnsi="Times New Roman"/>
          <w:sz w:val="20"/>
        </w:rPr>
      </w:pPr>
      <w:r>
        <w:rPr>
          <w:rFonts w:ascii="Times New Roman" w:hAnsi="Times New Roman"/>
          <w:sz w:val="20"/>
        </w:rPr>
        <w:t xml:space="preserve">Kyle Moran </w:t>
      </w:r>
    </w:p>
    <w:p>
      <w:pPr>
        <w:pStyle w:val="TextBody"/>
        <w:bidi w:val="0"/>
        <w:spacing w:before="240" w:after="0"/>
        <w:jc w:val="left"/>
        <w:rPr>
          <w:rFonts w:ascii="Times New Roman" w:hAnsi="Times New Roman"/>
          <w:sz w:val="20"/>
        </w:rPr>
      </w:pPr>
      <w:r>
        <w:rPr>
          <w:rFonts w:ascii="Times New Roman" w:hAnsi="Times New Roman"/>
          <w:sz w:val="20"/>
        </w:rPr>
        <w:t xml:space="preserve">Chandra Vargeese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C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Pre-Funded Warrant </w:t>
      </w:r>
    </w:p>
    <w:p>
      <w:pPr>
        <w:pStyle w:val="TextBody"/>
        <w:bidi w:val="0"/>
        <w:spacing w:before="120" w:after="0"/>
        <w:jc w:val="center"/>
        <w:rPr>
          <w:rFonts w:ascii="Times New Roman" w:hAnsi="Times New Roman"/>
          <w:sz w:val="20"/>
        </w:rPr>
      </w:pPr>
      <w:r>
        <w:rPr>
          <w:rFonts w:ascii="Times New Roman" w:hAnsi="Times New Roman"/>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WAVE LIFE SCIENCES LTD.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PRE-FUNDED WARRANT TO PURCHASE ORDINARY SHARES </w:t>
      </w:r>
    </w:p>
    <w:p>
      <w:pPr>
        <w:pStyle w:val="TextBody"/>
        <w:bidi w:val="0"/>
        <w:spacing w:before="240" w:after="0"/>
        <w:jc w:val="right"/>
        <w:rPr>
          <w:rFonts w:ascii="Times New Roman" w:hAnsi="Times New Roman"/>
          <w:sz w:val="20"/>
        </w:rPr>
      </w:pPr>
      <w:r>
        <w:rPr>
          <w:rFonts w:ascii="Times New Roman" w:hAnsi="Times New Roman"/>
          <w:sz w:val="20"/>
        </w:rPr>
        <w:t xml:space="preserve">Number of Shares: [ ] </w:t>
      </w:r>
    </w:p>
    <w:p>
      <w:pPr>
        <w:pStyle w:val="TextBody"/>
        <w:bidi w:val="0"/>
        <w:spacing w:before="0" w:after="0"/>
        <w:jc w:val="right"/>
        <w:rPr>
          <w:rFonts w:ascii="Times New Roman" w:hAnsi="Times New Roman"/>
          <w:sz w:val="20"/>
        </w:rPr>
      </w:pPr>
      <w:r>
        <w:rPr>
          <w:rFonts w:ascii="Times New Roman" w:hAnsi="Times New Roman"/>
          <w:sz w:val="20"/>
        </w:rPr>
        <w:t xml:space="preserve">(subject to adjustment)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8"/>
        <w:gridCol w:w="125"/>
        <w:gridCol w:w="4922"/>
      </w:tblGrid>
      <w:tr>
        <w:trPr/>
        <w:tc>
          <w:tcPr>
            <w:tcW w:w="515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922" w:type="dxa"/>
            <w:tcBorders/>
            <w:vAlign w:val="center"/>
          </w:tcPr>
          <w:p>
            <w:pPr>
              <w:pStyle w:val="TableContents"/>
              <w:bidi w:val="0"/>
              <w:spacing w:before="0" w:after="283"/>
              <w:jc w:val="left"/>
              <w:rPr>
                <w:sz w:val="4"/>
                <w:szCs w:val="4"/>
              </w:rPr>
            </w:pPr>
            <w:r>
              <w:rPr>
                <w:sz w:val="4"/>
                <w:szCs w:val="4"/>
              </w:rPr>
            </w:r>
          </w:p>
        </w:tc>
      </w:tr>
      <w:tr>
        <w:trPr/>
        <w:tc>
          <w:tcPr>
            <w:tcW w:w="5158" w:type="dxa"/>
            <w:tcBorders/>
          </w:tcPr>
          <w:p>
            <w:pPr>
              <w:pStyle w:val="TableContents"/>
              <w:bidi w:val="0"/>
              <w:spacing w:before="0" w:after="283"/>
              <w:jc w:val="left"/>
              <w:rPr/>
            </w:pPr>
            <w:r>
              <w:rPr/>
              <w:t>Warrant No. [ ]</w:t>
            </w:r>
          </w:p>
        </w:tc>
        <w:tc>
          <w:tcPr>
            <w:tcW w:w="125"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283"/>
              <w:jc w:val="right"/>
              <w:rPr/>
            </w:pPr>
            <w:r>
              <w:rPr/>
              <w:t>Original Issue Date: December [ ], 2025</w:t>
            </w:r>
          </w:p>
        </w:tc>
      </w:tr>
    </w:tbl>
    <w:p>
      <w:pPr>
        <w:pStyle w:val="TextBody"/>
        <w:bidi w:val="0"/>
        <w:spacing w:before="240" w:after="0"/>
        <w:jc w:val="left"/>
        <w:rPr>
          <w:rFonts w:ascii="Times New Roman" w:hAnsi="Times New Roman"/>
          <w:sz w:val="20"/>
        </w:rPr>
      </w:pPr>
      <w:r>
        <w:rPr>
          <w:rFonts w:ascii="Times New Roman" w:hAnsi="Times New Roman"/>
          <w:sz w:val="20"/>
        </w:rPr>
        <w:t>Wave Life Sciences Ltd., a company incorporated under the laws of the Republic of Singapore (the “</w:t>
      </w:r>
      <w:r>
        <w:rPr>
          <w:rFonts w:ascii="Times New Roman" w:hAnsi="Times New Roman"/>
          <w:b/>
          <w:sz w:val="20"/>
        </w:rPr>
        <w:t>Company</w:t>
      </w:r>
      <w:r>
        <w:rPr>
          <w:rFonts w:ascii="Times New Roman" w:hAnsi="Times New Roman"/>
          <w:sz w:val="20"/>
        </w:rPr>
        <w:t>”), hereby certifies that, for good and valuable consideration, the receipt and sufficiency of which are hereby acknowledged, [ ] or its registered assigns (the “</w:t>
      </w:r>
      <w:r>
        <w:rPr>
          <w:rFonts w:ascii="Times New Roman" w:hAnsi="Times New Roman"/>
          <w:b/>
          <w:sz w:val="20"/>
        </w:rPr>
        <w:t>Holder</w:t>
      </w:r>
      <w:r>
        <w:rPr>
          <w:rFonts w:ascii="Times New Roman" w:hAnsi="Times New Roman"/>
          <w:sz w:val="20"/>
        </w:rPr>
        <w:t>”), is entitled, subject to the terms set forth below, to purchase from the Company up to a total of [ ] ordinary shares, no par value per share (the “</w:t>
      </w:r>
      <w:r>
        <w:rPr>
          <w:rFonts w:ascii="Times New Roman" w:hAnsi="Times New Roman"/>
          <w:b/>
          <w:sz w:val="20"/>
        </w:rPr>
        <w:t>Ordinary Shares</w:t>
      </w:r>
      <w:r>
        <w:rPr>
          <w:rFonts w:ascii="Times New Roman" w:hAnsi="Times New Roman"/>
          <w:sz w:val="20"/>
        </w:rPr>
        <w:t>”), of the Company (each such share, a “</w:t>
      </w:r>
      <w:r>
        <w:rPr>
          <w:rFonts w:ascii="Times New Roman" w:hAnsi="Times New Roman"/>
          <w:b/>
          <w:sz w:val="20"/>
        </w:rPr>
        <w:t>Warrant Share</w:t>
      </w:r>
      <w:r>
        <w:rPr>
          <w:rFonts w:ascii="Times New Roman" w:hAnsi="Times New Roman"/>
          <w:sz w:val="20"/>
        </w:rPr>
        <w:t>” and all such shares, the “</w:t>
      </w:r>
      <w:r>
        <w:rPr>
          <w:rFonts w:ascii="Times New Roman" w:hAnsi="Times New Roman"/>
          <w:b/>
          <w:sz w:val="20"/>
        </w:rPr>
        <w:t>Warrant Shares</w:t>
      </w:r>
      <w:r>
        <w:rPr>
          <w:rFonts w:ascii="Times New Roman" w:hAnsi="Times New Roman"/>
          <w:sz w:val="20"/>
        </w:rPr>
        <w:t>”) at an exercise price per share equal to $0.0001 per share (as adjusted from time to time as provided in Section 9 herein, the “</w:t>
      </w:r>
      <w:r>
        <w:rPr>
          <w:rFonts w:ascii="Times New Roman" w:hAnsi="Times New Roman"/>
          <w:b/>
          <w:sz w:val="20"/>
        </w:rPr>
        <w:t>Exercise Price</w:t>
      </w:r>
      <w:r>
        <w:rPr>
          <w:rFonts w:ascii="Times New Roman" w:hAnsi="Times New Roman"/>
          <w:sz w:val="20"/>
        </w:rPr>
        <w:t>”) upon surrender of this Warrant to Purchase Ordinary Shares (including any Warrants to Purchase Ordinary Shares issued in exchange, transfer or replacement hereof, the “</w:t>
      </w:r>
      <w:r>
        <w:rPr>
          <w:rFonts w:ascii="Times New Roman" w:hAnsi="Times New Roman"/>
          <w:b/>
          <w:sz w:val="20"/>
        </w:rPr>
        <w:t>Warrant</w:t>
      </w:r>
      <w:r>
        <w:rPr>
          <w:rFonts w:ascii="Times New Roman" w:hAnsi="Times New Roman"/>
          <w:sz w:val="20"/>
        </w:rPr>
        <w:t>”) at any time and from time to time on or after the date hereof (the “</w:t>
      </w:r>
      <w:r>
        <w:rPr>
          <w:rFonts w:ascii="Times New Roman" w:hAnsi="Times New Roman"/>
          <w:b/>
          <w:sz w:val="20"/>
        </w:rPr>
        <w:t>Original Issue Date</w:t>
      </w:r>
      <w:r>
        <w:rPr>
          <w:rFonts w:ascii="Times New Roman" w:hAnsi="Times New Roman"/>
          <w:sz w:val="20"/>
        </w:rPr>
        <w:t xml:space="preserve">”) and on or prior to 5:00 p.m. (New York City time) on the Termination Date (as defined below), subject to the following terms and conditions: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Definitions</w:t>
      </w:r>
      <w:r>
        <w:rPr>
          <w:rFonts w:ascii="Times New Roman" w:hAnsi="Times New Roman"/>
          <w:sz w:val="20"/>
        </w:rPr>
        <w:t xml:space="preserve">. For purposes of this Warrant,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Affiliate</w:t>
      </w:r>
      <w:r>
        <w:rPr>
          <w:rFonts w:ascii="Times New Roman" w:hAnsi="Times New Roman"/>
          <w:sz w:val="20"/>
        </w:rPr>
        <w:t xml:space="preserve">” means any Person directly or indirectly controlled by, controlling or under common control with, a Holder, as such terms are used in and construed under Rule 405 under the Securities Act, but only for so long as such control shall continue.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sz w:val="20"/>
        </w:rPr>
        <w:t>Commission</w:t>
      </w:r>
      <w:r>
        <w:rPr>
          <w:rFonts w:ascii="Times New Roman" w:hAnsi="Times New Roman"/>
          <w:sz w:val="20"/>
        </w:rPr>
        <w:t xml:space="preserve">” means the United States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sz w:val="20"/>
        </w:rPr>
        <w:t>Exchange Act</w:t>
      </w:r>
      <w:r>
        <w:rPr>
          <w:rFonts w:ascii="Times New Roman" w:hAnsi="Times New Roman"/>
          <w:sz w:val="20"/>
        </w:rPr>
        <w:t xml:space="preserve">” means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sz w:val="20"/>
        </w:rPr>
        <w:t>Principal Trading Market</w:t>
      </w:r>
      <w:r>
        <w:rPr>
          <w:rFonts w:ascii="Times New Roman" w:hAnsi="Times New Roman"/>
          <w:sz w:val="20"/>
        </w:rPr>
        <w:t xml:space="preserve">” means the national securities exchange or other trading market on which the Ordinary Shares are primarily listed on and quoted for trading, which, as of the Original Issue Date, shall be the Nasdaq Global Market.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b/>
          <w:sz w:val="20"/>
        </w:rPr>
        <w:t>Registration Statement</w:t>
      </w:r>
      <w:r>
        <w:rPr>
          <w:rFonts w:ascii="Times New Roman" w:hAnsi="Times New Roman"/>
          <w:sz w:val="20"/>
        </w:rPr>
        <w:t xml:space="preserve">” means the Company’s Registration Statement on Form S-3ASR (File No. 333-283122) filed with the Commission on November 12, 2024, which became automatically effective upon filing.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b/>
          <w:sz w:val="20"/>
        </w:rPr>
        <w:t>Securities Act</w:t>
      </w:r>
      <w:r>
        <w:rPr>
          <w:rFonts w:ascii="Times New Roman" w:hAnsi="Times New Roman"/>
          <w:sz w:val="20"/>
        </w:rPr>
        <w:t xml:space="preserve">” means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b/>
          <w:sz w:val="20"/>
        </w:rPr>
        <w:t>Termination Date</w:t>
      </w:r>
      <w:r>
        <w:rPr>
          <w:rFonts w:ascii="Times New Roman" w:hAnsi="Times New Roman"/>
          <w:sz w:val="20"/>
        </w:rPr>
        <w:t xml:space="preserve">” means the five-year anniversary of the Original Issue Date.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b/>
          <w:sz w:val="20"/>
        </w:rPr>
        <w:t>Trading Day</w:t>
      </w:r>
      <w:r>
        <w:rPr>
          <w:rFonts w:ascii="Times New Roman" w:hAnsi="Times New Roman"/>
          <w:sz w:val="20"/>
        </w:rPr>
        <w:t xml:space="preserve">” means any weekday on which the Principal Trading Market is open for trading. If the Ordinary Shares are not listed or admitted for trading on any Principal Trading Market, “Trading Day” means any day except any Saturday, any Sunday, any day which is a federal legal holiday in the United States or any day on which banking institutions in New York City are authorized or required by law or other governmental action to close.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b/>
          <w:sz w:val="20"/>
        </w:rPr>
        <w:t>Transfer Agent</w:t>
      </w:r>
      <w:r>
        <w:rPr>
          <w:rFonts w:ascii="Times New Roman" w:hAnsi="Times New Roman"/>
          <w:sz w:val="20"/>
        </w:rPr>
        <w:t xml:space="preserve">” means Computershare Trust Company, N.A., the Company’s transfer agent and registrar for the Ordinary Shares, and any successor appointed in such capacity.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b/>
          <w:sz w:val="20"/>
        </w:rPr>
        <w:t>VWAP</w:t>
      </w:r>
      <w:r>
        <w:rPr>
          <w:rFonts w:ascii="Times New Roman" w:hAnsi="Times New Roman"/>
          <w:sz w:val="20"/>
        </w:rPr>
        <w:t xml:space="preserve">” means, for any date, the price determined by the first of the following clauses that applies: (i) if the Ordinary Shares are then listed or quoted on a national securities exchange or other trading market, the daily volume weighted average price of the Ordinary Shares for such date (or the nearest preceding date) on the Principal Trading Market as reported by Bloomberg L.P. (based on a Trading Day from 9:30 a.m. (New York City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time) to 4:02 p.m. (New York City time)), (ii) if the Ordinary Shares are then listed or quoted for trading and neither OTCQB nor OTCQX is the Principal Trading Market, the volume weighted average price of the Ordinary Shares for such date (or the nearest preceding date) on OTCQB or OTCQX, as applicable, (iii) if the Ordinary Shares are not then listed or quoted for trading on OTCQB or OTCQX and if prices for the Ordinary Shares are then reported in the “Pink Sheets” published by OTC Markets Group, Inc. (or a similar organization or agency succeeding to its functions of reporting prices), the most recent bid price per Ordinary Share so reported, or (iv) in all other cases, the fair market value of the Ordinary Shares as determined by an independent appraiser selected in good faith by the Holder and reasonably acceptable to the Company, the fees and expenses of which shall be paid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Issuance of Securities; Registration of Warrants</w:t>
      </w:r>
      <w:r>
        <w:rPr>
          <w:rFonts w:ascii="Times New Roman" w:hAnsi="Times New Roman"/>
          <w:sz w:val="20"/>
        </w:rPr>
        <w:t>. The Warrant, as initially issued by the Company, is offered and sold pursuant to the Registration Statement. As of the Original Issue Date, the Warrant Shares are issuable under the Registration Statement. Accordingly, the Warrant and, assuming issuance pursuant to the Registration Statement or an exchange meeting the requirements of Section 3(a)(9) of the Securities Act as in effect on the Original Issue Date, the Warrant Shares are not “restricted securities” under Rule 144 promulgated under the Securities Act. The Company shall register ownership of this Warrant, upon records to be maintained by the Company for that purpose (the “</w:t>
      </w:r>
      <w:r>
        <w:rPr>
          <w:rFonts w:ascii="Times New Roman" w:hAnsi="Times New Roman"/>
          <w:b/>
          <w:sz w:val="20"/>
        </w:rPr>
        <w:t>Warrant Register</w:t>
      </w:r>
      <w:r>
        <w:rPr>
          <w:rFonts w:ascii="Times New Roman" w:hAnsi="Times New Roman"/>
          <w:sz w:val="20"/>
        </w:rPr>
        <w:t xml:space="preserve">”), in the name of the record Holder (which shall include the initial Holder or, as the case may be, any assignee to which this Warrant is assigned hereunder) from time to time. The Company may deem and treat the registered Holder of this Warrant as the absolute owner hereof for the purpose of any exercise hereof or any distribution to the Holder, and for all other purposes, absent actual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Registration of Transfers</w:t>
      </w:r>
      <w:r>
        <w:rPr>
          <w:rFonts w:ascii="Times New Roman" w:hAnsi="Times New Roman"/>
          <w:sz w:val="20"/>
        </w:rPr>
        <w:t>.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Ordinary Shares in substantially the form of this Warrant (any such new warrant, a “</w:t>
      </w:r>
      <w:r>
        <w:rPr>
          <w:rFonts w:ascii="Times New Roman" w:hAnsi="Times New Roman"/>
          <w:b/>
          <w:sz w:val="20"/>
        </w:rPr>
        <w:t>New Warrant</w:t>
      </w:r>
      <w:r>
        <w:rPr>
          <w:rFonts w:ascii="Times New Roman" w:hAnsi="Times New Roman"/>
          <w:sz w:val="20"/>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Section 3. Until due presentment for registration of transfer, the Company may treat the registered Holder hereof as the owner and holder of this Warrant for all purposes, and the Company shall not be affected by any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Exercise and Duration of Warrants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or any part of this Warrant shall be exercisable by the registered Holder in any manner permitted by this Warrant at any time and from time to time on or after the Original Issue Date and on or prior to 5:00 p.m. (New York City time) on the Termination Date. </w:t>
      </w:r>
    </w:p>
    <w:p>
      <w:pPr>
        <w:pStyle w:val="TextBody"/>
        <w:bidi w:val="0"/>
        <w:spacing w:before="240" w:after="0"/>
        <w:jc w:val="left"/>
        <w:rPr>
          <w:rFonts w:ascii="Times New Roman" w:hAnsi="Times New Roman"/>
          <w:sz w:val="20"/>
        </w:rPr>
      </w:pPr>
      <w:r>
        <w:rPr>
          <w:rFonts w:ascii="Times New Roman" w:hAnsi="Times New Roman"/>
          <w:sz w:val="20"/>
        </w:rPr>
        <w:t>(b) The Holder may exercise this Warrant by delivering to the Company (i) an exercise notice, in the form attached as Schedule 1 hereto (the “</w:t>
      </w:r>
      <w:r>
        <w:rPr>
          <w:rFonts w:ascii="Times New Roman" w:hAnsi="Times New Roman"/>
          <w:b/>
          <w:sz w:val="20"/>
        </w:rPr>
        <w:t>Exercise Notice</w:t>
      </w:r>
      <w:r>
        <w:rPr>
          <w:rFonts w:ascii="Times New Roman" w:hAnsi="Times New Roman"/>
          <w:sz w:val="20"/>
        </w:rPr>
        <w:t>”), completed and duly signed, and (ii) payment of the Exercise Price for the number of Warrant Shares as to which this Warrant is being exercised (which may take the form of a “cashless exercise” if so indicated in the Exercise Notice pursuant to Section 10 below). The date on which such exercise notice is delivered to the Company (as determined in accordance with the notice provisions hereof) is an “</w:t>
      </w:r>
      <w:r>
        <w:rPr>
          <w:rFonts w:ascii="Times New Roman" w:hAnsi="Times New Roman"/>
          <w:b/>
          <w:sz w:val="20"/>
        </w:rPr>
        <w:t>Exercise Date</w:t>
      </w:r>
      <w:r>
        <w:rPr>
          <w:rFonts w:ascii="Times New Roman" w:hAnsi="Times New Roman"/>
          <w:sz w:val="20"/>
        </w:rPr>
        <w:t xml:space="preserve">.”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 </w:t>
      </w:r>
      <w:r>
        <w:rPr>
          <w:rFonts w:ascii="Times New Roman" w:hAnsi="Times New Roman"/>
          <w:b/>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Delivery of Warrant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Upon exercise of this Warrant, the Company shall promptly (but in no event later than one (1) Trading Day after the Exercise Date), upon the request of the Holder, credit such aggregate number of Ordinary Shares to which the Holder is entitled pursuant to such exercise to the Holder’s or its designee’s balance account with The Depository Trust Company (“</w:t>
      </w:r>
      <w:r>
        <w:rPr>
          <w:rFonts w:ascii="Times New Roman" w:hAnsi="Times New Roman"/>
          <w:b/>
          <w:sz w:val="20"/>
        </w:rPr>
        <w:t>DTC</w:t>
      </w:r>
      <w:r>
        <w:rPr>
          <w:rFonts w:ascii="Times New Roman" w:hAnsi="Times New Roman"/>
          <w:sz w:val="20"/>
        </w:rPr>
        <w:t>”) through its Deposit Withdrawal Agent Commission system, or if the Transfer Agent is not participating in the Fast Automated Securities Transfer Program (the “</w:t>
      </w:r>
      <w:r>
        <w:rPr>
          <w:rFonts w:ascii="Times New Roman" w:hAnsi="Times New Roman"/>
          <w:b/>
          <w:sz w:val="20"/>
        </w:rPr>
        <w:t>FAST Program</w:t>
      </w:r>
      <w:r>
        <w:rPr>
          <w:rFonts w:ascii="Times New Roman" w:hAnsi="Times New Roman"/>
          <w:sz w:val="20"/>
        </w:rPr>
        <w:t>”) or if the certificates or book-entry position are required to bear a legend regarding restriction on transferability, issue and dispatch by overnight courier to the address as specified in the Exercise Notice, a certificate or book-entry position, registered in the Company’s share register in the name of the Holder or its designee, for the number of Ordinary Shares to which the Holder is entitled pursuant to such exercise. The Holder, or any natural person or legal entity (each, a “</w:t>
      </w:r>
      <w:r>
        <w:rPr>
          <w:rFonts w:ascii="Times New Roman" w:hAnsi="Times New Roman"/>
          <w:b/>
          <w:sz w:val="20"/>
        </w:rPr>
        <w:t>Person</w:t>
      </w:r>
      <w:r>
        <w:rPr>
          <w:rFonts w:ascii="Times New Roman" w:hAnsi="Times New Roman"/>
          <w:sz w:val="20"/>
        </w:rPr>
        <w:t xml:space="preserve">”) so designated by the Holder to receive Warrant Shares, shall be deemed to have become the holder of record of such Warrant Shares as of the Exercise Date, irrespective of the date such Warrant Shares are credited to the Holder’s DTC account or the date of delivery of the certificates or book-entry position evidencing such Warrant Shares, as the case may be. </w:t>
      </w:r>
    </w:p>
    <w:p>
      <w:pPr>
        <w:pStyle w:val="TextBody"/>
        <w:bidi w:val="0"/>
        <w:spacing w:before="240" w:after="0"/>
        <w:jc w:val="left"/>
        <w:rPr>
          <w:rFonts w:ascii="Times New Roman" w:hAnsi="Times New Roman"/>
          <w:sz w:val="20"/>
        </w:rPr>
      </w:pPr>
      <w:r>
        <w:rPr>
          <w:rFonts w:ascii="Times New Roman" w:hAnsi="Times New Roman"/>
          <w:sz w:val="20"/>
        </w:rPr>
        <w:t>(b) If by the close of the first Trading Day after the Exercise Date, the Company fails to credit the Holder’s balance account with DTC for such number of Warrant Shares to which the Holder is entitled, and if after such first Trading Day and prior to the receipt of such Warrant Shares, the Holder purchases (in an open market transaction, provided such purchases shall be made in a commercially reasonable manner at prevailing market prices) Ordinary Shares to deliver in satisfaction of a sale by the Holder of the Warrant Shares which the Holder anticipated receiving upon such exercise (a “</w:t>
      </w:r>
      <w:r>
        <w:rPr>
          <w:rFonts w:ascii="Times New Roman" w:hAnsi="Times New Roman"/>
          <w:b/>
          <w:sz w:val="20"/>
        </w:rPr>
        <w:t>Buy-In</w:t>
      </w:r>
      <w:r>
        <w:rPr>
          <w:rFonts w:ascii="Times New Roman" w:hAnsi="Times New Roman"/>
          <w:sz w:val="20"/>
        </w:rPr>
        <w:t xml:space="preserve">”), then the Company shall, within two (2) Trading Days after the Holder’s request, in the Holder’s sole discretion, either (i) pay in cash to the Holder an amount equal to the Holder’s total purchase price (including commercially reasonable brokerage commissions, if any) for the Ordinary Shares so purchased, at which point the Company’s obligation to deliver such Warrant Shares shall terminate, or (ii) (A) pay in cash to the Holder the amount, if any, by which (1) the Holder’s total purchase price (including commercially reasonable brokerage commissions, if any) for the Ordinary Shares purchased in the Buy-In exceeds (2) the product of (x) the number of Warrant Shares that the Company was required to deliver to the Holder in connection with the exercise at issue, times (y) the price at which the sell order giving rise to such purchase obligation was executed (assuming such sale was executed on commercially reasonable terms at prevailing market prices and, if the sale was executed in multiple transactions, the volume weighted average price), and (B) at the option of the Holder, either (1) reinstate the portion of the Warrant and equivalent number of Warrant Shares for which such exercise was not honored (in which case such exercise shall be deemed rescinded) or (2) deliver to the Holder the number of Ordinary Shares that would have been issued had the Company timely complied with its exercise and delivery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permitted by law and subject to 5(b), the Company’s obligations to issue and deliver Warrant Shares in accordance with and subject to the terms hereof (including the limitations set forth in Section 11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5(b), nothing herein shall limit the Holder’s right to pursue any other remedies available to it hereunder, at law or in equity including, without limitation, a decree of specific performance and/or injunctive relief with respect to the Company’s failure to timely deliver certificates or book-entry position representing Ordinary Shares upon exercise of the Warrant as required pursuant to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i/>
          <w:sz w:val="20"/>
        </w:rPr>
        <w:t>Charges, Taxes and Expenses</w:t>
      </w:r>
      <w:r>
        <w:rPr>
          <w:rFonts w:ascii="Times New Roman" w:hAnsi="Times New Roman"/>
          <w:sz w:val="20"/>
        </w:rPr>
        <w:t xml:space="preserve">. Issuance and delivery of certificates or book-entry position for Ordinary Shares upon exercise of this Warrant shall be made without charge to the Holder for any issue or transfer tax, transfer agent fee or other incidental tax or expense (excluding any applicable stamp duties) in respect of the issuance of such certificates, all of which taxes and expenses shall be paid by the Company;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shall not be required to pay any tax that may be payable in respect of any transfer involved in the registration of any certificates for Warrant Shares or the Warrants in a name other than that of the Holder or an Affiliate thereof. The Holder shall be responsible for all other tax liability that may arise as a result of holding or transferring this Warrant or receiving Warrant Shares upon exercise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w:t>
      </w:r>
      <w:r>
        <w:rPr>
          <w:rFonts w:ascii="Times New Roman" w:hAnsi="Times New Roman"/>
          <w:i/>
          <w:sz w:val="20"/>
        </w:rPr>
        <w:t>Replacement of Warrant</w:t>
      </w:r>
      <w:r>
        <w:rPr>
          <w:rFonts w:ascii="Times New Roman" w:hAnsi="Times New Roman"/>
          <w:sz w:val="20"/>
        </w:rPr>
        <w:t xml:space="preserve">.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and surety bond, if requested by the Company. Applicants for a New Warrant under such circumstances shall also comply with such other reasonable regulations and procedures and pay such other reasonable third-party costs as the Company may prescribe. If a New Warrant is requested as a result of a mutilation of this Warrant, then the Holder shall use its best efforts to deliver such mutilated Warrant to the Company as a condition precedent to the Company’s obligation to issue the New Warrant.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i/>
          <w:sz w:val="20"/>
        </w:rPr>
        <w:t>Reservation of Warrant Shares</w:t>
      </w:r>
      <w:r>
        <w:rPr>
          <w:rFonts w:ascii="Times New Roman" w:hAnsi="Times New Roman"/>
          <w:sz w:val="20"/>
        </w:rPr>
        <w:t xml:space="preserve">. The Company covenants that it will, upon exercise of this Warrant as herein provided, issue and deliver the number of Warrant Shares that are then issuable and deliverable upon the exercise of this entire Warrant, free from preemptive rights or any other contingent purchase rights of persons other than the Holder (taking into account the adjustments and restrictions of Section 9).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Ordinary Shares may be issued as provided herein without violation of any applicable law or regulation, or of any requirements of any securities exchange or automated quotation system upon which the Ordinary Shares may be listed.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i/>
          <w:sz w:val="20"/>
        </w:rPr>
        <w:t>Certain Adjustments</w:t>
      </w:r>
      <w:r>
        <w:rPr>
          <w:rFonts w:ascii="Times New Roman" w:hAnsi="Times New Roman"/>
          <w:sz w:val="20"/>
        </w:rPr>
        <w:t xml:space="preserve">. The Exercise Price and number of Warrant Shares issuable upon exercise of this Warrant are subject to adjustment from time to time as set forth in this Section 9.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Share Dividends and Splits</w:t>
      </w:r>
      <w:r>
        <w:rPr>
          <w:rFonts w:ascii="Times New Roman" w:hAnsi="Times New Roman"/>
          <w:sz w:val="20"/>
        </w:rPr>
        <w:t xml:space="preserve">. If the Company, at any time while this Warrant is outstanding, (i) pays a share dividend on its Ordinary Shares or otherwise makes a distribution on any class of share capital issued and outstanding on the Original Issue Date and in accordance with the terms of such shares on the Original Issue Date or as amended, as described in the Registration Statement, that is payable in Ordinary Shares, (ii) subdivides its outstanding Ordinary Shares into a larger number of Ordinary Shares, (iii) combines its outstanding Ordinary Shares into a smaller number of Ordinary Shares or (iv) issues by reclassification of share capital any additional Ordinary Shares of the Company, then in each such case the Exercise Price shall be multiplied by a fraction, the numerator of which shall be the number of Ordinary Shares outstanding immediately before such event and the denominator of which shall be the number of Ordinary Shares outstanding immediately after such event. Any adjustment made pursuant to clause (i) of this paragraph shall become effective immediately after the record date for the determination of shareholders entitled to receive such dividend or distribution,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record date shall have been fixed and such dividend is not fully paid on the date fixed therefor, the Exercise Price shall be recomputed accordingly as of the close of business on such record date and thereafter the Exercise Price shall be adjusted pursuant to this paragraph as of the time of actual payment of such dividends. Any adjustment pursuant to clause (ii) or (iii) of this paragraph shall become effective immediately after the effective date of such subdivision or combination.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 Rata Distributions</w:t>
      </w:r>
      <w:r>
        <w:rPr>
          <w:rFonts w:ascii="Times New Roman" w:hAnsi="Times New Roman"/>
          <w:sz w:val="20"/>
        </w:rPr>
        <w:t>. If the Company, at any time while this Warrant is outstanding, distributes to all holders of Ordinary Shares for no consideration (i) evidences of its indebtedness, (ii) any security (other than a distribution of Ordinary Shares covered by the preceding paragraph) or (iii) rights or warrants to subscribe for or purchase any security, or (iv) cash or any other asset (in each case, a “</w:t>
      </w:r>
      <w:r>
        <w:rPr>
          <w:rFonts w:ascii="Times New Roman" w:hAnsi="Times New Roman"/>
          <w:b/>
          <w:sz w:val="20"/>
        </w:rPr>
        <w:t>Distribution</w:t>
      </w:r>
      <w:r>
        <w:rPr>
          <w:rFonts w:ascii="Times New Roman" w:hAnsi="Times New Roman"/>
          <w:sz w:val="20"/>
        </w:rPr>
        <w:t xml:space="preserve">”), then in each such case, the Holder shall be entitled to participate in such Distribution to the same extent that the Holder would have participated therein if the Holder had held the number of Ordinary Shares acquirable upon complete exercise of this Warrant (without regard to any limitations on exercise hereof, including without limitation, the ownership limitation set forth in Section 11(a) hereof) immediately before the date of which a record is taken for such Distribution, or, if no such record is taken, the date as of which the record holders of Ordinary Shares are to be determined for the participation in such Distribution;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to the extent that the Holder’s right to participate in any such Distribution would result in the Holder exceeding the ownership limitation set forth in Section 11(a) hereof, then the Holder shall not be entitled to participate in such Distribution to such extent (or in the beneficial ownership of any Ordinary Shares as a result of such Distribution to such extent) and the portion of such Distribution shall be held in abeyance for the benefit of the Holder until the earlier of (i) such time, if ever, as the delivery to such Holder of such portion would not result in the Holder exceeding the ownership limitation set forth in Section 11(a) hereof and (ii) such time as the Holder has exercised this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Fundamental Transactions. If, at any time while this Warrant is outstanding (i) the Company effects any merger or consolidation of the Company with or into another Person, in which the Company is not the surviving entity or the shareholders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transaction or a series of related transactions, (iii) pursuant to any tender offer or exchange offer (whether by the Company or another Person), holders of share capital who tender shares representing more than 50% of the voting power of the share capital of the Company and the Company or such other Person, as applicable, accepts such tender for payment, (iv) the Company consummates a share purchase agreement or other business combination (including, without limitation, a reorganization, recapitalization, spin-off or scheme of arrangement) with another Person whereby such other Person acquires more than the 50% of the voting power of the share capital of the Company (except for any such transaction in which the shareholders of the Company immediately prior to such transaction maintain, in substantially the same proportions, the voting power of such Person immediately after the transaction) or (v) the Company effects any reclassification of the Ordinary Shares or any compulsory share exchange pursuant to which the Ordinary Shares are effectively converted into or exchanged for other securities, cash or property (other than as a result of a subdivision or combination of Ordinary Shares covered by Section 9(a) above) (in any such case, a “</w:t>
      </w:r>
      <w:r>
        <w:rPr>
          <w:rFonts w:ascii="Times New Roman" w:hAnsi="Times New Roman"/>
          <w:b/>
          <w:sz w:val="20"/>
        </w:rPr>
        <w:t>Fundamental Transaction</w:t>
      </w:r>
      <w:r>
        <w:rPr>
          <w:rFonts w:ascii="Times New Roman" w:hAnsi="Times New Roman"/>
          <w:sz w:val="20"/>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(the “</w:t>
      </w:r>
      <w:r>
        <w:rPr>
          <w:rFonts w:ascii="Times New Roman" w:hAnsi="Times New Roman"/>
          <w:b/>
          <w:sz w:val="20"/>
        </w:rPr>
        <w:t>Alternate Consideration</w:t>
      </w:r>
      <w:r>
        <w:rPr>
          <w:rFonts w:ascii="Times New Roman" w:hAnsi="Times New Roman"/>
          <w:sz w:val="20"/>
        </w:rPr>
        <w:t xml:space="preserve">”). The Company shall not effect any Fundamental Transaction in which the Company is not the surviving entity or the Alternate Consideration includes securities of another Person unless (x) the Alternate Consideration is solely cash and the Company provides for the simultaneous “cashless exercise” of this Warrant pursuant to Section 10 below or (y) prior to, simultaneously with or promptly following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(c) shall similarly apply to subsequent transactions analogous of a Fundamental Transaction type.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Number of Warrant Shares</w:t>
      </w:r>
      <w:r>
        <w:rPr>
          <w:rFonts w:ascii="Times New Roman" w:hAnsi="Times New Roman"/>
          <w:sz w:val="20"/>
        </w:rPr>
        <w:t xml:space="preserve">. Simultaneously with any adjustment to the Exercise Price pursuant to Section 9 (including any adjustment to the Exercise Price that would have been effected but for the final sentence in this paragraph (d)),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Ordinary Shares then in effect.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Calculations</w:t>
      </w:r>
      <w:r>
        <w:rPr>
          <w:rFonts w:ascii="Times New Roman" w:hAnsi="Times New Roman"/>
          <w:sz w:val="20"/>
        </w:rPr>
        <w:t xml:space="preserve">. All calculations under this Section 9 shall be made to the nearest one-hundredth of one cent or the nearest share,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Notice of Adjustments</w:t>
      </w:r>
      <w:r>
        <w:rPr>
          <w:rFonts w:ascii="Times New Roman" w:hAnsi="Times New Roman"/>
          <w:sz w:val="20"/>
        </w:rPr>
        <w:t xml:space="preserve">. Upon the occurrence of each adjustment pursuant to this Section 9,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Notice of Corporate Events</w:t>
      </w:r>
      <w:r>
        <w:rPr>
          <w:rFonts w:ascii="Times New Roman" w:hAnsi="Times New Roman"/>
          <w:sz w:val="20"/>
        </w:rPr>
        <w:t xml:space="preserve">. If, while this Warrant is outstanding, the Company (i) declares a dividend or any other distribution of cash, securities or other property in respect of its Ordinary Shares, including, without limitation, any granting of rights or warrants to subscribe for or purchase any share capital of the Company or any subsidiary (ii) enters into any definitive agreement contemplating or soliciting shareholder approval for any Fundamental Transaction, or (iii) authorizes the voluntary dissolution, liquidation or winding up of the affairs of the Company, then, except if such notice and the contents thereof shall be deemed to constitute material non-public information, the Company shall deliver to the Holder a notice of such transaction at least ten (10) days prior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applicable record or effective date on which a Person would need to hold Ordinary Shares in order to participate in or vote with respect to such transaction;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failure to deliver such notice or any defect therein shall not affect the validity of the corporate action required to be described in such notice. In addition, if while this Warrant is outstanding, the Company enters into any definitive agreement contemplating or solicits shareholder approval for any Fundamental Transaction contemplated by Section 9(c), other than a Fundamental Transaction under clause (iii) of Section 9(c), the Company shall deliver to the Holder a notice of such Fundamental Transaction at least ten (10) days prior to the date such Fundamental Transaction is consummated. Holder agrees to maintain any information disclosed pursuant to this Section 9(f) in confidence until such information is publicly available, and shall comply with applicable law with respect to trading in the Company’s securities following receipt of any such information.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i/>
          <w:sz w:val="20"/>
        </w:rPr>
        <w:t>Payment of Cashless Exercise Price</w:t>
      </w:r>
      <w:r>
        <w:rPr>
          <w:rFonts w:ascii="Times New Roman" w:hAnsi="Times New Roman"/>
          <w:sz w:val="20"/>
        </w:rPr>
        <w:t xml:space="preserve">. Notwithstanding anything contained herein to the 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as determined as follows: </w:t>
      </w:r>
    </w:p>
    <w:p>
      <w:pPr>
        <w:pStyle w:val="TextBody"/>
        <w:bidi w:val="0"/>
        <w:spacing w:before="120" w:after="0"/>
        <w:jc w:val="left"/>
        <w:rPr>
          <w:rFonts w:ascii="Times New Roman" w:hAnsi="Times New Roman"/>
          <w:sz w:val="20"/>
        </w:rPr>
      </w:pPr>
      <w:r>
        <w:rPr>
          <w:rFonts w:ascii="Times New Roman" w:hAnsi="Times New Roman"/>
          <w:sz w:val="20"/>
        </w:rPr>
        <w:t xml:space="preserve">X = Y [(A-B)/A]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pPr>
      <w:r>
        <w:rPr/>
        <w:t>“</w:t>
      </w:r>
      <w:r>
        <w:rPr>
          <w:rFonts w:ascii="Times New Roman" w:hAnsi="Times New Roman"/>
          <w:sz w:val="20"/>
        </w:rPr>
        <w:t xml:space="preserve">X” equals the number of Warrant Shares to be issued to the Holder; </w:t>
      </w:r>
    </w:p>
    <w:p>
      <w:pPr>
        <w:pStyle w:val="TextBody"/>
        <w:bidi w:val="0"/>
        <w:spacing w:before="120" w:after="0"/>
        <w:jc w:val="left"/>
        <w:rPr/>
      </w:pPr>
      <w:r>
        <w:rPr/>
        <w:t>“</w:t>
      </w:r>
      <w:r>
        <w:rPr>
          <w:rFonts w:ascii="Times New Roman" w:hAnsi="Times New Roman"/>
          <w:sz w:val="20"/>
        </w:rPr>
        <w:t xml:space="preserve">Y” equals the total number of Warrant Shares with respect to which this Warrant is then being exercised; </w:t>
      </w:r>
    </w:p>
    <w:p>
      <w:pPr>
        <w:pStyle w:val="TextBody"/>
        <w:bidi w:val="0"/>
        <w:spacing w:before="120" w:after="0"/>
        <w:jc w:val="left"/>
        <w:rPr/>
      </w:pPr>
      <w:r>
        <w:rPr/>
        <w:t>“</w:t>
      </w:r>
      <w:r>
        <w:rPr>
          <w:rFonts w:ascii="Times New Roman" w:hAnsi="Times New Roman"/>
          <w:sz w:val="20"/>
        </w:rPr>
        <w:t xml:space="preserve">A” equals the last VWAP immediately preceding the time of delivery of the Exercise Notice giving rise to the applicable “cashless exercise,” as set forth in the applicable Exercise Notice (to clarify, the “last VWAP” will be the last VWAP as calculated over an entire Trading Day such that, in the event that this Warrant is exercised at a time that the Trading Market is open, the prior Trading Day’s VWAP shall be used in this calculation); and </w:t>
      </w:r>
    </w:p>
    <w:p>
      <w:pPr>
        <w:pStyle w:val="TextBody"/>
        <w:bidi w:val="0"/>
        <w:spacing w:before="120" w:after="0"/>
        <w:jc w:val="left"/>
        <w:rPr/>
      </w:pPr>
      <w:r>
        <w:rPr/>
        <w:t>“</w:t>
      </w:r>
      <w:r>
        <w:rPr>
          <w:rFonts w:ascii="Times New Roman" w:hAnsi="Times New Roman"/>
          <w:sz w:val="20"/>
        </w:rPr>
        <w:t xml:space="preserve">B” equals the Exercise Price per Warrant Share then in effect on the Exercise Date. </w:t>
      </w:r>
    </w:p>
    <w:p>
      <w:pPr>
        <w:pStyle w:val="TextBody"/>
        <w:bidi w:val="0"/>
        <w:spacing w:before="240" w:after="0"/>
        <w:jc w:val="left"/>
        <w:rPr>
          <w:rFonts w:ascii="Times New Roman" w:hAnsi="Times New Roman"/>
          <w:sz w:val="20"/>
        </w:rPr>
      </w:pPr>
      <w:r>
        <w:rPr>
          <w:rFonts w:ascii="Times New Roman" w:hAnsi="Times New Roman"/>
          <w:sz w:val="20"/>
        </w:rPr>
        <w:t>For purposes of Rule 144 promulgated under the Securities Act, it is intended, understood and acknowledged that the Warrant Shares issued in such a “cashless exercise” transaction shall be deemed to have been acquired by the Holder, and the holding period for the Warrant Shares shall be deemed to have commenced, on the date this Warrant was originally issued (</w:t>
      </w:r>
      <w:r>
        <w:rPr>
          <w:rFonts w:ascii="Times New Roman" w:hAnsi="Times New Roman"/>
          <w:i/>
          <w:sz w:val="20"/>
        </w:rPr>
        <w:t>provided</w:t>
      </w:r>
      <w:r>
        <w:rPr>
          <w:rFonts w:ascii="Times New Roman" w:hAnsi="Times New Roman"/>
          <w:sz w:val="20"/>
        </w:rPr>
        <w:t xml:space="preserve"> that the Commission continues to take the position that such treatment is proper at the time of such exercise). In the event that the Registration Statement or another registration statement registering the issuance of Warrant Shares is, for any reason, not effective at the time of exercise of this Warrant, then the Warrant may only be exercised through a cashless exercise, as set forth in this Section 10.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in Section 12 (payment of cash in lieu of fractional shares), in no event will the exercise of this Warrant be settled in cash.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i/>
          <w:sz w:val="20"/>
        </w:rPr>
        <w:t>Limitations on Exercise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anything to the contrary contained herein, unless and until the Shareholder Approval is obtained, the Company shall not effect any exercise of this Warrant, and the Holder shall not be entitled to exercise this Warrant for a number of Warrant Shares in excess of that number of Warrant Shares which, upon giving effect or immediately prior to such exercise, would cause (i) the aggregate number of Ordinary Shares beneficially owned by the Holder, its Affiliates and any other Persons whose beneficial ownership of Ordinary Shares would be aggregated with the Holder’s for purposes of Section 13(d) of the Exchange Act to exceed the Maximum Percentage (as defined below) of the total number of issued and outstanding Ordinary Shares of the Company following such exercise, or (ii) the combined voting power of the securities of the Company beneficially owned by the Holder and its Affiliates and any other Persons whose beneficial ownership of Ordinary Shares would be aggregated with the Holder’s for purposes of Section 13(d) of the Exchange Act to exceed the Maximum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Percentage of the combined voting power of all of the securities of the Company then outstanding following such exercise. For purposes of this Warrant, in determining the number of outstanding Ordinary Shares, the Holder may rely on the number of outstanding Ordinary Shares as reflected in (x) the Company’s most recent Form 10-Q or Form 10-K, as the case may be, filed with the Commission prior to the date hereof, (y) a more recent public announcement by the Company or (z) any other notice by the Company or its transfer agent setting forth the number of Ordinary Shares outstanding. Upon the written request of the Holder, the Company shall within three (3) Trading Days confirm in writing or by electronic mail to the Holder the number of Ordinary Shares then outstanding. In any case, the number of outstanding Ordinary Shares shall be determined after giving effect to the conversion or exercise of securities of the Company, including this Warrant, by the Holder since the date as of which such number of outstanding Ordinary Shares was reported. For purposes of this Section 11(a), the aggregate number of Ordinary Shares or voting securities beneficially owned by the Holder and its Affiliates and any other Persons whose beneficial ownership of Ordinary Shares would be aggregated with the Holder’s for purposes of Section 13(d) of the Exchange Act shall include the Ordinary Shares issuable upon the exercise of this Warrant with respect to which such determination is being made, but shall exclude the number of Ordinary Shares which would be issuable upon (x) exercise of the remaining unexercised and non-cancelled portion of this Warrant by the Holder and (y) exercise or conversion of the unexercised, non-converted or non-cancelled portion of any other securities of the Company that do not have voting power (including without limitation any securities of the Company which would entitle the holder thereof to acquire at any time Ordinary Shares, including without limitation any debt, preferred share, right, option, warrant or other instrument that is at any time convertible into or exercisable or exchangeable for, or otherwise entitles the holder thereof to receive, Ordinary Shares), is subject to a limitation on conversion or exercise analogous to the limitation contained herein and is beneficially owned by the Holder or any of its Affiliates and other Persons whose beneficial ownership of Ordinary Shares would be aggregated with the Holder’s for purposes of Section 13(d) of the Exchange Act. The “Maximum Percentage” shall initially be 4.99% (or upon the election of a Holder prior to the issuance of any Warrants, 9.99% or 19.99%) of the total number of issued and outstanding Ordinary Shares of the Company outstanding immediately after giving effect to the issuance of Ordinary Shares issuable upon exercise of this Warrant. The Holder, upon notice to the Company, may increase or decrease the Maximum Percentage, provided that the Maximum Percentage in no event exceeds 19.99% of the total number of issued and outstanding Ordinary Shares of the Company outstanding immediately after giving effect to the issuance of Ordinary Shares upon exercise of this Warrant held by the Holder and the provisions of this Section 11(a) shall continue to apply. Any decrease in the Maximum Percentage will be effective immediately upon delivery of such notice to the Company and any increase in the Maximum Percentage will be effective as of the 61st day after delivery of such notice to the Company. Any purported exercise of the Warrants (and delivery of the Warrant Shares upon exercise of the Warrants) will be void and have no effect to the extent, but only to the extent, that such exercise and delivery would result in any Holder becoming the beneficial owner of Ordinary Shares outstanding at such time in excess of the Maximum Percentage (unless the Shareholder Approval has been obtained). </w:t>
      </w:r>
    </w:p>
    <w:p>
      <w:pPr>
        <w:pStyle w:val="TextBody"/>
        <w:bidi w:val="0"/>
        <w:spacing w:before="240" w:after="0"/>
        <w:jc w:val="left"/>
        <w:rPr>
          <w:rFonts w:ascii="Times New Roman" w:hAnsi="Times New Roman"/>
          <w:sz w:val="20"/>
        </w:rPr>
      </w:pPr>
      <w:r>
        <w:rPr>
          <w:rFonts w:ascii="Times New Roman" w:hAnsi="Times New Roman"/>
          <w:sz w:val="20"/>
        </w:rPr>
        <w:t>(b) Upon the written request of the Holder delivered to the Company as set forth in Section 13 and subsequent to December 31, 2025, the Company agrees that it shall use commercially reasonable efforts to obtain shareholder approval (the “</w:t>
      </w:r>
      <w:r>
        <w:rPr>
          <w:rFonts w:ascii="Times New Roman" w:hAnsi="Times New Roman"/>
          <w:b/>
          <w:sz w:val="20"/>
        </w:rPr>
        <w:t>Shareholder Approval</w:t>
      </w:r>
      <w:r>
        <w:rPr>
          <w:rFonts w:ascii="Times New Roman" w:hAnsi="Times New Roman"/>
          <w:sz w:val="20"/>
        </w:rPr>
        <w:t xml:space="preserve">”), at its next regularly scheduled annual general meeting of shareholders, for the issuance of the Warrant Shares upon the exercise of all or any portion of this Warrant such that such issuance of Warrant Shares will comply with the Listing Rules of the Nasdaq Stock Market, including, without limitation, Listing Rule 5635, and with applicable Singapore law. In the event that the Holder requests the Shareholder Approval pursuant to this paragraph, the Company uses commercially reasonable efforts to obtain Shareholder Approval at its next regularly scheduled annual general meeting, and Shareholder Approval is not obtained at such meeting for any reason, then the Holder may again request Shareholder Approval each year pursuant to and subject to the terms of this paragraph, at each of the Company’s subsequent regularly scheduled annual general meetings that occur prior to the Termination Date. The Company shall not be obligated to seek the Shareholder Approval at any shareholder meeting other than its regularly scheduled annual shareholder meeting and such written request of the Holder must be received by the Company at least 90 days in advance of such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(c) This Section 11 shall not restrict the number of Ordinary Shares that a Holder may receive or beneficially own in order to determine the amount of securities or other consideration that such Holder may receive in the event of a Fundamental Transaction as contemplated in Section 9 of this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i/>
          <w:sz w:val="20"/>
        </w:rPr>
        <w:t>No Fractional Shares</w:t>
      </w:r>
      <w:r>
        <w:rPr>
          <w:rFonts w:ascii="Times New Roman" w:hAnsi="Times New Roman"/>
          <w:sz w:val="20"/>
        </w:rPr>
        <w:t xml:space="preserve">.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last VWAP immediately preceding the time of delivery of the applicable Exercise Notice) for any such fractional shares.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i/>
          <w:sz w:val="20"/>
        </w:rPr>
        <w:t>Notices</w:t>
      </w:r>
      <w:r>
        <w:rPr>
          <w:rFonts w:ascii="Times New Roman" w:hAnsi="Times New Roman"/>
          <w:sz w:val="20"/>
        </w:rPr>
        <w:t xml:space="preserve">. Any and all notices or other communications or deliveries hereunder (including, without limitation, any Exercise Notice) shall be in writing and shall be deemed given and effective on the earliest of (i) the date of transmission, if such notice or communication is delivered via facsimile or confirmed e-mail prior to 5:30 P.M., New York City time, on a Trading Day, (ii) the next Trading Day after the date of transmission, if such notice or communication is delivered via facsimile or confirmed e-mail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 The addresses, facsimile numbers and e-mail addresses for such communications shall be: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Wave Life Sciences Ltd. </w:t>
      </w:r>
    </w:p>
    <w:p>
      <w:pPr>
        <w:pStyle w:val="TextBody"/>
        <w:bidi w:val="0"/>
        <w:spacing w:before="0" w:after="0"/>
        <w:jc w:val="left"/>
        <w:rPr>
          <w:rFonts w:ascii="Times New Roman" w:hAnsi="Times New Roman"/>
          <w:sz w:val="20"/>
        </w:rPr>
      </w:pPr>
      <w:r>
        <w:rPr>
          <w:rFonts w:ascii="Times New Roman" w:hAnsi="Times New Roman"/>
          <w:sz w:val="20"/>
        </w:rPr>
        <w:t xml:space="preserve">Attention: Chief Financial Officer </w:t>
      </w:r>
    </w:p>
    <w:p>
      <w:pPr>
        <w:pStyle w:val="TextBody"/>
        <w:bidi w:val="0"/>
        <w:spacing w:before="0" w:after="0"/>
        <w:jc w:val="left"/>
        <w:rPr>
          <w:rFonts w:ascii="Times New Roman" w:hAnsi="Times New Roman"/>
          <w:sz w:val="20"/>
        </w:rPr>
      </w:pPr>
      <w:r>
        <w:rPr>
          <w:rFonts w:ascii="Times New Roman" w:hAnsi="Times New Roman"/>
          <w:sz w:val="20"/>
        </w:rPr>
        <w:t xml:space="preserve">733 Concord Ave </w:t>
      </w:r>
    </w:p>
    <w:p>
      <w:pPr>
        <w:pStyle w:val="TextBody"/>
        <w:bidi w:val="0"/>
        <w:spacing w:before="0" w:after="0"/>
        <w:jc w:val="left"/>
        <w:rPr>
          <w:rFonts w:ascii="Times New Roman" w:hAnsi="Times New Roman"/>
          <w:sz w:val="20"/>
        </w:rPr>
      </w:pPr>
      <w:r>
        <w:rPr>
          <w:rFonts w:ascii="Times New Roman" w:hAnsi="Times New Roman"/>
          <w:sz w:val="20"/>
        </w:rPr>
        <w:t xml:space="preserve">Cambridge, Massachusetts 02138 </w:t>
      </w:r>
    </w:p>
    <w:p>
      <w:pPr>
        <w:pStyle w:val="TextBody"/>
        <w:bidi w:val="0"/>
        <w:spacing w:before="0" w:after="0"/>
        <w:jc w:val="left"/>
        <w:rPr>
          <w:rFonts w:ascii="Times New Roman" w:hAnsi="Times New Roman"/>
          <w:sz w:val="20"/>
        </w:rPr>
      </w:pPr>
      <w:r>
        <w:rPr>
          <w:rFonts w:ascii="Times New Roman" w:hAnsi="Times New Roman"/>
          <w:sz w:val="20"/>
        </w:rPr>
        <w:t xml:space="preserve">Telephone: (617) 949-2900 </w:t>
      </w:r>
    </w:p>
    <w:p>
      <w:pPr>
        <w:pStyle w:val="TextBody"/>
        <w:bidi w:val="0"/>
        <w:spacing w:before="0" w:after="0"/>
        <w:jc w:val="left"/>
        <w:rPr>
          <w:rFonts w:ascii="Times New Roman" w:hAnsi="Times New Roman"/>
          <w:sz w:val="20"/>
        </w:rPr>
      </w:pPr>
      <w:r>
        <w:rPr>
          <w:rFonts w:ascii="Times New Roman" w:hAnsi="Times New Roman"/>
          <w:sz w:val="20"/>
        </w:rPr>
        <w:t xml:space="preserve">Email: kmoran@wavelifesci.com </w:t>
      </w:r>
    </w:p>
    <w:p>
      <w:pPr>
        <w:pStyle w:val="TextBody"/>
        <w:bidi w:val="0"/>
        <w:spacing w:before="120" w:after="0"/>
        <w:jc w:val="left"/>
        <w:rPr>
          <w:rFonts w:ascii="Times New Roman" w:hAnsi="Times New Roman"/>
          <w:sz w:val="20"/>
        </w:rPr>
      </w:pPr>
      <w:r>
        <w:rPr>
          <w:rFonts w:ascii="Times New Roman" w:hAnsi="Times New Roman"/>
          <w:sz w:val="20"/>
        </w:rPr>
        <w:t xml:space="preserve">If to the Holder, to its address, facsimile number or e-mail address set forth herein or on the books and records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Or, in each of the above instances, to such other address, facsimile number or e-mail address as the recipient party has specified by written notice given to each other party at least five (5) days prior to the effectiveness of such change.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i/>
          <w:sz w:val="20"/>
        </w:rPr>
        <w:t>Warrant Agent</w:t>
      </w:r>
      <w:r>
        <w:rPr>
          <w:rFonts w:ascii="Times New Roman" w:hAnsi="Times New Roman"/>
          <w:sz w:val="20"/>
        </w:rPr>
        <w:t xml:space="preserve">. The Company shall initially serve as warrant agent under this Warrant. Upon ten (10)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i/>
          <w:sz w:val="20"/>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Rights as a Shareholder</w:t>
      </w:r>
      <w:r>
        <w:rPr>
          <w:rFonts w:ascii="Times New Roman" w:hAnsi="Times New Roman"/>
          <w:sz w:val="20"/>
        </w:rPr>
        <w:t xml:space="preserve">.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shareholder of the Company or any right to vote, give or withhold consent to any corporate action (whether any reorganization, issue of shares, reclassification of shares,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Authorized Shares</w:t>
      </w:r>
      <w:r>
        <w:rPr>
          <w:rFonts w:ascii="Times New Roman" w:hAnsi="Times New Roman"/>
          <w:sz w:val="20"/>
        </w:rPr>
        <w:t xml:space="preserve">. Except and to the extent as waived or consented to by the Holder, the Company shall not by any action, including, without limitation, amending its constitution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take all such action as may be necessary or appropriate in order that the Company may validly and legally issue fully paid and non-assessable Warrant Shares upon the exercise of this Warrant, and (b) use commercially reasonable efforts to obtain all such authorizations, exemptions or consents from any public regulatory body having jurisdiction thereof as may be necessary to enable the Company to perform its obligations under this Warrant.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Successors and Assigns</w:t>
      </w:r>
      <w:r>
        <w:rPr>
          <w:rFonts w:ascii="Times New Roman" w:hAnsi="Times New Roman"/>
          <w:sz w:val="20"/>
        </w:rPr>
        <w:t xml:space="preserve">.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 and Waiver</w:t>
      </w:r>
      <w:r>
        <w:rPr>
          <w:rFonts w:ascii="Times New Roman" w:hAnsi="Times New Roman"/>
          <w:sz w:val="20"/>
        </w:rPr>
        <w:t xml:space="preserve">. Except as otherwise provided herein, the provisions of the Warrants may be amended and the Company may take any action herein prohibited, or omit to perform any act herein required to be performed by it, only if the Company has obtained the written consent of the Holder.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Acceptance</w:t>
      </w:r>
      <w:r>
        <w:rPr>
          <w:rFonts w:ascii="Times New Roman" w:hAnsi="Times New Roman"/>
          <w:sz w:val="20"/>
        </w:rPr>
        <w:t xml:space="preserve">. Receipt of this Warrant by the Holder shall constitute acceptance of and agreement to all of the terms and conditions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Governing Law; Jurisdiction</w:t>
      </w:r>
      <w:r>
        <w:rPr>
          <w:rFonts w:ascii="Times New Roman" w:hAnsi="Times New Roman"/>
          <w:sz w:val="20"/>
        </w:rPr>
        <w:t xml:space="preserve">.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Headings</w:t>
      </w:r>
      <w:r>
        <w:rPr>
          <w:rFonts w:ascii="Times New Roman" w:hAnsi="Times New Roman"/>
          <w:sz w:val="20"/>
        </w:rPr>
        <w:t xml:space="preserve">. The headings herein are for convenience only, do not constitute a part of this Warrant and shall not be deemed to limit or affect any of the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Severability</w:t>
      </w:r>
      <w:r>
        <w:rPr>
          <w:rFonts w:ascii="Times New Roman" w:hAnsi="Times New Roman"/>
          <w:sz w:val="20"/>
        </w:rPr>
        <w:t xml:space="preserve">.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Warrant to be duly executed by its authorized officer as of the date first indicated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76"/>
        <w:gridCol w:w="81"/>
        <w:gridCol w:w="3125"/>
      </w:tblGrid>
      <w:tr>
        <w:trPr/>
        <w:tc>
          <w:tcPr>
            <w:tcW w:w="876"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WAVE LIFE SCIENCES LTD.</w:t>
            </w:r>
          </w:p>
        </w:tc>
      </w:tr>
      <w:tr>
        <w:trPr>
          <w:trHeight w:val="240" w:hRule="atLeast"/>
        </w:trPr>
        <w:tc>
          <w:tcPr>
            <w:tcW w:w="876" w:type="dxa"/>
            <w:tcBorders/>
            <w:vAlign w:val="center"/>
          </w:tcPr>
          <w:p>
            <w:pPr>
              <w:pStyle w:val="TableContents"/>
              <w:bidi w:val="0"/>
              <w:spacing w:before="0" w:after="283"/>
              <w:jc w:val="left"/>
              <w:rPr>
                <w:sz w:val="4"/>
                <w:szCs w:val="4"/>
              </w:rPr>
            </w:pPr>
            <w:r>
              <w:rPr>
                <w:sz w:val="4"/>
                <w:szCs w:val="4"/>
              </w:rPr>
            </w:r>
          </w:p>
        </w:tc>
        <w:tc>
          <w:tcPr>
            <w:tcW w:w="3206"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By:</w:t>
            </w:r>
          </w:p>
        </w:tc>
        <w:tc>
          <w:tcPr>
            <w:tcW w:w="81" w:type="dxa"/>
            <w:tcBorders>
              <w:bottom w:val="single" w:sz="2" w:space="0" w:color="000000"/>
            </w:tcBorders>
            <w:tcMar>
              <w:bottom w:w="28" w:type="dxa"/>
            </w:tcMar>
            <w:vAlign w:val="bottom"/>
          </w:tcPr>
          <w:p>
            <w:pPr>
              <w:pStyle w:val="TableContents"/>
              <w:bidi w:val="0"/>
              <w:spacing w:before="0" w:after="283"/>
              <w:jc w:val="left"/>
              <w:rPr/>
            </w:pPr>
            <w:r>
              <w:rPr/>
              <w:t> </w:t>
            </w:r>
          </w:p>
        </w:tc>
        <w:tc>
          <w:tcPr>
            <w:tcW w:w="3125" w:type="dxa"/>
            <w:tcBorders>
              <w:bottom w:val="single" w:sz="2" w:space="0" w:color="000000"/>
            </w:tcBorders>
            <w:tcMar>
              <w:bottom w:w="28" w:type="dxa"/>
            </w:tcMar>
          </w:tcPr>
          <w:p>
            <w:pPr>
              <w:pStyle w:val="TableContents"/>
              <w:bidi w:val="0"/>
              <w:spacing w:before="0" w:after="283"/>
              <w:jc w:val="left"/>
              <w:rPr/>
            </w:pPr>
            <w:r>
              <w:rPr/>
              <w:t> </w:t>
            </w:r>
          </w:p>
        </w:tc>
      </w:tr>
      <w:tr>
        <w:trPr/>
        <w:tc>
          <w:tcPr>
            <w:tcW w:w="876" w:type="dxa"/>
            <w:tcBorders/>
          </w:tcPr>
          <w:p>
            <w:pPr>
              <w:pStyle w:val="TableContents"/>
              <w:bidi w:val="0"/>
              <w:spacing w:before="0" w:after="283"/>
              <w:jc w:val="left"/>
              <w:rPr/>
            </w:pPr>
            <w:r>
              <w:rPr/>
              <w:t>Name:</w:t>
            </w:r>
          </w:p>
        </w:tc>
        <w:tc>
          <w:tcPr>
            <w:tcW w:w="81" w:type="dxa"/>
            <w:tcBorders>
              <w:bottom w:val="single" w:sz="2" w:space="0" w:color="000000"/>
            </w:tcBorders>
            <w:tcMar>
              <w:bottom w:w="28" w:type="dxa"/>
            </w:tcMar>
            <w:vAlign w:val="bottom"/>
          </w:tcPr>
          <w:p>
            <w:pPr>
              <w:pStyle w:val="TableContents"/>
              <w:bidi w:val="0"/>
              <w:spacing w:before="0" w:after="283"/>
              <w:jc w:val="left"/>
              <w:rPr/>
            </w:pPr>
            <w:r>
              <w:rPr/>
              <w:t> </w:t>
            </w:r>
          </w:p>
        </w:tc>
        <w:tc>
          <w:tcPr>
            <w:tcW w:w="3125" w:type="dxa"/>
            <w:tcBorders>
              <w:bottom w:val="single" w:sz="2" w:space="0" w:color="000000"/>
            </w:tcBorders>
            <w:tcMar>
              <w:bottom w:w="28" w:type="dxa"/>
            </w:tcMar>
          </w:tcPr>
          <w:p>
            <w:pPr>
              <w:pStyle w:val="TableContents"/>
              <w:bidi w:val="0"/>
              <w:spacing w:before="0" w:after="283"/>
              <w:jc w:val="left"/>
              <w:rPr/>
            </w:pPr>
            <w:r>
              <w:rPr/>
              <w:t> </w:t>
            </w:r>
          </w:p>
        </w:tc>
      </w:tr>
      <w:tr>
        <w:trPr/>
        <w:tc>
          <w:tcPr>
            <w:tcW w:w="876" w:type="dxa"/>
            <w:tcBorders/>
          </w:tcPr>
          <w:p>
            <w:pPr>
              <w:pStyle w:val="TableContents"/>
              <w:bidi w:val="0"/>
              <w:spacing w:before="0" w:after="283"/>
              <w:jc w:val="left"/>
              <w:rPr/>
            </w:pPr>
            <w:r>
              <w:rPr/>
              <w:t>Title:</w:t>
            </w:r>
          </w:p>
        </w:tc>
        <w:tc>
          <w:tcPr>
            <w:tcW w:w="81" w:type="dxa"/>
            <w:tcBorders>
              <w:bottom w:val="single" w:sz="2" w:space="0" w:color="000000"/>
            </w:tcBorders>
            <w:tcMar>
              <w:bottom w:w="28" w:type="dxa"/>
            </w:tcMar>
            <w:vAlign w:val="bottom"/>
          </w:tcPr>
          <w:p>
            <w:pPr>
              <w:pStyle w:val="TableContents"/>
              <w:bidi w:val="0"/>
              <w:spacing w:before="0" w:after="283"/>
              <w:jc w:val="left"/>
              <w:rPr/>
            </w:pPr>
            <w:r>
              <w:rPr/>
              <w:t> </w:t>
            </w:r>
          </w:p>
        </w:tc>
        <w:tc>
          <w:tcPr>
            <w:tcW w:w="3125"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Form of Warrant to Purchase Ordinary Shares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1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EXERCISE NOTICE </w:t>
      </w:r>
    </w:p>
    <w:p>
      <w:pPr>
        <w:pStyle w:val="TextBody"/>
        <w:bidi w:val="0"/>
        <w:spacing w:before="120" w:after="0"/>
        <w:jc w:val="center"/>
        <w:rPr>
          <w:rFonts w:ascii="Times New Roman" w:hAnsi="Times New Roman"/>
          <w:sz w:val="20"/>
        </w:rPr>
      </w:pPr>
      <w:r>
        <w:rPr>
          <w:rFonts w:ascii="Times New Roman" w:hAnsi="Times New Roman"/>
          <w:sz w:val="20"/>
        </w:rPr>
        <w:t xml:space="preserve">[To be executed by the Holder to purchase Ordinary Shares under the Warrant]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(1) The undersigned is the Holder of Warrant No.</w:t>
      </w:r>
      <w:r>
        <w:rPr>
          <w:rFonts w:ascii="Times New Roman" w:hAnsi="Times New Roman"/>
          <w:sz w:val="20"/>
          <w:u w:val="single"/>
        </w:rPr>
        <w:t>   </w:t>
      </w:r>
      <w:r>
        <w:rPr>
          <w:rFonts w:ascii="Times New Roman" w:hAnsi="Times New Roman"/>
          <w:sz w:val="20"/>
        </w:rPr>
        <w:t xml:space="preserve"> (the “Warrant”) issued by Wave Life Sciences Ltd., a company incorporated under the laws of the Republic of Singapore (the “Company”). Capitalized terms used herein and not otherwise defined herein have the respective meanings set forth in the Warrant. </w:t>
      </w:r>
    </w:p>
    <w:p>
      <w:pPr>
        <w:pStyle w:val="TextBody"/>
        <w:bidi w:val="0"/>
        <w:spacing w:before="240" w:after="0"/>
        <w:jc w:val="left"/>
        <w:rPr>
          <w:rFonts w:ascii="Times New Roman" w:hAnsi="Times New Roman"/>
          <w:sz w:val="20"/>
        </w:rPr>
      </w:pPr>
      <w:r>
        <w:rPr>
          <w:rFonts w:ascii="Times New Roman" w:hAnsi="Times New Roman"/>
          <w:sz w:val="20"/>
        </w:rPr>
        <w:t xml:space="preserve">(2) The undersigned hereby exercises its right to purchase    Warrant Shares pursuant to the Warrant. </w:t>
      </w:r>
    </w:p>
    <w:p>
      <w:pPr>
        <w:pStyle w:val="TextBody"/>
        <w:bidi w:val="0"/>
        <w:spacing w:before="240" w:after="0"/>
        <w:jc w:val="left"/>
        <w:rPr>
          <w:rFonts w:ascii="Times New Roman" w:hAnsi="Times New Roman"/>
          <w:sz w:val="20"/>
        </w:rPr>
      </w:pPr>
      <w:r>
        <w:rPr>
          <w:rFonts w:ascii="Times New Roman" w:hAnsi="Times New Roman"/>
          <w:sz w:val="20"/>
        </w:rPr>
        <w:t xml:space="preserve">(3) The Holder intends that payment of the Exercise Price shall be made as (check 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pPr>
            <w:r>
              <w:rPr/>
              <w:t>“</w:t>
            </w:r>
            <w:r>
              <w:rPr>
                <w:rFonts w:ascii="Times New Roman" w:hAnsi="Times New Roman"/>
                <w:sz w:val="20"/>
              </w:rPr>
              <w:t xml:space="preserve">Cashless Exercise” under Section 10 of the Warrant </w:t>
            </w:r>
          </w:p>
        </w:tc>
      </w:tr>
    </w:tbl>
    <w:p>
      <w:pPr>
        <w:pStyle w:val="TextBody"/>
        <w:bidi w:val="0"/>
        <w:spacing w:before="240" w:after="0"/>
        <w:jc w:val="left"/>
        <w:rPr>
          <w:rFonts w:ascii="Times New Roman" w:hAnsi="Times New Roman"/>
          <w:sz w:val="20"/>
        </w:rPr>
      </w:pPr>
      <w:r>
        <w:rPr>
          <w:rFonts w:ascii="Times New Roman" w:hAnsi="Times New Roman"/>
          <w:sz w:val="20"/>
        </w:rPr>
        <w:t>(4) If the Holder has elected a Cash Exercise, the Holder shall pay the sum of $</w:t>
      </w:r>
      <w:r>
        <w:rPr>
          <w:rFonts w:ascii="Times New Roman" w:hAnsi="Times New Roman"/>
          <w:sz w:val="20"/>
          <w:u w:val="single"/>
        </w:rPr>
        <w:t>    </w:t>
      </w:r>
      <w:r>
        <w:rPr>
          <w:rFonts w:ascii="Times New Roman" w:hAnsi="Times New Roman"/>
          <w:sz w:val="20"/>
        </w:rPr>
        <w:t xml:space="preserve"> in immediately available funds to the Company in accordance with the terms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(5) Pursuant to this Exercise Notice, the Company shall deliver to the Holder Warrant Shares determined in accordance with the terms of the Warrant. The Warrant Shares shall be delivered to the following DWAC Account Number: </w:t>
      </w:r>
    </w:p>
    <w:p>
      <w:pPr>
        <w:pStyle w:val="TextBody"/>
        <w:bidi w:val="0"/>
        <w:spacing w:before="240" w:after="0"/>
        <w:jc w:val="left"/>
        <w:rPr>
          <w:rFonts w:ascii="Times New Roman" w:hAnsi="Times New Roman"/>
          <w:sz w:val="20"/>
        </w:rPr>
      </w:pPr>
      <w:r>
        <w:rPr>
          <w:rFonts w:ascii="Times New Roman" w:hAnsi="Times New Roman"/>
          <w:sz w:val="20"/>
        </w:rPr>
        <w:t xml:space="preserve">(6) By its delivery of this Exercise Notice, the undersigned represents and warrants to the Company that in giving effect to the exercise evidenced hereby the Holder will not beneficially own in excess of the number of Ordinary Shares (as determined in accordance with Section 13(d) of the Securities Exchange Act of 1934, as amended) permitted to be owned under Section 11(a) of the Warrant to which this notice relates.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707"/>
        <w:gridCol w:w="60"/>
        <w:gridCol w:w="2315"/>
      </w:tblGrid>
      <w:tr>
        <w:trPr/>
        <w:tc>
          <w:tcPr>
            <w:tcW w:w="170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r>
      <w:tr>
        <w:trPr/>
        <w:tc>
          <w:tcPr>
            <w:tcW w:w="1707" w:type="dxa"/>
            <w:tcBorders/>
          </w:tcPr>
          <w:p>
            <w:pPr>
              <w:pStyle w:val="TableContents"/>
              <w:bidi w:val="0"/>
              <w:spacing w:before="0" w:after="0"/>
              <w:jc w:val="left"/>
              <w:rPr>
                <w:rFonts w:ascii="Times New Roman" w:hAnsi="Times New Roman"/>
                <w:sz w:val="20"/>
              </w:rPr>
            </w:pPr>
            <w:r>
              <w:rPr>
                <w:rFonts w:ascii="Times New Roman" w:hAnsi="Times New Roman"/>
                <w:sz w:val="20"/>
              </w:rPr>
              <w:t>Name of Holder:</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315" w:type="dxa"/>
            <w:tcBorders>
              <w:bottom w:val="single" w:sz="2" w:space="0" w:color="000000"/>
            </w:tcBorders>
            <w:tcMar>
              <w:bottom w:w="28" w:type="dxa"/>
            </w:tcMar>
          </w:tcPr>
          <w:p>
            <w:pPr>
              <w:pStyle w:val="TableContents"/>
              <w:bidi w:val="0"/>
              <w:spacing w:before="0" w:after="283"/>
              <w:jc w:val="left"/>
              <w:rPr/>
            </w:pPr>
            <w:r>
              <w:rPr/>
              <w:t> </w:t>
            </w:r>
          </w:p>
        </w:tc>
      </w:tr>
      <w:tr>
        <w:trPr/>
        <w:tc>
          <w:tcPr>
            <w:tcW w:w="1707"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315" w:type="dxa"/>
            <w:tcBorders>
              <w:bottom w:val="single" w:sz="2" w:space="0" w:color="000000"/>
            </w:tcBorders>
            <w:tcMar>
              <w:bottom w:w="28" w:type="dxa"/>
            </w:tcMar>
          </w:tcPr>
          <w:p>
            <w:pPr>
              <w:pStyle w:val="TableContents"/>
              <w:bidi w:val="0"/>
              <w:spacing w:before="0" w:after="283"/>
              <w:jc w:val="left"/>
              <w:rPr/>
            </w:pPr>
            <w:r>
              <w:rPr/>
              <w:t> </w:t>
            </w:r>
          </w:p>
        </w:tc>
      </w:tr>
      <w:tr>
        <w:trPr/>
        <w:tc>
          <w:tcPr>
            <w:tcW w:w="1707"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315" w:type="dxa"/>
            <w:tcBorders>
              <w:bottom w:val="single" w:sz="2" w:space="0" w:color="000000"/>
            </w:tcBorders>
            <w:tcMar>
              <w:bottom w:w="28" w:type="dxa"/>
            </w:tcMar>
          </w:tcPr>
          <w:p>
            <w:pPr>
              <w:pStyle w:val="TableContents"/>
              <w:bidi w:val="0"/>
              <w:spacing w:before="0" w:after="283"/>
              <w:jc w:val="left"/>
              <w:rPr/>
            </w:pPr>
            <w:r>
              <w:rPr/>
              <w:t> </w:t>
            </w:r>
          </w:p>
        </w:tc>
      </w:tr>
      <w:tr>
        <w:trPr/>
        <w:tc>
          <w:tcPr>
            <w:tcW w:w="1707"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315"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must conform in all respects to name of Holder as specified on the face of the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1 </w:t>
      </w:r>
    </w:p>
    <w:p>
      <w:pPr>
        <w:pStyle w:val="TextBody"/>
        <w:bidi w:val="0"/>
        <w:spacing w:before="0" w:after="0"/>
        <w:jc w:val="right"/>
        <w:rPr>
          <w:rFonts w:ascii="Times New Roman" w:hAnsi="Times New Roman"/>
          <w:b/>
          <w:sz w:val="20"/>
        </w:rPr>
      </w:pPr>
      <w:bookmarkStart w:id="4" w:name="d88507dex41.htm"/>
      <w:bookmarkStart w:id="5" w:name="ksd88507dex41"/>
      <w:bookmarkEnd w:id="4"/>
      <w:bookmarkEnd w:id="5"/>
      <w:r>
        <w:rPr>
          <w:rFonts w:ascii="Times New Roman" w:hAnsi="Times New Roman"/>
          <w:b/>
          <w:sz w:val="20"/>
        </w:rPr>
        <w:t xml:space="preserve">Exhibit 4.1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WAVE LIFE SCIENCES LTD.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PRE-FUNDED WARRANT TO PURCHASE ORDINARY SHARES </w:t>
      </w:r>
    </w:p>
    <w:p>
      <w:pPr>
        <w:pStyle w:val="TextBody"/>
        <w:bidi w:val="0"/>
        <w:spacing w:before="240" w:after="0"/>
        <w:jc w:val="right"/>
        <w:rPr>
          <w:rFonts w:ascii="Times New Roman" w:hAnsi="Times New Roman"/>
          <w:sz w:val="20"/>
        </w:rPr>
      </w:pPr>
      <w:r>
        <w:rPr>
          <w:rFonts w:ascii="Times New Roman" w:hAnsi="Times New Roman"/>
          <w:sz w:val="20"/>
        </w:rPr>
        <w:t xml:space="preserve">Number of Shares: [ ] </w:t>
      </w:r>
    </w:p>
    <w:p>
      <w:pPr>
        <w:pStyle w:val="TextBody"/>
        <w:bidi w:val="0"/>
        <w:spacing w:before="0" w:after="0"/>
        <w:jc w:val="right"/>
        <w:rPr>
          <w:rFonts w:ascii="Times New Roman" w:hAnsi="Times New Roman"/>
          <w:sz w:val="20"/>
        </w:rPr>
      </w:pPr>
      <w:r>
        <w:rPr>
          <w:rFonts w:ascii="Times New Roman" w:hAnsi="Times New Roman"/>
          <w:sz w:val="20"/>
        </w:rPr>
        <w:t xml:space="preserve">(subject to adjustment)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8"/>
        <w:gridCol w:w="125"/>
        <w:gridCol w:w="4922"/>
      </w:tblGrid>
      <w:tr>
        <w:trPr/>
        <w:tc>
          <w:tcPr>
            <w:tcW w:w="515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922" w:type="dxa"/>
            <w:tcBorders/>
            <w:vAlign w:val="center"/>
          </w:tcPr>
          <w:p>
            <w:pPr>
              <w:pStyle w:val="TableContents"/>
              <w:bidi w:val="0"/>
              <w:spacing w:before="0" w:after="283"/>
              <w:jc w:val="left"/>
              <w:rPr>
                <w:sz w:val="4"/>
                <w:szCs w:val="4"/>
              </w:rPr>
            </w:pPr>
            <w:r>
              <w:rPr>
                <w:sz w:val="4"/>
                <w:szCs w:val="4"/>
              </w:rPr>
            </w:r>
          </w:p>
        </w:tc>
      </w:tr>
      <w:tr>
        <w:trPr/>
        <w:tc>
          <w:tcPr>
            <w:tcW w:w="5158" w:type="dxa"/>
            <w:tcBorders/>
          </w:tcPr>
          <w:p>
            <w:pPr>
              <w:pStyle w:val="TableContents"/>
              <w:bidi w:val="0"/>
              <w:spacing w:before="0" w:after="283"/>
              <w:jc w:val="left"/>
              <w:rPr/>
            </w:pPr>
            <w:r>
              <w:rPr/>
              <w:t>Warrant No. [ ]</w:t>
            </w:r>
          </w:p>
        </w:tc>
        <w:tc>
          <w:tcPr>
            <w:tcW w:w="125" w:type="dxa"/>
            <w:tcBorders/>
            <w:vAlign w:val="bottom"/>
          </w:tcPr>
          <w:p>
            <w:pPr>
              <w:pStyle w:val="TableContents"/>
              <w:bidi w:val="0"/>
              <w:spacing w:before="0" w:after="283"/>
              <w:jc w:val="left"/>
              <w:rPr/>
            </w:pPr>
            <w:r>
              <w:rPr/>
              <w:t>  </w:t>
            </w:r>
          </w:p>
        </w:tc>
        <w:tc>
          <w:tcPr>
            <w:tcW w:w="4922" w:type="dxa"/>
            <w:tcBorders/>
          </w:tcPr>
          <w:p>
            <w:pPr>
              <w:pStyle w:val="TableContents"/>
              <w:bidi w:val="0"/>
              <w:spacing w:before="0" w:after="283"/>
              <w:jc w:val="right"/>
              <w:rPr/>
            </w:pPr>
            <w:r>
              <w:rPr/>
              <w:t>Original Issue Date: December [ ], 2025</w:t>
            </w:r>
          </w:p>
        </w:tc>
      </w:tr>
    </w:tbl>
    <w:p>
      <w:pPr>
        <w:pStyle w:val="TextBody"/>
        <w:bidi w:val="0"/>
        <w:spacing w:before="240" w:after="0"/>
        <w:jc w:val="left"/>
        <w:rPr>
          <w:rFonts w:ascii="Times New Roman" w:hAnsi="Times New Roman"/>
          <w:sz w:val="20"/>
        </w:rPr>
      </w:pPr>
      <w:r>
        <w:rPr>
          <w:rFonts w:ascii="Times New Roman" w:hAnsi="Times New Roman"/>
          <w:sz w:val="20"/>
        </w:rPr>
        <w:t>Wave Life Sciences Ltd., a company incorporated under the laws of the Republic of Singapore (the “</w:t>
      </w:r>
      <w:r>
        <w:rPr>
          <w:rFonts w:ascii="Times New Roman" w:hAnsi="Times New Roman"/>
          <w:b/>
          <w:sz w:val="20"/>
        </w:rPr>
        <w:t>Company</w:t>
      </w:r>
      <w:r>
        <w:rPr>
          <w:rFonts w:ascii="Times New Roman" w:hAnsi="Times New Roman"/>
          <w:sz w:val="20"/>
        </w:rPr>
        <w:t>”), hereby certifies that, for good and valuable consideration, the receipt and sufficiency of which are hereby acknowledged, [ ] or its registered assigns (the “</w:t>
      </w:r>
      <w:r>
        <w:rPr>
          <w:rFonts w:ascii="Times New Roman" w:hAnsi="Times New Roman"/>
          <w:b/>
          <w:sz w:val="20"/>
        </w:rPr>
        <w:t>Holder</w:t>
      </w:r>
      <w:r>
        <w:rPr>
          <w:rFonts w:ascii="Times New Roman" w:hAnsi="Times New Roman"/>
          <w:sz w:val="20"/>
        </w:rPr>
        <w:t>”), is entitled, subject to the terms set forth below, to purchase from the Company up to a total of [ ] ordinary shares, no par value per share (the “</w:t>
      </w:r>
      <w:r>
        <w:rPr>
          <w:rFonts w:ascii="Times New Roman" w:hAnsi="Times New Roman"/>
          <w:b/>
          <w:sz w:val="20"/>
        </w:rPr>
        <w:t>Ordinary Shares</w:t>
      </w:r>
      <w:r>
        <w:rPr>
          <w:rFonts w:ascii="Times New Roman" w:hAnsi="Times New Roman"/>
          <w:sz w:val="20"/>
        </w:rPr>
        <w:t>”), of the Company (each such share, a “</w:t>
      </w:r>
      <w:r>
        <w:rPr>
          <w:rFonts w:ascii="Times New Roman" w:hAnsi="Times New Roman"/>
          <w:b/>
          <w:sz w:val="20"/>
        </w:rPr>
        <w:t>Warrant Share</w:t>
      </w:r>
      <w:r>
        <w:rPr>
          <w:rFonts w:ascii="Times New Roman" w:hAnsi="Times New Roman"/>
          <w:sz w:val="20"/>
        </w:rPr>
        <w:t>” and all such shares, the “</w:t>
      </w:r>
      <w:r>
        <w:rPr>
          <w:rFonts w:ascii="Times New Roman" w:hAnsi="Times New Roman"/>
          <w:b/>
          <w:sz w:val="20"/>
        </w:rPr>
        <w:t>Warrant Shares</w:t>
      </w:r>
      <w:r>
        <w:rPr>
          <w:rFonts w:ascii="Times New Roman" w:hAnsi="Times New Roman"/>
          <w:sz w:val="20"/>
        </w:rPr>
        <w:t>”) at an exercise price per share equal to $0.0001 per share (as adjusted from time to time as provided in Section 9 herein, the “</w:t>
      </w:r>
      <w:r>
        <w:rPr>
          <w:rFonts w:ascii="Times New Roman" w:hAnsi="Times New Roman"/>
          <w:b/>
          <w:sz w:val="20"/>
        </w:rPr>
        <w:t>Exercise Price</w:t>
      </w:r>
      <w:r>
        <w:rPr>
          <w:rFonts w:ascii="Times New Roman" w:hAnsi="Times New Roman"/>
          <w:sz w:val="20"/>
        </w:rPr>
        <w:t>”) upon surrender of this Warrant to Purchase Ordinary Shares (including any Warrants to Purchase Ordinary Shares issued in exchange, transfer or replacement hereof, the “</w:t>
      </w:r>
      <w:r>
        <w:rPr>
          <w:rFonts w:ascii="Times New Roman" w:hAnsi="Times New Roman"/>
          <w:b/>
          <w:sz w:val="20"/>
        </w:rPr>
        <w:t>Warrant</w:t>
      </w:r>
      <w:r>
        <w:rPr>
          <w:rFonts w:ascii="Times New Roman" w:hAnsi="Times New Roman"/>
          <w:sz w:val="20"/>
        </w:rPr>
        <w:t>”) at any time and from time to time on or after the date hereof (the “</w:t>
      </w:r>
      <w:r>
        <w:rPr>
          <w:rFonts w:ascii="Times New Roman" w:hAnsi="Times New Roman"/>
          <w:b/>
          <w:sz w:val="20"/>
        </w:rPr>
        <w:t>Original Issue Date</w:t>
      </w:r>
      <w:r>
        <w:rPr>
          <w:rFonts w:ascii="Times New Roman" w:hAnsi="Times New Roman"/>
          <w:sz w:val="20"/>
        </w:rPr>
        <w:t xml:space="preserve">”) and on or prior to 5:00 p.m. (New York City time) on the Termination Date (as defined below), subject to the following terms and conditions: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Definitions</w:t>
      </w:r>
      <w:r>
        <w:rPr>
          <w:rFonts w:ascii="Times New Roman" w:hAnsi="Times New Roman"/>
          <w:sz w:val="20"/>
        </w:rPr>
        <w:t xml:space="preserve">. For purposes of this Warrant,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Affiliate</w:t>
      </w:r>
      <w:r>
        <w:rPr>
          <w:rFonts w:ascii="Times New Roman" w:hAnsi="Times New Roman"/>
          <w:sz w:val="20"/>
        </w:rPr>
        <w:t xml:space="preserve">” means any Person directly or indirectly controlled by, controlling or under common control with, a Holder, as such terms are used in and construed under Rule 405 under the Securities Act, but only for so long as such control shall continue.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sz w:val="20"/>
        </w:rPr>
        <w:t>Commission</w:t>
      </w:r>
      <w:r>
        <w:rPr>
          <w:rFonts w:ascii="Times New Roman" w:hAnsi="Times New Roman"/>
          <w:sz w:val="20"/>
        </w:rPr>
        <w:t xml:space="preserve">” means the United States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sz w:val="20"/>
        </w:rPr>
        <w:t>Exchange Act</w:t>
      </w:r>
      <w:r>
        <w:rPr>
          <w:rFonts w:ascii="Times New Roman" w:hAnsi="Times New Roman"/>
          <w:sz w:val="20"/>
        </w:rPr>
        <w:t xml:space="preserve">” means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sz w:val="20"/>
        </w:rPr>
        <w:t>Principal Trading Market</w:t>
      </w:r>
      <w:r>
        <w:rPr>
          <w:rFonts w:ascii="Times New Roman" w:hAnsi="Times New Roman"/>
          <w:sz w:val="20"/>
        </w:rPr>
        <w:t xml:space="preserve">” means the national securities exchange or other trading market on which the Ordinary Shares are primarily listed on and quoted for trading, which, as of the Original Issue Date, shall be the Nasdaq Global Market.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b/>
          <w:sz w:val="20"/>
        </w:rPr>
        <w:t>Registration Statement</w:t>
      </w:r>
      <w:r>
        <w:rPr>
          <w:rFonts w:ascii="Times New Roman" w:hAnsi="Times New Roman"/>
          <w:sz w:val="20"/>
        </w:rPr>
        <w:t xml:space="preserve">” means the Company’s Registration Statement on Form S-3ASR (File No. 333-283122) filed with the Commission on November 12, 2024, which became automatically effective upon filing.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b/>
          <w:sz w:val="20"/>
        </w:rPr>
        <w:t>Securities Act</w:t>
      </w:r>
      <w:r>
        <w:rPr>
          <w:rFonts w:ascii="Times New Roman" w:hAnsi="Times New Roman"/>
          <w:sz w:val="20"/>
        </w:rPr>
        <w:t xml:space="preserve">” means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b/>
          <w:sz w:val="20"/>
        </w:rPr>
        <w:t>Termination Date</w:t>
      </w:r>
      <w:r>
        <w:rPr>
          <w:rFonts w:ascii="Times New Roman" w:hAnsi="Times New Roman"/>
          <w:sz w:val="20"/>
        </w:rPr>
        <w:t xml:space="preserve">” means the five-year anniversary of the Original Issue Date.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b/>
          <w:sz w:val="20"/>
        </w:rPr>
        <w:t>Trading Day</w:t>
      </w:r>
      <w:r>
        <w:rPr>
          <w:rFonts w:ascii="Times New Roman" w:hAnsi="Times New Roman"/>
          <w:sz w:val="20"/>
        </w:rPr>
        <w:t xml:space="preserve">” means any weekday on which the Principal Trading Market is open for trading. If the Ordinary Shares are not listed or admitted for trading on any Principal Trading Market, “Trading Day” means any day except any Saturday, any Sunday, any day which is a federal legal holiday in the United States or any day on which banking institutions in New York City are authorized or required by law or other governmental action to close.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b/>
          <w:sz w:val="20"/>
        </w:rPr>
        <w:t>Transfer Agent</w:t>
      </w:r>
      <w:r>
        <w:rPr>
          <w:rFonts w:ascii="Times New Roman" w:hAnsi="Times New Roman"/>
          <w:sz w:val="20"/>
        </w:rPr>
        <w:t xml:space="preserve">” means Computershare Trust Company, N.A., the Company’s transfer agent and registrar for the Ordinary Shares, and any successor appointed in such capacity.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b/>
          <w:sz w:val="20"/>
        </w:rPr>
        <w:t>VWAP</w:t>
      </w:r>
      <w:r>
        <w:rPr>
          <w:rFonts w:ascii="Times New Roman" w:hAnsi="Times New Roman"/>
          <w:sz w:val="20"/>
        </w:rPr>
        <w:t xml:space="preserve">” means, for any date, the price determined by the first of the following clauses that applies: (i) if the Ordinary Shares are then listed or quoted on a national securities exchange or other trading market, the daily volume weighted average price of the Ordinary Shares for such date (or the nearest preceding date) on the Principal Trading Market as reported by Bloomberg L.P. (based on a Trading Day from 9:30 a.m. (New York City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time) to 4:02 p.m. (New York City time)), (ii) if the Ordinary Shares are then listed or quoted for trading and neither OTCQB nor OTCQX is the Principal Trading Market, the volume weighted average price of the Ordinary Shares for such date (or the nearest preceding date) on OTCQB or OTCQX, as applicable, (iii) if the Ordinary Shares are not then listed or quoted for trading on OTCQB or OTCQX and if prices for the Ordinary Shares are then reported in the “Pink Sheets” published by OTC Markets Group, Inc. (or a similar organization or agency succeeding to its functions of reporting prices), the most recent bid price per Ordinary Share so reported, or (iv) in all other cases, the fair market value of the Ordinary Shares as determined by an independent appraiser selected in good faith by the Holder and reasonably acceptable to the Company, the fees and expenses of which shall be paid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Issuance of Securities; Registration of Warrants</w:t>
      </w:r>
      <w:r>
        <w:rPr>
          <w:rFonts w:ascii="Times New Roman" w:hAnsi="Times New Roman"/>
          <w:sz w:val="20"/>
        </w:rPr>
        <w:t>. The Warrant, as initially issued by the Company, is offered and sold pursuant to the Registration Statement. As of the Original Issue Date, the Warrant Shares are issuable under the Registration Statement. Accordingly, the Warrant and, assuming issuance pursuant to the Registration Statement or an exchange meeting the requirements of Section 3(a)(9) of the Securities Act as in effect on the Original Issue Date, the Warrant Shares are not “restricted securities” under Rule 144 promulgated under the Securities Act. The Company shall register ownership of this Warrant, upon records to be maintained by the Company for that purpose (the “</w:t>
      </w:r>
      <w:r>
        <w:rPr>
          <w:rFonts w:ascii="Times New Roman" w:hAnsi="Times New Roman"/>
          <w:b/>
          <w:sz w:val="20"/>
        </w:rPr>
        <w:t>Warrant Register</w:t>
      </w:r>
      <w:r>
        <w:rPr>
          <w:rFonts w:ascii="Times New Roman" w:hAnsi="Times New Roman"/>
          <w:sz w:val="20"/>
        </w:rPr>
        <w:t xml:space="preserve">”), in the name of the record Holder (which shall include the initial Holder or, as the case may be, any assignee to which this Warrant is assigned hereunder) from time to time. The Company may deem and treat the registered Holder of this Warrant as the absolute owner hereof for the purpose of any exercise hereof or any distribution to the Holder, and for all other purposes, absent actual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Registration of Transfers</w:t>
      </w:r>
      <w:r>
        <w:rPr>
          <w:rFonts w:ascii="Times New Roman" w:hAnsi="Times New Roman"/>
          <w:sz w:val="20"/>
        </w:rPr>
        <w:t>.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Ordinary Shares in substantially the form of this Warrant (any such new warrant, a “</w:t>
      </w:r>
      <w:r>
        <w:rPr>
          <w:rFonts w:ascii="Times New Roman" w:hAnsi="Times New Roman"/>
          <w:b/>
          <w:sz w:val="20"/>
        </w:rPr>
        <w:t>New Warrant</w:t>
      </w:r>
      <w:r>
        <w:rPr>
          <w:rFonts w:ascii="Times New Roman" w:hAnsi="Times New Roman"/>
          <w:sz w:val="20"/>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Section 3. Until due presentment for registration of transfer, the Company may treat the registered Holder hereof as the owner and holder of this Warrant for all purposes, and the Company shall not be affected by any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Exercise and Duration of Warrants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or any part of this Warrant shall be exercisable by the registered Holder in any manner permitted by this Warrant at any time and from time to time on or after the Original Issue Date and on or prior to 5:00 p.m. (New York City time) on the Termination Date. </w:t>
      </w:r>
    </w:p>
    <w:p>
      <w:pPr>
        <w:pStyle w:val="TextBody"/>
        <w:bidi w:val="0"/>
        <w:spacing w:before="240" w:after="0"/>
        <w:jc w:val="left"/>
        <w:rPr>
          <w:rFonts w:ascii="Times New Roman" w:hAnsi="Times New Roman"/>
          <w:sz w:val="20"/>
        </w:rPr>
      </w:pPr>
      <w:r>
        <w:rPr>
          <w:rFonts w:ascii="Times New Roman" w:hAnsi="Times New Roman"/>
          <w:sz w:val="20"/>
        </w:rPr>
        <w:t>(b) The Holder may exercise this Warrant by delivering to the Company (i) an exercise notice, in the form attached as Schedule 1 hereto (the “</w:t>
      </w:r>
      <w:r>
        <w:rPr>
          <w:rFonts w:ascii="Times New Roman" w:hAnsi="Times New Roman"/>
          <w:b/>
          <w:sz w:val="20"/>
        </w:rPr>
        <w:t>Exercise Notice</w:t>
      </w:r>
      <w:r>
        <w:rPr>
          <w:rFonts w:ascii="Times New Roman" w:hAnsi="Times New Roman"/>
          <w:sz w:val="20"/>
        </w:rPr>
        <w:t>”), completed and duly signed, and (ii) payment of the Exercise Price for the number of Warrant Shares as to which this Warrant is being exercised (which may take the form of a “cashless exercise” if so indicated in the Exercise Notice pursuant to Section 10 below). The date on which such exercise notice is delivered to the Company (as determined in accordance with the notice provisions hereof) is an “</w:t>
      </w:r>
      <w:r>
        <w:rPr>
          <w:rFonts w:ascii="Times New Roman" w:hAnsi="Times New Roman"/>
          <w:b/>
          <w:sz w:val="20"/>
        </w:rPr>
        <w:t>Exercise Date</w:t>
      </w:r>
      <w:r>
        <w:rPr>
          <w:rFonts w:ascii="Times New Roman" w:hAnsi="Times New Roman"/>
          <w:sz w:val="20"/>
        </w:rPr>
        <w:t xml:space="preserve">.”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 </w:t>
      </w:r>
      <w:r>
        <w:rPr>
          <w:rFonts w:ascii="Times New Roman" w:hAnsi="Times New Roman"/>
          <w:b/>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Delivery of Warrant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Upon exercise of this Warrant, the Company shall promptly (but in no event later than one (1) Trading Day after the Exercise Date), upon the request of the Holder, credit such aggregate number of Ordinary Shares to which the Holder is entitled pursuant to such exercise to the Holder’s or its designee’s balance account with The Depository Trust Company (“</w:t>
      </w:r>
      <w:r>
        <w:rPr>
          <w:rFonts w:ascii="Times New Roman" w:hAnsi="Times New Roman"/>
          <w:b/>
          <w:sz w:val="20"/>
        </w:rPr>
        <w:t>DTC</w:t>
      </w:r>
      <w:r>
        <w:rPr>
          <w:rFonts w:ascii="Times New Roman" w:hAnsi="Times New Roman"/>
          <w:sz w:val="20"/>
        </w:rPr>
        <w:t>”) through its Deposit Withdrawal Agent Commission system, or if the Transfer Agent is not participating in the Fast Automated Securities Transfer Program (the “</w:t>
      </w:r>
      <w:r>
        <w:rPr>
          <w:rFonts w:ascii="Times New Roman" w:hAnsi="Times New Roman"/>
          <w:b/>
          <w:sz w:val="20"/>
        </w:rPr>
        <w:t>FAST Program</w:t>
      </w:r>
      <w:r>
        <w:rPr>
          <w:rFonts w:ascii="Times New Roman" w:hAnsi="Times New Roman"/>
          <w:sz w:val="20"/>
        </w:rPr>
        <w:t>”) or if the certificates or book-entry position are required to bear a legend regarding restriction on transferability, issue and dispatch by overnight courier to the address as specified in the Exercise Notice, a certificate or book-entry position, registered in the Company’s share register in the name of the Holder or its designee, for the number of Ordinary Shares to which the Holder is entitled pursuant to such exercise. The Holder, or any natural person or legal entity (each, a “</w:t>
      </w:r>
      <w:r>
        <w:rPr>
          <w:rFonts w:ascii="Times New Roman" w:hAnsi="Times New Roman"/>
          <w:b/>
          <w:sz w:val="20"/>
        </w:rPr>
        <w:t>Person</w:t>
      </w:r>
      <w:r>
        <w:rPr>
          <w:rFonts w:ascii="Times New Roman" w:hAnsi="Times New Roman"/>
          <w:sz w:val="20"/>
        </w:rPr>
        <w:t xml:space="preserve">”) so designated by the Holder to receive Warrant Shares, shall be deemed to have become the holder of record of such Warrant Shares as of the Exercise Date, irrespective of the date such Warrant Shares are credited to the Holder’s DTC account or the date of delivery of the certificates or book-entry position evidencing such Warrant Shares, as the case may be. </w:t>
      </w:r>
    </w:p>
    <w:p>
      <w:pPr>
        <w:pStyle w:val="TextBody"/>
        <w:bidi w:val="0"/>
        <w:spacing w:before="240" w:after="0"/>
        <w:jc w:val="left"/>
        <w:rPr>
          <w:rFonts w:ascii="Times New Roman" w:hAnsi="Times New Roman"/>
          <w:sz w:val="20"/>
        </w:rPr>
      </w:pPr>
      <w:r>
        <w:rPr>
          <w:rFonts w:ascii="Times New Roman" w:hAnsi="Times New Roman"/>
          <w:sz w:val="20"/>
        </w:rPr>
        <w:t>(b) If by the close of the first Trading Day after the Exercise Date, the Company fails to credit the Holder’s balance account with DTC for such number of Warrant Shares to which the Holder is entitled, and if after such first Trading Day and prior to the receipt of such Warrant Shares, the Holder purchases (in an open market transaction, provided such purchases shall be made in a commercially reasonable manner at prevailing market prices) Ordinary Shares to deliver in satisfaction of a sale by the Holder of the Warrant Shares which the Holder anticipated receiving upon such exercise (a “</w:t>
      </w:r>
      <w:r>
        <w:rPr>
          <w:rFonts w:ascii="Times New Roman" w:hAnsi="Times New Roman"/>
          <w:b/>
          <w:sz w:val="20"/>
        </w:rPr>
        <w:t>Buy-In</w:t>
      </w:r>
      <w:r>
        <w:rPr>
          <w:rFonts w:ascii="Times New Roman" w:hAnsi="Times New Roman"/>
          <w:sz w:val="20"/>
        </w:rPr>
        <w:t xml:space="preserve">”), then the Company shall, within two (2) Trading Days after the Holder’s request, in the Holder’s sole discretion, either (i) pay in cash to the Holder an amount equal to the Holder’s total purchase price (including commercially reasonable brokerage commissions, if any) for the Ordinary Shares so purchased, at which point the Company’s obligation to deliver such Warrant Shares shall terminate, or (ii) (A) pay in cash to the Holder the amount, if any, by which (1) the Holder’s total purchase price (including commercially reasonable brokerage commissions, if any) for the Ordinary Shares purchased in the Buy-In exceeds (2) the product of (x) the number of Warrant Shares that the Company was required to deliver to the Holder in connection with the exercise at issue, times (y) the price at which the sell order giving rise to such purchase obligation was executed (assuming such sale was executed on commercially reasonable terms at prevailing market prices and, if the sale was executed in multiple transactions, the volume weighted average price), and (B) at the option of the Holder, either (1) reinstate the portion of the Warrant and equivalent number of Warrant Shares for which such exercise was not honored (in which case such exercise shall be deemed rescinded) or (2) deliver to the Holder the number of Ordinary Shares that would have been issued had the Company timely complied with its exercise and delivery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permitted by law and subject to 5(b), the Company’s obligations to issue and deliver Warrant Shares in accordance with and subject to the terms hereof (including the limitations set forth in Section 11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5(b), nothing herein shall limit the Holder’s right to pursue any other remedies available to it hereunder, at law or in equity including, without limitation, a decree of specific performance and/or injunctive relief with respect to the Company’s failure to timely deliver certificates or book-entry position representing Ordinary Shares upon exercise of the Warrant as required pursuant to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i/>
          <w:sz w:val="20"/>
        </w:rPr>
        <w:t>Charges, Taxes and Expenses</w:t>
      </w:r>
      <w:r>
        <w:rPr>
          <w:rFonts w:ascii="Times New Roman" w:hAnsi="Times New Roman"/>
          <w:sz w:val="20"/>
        </w:rPr>
        <w:t xml:space="preserve">. Issuance and delivery of certificates or book-entry position for Ordinary Shares upon exercise of this Warrant shall be made without charge to the Holder for any issue or transfer tax, transfer agent fee or other incidental tax or expense (excluding any applicable stamp duties) in respect of the issuance of such certificates, all of which taxes and expenses shall be paid by the Company;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shall not be required to pay any tax that may be payable in respect of any transfer involved in the registration of any certificates for Warrant Shares or the Warrants in a name other than that of the Holder or an Affiliate thereof. The Holder shall be responsible for all other tax liability that may arise as a result of holding or transferring this Warrant or receiving Warrant Shares upon exercise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w:t>
      </w:r>
      <w:r>
        <w:rPr>
          <w:rFonts w:ascii="Times New Roman" w:hAnsi="Times New Roman"/>
          <w:i/>
          <w:sz w:val="20"/>
        </w:rPr>
        <w:t>Replacement of Warrant</w:t>
      </w:r>
      <w:r>
        <w:rPr>
          <w:rFonts w:ascii="Times New Roman" w:hAnsi="Times New Roman"/>
          <w:sz w:val="20"/>
        </w:rPr>
        <w:t xml:space="preserve">.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and surety bond, if requested by the Company. Applicants for a New Warrant under such circumstances shall also comply with such other reasonable regulations and procedures and pay such other reasonable third-party costs as the Company may prescribe. If a New Warrant is requested as a result of a mutilation of this Warrant, then the Holder shall use its best efforts to deliver such mutilated Warrant to the Company as a condition precedent to the Company’s obligation to issue the New Warrant.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i/>
          <w:sz w:val="20"/>
        </w:rPr>
        <w:t>Reservation of Warrant Shares</w:t>
      </w:r>
      <w:r>
        <w:rPr>
          <w:rFonts w:ascii="Times New Roman" w:hAnsi="Times New Roman"/>
          <w:sz w:val="20"/>
        </w:rPr>
        <w:t xml:space="preserve">. The Company covenants that it will, upon exercise of this Warrant as herein provided, issue and deliver the number of Warrant Shares that are then issuable and deliverable upon the exercise of this entire Warrant, free from preemptive rights or any other contingent purchase rights of persons other than the Holder (taking into account the adjustments and restrictions of Section 9).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Ordinary Shares may be issued as provided herein without violation of any applicable law or regulation, or of any requirements of any securities exchange or automated quotation system upon which the Ordinary Shares may be listed.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i/>
          <w:sz w:val="20"/>
        </w:rPr>
        <w:t>Certain Adjustments</w:t>
      </w:r>
      <w:r>
        <w:rPr>
          <w:rFonts w:ascii="Times New Roman" w:hAnsi="Times New Roman"/>
          <w:sz w:val="20"/>
        </w:rPr>
        <w:t xml:space="preserve">. The Exercise Price and number of Warrant Shares issuable upon exercise of this Warrant are subject to adjustment from time to time as set forth in this Section 9.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Share Dividends and Splits</w:t>
      </w:r>
      <w:r>
        <w:rPr>
          <w:rFonts w:ascii="Times New Roman" w:hAnsi="Times New Roman"/>
          <w:sz w:val="20"/>
        </w:rPr>
        <w:t xml:space="preserve">. If the Company, at any time while this Warrant is outstanding, (i) pays a share dividend on its Ordinary Shares or otherwise makes a distribution on any class of share capital issued and outstanding on the Original Issue Date and in accordance with the terms of such shares on the Original Issue Date or as amended, as described in the Registration Statement, that is payable in Ordinary Shares, (ii) subdivides its outstanding Ordinary Shares into a larger number of Ordinary Shares, (iii) combines its outstanding Ordinary Shares into a smaller number of Ordinary Shares or (iv) issues by reclassification of share capital any additional Ordinary Shares of the Company, then in each such case the Exercise Price shall be multiplied by a fraction, the numerator of which shall be the number of Ordinary Shares outstanding immediately before such event and the denominator of which shall be the number of Ordinary Shares outstanding immediately after such event. Any adjustment made pursuant to clause (i) of this paragraph shall become effective immediately after the record date for the determination of shareholders entitled to receive such dividend or distribution,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record date shall have been fixed and such dividend is not fully paid on the date fixed therefor, the Exercise Price shall be recomputed accordingly as of the close of business on such record date and thereafter the Exercise Price shall be adjusted pursuant to this paragraph as of the time of actual payment of such dividends. Any adjustment pursuant to clause (ii) or (iii) of this paragraph shall become effective immediately after the effective date of such subdivision or combination.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 Rata Distributions</w:t>
      </w:r>
      <w:r>
        <w:rPr>
          <w:rFonts w:ascii="Times New Roman" w:hAnsi="Times New Roman"/>
          <w:sz w:val="20"/>
        </w:rPr>
        <w:t>. If the Company, at any time while this Warrant is outstanding, distributes to all holders of Ordinary Shares for no consideration (i) evidences of its indebtedness, (ii) any security (other than a distribution of Ordinary Shares covered by the preceding paragraph) or (iii) rights or warrants to subscribe for or purchase any security, or (iv) cash or any other asset (in each case, a “</w:t>
      </w:r>
      <w:r>
        <w:rPr>
          <w:rFonts w:ascii="Times New Roman" w:hAnsi="Times New Roman"/>
          <w:b/>
          <w:sz w:val="20"/>
        </w:rPr>
        <w:t>Distribution</w:t>
      </w:r>
      <w:r>
        <w:rPr>
          <w:rFonts w:ascii="Times New Roman" w:hAnsi="Times New Roman"/>
          <w:sz w:val="20"/>
        </w:rPr>
        <w:t xml:space="preserve">”), then in each such case, the Holder shall be entitled to participate in such Distribution to the same extent that the Holder would have participated therein if the Holder had held the number of Ordinary Shares acquirable upon complete exercise of this Warrant (without regard to any limitations on exercise hereof, including without limitation, the ownership limitation set forth in Section 11(a) hereof) immediately before the date of which a record is taken for such Distribution, or, if no such record is taken, the date as of which the record holders of Ordinary Shares are to be determined for the participation in such Distribution;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to the extent that the Holder’s right to participate in any such Distribution would result in the Holder exceeding the ownership limitation set forth in Section 11(a) hereof, then the Holder shall not be entitled to participate in such Distribution to such extent (or in the beneficial ownership of any Ordinary Shares as a result of such Distribution to such extent) and the portion of such Distribution shall be held in abeyance for the benefit of the Holder until the earlier of (i) such time, if ever, as the delivery to such Holder of such portion would not result in the Holder exceeding the ownership limitation set forth in Section 11(a) hereof and (ii) such time as the Holder has exercised this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Fundamental Transactions. If, at any time while this Warrant is outstanding (i) the Company effects any merger or consolidation of the Company with or into another Person, in which the Company is not the surviving entity or the shareholders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transaction or a series of related transactions, (iii) pursuant to any tender offer or exchange offer (whether by the Company or another Person), holders of share capital who tender shares representing more than 50% of the voting power of the share capital of the Company and the Company or such other Person, as applicable, accepts such tender for payment, (iv) the Company consummates a share purchase agreement or other business combination (including, without limitation, a reorganization, recapitalization, spin-off or scheme of arrangement) with another Person whereby such other Person acquires more than the 50% of the voting power of the share capital of the Company (except for any such transaction in which the shareholders of the Company immediately prior to such transaction maintain, in substantially the same proportions, the voting power of such Person immediately after the transaction) or (v) the Company effects any reclassification of the Ordinary Shares or any compulsory share exchange pursuant to which the Ordinary Shares are effectively converted into or exchanged for other securities, cash or property (other than as a result of a subdivision or combination of Ordinary Shares covered by Section 9(a) above) (in any such case, a “</w:t>
      </w:r>
      <w:r>
        <w:rPr>
          <w:rFonts w:ascii="Times New Roman" w:hAnsi="Times New Roman"/>
          <w:b/>
          <w:sz w:val="20"/>
        </w:rPr>
        <w:t>Fundamental Transaction</w:t>
      </w:r>
      <w:r>
        <w:rPr>
          <w:rFonts w:ascii="Times New Roman" w:hAnsi="Times New Roman"/>
          <w:sz w:val="20"/>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(the “</w:t>
      </w:r>
      <w:r>
        <w:rPr>
          <w:rFonts w:ascii="Times New Roman" w:hAnsi="Times New Roman"/>
          <w:b/>
          <w:sz w:val="20"/>
        </w:rPr>
        <w:t>Alternate Consideration</w:t>
      </w:r>
      <w:r>
        <w:rPr>
          <w:rFonts w:ascii="Times New Roman" w:hAnsi="Times New Roman"/>
          <w:sz w:val="20"/>
        </w:rPr>
        <w:t xml:space="preserve">”). The Company shall not effect any Fundamental Transaction in which the Company is not the surviving entity or the Alternate Consideration includes securities of another Person unless (x) the Alternate Consideration is solely cash and the Company provides for the simultaneous “cashless exercise” of this Warrant pursuant to Section 10 below or (y) prior to, simultaneously with or promptly following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(c) shall similarly apply to subsequent transactions analogous of a Fundamental Transaction type.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Number of Warrant Shares</w:t>
      </w:r>
      <w:r>
        <w:rPr>
          <w:rFonts w:ascii="Times New Roman" w:hAnsi="Times New Roman"/>
          <w:sz w:val="20"/>
        </w:rPr>
        <w:t xml:space="preserve">. Simultaneously with any adjustment to the Exercise Price pursuant to Section 9 (including any adjustment to the Exercise Price that would have been effected but for the final sentence in this paragraph (d)),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Ordinary Shares then in effect.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Calculations</w:t>
      </w:r>
      <w:r>
        <w:rPr>
          <w:rFonts w:ascii="Times New Roman" w:hAnsi="Times New Roman"/>
          <w:sz w:val="20"/>
        </w:rPr>
        <w:t xml:space="preserve">. All calculations under this Section 9 shall be made to the nearest one-hundredth of one cent or the nearest share,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Notice of Adjustments</w:t>
      </w:r>
      <w:r>
        <w:rPr>
          <w:rFonts w:ascii="Times New Roman" w:hAnsi="Times New Roman"/>
          <w:sz w:val="20"/>
        </w:rPr>
        <w:t xml:space="preserve">. Upon the occurrence of each adjustment pursuant to this Section 9,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Notice of Corporate Events</w:t>
      </w:r>
      <w:r>
        <w:rPr>
          <w:rFonts w:ascii="Times New Roman" w:hAnsi="Times New Roman"/>
          <w:sz w:val="20"/>
        </w:rPr>
        <w:t xml:space="preserve">. If, while this Warrant is outstanding, the Company (i) declares a dividend or any other distribution of cash, securities or other property in respect of its Ordinary Shares, including, without limitation, any granting of rights or warrants to subscribe for or purchase any share capital of the Company or any subsidiary (ii) enters into any definitive agreement contemplating or soliciting shareholder approval for any Fundamental Transaction, or (iii) authorizes the voluntary dissolution, liquidation or winding up of the affairs of the Company, then, except if such notice and the contents thereof shall be deemed to constitute material non-public information, the Company shall deliver to the Holder a notice of such transaction at least ten (10) days prior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applicable record or effective date on which a Person would need to hold Ordinary Shares in order to participate in or vote with respect to such transaction;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failure to deliver such notice or any defect therein shall not affect the validity of the corporate action required to be described in such notice. In addition, if while this Warrant is outstanding, the Company enters into any definitive agreement contemplating or solicits shareholder approval for any Fundamental Transaction contemplated by Section 9(c), other than a Fundamental Transaction under clause (iii) of Section 9(c), the Company shall deliver to the Holder a notice of such Fundamental Transaction at least ten (10) days prior to the date such Fundamental Transaction is consummated. Holder agrees to maintain any information disclosed pursuant to this Section 9(f) in confidence until such information is publicly available, and shall comply with applicable law with respect to trading in the Company’s securities following receipt of any such information.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i/>
          <w:sz w:val="20"/>
        </w:rPr>
        <w:t>Payment of Cashless Exercise Price</w:t>
      </w:r>
      <w:r>
        <w:rPr>
          <w:rFonts w:ascii="Times New Roman" w:hAnsi="Times New Roman"/>
          <w:sz w:val="20"/>
        </w:rPr>
        <w:t xml:space="preserve">. Notwithstanding anything contained herein to the 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as determined as follows: </w:t>
      </w:r>
    </w:p>
    <w:p>
      <w:pPr>
        <w:pStyle w:val="TextBody"/>
        <w:bidi w:val="0"/>
        <w:spacing w:before="120" w:after="0"/>
        <w:jc w:val="left"/>
        <w:rPr>
          <w:rFonts w:ascii="Times New Roman" w:hAnsi="Times New Roman"/>
          <w:sz w:val="20"/>
        </w:rPr>
      </w:pPr>
      <w:r>
        <w:rPr>
          <w:rFonts w:ascii="Times New Roman" w:hAnsi="Times New Roman"/>
          <w:sz w:val="20"/>
        </w:rPr>
        <w:t xml:space="preserve">X = Y [(A-B)/A]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pPr>
      <w:r>
        <w:rPr/>
        <w:t>“</w:t>
      </w:r>
      <w:r>
        <w:rPr>
          <w:rFonts w:ascii="Times New Roman" w:hAnsi="Times New Roman"/>
          <w:sz w:val="20"/>
        </w:rPr>
        <w:t xml:space="preserve">X” equals the number of Warrant Shares to be issued to the Holder; </w:t>
      </w:r>
    </w:p>
    <w:p>
      <w:pPr>
        <w:pStyle w:val="TextBody"/>
        <w:bidi w:val="0"/>
        <w:spacing w:before="120" w:after="0"/>
        <w:jc w:val="left"/>
        <w:rPr/>
      </w:pPr>
      <w:r>
        <w:rPr/>
        <w:t>“</w:t>
      </w:r>
      <w:r>
        <w:rPr>
          <w:rFonts w:ascii="Times New Roman" w:hAnsi="Times New Roman"/>
          <w:sz w:val="20"/>
        </w:rPr>
        <w:t xml:space="preserve">Y” equals the total number of Warrant Shares with respect to which this Warrant is then being exercised; </w:t>
      </w:r>
    </w:p>
    <w:p>
      <w:pPr>
        <w:pStyle w:val="TextBody"/>
        <w:bidi w:val="0"/>
        <w:spacing w:before="120" w:after="0"/>
        <w:jc w:val="left"/>
        <w:rPr/>
      </w:pPr>
      <w:r>
        <w:rPr/>
        <w:t>“</w:t>
      </w:r>
      <w:r>
        <w:rPr>
          <w:rFonts w:ascii="Times New Roman" w:hAnsi="Times New Roman"/>
          <w:sz w:val="20"/>
        </w:rPr>
        <w:t xml:space="preserve">A” equals the last VWAP immediately preceding the time of delivery of the Exercise Notice giving rise to the applicable “cashless exercise,” as set forth in the applicable Exercise Notice (to clarify, the “last VWAP” will be the last VWAP as calculated over an entire Trading Day such that, in the event that this Warrant is exercised at a time that the Trading Market is open, the prior Trading Day’s VWAP shall be used in this calculation); and </w:t>
      </w:r>
    </w:p>
    <w:p>
      <w:pPr>
        <w:pStyle w:val="TextBody"/>
        <w:bidi w:val="0"/>
        <w:spacing w:before="120" w:after="0"/>
        <w:jc w:val="left"/>
        <w:rPr/>
      </w:pPr>
      <w:r>
        <w:rPr/>
        <w:t>“</w:t>
      </w:r>
      <w:r>
        <w:rPr>
          <w:rFonts w:ascii="Times New Roman" w:hAnsi="Times New Roman"/>
          <w:sz w:val="20"/>
        </w:rPr>
        <w:t xml:space="preserve">B” equals the Exercise Price per Warrant Share then in effect on the Exercise Date. </w:t>
      </w:r>
    </w:p>
    <w:p>
      <w:pPr>
        <w:pStyle w:val="TextBody"/>
        <w:bidi w:val="0"/>
        <w:spacing w:before="240" w:after="0"/>
        <w:jc w:val="left"/>
        <w:rPr>
          <w:rFonts w:ascii="Times New Roman" w:hAnsi="Times New Roman"/>
          <w:sz w:val="20"/>
        </w:rPr>
      </w:pPr>
      <w:r>
        <w:rPr>
          <w:rFonts w:ascii="Times New Roman" w:hAnsi="Times New Roman"/>
          <w:sz w:val="20"/>
        </w:rPr>
        <w:t>For purposes of Rule 144 promulgated under the Securities Act, it is intended, understood and acknowledged that the Warrant Shares issued in such a “cashless exercise” transaction shall be deemed to have been acquired by the Holder, and the holding period for the Warrant Shares shall be deemed to have commenced, on the date this Warrant was originally issued (</w:t>
      </w:r>
      <w:r>
        <w:rPr>
          <w:rFonts w:ascii="Times New Roman" w:hAnsi="Times New Roman"/>
          <w:i/>
          <w:sz w:val="20"/>
        </w:rPr>
        <w:t>provided</w:t>
      </w:r>
      <w:r>
        <w:rPr>
          <w:rFonts w:ascii="Times New Roman" w:hAnsi="Times New Roman"/>
          <w:sz w:val="20"/>
        </w:rPr>
        <w:t xml:space="preserve"> that the Commission continues to take the position that such treatment is proper at the time of such exercise). In the event that the Registration Statement or another registration statement registering the issuance of Warrant Shares is, for any reason, not effective at the time of exercise of this Warrant, then the Warrant may only be exercised through a cashless exercise, as set forth in this Section 10.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in Section 12 (payment of cash in lieu of fractional shares), in no event will the exercise of this Warrant be settled in cash.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i/>
          <w:sz w:val="20"/>
        </w:rPr>
        <w:t>Limitations on Exercise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anything to the contrary contained herein, unless and until the Shareholder Approval is obtained, the Company shall not effect any exercise of this Warrant, and the Holder shall not be entitled to exercise this Warrant for a number of Warrant Shares in excess of that number of Warrant Shares which, upon giving effect or immediately prior to such exercise, would cause (i) the aggregate number of Ordinary Shares beneficially owned by the Holder, its Affiliates and any other Persons whose beneficial ownership of Ordinary Shares would be aggregated with the Holder’s for purposes of Section 13(d) of the Exchange Act to exceed the Maximum Percentage (as defined below) of the total number of issued and outstanding Ordinary Shares of the Company following such exercise, or (ii) the combined voting power of the securities of the Company beneficially owned by the Holder and its Affiliates and any other Persons whose beneficial ownership of Ordinary Shares would be aggregated with the Holder’s for purposes of Section 13(d) of the Exchange Act to exceed the Maximum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Percentage of the combined voting power of all of the securities of the Company then outstanding following such exercise. For purposes of this Warrant, in determining the number of outstanding Ordinary Shares, the Holder may rely on the number of outstanding Ordinary Shares as reflected in (x) the Company’s most recent Form 10-Q or Form 10-K, as the case may be, filed with the Commission prior to the date hereof, (y) a more recent public announcement by the Company or (z) any other notice by the Company or its transfer agent setting forth the number of Ordinary Shares outstanding. Upon the written request of the Holder, the Company shall within three (3) Trading Days confirm in writing or by electronic mail to the Holder the number of Ordinary Shares then outstanding. In any case, the number of outstanding Ordinary Shares shall be determined after giving effect to the conversion or exercise of securities of the Company, including this Warrant, by the Holder since the date as of which such number of outstanding Ordinary Shares was reported. For purposes of this Section 11(a), the aggregate number of Ordinary Shares or voting securities beneficially owned by the Holder and its Affiliates and any other Persons whose beneficial ownership of Ordinary Shares would be aggregated with the Holder’s for purposes of Section 13(d) of the Exchange Act shall include the Ordinary Shares issuable upon the exercise of this Warrant with respect to which such determination is being made, but shall exclude the number of Ordinary Shares which would be issuable upon (x) exercise of the remaining unexercised and non-cancelled portion of this Warrant by the Holder and (y) exercise or conversion of the unexercised, non-converted or non-cancelled portion of any other securities of the Company that do not have voting power (including without limitation any securities of the Company which would entitle the holder thereof to acquire at any time Ordinary Shares, including without limitation any debt, preferred share, right, option, warrant or other instrument that is at any time convertible into or exercisable or exchangeable for, or otherwise entitles the holder thereof to receive, Ordinary Shares), is subject to a limitation on conversion or exercise analogous to the limitation contained herein and is beneficially owned by the Holder or any of its Affiliates and other Persons whose beneficial ownership of Ordinary Shares would be aggregated with the Holder’s for purposes of Section 13(d) of the Exchange Act. The “Maximum Percentage” shall initially be 4.99% (or upon the election of a Holder prior to the issuance of any Warrants, 9.99% or 19.99%) of the total number of issued and outstanding Ordinary Shares of the Company outstanding immediately after giving effect to the issuance of Ordinary Shares issuable upon exercise of this Warrant. The Holder, upon notice to the Company, may increase or decrease the Maximum Percentage, provided that the Maximum Percentage in no event exceeds 19.99% of the total number of issued and outstanding Ordinary Shares of the Company outstanding immediately after giving effect to the issuance of Ordinary Shares upon exercise of this Warrant held by the Holder and the provisions of this Section 11(a) shall continue to apply. Any decrease in the Maximum Percentage will be effective immediately upon delivery of such notice to the Company and any increase in the Maximum Percentage will be effective as of the 61st day after delivery of such notice to the Company. Any purported exercise of the Warrants (and delivery of the Warrant Shares upon exercise of the Warrants) will be void and have no effect to the extent, but only to the extent, that such exercise and delivery would result in any Holder becoming the beneficial owner of Ordinary Shares outstanding at such time in excess of the Maximum Percentage (unless the Shareholder Approval has been obtained). </w:t>
      </w:r>
    </w:p>
    <w:p>
      <w:pPr>
        <w:pStyle w:val="TextBody"/>
        <w:bidi w:val="0"/>
        <w:spacing w:before="240" w:after="0"/>
        <w:jc w:val="left"/>
        <w:rPr>
          <w:rFonts w:ascii="Times New Roman" w:hAnsi="Times New Roman"/>
          <w:sz w:val="20"/>
        </w:rPr>
      </w:pPr>
      <w:r>
        <w:rPr>
          <w:rFonts w:ascii="Times New Roman" w:hAnsi="Times New Roman"/>
          <w:sz w:val="20"/>
        </w:rPr>
        <w:t>(b) Upon the written request of the Holder delivered to the Company as set forth in Section 13 and subsequent to December 31, 2025, the Company agrees that it shall use commercially reasonable efforts to obtain shareholder approval (the “</w:t>
      </w:r>
      <w:r>
        <w:rPr>
          <w:rFonts w:ascii="Times New Roman" w:hAnsi="Times New Roman"/>
          <w:b/>
          <w:sz w:val="20"/>
        </w:rPr>
        <w:t>Shareholder Approval</w:t>
      </w:r>
      <w:r>
        <w:rPr>
          <w:rFonts w:ascii="Times New Roman" w:hAnsi="Times New Roman"/>
          <w:sz w:val="20"/>
        </w:rPr>
        <w:t xml:space="preserve">”), at its next regularly scheduled annual general meeting of shareholders, for the issuance of the Warrant Shares upon the exercise of all or any portion of this Warrant such that such issuance of Warrant Shares will comply with the Listing Rules of the Nasdaq Stock Market, including, without limitation, Listing Rule 5635, and with applicable Singapore law. In the event that the Holder requests the Shareholder Approval pursuant to this paragraph, the Company uses commercially reasonable efforts to obtain Shareholder Approval at its next regularly scheduled annual general meeting, and Shareholder Approval is not obtained at such meeting for any reason, then the Holder may again request Shareholder Approval each year pursuant to and subject to the terms of this paragraph, at each of the Company’s subsequent regularly scheduled annual general meetings that occur prior to the Termination Date. The Company shall not be obligated to seek the Shareholder Approval at any shareholder meeting other than its regularly scheduled annual shareholder meeting and such written request of the Holder must be received by the Company at least 90 days in advance of such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(c) This Section 11 shall not restrict the number of Ordinary Shares that a Holder may receive or beneficially own in order to determine the amount of securities or other consideration that such Holder may receive in the event of a Fundamental Transaction as contemplated in Section 9 of this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i/>
          <w:sz w:val="20"/>
        </w:rPr>
        <w:t>No Fractional Shares</w:t>
      </w:r>
      <w:r>
        <w:rPr>
          <w:rFonts w:ascii="Times New Roman" w:hAnsi="Times New Roman"/>
          <w:sz w:val="20"/>
        </w:rPr>
        <w:t xml:space="preserve">.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last VWAP immediately preceding the time of delivery of the applicable Exercise Notice) for any such fractional shares.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i/>
          <w:sz w:val="20"/>
        </w:rPr>
        <w:t>Notices</w:t>
      </w:r>
      <w:r>
        <w:rPr>
          <w:rFonts w:ascii="Times New Roman" w:hAnsi="Times New Roman"/>
          <w:sz w:val="20"/>
        </w:rPr>
        <w:t xml:space="preserve">. Any and all notices or other communications or deliveries hereunder (including, without limitation, any Exercise Notice) shall be in writing and shall be deemed given and effective on the earliest of (i) the date of transmission, if such notice or communication is delivered via facsimile or confirmed e-mail prior to 5:30 P.M., New York City time, on a Trading Day, (ii) the next Trading Day after the date of transmission, if such notice or communication is delivered via facsimile or confirmed e-mail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 The addresses, facsimile numbers and e-mail addresses for such communications shall be: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Wave Life Sciences Ltd. </w:t>
      </w:r>
    </w:p>
    <w:p>
      <w:pPr>
        <w:pStyle w:val="TextBody"/>
        <w:bidi w:val="0"/>
        <w:spacing w:before="0" w:after="0"/>
        <w:jc w:val="left"/>
        <w:rPr>
          <w:rFonts w:ascii="Times New Roman" w:hAnsi="Times New Roman"/>
          <w:sz w:val="20"/>
        </w:rPr>
      </w:pPr>
      <w:r>
        <w:rPr>
          <w:rFonts w:ascii="Times New Roman" w:hAnsi="Times New Roman"/>
          <w:sz w:val="20"/>
        </w:rPr>
        <w:t xml:space="preserve">Attention: Chief Financial Officer </w:t>
      </w:r>
    </w:p>
    <w:p>
      <w:pPr>
        <w:pStyle w:val="TextBody"/>
        <w:bidi w:val="0"/>
        <w:spacing w:before="0" w:after="0"/>
        <w:jc w:val="left"/>
        <w:rPr>
          <w:rFonts w:ascii="Times New Roman" w:hAnsi="Times New Roman"/>
          <w:sz w:val="20"/>
        </w:rPr>
      </w:pPr>
      <w:r>
        <w:rPr>
          <w:rFonts w:ascii="Times New Roman" w:hAnsi="Times New Roman"/>
          <w:sz w:val="20"/>
        </w:rPr>
        <w:t xml:space="preserve">733 Concord Ave </w:t>
      </w:r>
    </w:p>
    <w:p>
      <w:pPr>
        <w:pStyle w:val="TextBody"/>
        <w:bidi w:val="0"/>
        <w:spacing w:before="0" w:after="0"/>
        <w:jc w:val="left"/>
        <w:rPr>
          <w:rFonts w:ascii="Times New Roman" w:hAnsi="Times New Roman"/>
          <w:sz w:val="20"/>
        </w:rPr>
      </w:pPr>
      <w:r>
        <w:rPr>
          <w:rFonts w:ascii="Times New Roman" w:hAnsi="Times New Roman"/>
          <w:sz w:val="20"/>
        </w:rPr>
        <w:t xml:space="preserve">Cambridge, Massachusetts 02138 </w:t>
      </w:r>
    </w:p>
    <w:p>
      <w:pPr>
        <w:pStyle w:val="TextBody"/>
        <w:bidi w:val="0"/>
        <w:spacing w:before="0" w:after="0"/>
        <w:jc w:val="left"/>
        <w:rPr>
          <w:rFonts w:ascii="Times New Roman" w:hAnsi="Times New Roman"/>
          <w:sz w:val="20"/>
        </w:rPr>
      </w:pPr>
      <w:r>
        <w:rPr>
          <w:rFonts w:ascii="Times New Roman" w:hAnsi="Times New Roman"/>
          <w:sz w:val="20"/>
        </w:rPr>
        <w:t xml:space="preserve">Telephone: (617) 949-2900 </w:t>
      </w:r>
    </w:p>
    <w:p>
      <w:pPr>
        <w:pStyle w:val="TextBody"/>
        <w:bidi w:val="0"/>
        <w:spacing w:before="0" w:after="0"/>
        <w:jc w:val="left"/>
        <w:rPr>
          <w:rFonts w:ascii="Times New Roman" w:hAnsi="Times New Roman"/>
          <w:sz w:val="20"/>
        </w:rPr>
      </w:pPr>
      <w:r>
        <w:rPr>
          <w:rFonts w:ascii="Times New Roman" w:hAnsi="Times New Roman"/>
          <w:sz w:val="20"/>
        </w:rPr>
        <w:t xml:space="preserve">Email: kmoran@wavelifesci.com </w:t>
      </w:r>
    </w:p>
    <w:p>
      <w:pPr>
        <w:pStyle w:val="TextBody"/>
        <w:bidi w:val="0"/>
        <w:spacing w:before="120" w:after="0"/>
        <w:jc w:val="left"/>
        <w:rPr>
          <w:rFonts w:ascii="Times New Roman" w:hAnsi="Times New Roman"/>
          <w:sz w:val="20"/>
        </w:rPr>
      </w:pPr>
      <w:r>
        <w:rPr>
          <w:rFonts w:ascii="Times New Roman" w:hAnsi="Times New Roman"/>
          <w:sz w:val="20"/>
        </w:rPr>
        <w:t xml:space="preserve">If to the Holder, to its address, facsimile number or e-mail address set forth herein or on the books and records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Or, in each of the above instances, to such other address, facsimile number or e-mail address as the recipient party has specified by written notice given to each other party at least five (5) days prior to the effectiveness of such change.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i/>
          <w:sz w:val="20"/>
        </w:rPr>
        <w:t>Warrant Agent</w:t>
      </w:r>
      <w:r>
        <w:rPr>
          <w:rFonts w:ascii="Times New Roman" w:hAnsi="Times New Roman"/>
          <w:sz w:val="20"/>
        </w:rPr>
        <w:t xml:space="preserve">. The Company shall initially serve as warrant agent under this Warrant. Upon ten (10)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i/>
          <w:sz w:val="20"/>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Rights as a Shareholder</w:t>
      </w:r>
      <w:r>
        <w:rPr>
          <w:rFonts w:ascii="Times New Roman" w:hAnsi="Times New Roman"/>
          <w:sz w:val="20"/>
        </w:rPr>
        <w:t xml:space="preserve">.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shareholder of the Company or any right to vote, give or withhold consent to any corporate action (whether any reorganization, issue of shares, reclassification of shares,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Authorized Shares</w:t>
      </w:r>
      <w:r>
        <w:rPr>
          <w:rFonts w:ascii="Times New Roman" w:hAnsi="Times New Roman"/>
          <w:sz w:val="20"/>
        </w:rPr>
        <w:t xml:space="preserve">. Except and to the extent as waived or consented to by the Holder, the Company shall not by any action, including, without limitation, amending its constitution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take all such action as may be necessary or appropriate in order that the Company may validly and legally issue fully paid and non-assessable Warrant Shares upon the exercise of this Warrant, and (b) use commercially reasonable efforts to obtain all such authorizations, exemptions or consents from any public regulatory body having jurisdiction thereof as may be necessary to enable the Company to perform its obligations under this Warrant.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Successors and Assigns</w:t>
      </w:r>
      <w:r>
        <w:rPr>
          <w:rFonts w:ascii="Times New Roman" w:hAnsi="Times New Roman"/>
          <w:sz w:val="20"/>
        </w:rPr>
        <w:t xml:space="preserve">.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 and Waiver</w:t>
      </w:r>
      <w:r>
        <w:rPr>
          <w:rFonts w:ascii="Times New Roman" w:hAnsi="Times New Roman"/>
          <w:sz w:val="20"/>
        </w:rPr>
        <w:t xml:space="preserve">. Except as otherwise provided herein, the provisions of the Warrants may be amended and the Company may take any action herein prohibited, or omit to perform any act herein required to be performed by it, only if the Company has obtained the written consent of the Holder.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Acceptance</w:t>
      </w:r>
      <w:r>
        <w:rPr>
          <w:rFonts w:ascii="Times New Roman" w:hAnsi="Times New Roman"/>
          <w:sz w:val="20"/>
        </w:rPr>
        <w:t xml:space="preserve">. Receipt of this Warrant by the Holder shall constitute acceptance of and agreement to all of the terms and conditions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Governing Law; Jurisdiction</w:t>
      </w:r>
      <w:r>
        <w:rPr>
          <w:rFonts w:ascii="Times New Roman" w:hAnsi="Times New Roman"/>
          <w:sz w:val="20"/>
        </w:rPr>
        <w:t xml:space="preserve">.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Headings</w:t>
      </w:r>
      <w:r>
        <w:rPr>
          <w:rFonts w:ascii="Times New Roman" w:hAnsi="Times New Roman"/>
          <w:sz w:val="20"/>
        </w:rPr>
        <w:t xml:space="preserve">. The headings herein are for convenience only, do not constitute a part of this Warrant and shall not be deemed to limit or affect any of the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Severability</w:t>
      </w:r>
      <w:r>
        <w:rPr>
          <w:rFonts w:ascii="Times New Roman" w:hAnsi="Times New Roman"/>
          <w:sz w:val="20"/>
        </w:rPr>
        <w:t xml:space="preserve">.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Warrant to be duly executed by its authorized officer as of the date first indicated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76"/>
        <w:gridCol w:w="81"/>
        <w:gridCol w:w="3125"/>
      </w:tblGrid>
      <w:tr>
        <w:trPr/>
        <w:tc>
          <w:tcPr>
            <w:tcW w:w="876"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WAVE LIFE SCIENCES LTD.</w:t>
            </w:r>
          </w:p>
        </w:tc>
      </w:tr>
      <w:tr>
        <w:trPr>
          <w:trHeight w:val="240" w:hRule="atLeast"/>
        </w:trPr>
        <w:tc>
          <w:tcPr>
            <w:tcW w:w="876" w:type="dxa"/>
            <w:tcBorders/>
            <w:vAlign w:val="center"/>
          </w:tcPr>
          <w:p>
            <w:pPr>
              <w:pStyle w:val="TableContents"/>
              <w:bidi w:val="0"/>
              <w:spacing w:before="0" w:after="283"/>
              <w:jc w:val="left"/>
              <w:rPr>
                <w:sz w:val="4"/>
                <w:szCs w:val="4"/>
              </w:rPr>
            </w:pPr>
            <w:r>
              <w:rPr>
                <w:sz w:val="4"/>
                <w:szCs w:val="4"/>
              </w:rPr>
            </w:r>
          </w:p>
        </w:tc>
        <w:tc>
          <w:tcPr>
            <w:tcW w:w="3206"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By:</w:t>
            </w:r>
          </w:p>
        </w:tc>
        <w:tc>
          <w:tcPr>
            <w:tcW w:w="81" w:type="dxa"/>
            <w:tcBorders>
              <w:bottom w:val="single" w:sz="2" w:space="0" w:color="000000"/>
            </w:tcBorders>
            <w:tcMar>
              <w:bottom w:w="28" w:type="dxa"/>
            </w:tcMar>
            <w:vAlign w:val="bottom"/>
          </w:tcPr>
          <w:p>
            <w:pPr>
              <w:pStyle w:val="TableContents"/>
              <w:bidi w:val="0"/>
              <w:spacing w:before="0" w:after="283"/>
              <w:jc w:val="left"/>
              <w:rPr/>
            </w:pPr>
            <w:r>
              <w:rPr/>
              <w:t> </w:t>
            </w:r>
          </w:p>
        </w:tc>
        <w:tc>
          <w:tcPr>
            <w:tcW w:w="3125" w:type="dxa"/>
            <w:tcBorders>
              <w:bottom w:val="single" w:sz="2" w:space="0" w:color="000000"/>
            </w:tcBorders>
            <w:tcMar>
              <w:bottom w:w="28" w:type="dxa"/>
            </w:tcMar>
          </w:tcPr>
          <w:p>
            <w:pPr>
              <w:pStyle w:val="TableContents"/>
              <w:bidi w:val="0"/>
              <w:spacing w:before="0" w:after="283"/>
              <w:jc w:val="left"/>
              <w:rPr/>
            </w:pPr>
            <w:r>
              <w:rPr/>
              <w:t> </w:t>
            </w:r>
          </w:p>
        </w:tc>
      </w:tr>
      <w:tr>
        <w:trPr/>
        <w:tc>
          <w:tcPr>
            <w:tcW w:w="876" w:type="dxa"/>
            <w:tcBorders/>
          </w:tcPr>
          <w:p>
            <w:pPr>
              <w:pStyle w:val="TableContents"/>
              <w:bidi w:val="0"/>
              <w:spacing w:before="0" w:after="283"/>
              <w:jc w:val="left"/>
              <w:rPr/>
            </w:pPr>
            <w:r>
              <w:rPr/>
              <w:t>Name:</w:t>
            </w:r>
          </w:p>
        </w:tc>
        <w:tc>
          <w:tcPr>
            <w:tcW w:w="81" w:type="dxa"/>
            <w:tcBorders>
              <w:bottom w:val="single" w:sz="2" w:space="0" w:color="000000"/>
            </w:tcBorders>
            <w:tcMar>
              <w:bottom w:w="28" w:type="dxa"/>
            </w:tcMar>
            <w:vAlign w:val="bottom"/>
          </w:tcPr>
          <w:p>
            <w:pPr>
              <w:pStyle w:val="TableContents"/>
              <w:bidi w:val="0"/>
              <w:spacing w:before="0" w:after="283"/>
              <w:jc w:val="left"/>
              <w:rPr/>
            </w:pPr>
            <w:r>
              <w:rPr/>
              <w:t> </w:t>
            </w:r>
          </w:p>
        </w:tc>
        <w:tc>
          <w:tcPr>
            <w:tcW w:w="3125" w:type="dxa"/>
            <w:tcBorders>
              <w:bottom w:val="single" w:sz="2" w:space="0" w:color="000000"/>
            </w:tcBorders>
            <w:tcMar>
              <w:bottom w:w="28" w:type="dxa"/>
            </w:tcMar>
          </w:tcPr>
          <w:p>
            <w:pPr>
              <w:pStyle w:val="TableContents"/>
              <w:bidi w:val="0"/>
              <w:spacing w:before="0" w:after="283"/>
              <w:jc w:val="left"/>
              <w:rPr/>
            </w:pPr>
            <w:r>
              <w:rPr/>
              <w:t> </w:t>
            </w:r>
          </w:p>
        </w:tc>
      </w:tr>
      <w:tr>
        <w:trPr/>
        <w:tc>
          <w:tcPr>
            <w:tcW w:w="876" w:type="dxa"/>
            <w:tcBorders/>
          </w:tcPr>
          <w:p>
            <w:pPr>
              <w:pStyle w:val="TableContents"/>
              <w:bidi w:val="0"/>
              <w:spacing w:before="0" w:after="283"/>
              <w:jc w:val="left"/>
              <w:rPr/>
            </w:pPr>
            <w:r>
              <w:rPr/>
              <w:t>Title:</w:t>
            </w:r>
          </w:p>
        </w:tc>
        <w:tc>
          <w:tcPr>
            <w:tcW w:w="81" w:type="dxa"/>
            <w:tcBorders>
              <w:bottom w:val="single" w:sz="2" w:space="0" w:color="000000"/>
            </w:tcBorders>
            <w:tcMar>
              <w:bottom w:w="28" w:type="dxa"/>
            </w:tcMar>
            <w:vAlign w:val="bottom"/>
          </w:tcPr>
          <w:p>
            <w:pPr>
              <w:pStyle w:val="TableContents"/>
              <w:bidi w:val="0"/>
              <w:spacing w:before="0" w:after="283"/>
              <w:jc w:val="left"/>
              <w:rPr/>
            </w:pPr>
            <w:r>
              <w:rPr/>
              <w:t> </w:t>
            </w:r>
          </w:p>
        </w:tc>
        <w:tc>
          <w:tcPr>
            <w:tcW w:w="3125"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Form of Warrant to Purchase Ordinary Shares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1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EXERCISE NOTICE </w:t>
      </w:r>
    </w:p>
    <w:p>
      <w:pPr>
        <w:pStyle w:val="TextBody"/>
        <w:bidi w:val="0"/>
        <w:spacing w:before="120" w:after="0"/>
        <w:jc w:val="center"/>
        <w:rPr>
          <w:rFonts w:ascii="Times New Roman" w:hAnsi="Times New Roman"/>
          <w:sz w:val="20"/>
        </w:rPr>
      </w:pPr>
      <w:r>
        <w:rPr>
          <w:rFonts w:ascii="Times New Roman" w:hAnsi="Times New Roman"/>
          <w:sz w:val="20"/>
        </w:rPr>
        <w:t xml:space="preserve">[To be executed by the Holder to purchase Ordinary Shares under the Warrant]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(1) The undersigned is the Holder of Warrant No.</w:t>
      </w:r>
      <w:r>
        <w:rPr>
          <w:rFonts w:ascii="Times New Roman" w:hAnsi="Times New Roman"/>
          <w:sz w:val="20"/>
          <w:u w:val="single"/>
        </w:rPr>
        <w:t>   </w:t>
      </w:r>
      <w:r>
        <w:rPr>
          <w:rFonts w:ascii="Times New Roman" w:hAnsi="Times New Roman"/>
          <w:sz w:val="20"/>
        </w:rPr>
        <w:t xml:space="preserve"> (the “Warrant”) issued by Wave Life Sciences Ltd., a company incorporated under the laws of the Republic of Singapore (the “Company”). Capitalized terms used herein and not otherwise defined herein have the respective meanings set forth in the Warrant. </w:t>
      </w:r>
    </w:p>
    <w:p>
      <w:pPr>
        <w:pStyle w:val="TextBody"/>
        <w:bidi w:val="0"/>
        <w:spacing w:before="240" w:after="0"/>
        <w:jc w:val="left"/>
        <w:rPr>
          <w:rFonts w:ascii="Times New Roman" w:hAnsi="Times New Roman"/>
          <w:sz w:val="20"/>
        </w:rPr>
      </w:pPr>
      <w:r>
        <w:rPr>
          <w:rFonts w:ascii="Times New Roman" w:hAnsi="Times New Roman"/>
          <w:sz w:val="20"/>
        </w:rPr>
        <w:t xml:space="preserve">(2) The undersigned hereby exercises its right to purchase    Warrant Shares pursuant to the Warrant. </w:t>
      </w:r>
    </w:p>
    <w:p>
      <w:pPr>
        <w:pStyle w:val="TextBody"/>
        <w:bidi w:val="0"/>
        <w:spacing w:before="240" w:after="0"/>
        <w:jc w:val="left"/>
        <w:rPr>
          <w:rFonts w:ascii="Times New Roman" w:hAnsi="Times New Roman"/>
          <w:sz w:val="20"/>
        </w:rPr>
      </w:pPr>
      <w:r>
        <w:rPr>
          <w:rFonts w:ascii="Times New Roman" w:hAnsi="Times New Roman"/>
          <w:sz w:val="20"/>
        </w:rPr>
        <w:t xml:space="preserve">(3) The Holder intends that payment of the Exercise Price shall be made as (check 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pPr>
            <w:r>
              <w:rPr/>
              <w:t>“</w:t>
            </w:r>
            <w:r>
              <w:rPr>
                <w:rFonts w:ascii="Times New Roman" w:hAnsi="Times New Roman"/>
                <w:sz w:val="20"/>
              </w:rPr>
              <w:t xml:space="preserve">Cashless Exercise” under Section 10 of the Warrant </w:t>
            </w:r>
          </w:p>
        </w:tc>
      </w:tr>
    </w:tbl>
    <w:p>
      <w:pPr>
        <w:pStyle w:val="TextBody"/>
        <w:bidi w:val="0"/>
        <w:spacing w:before="240" w:after="0"/>
        <w:jc w:val="left"/>
        <w:rPr>
          <w:rFonts w:ascii="Times New Roman" w:hAnsi="Times New Roman"/>
          <w:sz w:val="20"/>
        </w:rPr>
      </w:pPr>
      <w:r>
        <w:rPr>
          <w:rFonts w:ascii="Times New Roman" w:hAnsi="Times New Roman"/>
          <w:sz w:val="20"/>
        </w:rPr>
        <w:t>(4) If the Holder has elected a Cash Exercise, the Holder shall pay the sum of $</w:t>
      </w:r>
      <w:r>
        <w:rPr>
          <w:rFonts w:ascii="Times New Roman" w:hAnsi="Times New Roman"/>
          <w:sz w:val="20"/>
          <w:u w:val="single"/>
        </w:rPr>
        <w:t>    </w:t>
      </w:r>
      <w:r>
        <w:rPr>
          <w:rFonts w:ascii="Times New Roman" w:hAnsi="Times New Roman"/>
          <w:sz w:val="20"/>
        </w:rPr>
        <w:t xml:space="preserve"> in immediately available funds to the Company in accordance with the terms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(5) Pursuant to this Exercise Notice, the Company shall deliver to the Holder Warrant Shares determined in accordance with the terms of the Warrant. The Warrant Shares shall be delivered to the following DWAC Account Number: </w:t>
      </w:r>
    </w:p>
    <w:p>
      <w:pPr>
        <w:pStyle w:val="TextBody"/>
        <w:bidi w:val="0"/>
        <w:spacing w:before="240" w:after="0"/>
        <w:jc w:val="left"/>
        <w:rPr>
          <w:rFonts w:ascii="Times New Roman" w:hAnsi="Times New Roman"/>
          <w:sz w:val="20"/>
        </w:rPr>
      </w:pPr>
      <w:r>
        <w:rPr>
          <w:rFonts w:ascii="Times New Roman" w:hAnsi="Times New Roman"/>
          <w:sz w:val="20"/>
        </w:rPr>
        <w:t xml:space="preserve">(6) By its delivery of this Exercise Notice, the undersigned represents and warrants to the Company that in giving effect to the exercise evidenced hereby the Holder will not beneficially own in excess of the number of Ordinary Shares (as determined in accordance with Section 13(d) of the Securities Exchange Act of 1934, as amended) permitted to be owned under Section 11(a) of the Warrant to which this notice relates.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707"/>
        <w:gridCol w:w="60"/>
        <w:gridCol w:w="2315"/>
      </w:tblGrid>
      <w:tr>
        <w:trPr/>
        <w:tc>
          <w:tcPr>
            <w:tcW w:w="170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r>
      <w:tr>
        <w:trPr/>
        <w:tc>
          <w:tcPr>
            <w:tcW w:w="1707" w:type="dxa"/>
            <w:tcBorders/>
          </w:tcPr>
          <w:p>
            <w:pPr>
              <w:pStyle w:val="TableContents"/>
              <w:bidi w:val="0"/>
              <w:spacing w:before="0" w:after="0"/>
              <w:jc w:val="left"/>
              <w:rPr>
                <w:rFonts w:ascii="Times New Roman" w:hAnsi="Times New Roman"/>
                <w:sz w:val="20"/>
              </w:rPr>
            </w:pPr>
            <w:r>
              <w:rPr>
                <w:rFonts w:ascii="Times New Roman" w:hAnsi="Times New Roman"/>
                <w:sz w:val="20"/>
              </w:rPr>
              <w:t>Name of Holder:</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315" w:type="dxa"/>
            <w:tcBorders>
              <w:bottom w:val="single" w:sz="2" w:space="0" w:color="000000"/>
            </w:tcBorders>
            <w:tcMar>
              <w:bottom w:w="28" w:type="dxa"/>
            </w:tcMar>
          </w:tcPr>
          <w:p>
            <w:pPr>
              <w:pStyle w:val="TableContents"/>
              <w:bidi w:val="0"/>
              <w:spacing w:before="0" w:after="283"/>
              <w:jc w:val="left"/>
              <w:rPr/>
            </w:pPr>
            <w:r>
              <w:rPr/>
              <w:t> </w:t>
            </w:r>
          </w:p>
        </w:tc>
      </w:tr>
      <w:tr>
        <w:trPr/>
        <w:tc>
          <w:tcPr>
            <w:tcW w:w="1707"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315" w:type="dxa"/>
            <w:tcBorders>
              <w:bottom w:val="single" w:sz="2" w:space="0" w:color="000000"/>
            </w:tcBorders>
            <w:tcMar>
              <w:bottom w:w="28" w:type="dxa"/>
            </w:tcMar>
          </w:tcPr>
          <w:p>
            <w:pPr>
              <w:pStyle w:val="TableContents"/>
              <w:bidi w:val="0"/>
              <w:spacing w:before="0" w:after="283"/>
              <w:jc w:val="left"/>
              <w:rPr/>
            </w:pPr>
            <w:r>
              <w:rPr/>
              <w:t> </w:t>
            </w:r>
          </w:p>
        </w:tc>
      </w:tr>
      <w:tr>
        <w:trPr/>
        <w:tc>
          <w:tcPr>
            <w:tcW w:w="1707"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315" w:type="dxa"/>
            <w:tcBorders>
              <w:bottom w:val="single" w:sz="2" w:space="0" w:color="000000"/>
            </w:tcBorders>
            <w:tcMar>
              <w:bottom w:w="28" w:type="dxa"/>
            </w:tcMar>
          </w:tcPr>
          <w:p>
            <w:pPr>
              <w:pStyle w:val="TableContents"/>
              <w:bidi w:val="0"/>
              <w:spacing w:before="0" w:after="283"/>
              <w:jc w:val="left"/>
              <w:rPr/>
            </w:pPr>
            <w:r>
              <w:rPr/>
              <w:t> </w:t>
            </w:r>
          </w:p>
        </w:tc>
      </w:tr>
      <w:tr>
        <w:trPr/>
        <w:tc>
          <w:tcPr>
            <w:tcW w:w="1707"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315"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must conform in all respects to name of Holder as specified on the face of the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1 </w:t>
      </w:r>
    </w:p>
    <w:p>
      <w:pPr>
        <w:pStyle w:val="TextBody"/>
        <w:bidi w:val="0"/>
        <w:spacing w:before="0" w:after="0"/>
        <w:jc w:val="right"/>
        <w:rPr>
          <w:rFonts w:ascii="Times New Roman" w:hAnsi="Times New Roman"/>
          <w:b/>
          <w:sz w:val="20"/>
        </w:rPr>
      </w:pPr>
      <w:bookmarkStart w:id="6" w:name="d88507dex51.htm"/>
      <w:bookmarkStart w:id="7" w:name="ksd88507dex51"/>
      <w:bookmarkEnd w:id="6"/>
      <w:bookmarkEnd w:id="7"/>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03"/>
        <w:gridCol w:w="120"/>
        <w:gridCol w:w="3482"/>
      </w:tblGrid>
      <w:tr>
        <w:trPr/>
        <w:tc>
          <w:tcPr>
            <w:tcW w:w="660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482" w:type="dxa"/>
            <w:tcBorders/>
            <w:vAlign w:val="center"/>
          </w:tcPr>
          <w:p>
            <w:pPr>
              <w:pStyle w:val="TableContents"/>
              <w:bidi w:val="0"/>
              <w:spacing w:before="0" w:after="283"/>
              <w:jc w:val="left"/>
              <w:rPr>
                <w:sz w:val="4"/>
                <w:szCs w:val="4"/>
              </w:rPr>
            </w:pPr>
            <w:r>
              <w:rPr>
                <w:sz w:val="4"/>
                <w:szCs w:val="4"/>
              </w:rPr>
            </w:r>
          </w:p>
        </w:tc>
      </w:tr>
      <w:tr>
        <w:trPr/>
        <w:tc>
          <w:tcPr>
            <w:tcW w:w="6603" w:type="dxa"/>
            <w:tcBorders/>
          </w:tcPr>
          <w:p>
            <w:pPr>
              <w:pStyle w:val="TableContents"/>
              <w:bidi w:val="0"/>
              <w:spacing w:before="0" w:after="283"/>
              <w:jc w:val="left"/>
              <w:rPr/>
            </w:pPr>
            <w:r>
              <w:rPr/>
              <w:drawing>
                <wp:inline distT="0" distB="0" distL="0" distR="0">
                  <wp:extent cx="1990725"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90725" cy="5143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3482" w:type="dxa"/>
            <w:tcBorders/>
          </w:tcPr>
          <w:p>
            <w:pPr>
              <w:pStyle w:val="TableContents"/>
              <w:bidi w:val="0"/>
              <w:spacing w:before="0" w:after="0"/>
              <w:jc w:val="left"/>
              <w:rPr>
                <w:rFonts w:ascii="Times New Roman" w:hAnsi="Times New Roman"/>
                <w:sz w:val="20"/>
              </w:rPr>
            </w:pPr>
            <w:r>
              <w:rPr>
                <w:rFonts w:ascii="Times New Roman" w:hAnsi="Times New Roman"/>
                <w:sz w:val="20"/>
              </w:rPr>
              <w:t>WongPartnership LLP</w:t>
            </w:r>
          </w:p>
          <w:p>
            <w:pPr>
              <w:pStyle w:val="TableContents"/>
              <w:bidi w:val="0"/>
              <w:spacing w:before="0" w:after="0"/>
              <w:jc w:val="left"/>
              <w:rPr>
                <w:rFonts w:ascii="Times New Roman" w:hAnsi="Times New Roman"/>
                <w:sz w:val="20"/>
              </w:rPr>
            </w:pPr>
            <w:r>
              <w:rPr>
                <w:rFonts w:ascii="Times New Roman" w:hAnsi="Times New Roman"/>
                <w:sz w:val="20"/>
              </w:rPr>
              <w:t>12 Marina Boulevard Level 28</w:t>
            </w:r>
          </w:p>
          <w:p>
            <w:pPr>
              <w:pStyle w:val="TableContents"/>
              <w:bidi w:val="0"/>
              <w:spacing w:before="0" w:after="0"/>
              <w:jc w:val="left"/>
              <w:rPr>
                <w:rFonts w:ascii="Times New Roman" w:hAnsi="Times New Roman"/>
                <w:sz w:val="20"/>
              </w:rPr>
            </w:pPr>
            <w:r>
              <w:rPr>
                <w:rFonts w:ascii="Times New Roman" w:hAnsi="Times New Roman"/>
                <w:sz w:val="20"/>
              </w:rPr>
              <w:t>Marina Bay Financial Centre Tower 3</w:t>
            </w:r>
          </w:p>
          <w:p>
            <w:pPr>
              <w:pStyle w:val="TableContents"/>
              <w:bidi w:val="0"/>
              <w:spacing w:before="0" w:after="0"/>
              <w:jc w:val="left"/>
              <w:rPr>
                <w:rFonts w:ascii="Times New Roman" w:hAnsi="Times New Roman"/>
                <w:sz w:val="20"/>
              </w:rPr>
            </w:pPr>
            <w:r>
              <w:rPr>
                <w:rFonts w:ascii="Times New Roman" w:hAnsi="Times New Roman"/>
                <w:sz w:val="20"/>
              </w:rPr>
              <w:t>Singapore 018982</w:t>
            </w:r>
          </w:p>
          <w:p>
            <w:pPr>
              <w:pStyle w:val="TableContents"/>
              <w:bidi w:val="0"/>
              <w:spacing w:before="0" w:after="0"/>
              <w:jc w:val="left"/>
              <w:rPr>
                <w:rFonts w:ascii="Times New Roman" w:hAnsi="Times New Roman"/>
                <w:sz w:val="20"/>
              </w:rPr>
            </w:pPr>
            <w:r>
              <w:rPr>
                <w:rFonts w:ascii="Times New Roman" w:hAnsi="Times New Roman"/>
                <w:sz w:val="20"/>
              </w:rPr>
              <w:t>T +65 6416 8000</w:t>
            </w:r>
          </w:p>
          <w:p>
            <w:pPr>
              <w:pStyle w:val="TableContents"/>
              <w:bidi w:val="0"/>
              <w:spacing w:before="0" w:after="0"/>
              <w:jc w:val="left"/>
              <w:rPr>
                <w:rFonts w:ascii="Times New Roman" w:hAnsi="Times New Roman"/>
                <w:sz w:val="20"/>
              </w:rPr>
            </w:pPr>
            <w:r>
              <w:rPr>
                <w:rFonts w:ascii="Times New Roman" w:hAnsi="Times New Roman"/>
                <w:sz w:val="20"/>
              </w:rPr>
              <w:t>wongpartnership.com</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ASEAN | CHINA | MIDDLE EAST</w:t>
            </w:r>
          </w:p>
        </w:tc>
      </w:tr>
      <w:tr>
        <w:trPr>
          <w:trHeight w:val="240" w:hRule="atLeast"/>
        </w:trPr>
        <w:tc>
          <w:tcPr>
            <w:tcW w:w="6603" w:type="dxa"/>
            <w:tcBorders/>
            <w:vAlign w:val="center"/>
          </w:tcPr>
          <w:p>
            <w:pPr>
              <w:pStyle w:val="TableContents"/>
              <w:bidi w:val="0"/>
              <w:spacing w:before="0" w:after="283"/>
              <w:jc w:val="left"/>
              <w:rPr>
                <w:sz w:val="4"/>
                <w:szCs w:val="4"/>
              </w:rPr>
            </w:pPr>
            <w:r>
              <w:rPr>
                <w:sz w:val="4"/>
                <w:szCs w:val="4"/>
              </w:rPr>
            </w:r>
          </w:p>
        </w:tc>
        <w:tc>
          <w:tcPr>
            <w:tcW w:w="3602" w:type="dxa"/>
            <w:gridSpan w:val="2"/>
            <w:tcBorders/>
            <w:vAlign w:val="center"/>
          </w:tcPr>
          <w:p>
            <w:pPr>
              <w:pStyle w:val="TableContents"/>
              <w:bidi w:val="0"/>
              <w:spacing w:before="0" w:after="283"/>
              <w:jc w:val="left"/>
              <w:rPr>
                <w:sz w:val="4"/>
                <w:szCs w:val="4"/>
              </w:rPr>
            </w:pPr>
            <w:r>
              <w:rPr>
                <w:sz w:val="4"/>
                <w:szCs w:val="4"/>
              </w:rPr>
            </w:r>
          </w:p>
        </w:tc>
      </w:tr>
      <w:tr>
        <w:trPr/>
        <w:tc>
          <w:tcPr>
            <w:tcW w:w="6603" w:type="dxa"/>
            <w:tcBorders/>
          </w:tcPr>
          <w:p>
            <w:pPr>
              <w:pStyle w:val="TableContents"/>
              <w:bidi w:val="0"/>
              <w:spacing w:before="0" w:after="0"/>
              <w:jc w:val="left"/>
              <w:rPr>
                <w:rFonts w:ascii="Times New Roman" w:hAnsi="Times New Roman"/>
                <w:sz w:val="20"/>
              </w:rPr>
            </w:pPr>
            <w:r>
              <w:rPr>
                <w:rFonts w:ascii="Times New Roman" w:hAnsi="Times New Roman"/>
                <w:sz w:val="20"/>
              </w:rPr>
              <w:t>Date: 10 December 2025</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Board of Directors</w:t>
            </w:r>
          </w:p>
          <w:p>
            <w:pPr>
              <w:pStyle w:val="TableContents"/>
              <w:bidi w:val="0"/>
              <w:spacing w:before="0" w:after="0"/>
              <w:jc w:val="left"/>
              <w:rPr>
                <w:rFonts w:ascii="Times New Roman" w:hAnsi="Times New Roman"/>
                <w:sz w:val="20"/>
              </w:rPr>
            </w:pPr>
            <w:r>
              <w:rPr>
                <w:rFonts w:ascii="Times New Roman" w:hAnsi="Times New Roman"/>
                <w:sz w:val="20"/>
              </w:rPr>
              <w:t>Wave Life Sciences Ltd.</w:t>
            </w:r>
          </w:p>
          <w:p>
            <w:pPr>
              <w:pStyle w:val="TableContents"/>
              <w:bidi w:val="0"/>
              <w:spacing w:before="0" w:after="0"/>
              <w:jc w:val="left"/>
              <w:rPr>
                <w:rFonts w:ascii="Times New Roman" w:hAnsi="Times New Roman"/>
                <w:sz w:val="20"/>
              </w:rPr>
            </w:pPr>
            <w:r>
              <w:rPr>
                <w:rFonts w:ascii="Times New Roman" w:hAnsi="Times New Roman"/>
                <w:sz w:val="20"/>
              </w:rPr>
              <w:t>c/o 733 Concord Avenue</w:t>
            </w:r>
          </w:p>
          <w:p>
            <w:pPr>
              <w:pStyle w:val="TableContents"/>
              <w:bidi w:val="0"/>
              <w:spacing w:before="0" w:after="0"/>
              <w:jc w:val="left"/>
              <w:rPr>
                <w:rFonts w:ascii="Times New Roman" w:hAnsi="Times New Roman"/>
                <w:sz w:val="20"/>
              </w:rPr>
            </w:pPr>
            <w:r>
              <w:rPr>
                <w:rFonts w:ascii="Times New Roman" w:hAnsi="Times New Roman"/>
                <w:sz w:val="20"/>
              </w:rPr>
              <w:t>Cambridge, MA 02138</w:t>
            </w:r>
          </w:p>
          <w:p>
            <w:pPr>
              <w:pStyle w:val="TableContents"/>
              <w:bidi w:val="0"/>
              <w:spacing w:before="0" w:after="20"/>
              <w:jc w:val="left"/>
              <w:rPr>
                <w:rFonts w:ascii="Times New Roman" w:hAnsi="Times New Roman"/>
                <w:sz w:val="20"/>
              </w:rPr>
            </w:pPr>
            <w:r>
              <w:rPr>
                <w:rFonts w:ascii="Times New Roman" w:hAnsi="Times New Roman"/>
                <w:sz w:val="20"/>
              </w:rPr>
              <w:t>United States of America</w:t>
            </w:r>
          </w:p>
        </w:tc>
        <w:tc>
          <w:tcPr>
            <w:tcW w:w="120" w:type="dxa"/>
            <w:tcBorders/>
            <w:vAlign w:val="bottom"/>
          </w:tcPr>
          <w:p>
            <w:pPr>
              <w:pStyle w:val="TableContents"/>
              <w:bidi w:val="0"/>
              <w:spacing w:before="0" w:after="283"/>
              <w:jc w:val="left"/>
              <w:rPr/>
            </w:pPr>
            <w:r>
              <w:rPr/>
              <w:t>  </w:t>
            </w:r>
          </w:p>
        </w:tc>
        <w:tc>
          <w:tcPr>
            <w:tcW w:w="3482" w:type="dxa"/>
            <w:tcBorders/>
          </w:tcPr>
          <w:p>
            <w:pPr>
              <w:pStyle w:val="TableContents"/>
              <w:bidi w:val="0"/>
              <w:spacing w:before="0" w:after="0"/>
              <w:jc w:val="left"/>
              <w:rPr/>
            </w:pPr>
            <w:r>
              <w:rPr/>
              <w:t>  </w:t>
            </w:r>
            <w:r>
              <w:rPr>
                <w:rFonts w:ascii="Times New Roman" w:hAnsi="Times New Roman"/>
                <w:sz w:val="20"/>
              </w:rPr>
              <w:t>FROM</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ONKC/SLSH/202502967</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f:+65 65325711</w:t>
            </w:r>
          </w:p>
          <w:p>
            <w:pPr>
              <w:pStyle w:val="TableContents"/>
              <w:bidi w:val="0"/>
              <w:spacing w:before="0" w:after="0"/>
              <w:jc w:val="left"/>
              <w:rPr/>
            </w:pPr>
            <w:r>
              <w:rPr/>
              <w:t>  </w:t>
            </w:r>
            <w:r>
              <w:rPr>
                <w:rFonts w:ascii="Times New Roman" w:hAnsi="Times New Roman"/>
                <w:i/>
                <w:sz w:val="20"/>
              </w:rPr>
              <w:t>Not for service of court documents</w:t>
            </w:r>
          </w:p>
          <w:p>
            <w:pPr>
              <w:pStyle w:val="TableContents"/>
              <w:bidi w:val="0"/>
              <w:spacing w:before="0" w:after="0"/>
              <w:jc w:val="left"/>
              <w:rPr/>
            </w:pPr>
            <w:r>
              <w:rPr/>
              <w:t>  </w:t>
            </w:r>
            <w:r>
              <w:rPr>
                <w:rFonts w:ascii="Times New Roman" w:hAnsi="Times New Roman"/>
                <w:i/>
                <w:sz w:val="20"/>
              </w:rPr>
              <w:t>Not for urgent correspondence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d:+65 64162415</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e:kuanchung.ong@wongpartnership.com</w:t>
            </w:r>
          </w:p>
        </w:tc>
      </w:tr>
    </w:tbl>
    <w:p>
      <w:pPr>
        <w:pStyle w:val="TextBody"/>
        <w:bidi w:val="0"/>
        <w:spacing w:before="240" w:after="0"/>
        <w:jc w:val="left"/>
        <w:rPr>
          <w:rFonts w:ascii="Times New Roman" w:hAnsi="Times New Roman"/>
          <w:sz w:val="20"/>
        </w:rPr>
      </w:pPr>
      <w:r>
        <w:rPr>
          <w:rFonts w:ascii="Times New Roman" w:hAnsi="Times New Roman"/>
          <w:sz w:val="20"/>
        </w:rPr>
        <w:t xml:space="preserve">Dear Sir/Madam </w:t>
      </w:r>
    </w:p>
    <w:p>
      <w:pPr>
        <w:pStyle w:val="TextBody"/>
        <w:bidi w:val="0"/>
        <w:spacing w:before="240" w:after="0"/>
        <w:jc w:val="left"/>
        <w:rPr>
          <w:rFonts w:ascii="Times New Roman" w:hAnsi="Times New Roman"/>
          <w:b/>
          <w:sz w:val="20"/>
        </w:rPr>
      </w:pPr>
      <w:r>
        <w:rPr>
          <w:rFonts w:ascii="Times New Roman" w:hAnsi="Times New Roman"/>
          <w:b/>
          <w:sz w:val="20"/>
        </w:rPr>
        <w:t>WAVE LIFE SCIENCES LTD. (THE “</w:t>
      </w:r>
      <w:r>
        <w:rPr>
          <w:rFonts w:ascii="Times New Roman" w:hAnsi="Times New Roman"/>
          <w:b/>
          <w:sz w:val="20"/>
          <w:u w:val="single"/>
        </w:rPr>
        <w:t>COMPANY</w:t>
      </w:r>
      <w:r>
        <w:rPr>
          <w:rFonts w:ascii="Times New Roman" w:hAnsi="Times New Roman"/>
          <w:b/>
          <w:sz w:val="20"/>
        </w:rPr>
        <w:t>”) – PROSPECTUS SUPPLEMENT FILED BY THE COMPANY WITH THE UNITED STATES SECURITIES AND EXCHANGE COMMISSION (THE “</w:t>
      </w:r>
      <w:r>
        <w:rPr>
          <w:rFonts w:ascii="Times New Roman" w:hAnsi="Times New Roman"/>
          <w:b/>
          <w:sz w:val="20"/>
          <w:u w:val="single"/>
        </w:rPr>
        <w:t>COMMISSION</w:t>
      </w:r>
      <w:r>
        <w:rPr>
          <w:rFonts w:ascii="Times New Roman" w:hAnsi="Times New Roman"/>
          <w:b/>
          <w:sz w:val="20"/>
        </w:rPr>
        <w:t>”) PURSUANT TO RULE 424(B) UNDER THE SECURITIES ACT OF 1933, AS AMENDED (THE “</w:t>
      </w:r>
      <w:r>
        <w:rPr>
          <w:rFonts w:ascii="Times New Roman" w:hAnsi="Times New Roman"/>
          <w:b/>
          <w:sz w:val="20"/>
          <w:u w:val="single"/>
        </w:rPr>
        <w:t>ACT</w:t>
      </w:r>
      <w:r>
        <w:rPr>
          <w:rFonts w:ascii="Times New Roman" w:hAnsi="Times New Roman"/>
          <w:b/>
          <w:sz w:val="20"/>
        </w:rPr>
        <w:t>”), IN RESPECT OF THE OFFERING (THE “</w:t>
      </w:r>
      <w:r>
        <w:rPr>
          <w:rFonts w:ascii="Times New Roman" w:hAnsi="Times New Roman"/>
          <w:b/>
          <w:sz w:val="20"/>
          <w:u w:val="single"/>
        </w:rPr>
        <w:t>OFFERING</w:t>
      </w:r>
      <w:r>
        <w:rPr>
          <w:rFonts w:ascii="Times New Roman" w:hAnsi="Times New Roman"/>
          <w:b/>
          <w:sz w:val="20"/>
        </w:rPr>
        <w:t>”) OF UP TO 18,552,632 ORDINARY SHARES (THE “</w:t>
      </w:r>
      <w:r>
        <w:rPr>
          <w:rFonts w:ascii="Times New Roman" w:hAnsi="Times New Roman"/>
          <w:b/>
          <w:sz w:val="20"/>
          <w:u w:val="single"/>
        </w:rPr>
        <w:t>OFFERING SHARES</w:t>
      </w:r>
      <w:r>
        <w:rPr>
          <w:rFonts w:ascii="Times New Roman" w:hAnsi="Times New Roman"/>
          <w:b/>
          <w:sz w:val="20"/>
        </w:rPr>
        <w:t>”) AND PRE-FUNDED WARRANTS (THE “</w:t>
      </w:r>
      <w:r>
        <w:rPr>
          <w:rFonts w:ascii="Times New Roman" w:hAnsi="Times New Roman"/>
          <w:b/>
          <w:sz w:val="20"/>
          <w:u w:val="single"/>
        </w:rPr>
        <w:t>PRE-FUNDED</w:t>
      </w:r>
      <w:r>
        <w:rPr>
          <w:rFonts w:ascii="Times New Roman" w:hAnsi="Times New Roman"/>
          <w:b/>
          <w:sz w:val="20"/>
        </w:rPr>
        <w:t xml:space="preserve"> </w:t>
      </w:r>
      <w:r>
        <w:rPr>
          <w:rFonts w:ascii="Times New Roman" w:hAnsi="Times New Roman"/>
          <w:b/>
          <w:sz w:val="20"/>
          <w:u w:val="single"/>
        </w:rPr>
        <w:t>WARRANTS</w:t>
      </w:r>
      <w:r>
        <w:rPr>
          <w:rFonts w:ascii="Times New Roman" w:hAnsi="Times New Roman"/>
          <w:b/>
          <w:sz w:val="20"/>
        </w:rPr>
        <w:t>”) TO PURCHASE UP TO 2,631,578 ORDINARY SHARES (THE “</w:t>
      </w:r>
      <w:r>
        <w:rPr>
          <w:rFonts w:ascii="Times New Roman" w:hAnsi="Times New Roman"/>
          <w:b/>
          <w:sz w:val="20"/>
          <w:u w:val="single"/>
        </w:rPr>
        <w:t>WARRANT SHARES</w:t>
      </w:r>
      <w:r>
        <w:rPr>
          <w:rFonts w:ascii="Times New Roman" w:hAnsi="Times New Roman"/>
          <w:b/>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A.</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Introduction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We have acted as legal advisers to the Company, a company incorporated under the laws of Singapore, as to Singapore law in connection with the Offering. The Offering Shares and the Pre-Funded Warrants are to be offered and sold by the Company pursuant to a prospectus supplement (the “</w:t>
            </w:r>
            <w:r>
              <w:rPr>
                <w:rFonts w:ascii="Times New Roman" w:hAnsi="Times New Roman"/>
                <w:b/>
                <w:sz w:val="20"/>
                <w:u w:val="single"/>
              </w:rPr>
              <w:t>Prospectus</w:t>
            </w:r>
            <w:r>
              <w:rPr>
                <w:rFonts w:ascii="Times New Roman" w:hAnsi="Times New Roman"/>
                <w:sz w:val="20"/>
              </w:rPr>
              <w:t xml:space="preserve"> </w:t>
            </w:r>
            <w:r>
              <w:rPr>
                <w:rFonts w:ascii="Times New Roman" w:hAnsi="Times New Roman"/>
                <w:b/>
                <w:sz w:val="20"/>
                <w:u w:val="single"/>
              </w:rPr>
              <w:t>Supplement</w:t>
            </w:r>
            <w:r>
              <w:rPr>
                <w:rFonts w:ascii="Times New Roman" w:hAnsi="Times New Roman"/>
                <w:sz w:val="20"/>
              </w:rPr>
              <w:t>”) filed by the Company with the Commission on or about the date hereof that forms a part of the Company’s registration statement on Form S-3ASR (File No. 333-283122) that was filed with the Commission on 12 November 2024 (the “</w:t>
            </w:r>
            <w:r>
              <w:rPr>
                <w:rFonts w:ascii="Times New Roman" w:hAnsi="Times New Roman"/>
                <w:b/>
                <w:sz w:val="20"/>
                <w:u w:val="single"/>
              </w:rPr>
              <w:t>Registration Statement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express nor imply any opinion with respect to the effect of any law other than the laws of Singapore as of the date of this opinion, and have made no investigation of any other laws which may be relevant to the documents submitted to us or opinions given by us, nor do we express or imply any opinion on matters relating to tax. This opinion is to be governed by and construed in accordance with the laws of Singapore as applied by the courts of Singapore as of the date of this opinion. Any claim pursuant to this opinion shall only be brought in the courts of the Republic of Singapore. We are not obliged to update this opinion to reflect, or notify any addressee of this opinion or any other person of, any legal or legislative developments, or other changes to law or fact, arising after the date of this opinion. We have taken instructions solely from the Company. </w:t>
            </w:r>
          </w:p>
        </w:tc>
      </w:tr>
    </w:tbl>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51"/>
        <w:gridCol w:w="120"/>
        <w:gridCol w:w="4434"/>
      </w:tblGrid>
      <w:tr>
        <w:trPr/>
        <w:tc>
          <w:tcPr>
            <w:tcW w:w="565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434" w:type="dxa"/>
            <w:tcBorders/>
            <w:vAlign w:val="center"/>
          </w:tcPr>
          <w:p>
            <w:pPr>
              <w:pStyle w:val="TableContents"/>
              <w:bidi w:val="0"/>
              <w:spacing w:before="0" w:after="283"/>
              <w:jc w:val="left"/>
              <w:rPr>
                <w:sz w:val="4"/>
                <w:szCs w:val="4"/>
              </w:rPr>
            </w:pPr>
            <w:r>
              <w:rPr>
                <w:sz w:val="4"/>
                <w:szCs w:val="4"/>
              </w:rPr>
            </w:r>
          </w:p>
        </w:tc>
      </w:tr>
      <w:tr>
        <w:trPr/>
        <w:tc>
          <w:tcPr>
            <w:tcW w:w="5651" w:type="dxa"/>
            <w:tcBorders/>
          </w:tcPr>
          <w:p>
            <w:pPr>
              <w:pStyle w:val="TableContents"/>
              <w:bidi w:val="0"/>
              <w:spacing w:before="0" w:after="283"/>
              <w:jc w:val="left"/>
              <w:rPr/>
            </w:pPr>
            <w:r>
              <w:rPr/>
              <w:t>WongPartnership LLP (UEN: T08LL0003B) is a limited liability law partnership registered in Singapore under the Limited Liability Partnerships Act 2005.</w:t>
            </w:r>
          </w:p>
        </w:tc>
        <w:tc>
          <w:tcPr>
            <w:tcW w:w="120" w:type="dxa"/>
            <w:tcBorders/>
            <w:vAlign w:val="bottom"/>
          </w:tcPr>
          <w:p>
            <w:pPr>
              <w:pStyle w:val="TableContents"/>
              <w:bidi w:val="0"/>
              <w:spacing w:before="0" w:after="283"/>
              <w:jc w:val="left"/>
              <w:rPr/>
            </w:pPr>
            <w:r>
              <w:rPr/>
              <w:t>  </w:t>
            </w:r>
          </w:p>
        </w:tc>
        <w:tc>
          <w:tcPr>
            <w:tcW w:w="4434" w:type="dxa"/>
            <w:tcBorders/>
            <w:vAlign w:val="center"/>
          </w:tcPr>
          <w:p>
            <w:pPr>
              <w:pStyle w:val="TableContents"/>
              <w:bidi w:val="0"/>
              <w:spacing w:before="0" w:after="283"/>
              <w:jc w:val="right"/>
              <w:rPr/>
            </w:pPr>
            <w:r>
              <w:rPr/>
              <w:drawing>
                <wp:inline distT="0" distB="0" distL="0" distR="0">
                  <wp:extent cx="1085850" cy="41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85850" cy="419100"/>
                          </a:xfrm>
                          <a:prstGeom prst="rect">
                            <a:avLst/>
                          </a:prstGeom>
                        </pic:spPr>
                      </pic:pic>
                    </a:graphicData>
                  </a:graphic>
                </wp:inline>
              </w:drawing>
            </w:r>
            <w:r>
              <w:rPr/>
              <w:t xml:space="preserv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WONGPARTNERSHIP LLP</w:t>
      </w:r>
      <w:r>
        <w:rPr>
          <w:rFonts w:ascii="Times New Roman" w:hAnsi="Times New Roman"/>
          <w:sz w:val="20"/>
        </w:rPr>
        <w:t xml:space="preserve"> </w:t>
      </w:r>
    </w:p>
    <w:p>
      <w:pPr>
        <w:pStyle w:val="TextBody"/>
        <w:bidi w:val="0"/>
        <w:spacing w:before="0" w:after="0"/>
        <w:jc w:val="left"/>
        <w:rPr>
          <w:rFonts w:ascii="Times New Roman" w:hAnsi="Times New Roman"/>
          <w:b/>
          <w:sz w:val="20"/>
        </w:rPr>
      </w:pPr>
      <w:r>
        <w:rPr>
          <w:rFonts w:ascii="Times New Roman" w:hAnsi="Times New Roman"/>
          <w:b/>
          <w:sz w:val="20"/>
        </w:rPr>
        <w:t xml:space="preserve">ONKC/SLSH/202502967 </w:t>
      </w:r>
    </w:p>
    <w:p>
      <w:pPr>
        <w:pStyle w:val="TextBody"/>
        <w:bidi w:val="0"/>
        <w:spacing w:before="0" w:after="0"/>
        <w:jc w:val="left"/>
        <w:rPr>
          <w:rFonts w:ascii="Times New Roman" w:hAnsi="Times New Roman"/>
          <w:b/>
          <w:sz w:val="20"/>
        </w:rPr>
      </w:pPr>
      <w:r>
        <w:rPr>
          <w:rFonts w:ascii="Times New Roman" w:hAnsi="Times New Roman"/>
          <w:b/>
          <w:sz w:val="20"/>
        </w:rPr>
        <w:t xml:space="preserve">10 December 2025 </w:t>
      </w:r>
    </w:p>
    <w:p>
      <w:pPr>
        <w:pStyle w:val="TextBody"/>
        <w:bidi w:val="0"/>
        <w:spacing w:before="0" w:after="0"/>
        <w:jc w:val="left"/>
        <w:rPr>
          <w:rFonts w:ascii="Times New Roman" w:hAnsi="Times New Roman"/>
          <w:b/>
          <w:sz w:val="20"/>
        </w:rPr>
      </w:pPr>
      <w:r>
        <w:rPr>
          <w:rFonts w:ascii="Times New Roman" w:hAnsi="Times New Roman"/>
          <w:b/>
          <w:sz w:val="20"/>
        </w:rPr>
        <w:t xml:space="preserve">Page: 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respect of the Underwriting Agreement (as defined below), the Warrant Agreement (as defined below), the Pre-Funded Warrants, the Registration Statement and the Prospectus Supplement, we have assumed due compliance with all matters concerning the laws of the United States of America and all other relevant jurisdictions (other than in Singapore in respect of the matters set out in paragraph 7 of this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B.</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rendering the opinions set out below, we have examined: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an electronic copy (in Portable Document Format) of the executed underwriting agreement dated 9 December 2025 among the Company and Jefferies LLC, Leerink Partners LLC and BofA Securities, Inc., as representatives of the several underwriters named therein (the “</w:t>
            </w:r>
            <w:r>
              <w:rPr>
                <w:rFonts w:ascii="Times New Roman" w:hAnsi="Times New Roman"/>
                <w:b/>
                <w:sz w:val="20"/>
                <w:u w:val="single"/>
              </w:rPr>
              <w:t>Underwriting Agreement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an electronic copy (in Portable Document Format) of the proposed form of the warrant agreement to be issued by the Company to investor(s) (the “</w:t>
            </w:r>
            <w:r>
              <w:rPr>
                <w:rFonts w:ascii="Times New Roman" w:hAnsi="Times New Roman"/>
                <w:b/>
                <w:sz w:val="20"/>
                <w:u w:val="single"/>
              </w:rPr>
              <w:t>Warrant Agreement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electronic copy (in Portable Document Format) of the Registration Statement and the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an electronic copy (in Portable Document Format) of the certificate confirming incorporation of the Company dated 24 July 2012 issued by the Accounting and Corporate Regulatory Authority of Singapore (“</w:t>
            </w:r>
            <w:r>
              <w:rPr>
                <w:rFonts w:ascii="Times New Roman" w:hAnsi="Times New Roman"/>
                <w:b/>
                <w:sz w:val="20"/>
                <w:u w:val="single"/>
              </w:rPr>
              <w:t>ACRA</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electronic copy (in Portable Document Format) of the certificate confirming incorporation upon conversion of the Company dated 6 November 2015 issued by ACRA confirming the Company’s conversion to a public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an electronic copy (in Portable Document Format) of the constitution of the Company, as amended on 9 November 2015 (the “</w:t>
            </w:r>
            <w:r>
              <w:rPr>
                <w:rFonts w:ascii="Times New Roman" w:hAnsi="Times New Roman"/>
                <w:b/>
                <w:sz w:val="20"/>
                <w:u w:val="single"/>
              </w:rPr>
              <w:t>Constitutive Documents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an electronic copy (in Portable Document Format) of the minutes dated 5 August 2025 of the annual general meeting of the Company held on 5 August 2025 (the “</w:t>
            </w:r>
            <w:r>
              <w:rPr>
                <w:rFonts w:ascii="Times New Roman" w:hAnsi="Times New Roman"/>
                <w:b/>
                <w:sz w:val="20"/>
                <w:u w:val="single"/>
              </w:rPr>
              <w:t>Shareholders’ Resolutions</w:t>
            </w:r>
            <w:r>
              <w:rPr>
                <w:rFonts w:ascii="Times New Roman" w:hAnsi="Times New Roman"/>
                <w:b/>
                <w:sz w:val="20"/>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4.8.</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electronic copies (in Portable Document Format) of the resolutions in writing of the Board of Directors of the Company (the “</w:t>
            </w:r>
            <w:r>
              <w:rPr>
                <w:rFonts w:ascii="Times New Roman" w:hAnsi="Times New Roman"/>
                <w:b/>
                <w:sz w:val="20"/>
                <w:u w:val="single"/>
              </w:rPr>
              <w:t>Board</w:t>
            </w:r>
            <w:r>
              <w:rPr>
                <w:rFonts w:ascii="Times New Roman" w:hAnsi="Times New Roman"/>
                <w:sz w:val="20"/>
              </w:rPr>
              <w:t>”) dated 5 November 2024 and the minutes dated 11 June 2025 of a meeting of the Board held on 11 June 2025 (the “</w:t>
            </w:r>
            <w:r>
              <w:rPr>
                <w:rFonts w:ascii="Times New Roman" w:hAnsi="Times New Roman"/>
                <w:b/>
                <w:sz w:val="20"/>
                <w:u w:val="single"/>
              </w:rPr>
              <w:t>Board Resolutions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4.9.</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an electronic copy (in Portable Document Format) of the minutes dated 9 December 2025 of a meeting of the pricing committee of the Board (established by the Board in connection with the Offering) held on 9 December 2025 (the “</w:t>
            </w:r>
            <w:r>
              <w:rPr>
                <w:rFonts w:ascii="Times New Roman" w:hAnsi="Times New Roman"/>
                <w:b/>
                <w:sz w:val="20"/>
                <w:u w:val="single"/>
              </w:rPr>
              <w:t>Pricing Committee Resolutions</w:t>
            </w:r>
            <w:r>
              <w:rPr>
                <w:rFonts w:ascii="Times New Roman" w:hAnsi="Times New Roman"/>
                <w:sz w:val="20"/>
              </w:rPr>
              <w:t>” and, together with the Shareholders’ Resolutions and the Board Resolutions, the “</w:t>
            </w:r>
            <w:r>
              <w:rPr>
                <w:rFonts w:ascii="Times New Roman" w:hAnsi="Times New Roman"/>
                <w:b/>
                <w:sz w:val="20"/>
                <w:u w:val="single"/>
              </w:rPr>
              <w:t>Resolutions</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4.10.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other documents as we may have considered necessary or desirable to examine in order that we may render this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opinion is being rendered to you in connection with the filing of the Prospectus Supplement. Except as expressly provided in paragraph 7 of this opinion, we express no opinion whatsoever with respect to any document described in paragraph 4 of this opinion.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WONGPARTNERSHIP LLP</w:t>
      </w:r>
      <w:r>
        <w:rPr>
          <w:rFonts w:ascii="Times New Roman" w:hAnsi="Times New Roman"/>
          <w:sz w:val="20"/>
        </w:rPr>
        <w:t xml:space="preserve"> </w:t>
      </w:r>
    </w:p>
    <w:p>
      <w:pPr>
        <w:pStyle w:val="TextBody"/>
        <w:bidi w:val="0"/>
        <w:spacing w:before="0" w:after="0"/>
        <w:jc w:val="left"/>
        <w:rPr>
          <w:rFonts w:ascii="Times New Roman" w:hAnsi="Times New Roman"/>
          <w:b/>
          <w:sz w:val="20"/>
        </w:rPr>
      </w:pPr>
      <w:r>
        <w:rPr>
          <w:rFonts w:ascii="Times New Roman" w:hAnsi="Times New Roman"/>
          <w:b/>
          <w:sz w:val="20"/>
        </w:rPr>
        <w:t xml:space="preserve">ONKC/SLSH/202502967 </w:t>
      </w:r>
    </w:p>
    <w:p>
      <w:pPr>
        <w:pStyle w:val="TextBody"/>
        <w:bidi w:val="0"/>
        <w:spacing w:before="0" w:after="0"/>
        <w:jc w:val="left"/>
        <w:rPr>
          <w:rFonts w:ascii="Times New Roman" w:hAnsi="Times New Roman"/>
          <w:b/>
          <w:sz w:val="20"/>
        </w:rPr>
      </w:pPr>
      <w:r>
        <w:rPr>
          <w:rFonts w:ascii="Times New Roman" w:hAnsi="Times New Roman"/>
          <w:b/>
          <w:sz w:val="20"/>
        </w:rPr>
        <w:t xml:space="preserve">10 December 2025 </w:t>
      </w:r>
    </w:p>
    <w:p>
      <w:pPr>
        <w:pStyle w:val="TextBody"/>
        <w:bidi w:val="0"/>
        <w:spacing w:before="0" w:after="0"/>
        <w:jc w:val="left"/>
        <w:rPr>
          <w:rFonts w:ascii="Times New Roman" w:hAnsi="Times New Roman"/>
          <w:b/>
          <w:sz w:val="20"/>
        </w:rPr>
      </w:pPr>
      <w:r>
        <w:rPr>
          <w:rFonts w:ascii="Times New Roman" w:hAnsi="Times New Roman"/>
          <w:b/>
          <w:sz w:val="20"/>
        </w:rPr>
        <w:t xml:space="preserve">Page: 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C.</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Assumptions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assumed (without enquiry and with your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each of the parties to the Underwriting Agreement and the Warrant Agreement (other than the Company) has been duly incorporated, established or constituted, and is validly existing under the laws of its jurisdiction of incorporation, establishment or constitution, as the case may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6.2.</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signatures (including without limitation marks or text purporting to be signatures) (whether electronic or otherwise) on all documents submitted or made available to us (a) are genuine and authentic, (b) have not been altered or tampered with in any way, and (c) are in compliance with the constitutive documents of the parties (if a company) and where applicable, the Electronic Transactions Act 2010 of Singapore, and that each such signature is that of a person duly authorised to affix the same and execute the relevant documents in the manner it was executed, and, where a document was signed by electronic signature or purported to be signed in that manner, was affixed at the direction of (or provided by) such person, the authenticity of all documents submitted or made available to us as originals, and the completeness and the conformity to original documents of all copies submitted or made available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each of the documents submitted or made available to us for examination is true, complete and up-to-date and has not been revoked, repudiated, terminated or amended or superseded, and all representations, warranties, assumptions and factual statements contained in all documents listed in paragraph 4 are true and accurate;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Resolutions were: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duly passed at properly convened meetings of duly appointed directors or the shareholders of the Company, or a duly constituted committee of the Board, or as the case may be, duly passed in the form of circulating resolutions in writing, in accordance with the provisions of the Constitutive Documents;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duly passed in accordance with the provisions of the Companies Act 1967 of Singapore (the “</w:t>
            </w:r>
            <w:r>
              <w:rPr>
                <w:rFonts w:ascii="Times New Roman" w:hAnsi="Times New Roman"/>
                <w:b/>
                <w:sz w:val="20"/>
                <w:u w:val="single"/>
              </w:rPr>
              <w:t>Companies Act</w:t>
            </w:r>
            <w:r>
              <w:rPr>
                <w:rFonts w:ascii="Times New Roman" w:hAnsi="Times New Roman"/>
                <w:sz w:val="20"/>
              </w:rPr>
              <w:t xml:space="preserve">”), where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approvals conferred by the copies of the Resolutions submitted to us have not been revoked, rescinded, superseded or amended and are in full force and effect, and that no other resolution or other action has been passed or taken which could affect the validity of any or all of the Resolutions;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directors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been duly appointed in accordance with the provisions of the Companies Act and the constitution of the Company in force at that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acted and will act in good faith and in the best interests of the Company in approving the preparation, execution and filing of the Registration Statement and the Prospectus Supplement with the Commission, the entry into the transactions contemplated in the Prospectus Supplement, and the execution of, and the entry into, the Underwriting Agreement and the Warrant Agreement, and without intention to defraud any of the creditors of the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each disclosed and will disclose any interest which he may have in the transactions contemplated in the Registration Statement, the Prospectus Supplement and the Underwriting Agreement and the Warrant Agreement in accordance with the provisions of the Companies Act and the Constitutive Documents and none of the directors of the Company has or will have any interest in such transactions except to the extent permitted by the Companies Act and the Constitutive Documents;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WONGPARTNERSHIP LLP</w:t>
      </w:r>
      <w:r>
        <w:rPr>
          <w:rFonts w:ascii="Times New Roman" w:hAnsi="Times New Roman"/>
          <w:sz w:val="20"/>
        </w:rPr>
        <w:t xml:space="preserve"> </w:t>
      </w:r>
    </w:p>
    <w:p>
      <w:pPr>
        <w:pStyle w:val="TextBody"/>
        <w:bidi w:val="0"/>
        <w:spacing w:before="0" w:after="0"/>
        <w:jc w:val="left"/>
        <w:rPr>
          <w:rFonts w:ascii="Times New Roman" w:hAnsi="Times New Roman"/>
          <w:b/>
          <w:sz w:val="20"/>
        </w:rPr>
      </w:pPr>
      <w:r>
        <w:rPr>
          <w:rFonts w:ascii="Times New Roman" w:hAnsi="Times New Roman"/>
          <w:b/>
          <w:sz w:val="20"/>
        </w:rPr>
        <w:t xml:space="preserve">ONKC/SLSH/202502967 </w:t>
      </w:r>
    </w:p>
    <w:p>
      <w:pPr>
        <w:pStyle w:val="TextBody"/>
        <w:bidi w:val="0"/>
        <w:spacing w:before="0" w:after="0"/>
        <w:jc w:val="left"/>
        <w:rPr>
          <w:rFonts w:ascii="Times New Roman" w:hAnsi="Times New Roman"/>
          <w:b/>
          <w:sz w:val="20"/>
        </w:rPr>
      </w:pPr>
      <w:r>
        <w:rPr>
          <w:rFonts w:ascii="Times New Roman" w:hAnsi="Times New Roman"/>
          <w:b/>
          <w:sz w:val="20"/>
        </w:rPr>
        <w:t xml:space="preserve">10 December 2025 </w:t>
      </w:r>
    </w:p>
    <w:p>
      <w:pPr>
        <w:pStyle w:val="TextBody"/>
        <w:bidi w:val="0"/>
        <w:spacing w:before="0" w:after="0"/>
        <w:jc w:val="left"/>
        <w:rPr>
          <w:rFonts w:ascii="Times New Roman" w:hAnsi="Times New Roman"/>
          <w:b/>
          <w:sz w:val="20"/>
        </w:rPr>
      </w:pPr>
      <w:r>
        <w:rPr>
          <w:rFonts w:ascii="Times New Roman" w:hAnsi="Times New Roman"/>
          <w:b/>
          <w:sz w:val="20"/>
        </w:rPr>
        <w:t xml:space="preserve">Page: 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all relevant documents have been provided to us by the officers of the Company for inspection for the purposes of this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6.8.</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Offering Shares and the Warrant Shares will be duly registered in the names of the persons who subscribe for or purchase the Offering Shares or in the names of the holders of the Pre-Funded Warrants who duly exercised the Pre-Funded Warrants, as the case may be, in the Register of Members of the Company, or in the name of Cede &amp; Co., a partnership organised pursuant to the laws of the State of New York, in the United States of America, as nominee of the Depository Trust Company, as the case may be, and that the certificates for the Offering Shares and the Warrant Shares will be duly issued and delivered;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6.9.</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(a)</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the results of the electronic instant information search made by us on 9 December 2025 at 9.28 a.m. (Singapore time) of the public records of the Company maintained by ACRA at https://www.acra.gov.sg (the “</w:t>
            </w:r>
            <w:r>
              <w:rPr>
                <w:rFonts w:ascii="Times New Roman" w:hAnsi="Times New Roman"/>
                <w:b/>
                <w:sz w:val="20"/>
                <w:u w:val="single"/>
              </w:rPr>
              <w:t>ACRA Search</w:t>
            </w:r>
            <w:r>
              <w:rPr>
                <w:rFonts w:ascii="Times New Roman" w:hAnsi="Times New Roman"/>
                <w:sz w:val="20"/>
              </w:rPr>
              <w:t xml:space="preserve">”) at ACRA;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the results of the electronic searches made by us on 9 December 2025 at 9.26 a.m. (Singapore time) for the period of 1 January 2022 to 9 December 2025 (as at 9.26 a.m.) (both dates inclusive) of: (i) the Company, obtained from the search modules Insolvency (including Judicial Management) (Supreme Court), Appeals Cases (Supreme Court), Appeals Cases (State Courts), Civil Cases (Supreme Court), Civil Cases (State Courts), Enforcement (Supreme Court) and Enforcement (State Courts), and (ii) the directors of the Company, obtained from the search module Bankruptcy (Supreme Court), of the Cause Book Search function of the eLitigation system at https://www.elitigation.sg (the “</w:t>
            </w:r>
            <w:r>
              <w:rPr>
                <w:rFonts w:ascii="Times New Roman" w:hAnsi="Times New Roman"/>
                <w:b/>
                <w:sz w:val="20"/>
                <w:u w:val="single"/>
              </w:rPr>
              <w:t>Court Searches</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the results of the corporate insolvency search made by us on 9 December 2025 at 9.22 a.m. (Singapore time) on the Company with the Insolvency Office of the Ministry of Law in the Republic of Singapore (the “</w:t>
            </w:r>
            <w:r>
              <w:rPr>
                <w:rFonts w:ascii="Times New Roman" w:hAnsi="Times New Roman"/>
                <w:b/>
                <w:sz w:val="20"/>
                <w:u w:val="single"/>
              </w:rPr>
              <w:t>Corporate Insolvency Search</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are true, complete and accurate, and remain correct up to the date of this opinion and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information has not since the relevant time on which the ACRA Search, Court Searches or Corporate Insolvency Search, as the case may be, were conducted, been altered;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(e)</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ACRA Search, Court Searches and Corporate Insolvency Search, as the case may be, did not fail to disclose any information which has been lodged, registered or filed but did not appear on the public records available for such electronic searches at the time of such searches, and all matters which ought to have been lodged, registered, or filed with ACRA, the relevant court or the Insolvency Office of the Ministry of Law in the Republic of Singapore, as the case may be, have been duly lodged, registered or filed;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6.10.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no law (including, without limitation, any public policy) of any jurisdiction outside Singapore is relevant to or affects the opinions expressed or conclusions stated in this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6.11.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Underwriting Agreement constitutes legal, valid, binding and enforceable obligations of the parties thereto for all purposes under the laws of all relevant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6.12.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prior to the issue of the Pre-Funded Warrants, the Company will validly enter into a warrant agreement, substantially in the same form as the Warrant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6.13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executed warrant agreement referred to in paragraph 6.12 above constitutes legal, valid, binding and enforceable obligations of the parties thereto for all purposes under the laws of all relevant jurisdictions;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WONGPARTNERSHIP LLP</w:t>
      </w:r>
      <w:r>
        <w:rPr>
          <w:rFonts w:ascii="Times New Roman" w:hAnsi="Times New Roman"/>
          <w:sz w:val="20"/>
        </w:rPr>
        <w:t xml:space="preserve"> </w:t>
      </w:r>
    </w:p>
    <w:p>
      <w:pPr>
        <w:pStyle w:val="TextBody"/>
        <w:bidi w:val="0"/>
        <w:spacing w:before="0" w:after="0"/>
        <w:jc w:val="left"/>
        <w:rPr>
          <w:rFonts w:ascii="Times New Roman" w:hAnsi="Times New Roman"/>
          <w:b/>
          <w:sz w:val="20"/>
        </w:rPr>
      </w:pPr>
      <w:r>
        <w:rPr>
          <w:rFonts w:ascii="Times New Roman" w:hAnsi="Times New Roman"/>
          <w:b/>
          <w:sz w:val="20"/>
        </w:rPr>
        <w:t xml:space="preserve">ONKC/SLSH/202502967 </w:t>
      </w:r>
    </w:p>
    <w:p>
      <w:pPr>
        <w:pStyle w:val="TextBody"/>
        <w:bidi w:val="0"/>
        <w:spacing w:before="0" w:after="0"/>
        <w:jc w:val="left"/>
        <w:rPr>
          <w:rFonts w:ascii="Times New Roman" w:hAnsi="Times New Roman"/>
          <w:b/>
          <w:sz w:val="20"/>
        </w:rPr>
      </w:pPr>
      <w:r>
        <w:rPr>
          <w:rFonts w:ascii="Times New Roman" w:hAnsi="Times New Roman"/>
          <w:b/>
          <w:sz w:val="20"/>
        </w:rPr>
        <w:t xml:space="preserve">10 December 2025 </w:t>
      </w:r>
    </w:p>
    <w:p>
      <w:pPr>
        <w:pStyle w:val="TextBody"/>
        <w:bidi w:val="0"/>
        <w:spacing w:before="0" w:after="0"/>
        <w:jc w:val="left"/>
        <w:rPr>
          <w:rFonts w:ascii="Times New Roman" w:hAnsi="Times New Roman"/>
          <w:b/>
          <w:sz w:val="20"/>
        </w:rPr>
      </w:pPr>
      <w:r>
        <w:rPr>
          <w:rFonts w:ascii="Times New Roman" w:hAnsi="Times New Roman"/>
          <w:b/>
          <w:sz w:val="20"/>
        </w:rPr>
        <w:t xml:space="preserve">Page: 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6.14.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there are no agreements, documents, arrangements or transactions to which the Company is a party that may in any way prohibit or restrict the issue of the Offering Shares, the Pre-Funded Warrants and the Warrant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6.15.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Offering Shares will be duly offered, sold and delivered in accordance with the terms of the Registration Statement, the Prospectus Supplement and the Underwriting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6.16.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Pre-Funded Warrants will be validly executed, issued and delivered by the Company in accordance with the Constitutive Documents, the terms of the executed warrant agreement referred to in paragraph 6.12 above, and will be duly offered, sold and delivered in accordance with the terms of the Registration Statement, the Prospectus Supplement and the executed warrant agreement referred to in paragraph 6.12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6.17.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Constitutive Documents will not be amended in a manner that would have the effect of rendering any of our opinions in paragraph 7 inaccurate;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6.18.</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no foreign law is relevant to or affects the opinions expressed, or conclusions stated in this opinion, and none of the opinions expressed herein will be affected by the laws (including, without limitation, the public policy) of any jurisdiction outside Singapore, and insofar as the laws of any jurisdiction outside Singapore may be relevant, such laws have been or will be complied with;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6.19.</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none of the Registration Statement, the Prospectus Supplement and the Underwriting Agreement and the Warrant Agreement nor any of the transactions contemplated respectively thereunder constitutes or will constitute a sham.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D.</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the foregoing, and subject to the assumptions, limitations and qualifications set forth herein and having regard to such legal considerations as we have deemed relevant and subject to any matters not disclosed to us, we are of the opinion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Shares, when issued and delivered by the Company in accordance with the Constitutive Documents and the terms of the Underwriting Agreement, and pursuant to the laws of Singapore against payment of the aggregate offering price of the Offering Shares as set forth in the Underwriting Agreement, will be validly issued, fully paid and non-assessable;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1"/>
        <w:gridCol w:w="9287"/>
      </w:tblGrid>
      <w:tr>
        <w:trPr/>
        <w:tc>
          <w:tcPr>
            <w:tcW w:w="407"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7.2</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 Shares, when issued and delivered by the Company upon valid and proper exercise of the Pre-Funded Warrants in accordance with the terms of the executed warrant agreement referred to in paragraph 6.12 above, will be validly issued, fully paid and non-assessable.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E.</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Qualifications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opinion is subject to the following qualifications: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for the purposes of this opinion, we have assumed that the term “</w:t>
            </w:r>
            <w:r>
              <w:rPr>
                <w:rFonts w:ascii="Times New Roman" w:hAnsi="Times New Roman"/>
                <w:b/>
                <w:sz w:val="20"/>
                <w:u w:val="single"/>
              </w:rPr>
              <w:t>non-assessable</w:t>
            </w:r>
            <w:r>
              <w:rPr>
                <w:rFonts w:ascii="Times New Roman" w:hAnsi="Times New Roman"/>
                <w:sz w:val="20"/>
              </w:rPr>
              <w:t xml:space="preserve">” (a term which has no recognised meaning under the laws of Singapore) in relation to the Offering Shares and the Warrant Shares means that holders of such shares, having fully paid up all amounts due on such shares, are under no further personal liability to make payments to the Company or its creditors or contribute to the assets or liabilities of the Company in their capacities purely as holders of such shares;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WONGPARTNERSHIP LLP</w:t>
      </w:r>
      <w:r>
        <w:rPr>
          <w:rFonts w:ascii="Times New Roman" w:hAnsi="Times New Roman"/>
          <w:sz w:val="20"/>
        </w:rPr>
        <w:t xml:space="preserve"> </w:t>
      </w:r>
    </w:p>
    <w:p>
      <w:pPr>
        <w:pStyle w:val="TextBody"/>
        <w:bidi w:val="0"/>
        <w:spacing w:before="0" w:after="0"/>
        <w:jc w:val="left"/>
        <w:rPr>
          <w:rFonts w:ascii="Times New Roman" w:hAnsi="Times New Roman"/>
          <w:b/>
          <w:sz w:val="20"/>
        </w:rPr>
      </w:pPr>
      <w:r>
        <w:rPr>
          <w:rFonts w:ascii="Times New Roman" w:hAnsi="Times New Roman"/>
          <w:b/>
          <w:sz w:val="20"/>
        </w:rPr>
        <w:t xml:space="preserve">ONKC/SLSH/202502967 </w:t>
      </w:r>
    </w:p>
    <w:p>
      <w:pPr>
        <w:pStyle w:val="TextBody"/>
        <w:bidi w:val="0"/>
        <w:spacing w:before="0" w:after="0"/>
        <w:jc w:val="left"/>
        <w:rPr>
          <w:rFonts w:ascii="Times New Roman" w:hAnsi="Times New Roman"/>
          <w:b/>
          <w:sz w:val="20"/>
        </w:rPr>
      </w:pPr>
      <w:r>
        <w:rPr>
          <w:rFonts w:ascii="Times New Roman" w:hAnsi="Times New Roman"/>
          <w:b/>
          <w:sz w:val="20"/>
        </w:rPr>
        <w:t xml:space="preserve">10 December 2025 </w:t>
      </w:r>
    </w:p>
    <w:p>
      <w:pPr>
        <w:pStyle w:val="TextBody"/>
        <w:bidi w:val="0"/>
        <w:spacing w:before="0" w:after="0"/>
        <w:jc w:val="left"/>
        <w:rPr>
          <w:rFonts w:ascii="Times New Roman" w:hAnsi="Times New Roman"/>
          <w:b/>
          <w:sz w:val="20"/>
        </w:rPr>
      </w:pPr>
      <w:r>
        <w:rPr>
          <w:rFonts w:ascii="Times New Roman" w:hAnsi="Times New Roman"/>
          <w:b/>
          <w:sz w:val="20"/>
        </w:rPr>
        <w:t xml:space="preserve">Page: 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not investigated or verified the accuracy or completeness of the facts and information, including any statements of foreign law, or the reasonableness of any assumptions, statements of opinion or intention, contained in the Underwriting Agreement, the Warrant Agreement and the documents referred to in paragraph 4 of this opinion. We do not express any opinion as to any matters of fact generally, including statements of foreign law, or the reasonableness of any statements of opinion, contained in the documents described in paragraph 4. In addition, we are not responsible for investigating or verifying whether any material fact has been omitted from such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8.3.</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ACRA Search, the Court Searches and the Corporate Insolvency Search, we have relied on electronic searches of publicly available records and the records disclosed by such searches may not be complete or up-to-date;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express no opinion as to the validity, binding effect or enforceability of any provision in the Underwriting Agreement, the Warrant Agreement or, as to the availability in Singapore of remedies which are available in our jurisdictions;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opinion is strictly limited to matters stated in this opinion and is not to be construed as extending (by implication or otherwise) to all the documents listed in paragraph 4 of this opinion, or to any other matter or document in connection with, referred to, contemplated by or incorporated by reference, in such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matters of fact material to this opinion, we have relied on the statements of the responsible officers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We hereby consent to the use of our opinion as herein set forth as an exhibit to the current report on Form 8-K (the “</w:t>
            </w:r>
            <w:r>
              <w:rPr>
                <w:rFonts w:ascii="Times New Roman" w:hAnsi="Times New Roman"/>
                <w:b/>
                <w:sz w:val="20"/>
                <w:u w:val="single"/>
              </w:rPr>
              <w:t>Current Report on Form 8-K</w:t>
            </w:r>
            <w:r>
              <w:rPr>
                <w:rFonts w:ascii="Times New Roman" w:hAnsi="Times New Roman"/>
                <w:sz w:val="20"/>
              </w:rPr>
              <w:t xml:space="preserve">”) and to the use of our name under the caption “Legal Matters” in the Prospectus Supplement. In giving this consent, we do not hereby admit and shall not be deemed to admit that we come within the category of persons whose consent is required under Sections 7 and 11 of the Act or to the rules and regulations of the Commission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opinion is only for the benefit of the person to whom it is addressed, subject to the condition that such person accepts and acknowledges that this opinion may not be appropriate or sufficient for such person’s purposes, and is strictly limited to the matters stated in this opinion and is not to be read as extended by implication to any other matter in connection with the Offering, the Registration Statement, the Prospectus Supplement, the Underwriting Agreement, the Warrant Agreement or otherwise. Further, except for the filing of this opinion with the Commission as an exhibit to the Current Report on Form 8-K, this opinion is not to be circulated or disclosed to, or relied upon by, any other person (other than persons entitled to rely on it pursuant to applicable provisions of federal securities law in the United States of America, if any), nor is it to be used or relied upon for any other purpose, or quoted or referred to in any public document or filed with any governmental body or agency without our prior written consent.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Yours faithfully </w:t>
      </w:r>
    </w:p>
    <w:p>
      <w:pPr>
        <w:pStyle w:val="TextBody"/>
        <w:bidi w:val="0"/>
        <w:spacing w:before="240" w:after="0"/>
        <w:jc w:val="left"/>
        <w:rPr>
          <w:rFonts w:ascii="Times New Roman" w:hAnsi="Times New Roman"/>
          <w:sz w:val="20"/>
        </w:rPr>
      </w:pPr>
      <w:r>
        <w:rPr>
          <w:rFonts w:ascii="Times New Roman" w:hAnsi="Times New Roman"/>
          <w:sz w:val="20"/>
        </w:rPr>
        <w:t xml:space="preserve">/s/ WongPartnership LLP </w:t>
      </w:r>
    </w:p>
    <w:p>
      <w:pPr>
        <w:pStyle w:val="TextBody"/>
        <w:bidi w:val="0"/>
        <w:spacing w:before="240" w:after="0"/>
        <w:jc w:val="left"/>
        <w:rPr>
          <w:rFonts w:ascii="Times New Roman" w:hAnsi="Times New Roman"/>
          <w:b/>
          <w:sz w:val="20"/>
        </w:rPr>
      </w:pPr>
      <w:r>
        <w:rPr>
          <w:rFonts w:ascii="Times New Roman" w:hAnsi="Times New Roman"/>
          <w:b/>
          <w:sz w:val="20"/>
        </w:rPr>
        <w:t xml:space="preserve">WONGPARTNERSHIP LLP </w:t>
      </w:r>
    </w:p>
    <w:p>
      <w:pPr>
        <w:pStyle w:val="TextBody"/>
        <w:bidi w:val="0"/>
        <w:spacing w:before="0" w:after="0"/>
        <w:jc w:val="right"/>
        <w:rPr>
          <w:rFonts w:ascii="Times New Roman" w:hAnsi="Times New Roman"/>
          <w:b/>
          <w:sz w:val="20"/>
        </w:rPr>
      </w:pPr>
      <w:bookmarkStart w:id="8" w:name="d88507dex52.htm"/>
      <w:bookmarkStart w:id="9" w:name="ksd88507dex52"/>
      <w:bookmarkEnd w:id="8"/>
      <w:bookmarkEnd w:id="9"/>
      <w:r>
        <w:rPr>
          <w:rFonts w:ascii="Times New Roman" w:hAnsi="Times New Roman"/>
          <w:b/>
          <w:sz w:val="20"/>
        </w:rPr>
        <w:t xml:space="preserve">Exhibit 5.2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12"/>
        <w:gridCol w:w="120"/>
        <w:gridCol w:w="3362"/>
        <w:gridCol w:w="120"/>
        <w:gridCol w:w="3191"/>
      </w:tblGrid>
      <w:tr>
        <w:trPr/>
        <w:tc>
          <w:tcPr>
            <w:tcW w:w="341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91" w:type="dxa"/>
            <w:tcBorders/>
            <w:vAlign w:val="center"/>
          </w:tcPr>
          <w:p>
            <w:pPr>
              <w:pStyle w:val="TableContents"/>
              <w:bidi w:val="0"/>
              <w:spacing w:before="0" w:after="283"/>
              <w:jc w:val="left"/>
              <w:rPr>
                <w:sz w:val="4"/>
                <w:szCs w:val="4"/>
              </w:rPr>
            </w:pPr>
            <w:r>
              <w:rPr>
                <w:sz w:val="4"/>
                <w:szCs w:val="4"/>
              </w:rPr>
            </w:r>
          </w:p>
        </w:tc>
      </w:tr>
      <w:tr>
        <w:trPr/>
        <w:tc>
          <w:tcPr>
            <w:tcW w:w="3412"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62" w:type="dxa"/>
            <w:tcBorders/>
            <w:vAlign w:val="bottom"/>
          </w:tcPr>
          <w:p>
            <w:pPr>
              <w:pStyle w:val="TableContents"/>
              <w:bidi w:val="0"/>
              <w:spacing w:before="0" w:after="283"/>
              <w:jc w:val="center"/>
              <w:rPr/>
            </w:pPr>
            <w:r>
              <w:rPr/>
              <w:drawing>
                <wp:inline distT="0" distB="0" distL="0" distR="0">
                  <wp:extent cx="809625" cy="10191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09625" cy="10191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3191" w:type="dxa"/>
            <w:tcBorders/>
          </w:tcPr>
          <w:p>
            <w:pPr>
              <w:pStyle w:val="TableContents"/>
              <w:bidi w:val="0"/>
              <w:spacing w:before="0" w:after="0"/>
              <w:jc w:val="right"/>
              <w:rPr>
                <w:rFonts w:ascii="Times New Roman" w:hAnsi="Times New Roman"/>
                <w:sz w:val="20"/>
              </w:rPr>
            </w:pPr>
            <w:r>
              <w:rPr>
                <w:rFonts w:ascii="Times New Roman" w:hAnsi="Times New Roman"/>
                <w:sz w:val="20"/>
              </w:rPr>
              <w:t>One Financial Center</w:t>
            </w:r>
          </w:p>
          <w:p>
            <w:pPr>
              <w:pStyle w:val="TableContents"/>
              <w:bidi w:val="0"/>
              <w:spacing w:before="0" w:after="0"/>
              <w:jc w:val="right"/>
              <w:rPr>
                <w:rFonts w:ascii="Times New Roman" w:hAnsi="Times New Roman"/>
                <w:sz w:val="20"/>
              </w:rPr>
            </w:pPr>
            <w:r>
              <w:rPr>
                <w:rFonts w:ascii="Times New Roman" w:hAnsi="Times New Roman"/>
                <w:sz w:val="20"/>
              </w:rPr>
              <w:t>Boston, MA 02111</w:t>
            </w:r>
          </w:p>
          <w:p>
            <w:pPr>
              <w:pStyle w:val="TableContents"/>
              <w:bidi w:val="0"/>
              <w:spacing w:before="0" w:after="0"/>
              <w:jc w:val="right"/>
              <w:rPr>
                <w:rFonts w:ascii="Times New Roman" w:hAnsi="Times New Roman"/>
                <w:sz w:val="20"/>
              </w:rPr>
            </w:pPr>
            <w:r>
              <w:rPr>
                <w:rFonts w:ascii="Times New Roman" w:hAnsi="Times New Roman"/>
                <w:sz w:val="20"/>
              </w:rPr>
              <w:t>617 542 6000</w:t>
            </w:r>
          </w:p>
          <w:p>
            <w:pPr>
              <w:pStyle w:val="TableContents"/>
              <w:bidi w:val="0"/>
              <w:spacing w:before="0" w:after="20"/>
              <w:jc w:val="right"/>
              <w:rPr>
                <w:rFonts w:ascii="Times New Roman" w:hAnsi="Times New Roman"/>
                <w:sz w:val="20"/>
              </w:rPr>
            </w:pPr>
            <w:r>
              <w:rPr>
                <w:rFonts w:ascii="Times New Roman" w:hAnsi="Times New Roman"/>
                <w:sz w:val="20"/>
              </w:rPr>
              <w:t>mintz.com</w:t>
            </w:r>
          </w:p>
        </w:tc>
      </w:tr>
    </w:tbl>
    <w:p>
      <w:pPr>
        <w:pStyle w:val="TextBody"/>
        <w:bidi w:val="0"/>
        <w:spacing w:before="240" w:after="0"/>
        <w:jc w:val="left"/>
        <w:rPr>
          <w:rFonts w:ascii="Times New Roman" w:hAnsi="Times New Roman"/>
          <w:sz w:val="20"/>
        </w:rPr>
      </w:pPr>
      <w:r>
        <w:rPr>
          <w:rFonts w:ascii="Times New Roman" w:hAnsi="Times New Roman"/>
          <w:sz w:val="20"/>
        </w:rPr>
        <w:t xml:space="preserve">December 10, 2025 </w:t>
      </w:r>
    </w:p>
    <w:p>
      <w:pPr>
        <w:pStyle w:val="TextBody"/>
        <w:bidi w:val="0"/>
        <w:spacing w:before="240" w:after="0"/>
        <w:jc w:val="left"/>
        <w:rPr>
          <w:rFonts w:ascii="Times New Roman" w:hAnsi="Times New Roman"/>
          <w:sz w:val="20"/>
        </w:rPr>
      </w:pPr>
      <w:r>
        <w:rPr>
          <w:rFonts w:ascii="Times New Roman" w:hAnsi="Times New Roman"/>
          <w:sz w:val="20"/>
        </w:rPr>
        <w:t xml:space="preserve">Wave Life Sciences Ltd. </w:t>
      </w:r>
    </w:p>
    <w:p>
      <w:pPr>
        <w:pStyle w:val="TextBody"/>
        <w:bidi w:val="0"/>
        <w:spacing w:before="0" w:after="0"/>
        <w:jc w:val="left"/>
        <w:rPr>
          <w:rFonts w:ascii="Times New Roman" w:hAnsi="Times New Roman"/>
          <w:sz w:val="20"/>
        </w:rPr>
      </w:pPr>
      <w:r>
        <w:rPr>
          <w:rFonts w:ascii="Times New Roman" w:hAnsi="Times New Roman"/>
          <w:sz w:val="20"/>
        </w:rPr>
        <w:t xml:space="preserve">7 Straits View #12-00, Marina One East Tower </w:t>
      </w:r>
    </w:p>
    <w:p>
      <w:pPr>
        <w:pStyle w:val="TextBody"/>
        <w:bidi w:val="0"/>
        <w:spacing w:before="0" w:after="0"/>
        <w:jc w:val="left"/>
        <w:rPr>
          <w:rFonts w:ascii="Times New Roman" w:hAnsi="Times New Roman"/>
          <w:sz w:val="20"/>
        </w:rPr>
      </w:pPr>
      <w:r>
        <w:rPr>
          <w:rFonts w:ascii="Times New Roman" w:hAnsi="Times New Roman"/>
          <w:sz w:val="20"/>
        </w:rPr>
        <w:t xml:space="preserve">Singapore, 018936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U.S. legal counsel to Wave Life Sciences Ltd., a company incorporated under the laws of Singapore (the “</w:t>
      </w:r>
      <w:r>
        <w:rPr>
          <w:rFonts w:ascii="Times New Roman" w:hAnsi="Times New Roman"/>
          <w:sz w:val="20"/>
          <w:u w:val="single"/>
        </w:rPr>
        <w:t>Company</w:t>
      </w:r>
      <w:r>
        <w:rPr>
          <w:rFonts w:ascii="Times New Roman" w:hAnsi="Times New Roman"/>
          <w:sz w:val="20"/>
        </w:rPr>
        <w:t>”), in connection with the preparation and filing with the Securities and Exchange Commission (the “</w:t>
      </w:r>
      <w:r>
        <w:rPr>
          <w:rFonts w:ascii="Times New Roman" w:hAnsi="Times New Roman"/>
          <w:sz w:val="20"/>
          <w:u w:val="single"/>
        </w:rPr>
        <w:t>Commission</w:t>
      </w:r>
      <w:r>
        <w:rPr>
          <w:rFonts w:ascii="Times New Roman" w:hAnsi="Times New Roman"/>
          <w:sz w:val="20"/>
        </w:rPr>
        <w:t>”) of a Prospectus Supplement, dated December 9, 2025 (the “</w:t>
      </w:r>
      <w:r>
        <w:rPr>
          <w:rFonts w:ascii="Times New Roman" w:hAnsi="Times New Roman"/>
          <w:sz w:val="20"/>
          <w:u w:val="single"/>
        </w:rPr>
        <w:t>Prospectus Supplement</w:t>
      </w:r>
      <w:r>
        <w:rPr>
          <w:rFonts w:ascii="Times New Roman" w:hAnsi="Times New Roman"/>
          <w:sz w:val="20"/>
        </w:rPr>
        <w:t>”), to a Registration Statement (File No. 333-283122) on Form S-3ASR (the “</w:t>
      </w:r>
      <w:r>
        <w:rPr>
          <w:rFonts w:ascii="Times New Roman" w:hAnsi="Times New Roman"/>
          <w:sz w:val="20"/>
          <w:u w:val="single"/>
        </w:rPr>
        <w:t>Registration Statement</w:t>
      </w:r>
      <w:r>
        <w:rPr>
          <w:rFonts w:ascii="Times New Roman" w:hAnsi="Times New Roman"/>
          <w:sz w:val="20"/>
        </w:rPr>
        <w:t>”), filed by the Company with the Commission under the Securities Act of 1933, as amended (the “</w:t>
      </w:r>
      <w:r>
        <w:rPr>
          <w:rFonts w:ascii="Times New Roman" w:hAnsi="Times New Roman"/>
          <w:sz w:val="20"/>
          <w:u w:val="single"/>
        </w:rPr>
        <w:t>Securities Act</w:t>
      </w:r>
      <w:r>
        <w:rPr>
          <w:rFonts w:ascii="Times New Roman" w:hAnsi="Times New Roman"/>
          <w:sz w:val="20"/>
        </w:rPr>
        <w:t>”). The Prospectus Supplement relates to the sale of an aggregate of 18,552,632 ordinary shares, no par value (the “</w:t>
      </w:r>
      <w:r>
        <w:rPr>
          <w:rFonts w:ascii="Times New Roman" w:hAnsi="Times New Roman"/>
          <w:sz w:val="20"/>
          <w:u w:val="single"/>
        </w:rPr>
        <w:t>Ordinary Shares</w:t>
      </w:r>
      <w:r>
        <w:rPr>
          <w:rFonts w:ascii="Times New Roman" w:hAnsi="Times New Roman"/>
          <w:sz w:val="20"/>
        </w:rPr>
        <w:t>”) of the Company, which includes 2,763,157 Ordinary Shares that may be sold pursuant to the exercise of an option to purchase additional shares (the “</w:t>
      </w:r>
      <w:r>
        <w:rPr>
          <w:rFonts w:ascii="Times New Roman" w:hAnsi="Times New Roman"/>
          <w:sz w:val="20"/>
          <w:u w:val="single"/>
        </w:rPr>
        <w:t>Offered Shares</w:t>
      </w:r>
      <w:r>
        <w:rPr>
          <w:rFonts w:ascii="Times New Roman" w:hAnsi="Times New Roman"/>
          <w:sz w:val="20"/>
        </w:rPr>
        <w:t>”), pre-funded warrants (the “</w:t>
      </w:r>
      <w:r>
        <w:rPr>
          <w:rFonts w:ascii="Times New Roman" w:hAnsi="Times New Roman"/>
          <w:sz w:val="20"/>
          <w:u w:val="single"/>
        </w:rPr>
        <w:t>Pre-Funded Warrants</w:t>
      </w:r>
      <w:r>
        <w:rPr>
          <w:rFonts w:ascii="Times New Roman" w:hAnsi="Times New Roman"/>
          <w:sz w:val="20"/>
        </w:rPr>
        <w:t>”), and the Ordinary Shares issuable upon exercise of the Pre-Funded Warrants, the “</w:t>
      </w:r>
      <w:r>
        <w:rPr>
          <w:rFonts w:ascii="Times New Roman" w:hAnsi="Times New Roman"/>
          <w:sz w:val="20"/>
          <w:u w:val="single"/>
        </w:rPr>
        <w:t>Warrant Shares</w:t>
      </w:r>
      <w:r>
        <w:rPr>
          <w:rFonts w:ascii="Times New Roman" w:hAnsi="Times New Roman"/>
          <w:sz w:val="20"/>
        </w:rPr>
        <w:t>”) to purchase up to 2,631,578 Ordinary Shares, to Jefferies LLC, Leerink Partners LLC and BofA Securities, Inc., as representatives of the underwriters (the “</w:t>
      </w:r>
      <w:r>
        <w:rPr>
          <w:rFonts w:ascii="Times New Roman" w:hAnsi="Times New Roman"/>
          <w:sz w:val="20"/>
          <w:u w:val="single"/>
        </w:rPr>
        <w:t>Underwriters</w:t>
      </w:r>
      <w:r>
        <w:rPr>
          <w:rFonts w:ascii="Times New Roman" w:hAnsi="Times New Roman"/>
          <w:sz w:val="20"/>
        </w:rPr>
        <w:t>”), pursuant to an Underwriting Agreement dated December 9, 2025 between the Company and the Underwriters (the “</w:t>
      </w:r>
      <w:r>
        <w:rPr>
          <w:rFonts w:ascii="Times New Roman" w:hAnsi="Times New Roman"/>
          <w:sz w:val="20"/>
          <w:u w:val="single"/>
        </w:rPr>
        <w:t>Underwriting Agreement</w:t>
      </w:r>
      <w:r>
        <w:rPr>
          <w:rFonts w:ascii="Times New Roman" w:hAnsi="Times New Roman"/>
          <w:sz w:val="20"/>
        </w:rPr>
        <w:t xml:space="preserve">”). The Underwriting Agreement will be filed as an exhibit to a Current Report on Form 8-K and incorporated by reference into the Registration Statement. This opinion is being rendered in connection with the filing of the Prospectus Supplement with the Commission. All capitalized terms used herein and not otherwise defined shall have the respective meanings given to them in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examined the Underwriting Agreement, the Pre-Funded Warrants, such other records of the corporate proceedings of the Company and certificates of the Company’s officers as we have deemed relevant, the Prospectus Supplement, and the Registration Statement and the exhibits thereto. We have assumed the genuineness of all signatures, the legal capacity of natural persons, the authenticity of all documents submitted to us as originals, the conformity to original documents of all documents submitted to us as copies, the authenticity of the originals of such copies, and the truth and correctness of any representations and warranties contained therein. </w:t>
      </w:r>
    </w:p>
    <w:p>
      <w:pPr>
        <w:pStyle w:val="TextBody"/>
        <w:bidi w:val="0"/>
        <w:spacing w:before="240" w:after="0"/>
        <w:jc w:val="left"/>
        <w:rPr>
          <w:rFonts w:ascii="Times New Roman" w:hAnsi="Times New Roman"/>
          <w:sz w:val="20"/>
        </w:rPr>
      </w:pPr>
      <w:r>
        <w:rPr>
          <w:rFonts w:ascii="Times New Roman" w:hAnsi="Times New Roman"/>
          <w:sz w:val="20"/>
        </w:rPr>
        <w:t xml:space="preserve">Members of our firm are admitted to the Bar of the Commonwealth of Massachusetts and the State of New York, and we do not express any opinion other than as to the Pre-Funded Warrants constituting valid and legally binding obligations of the Company under the laws of the State of New York. No opinion is expressed herein with respect to (i) the Offered Shares or the Warrant Shares, (ii) the qualification of the Pre-Funded Warrants under the securities or blue sky laws of any state or any foreign jurisdiction or (iii) the compliance with any federal or state law, rule or regulation relating to securities, or to the sale or issuance thereof.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sz w:val="20"/>
        </w:rPr>
      </w:pPr>
      <w:r>
        <w:rPr>
          <w:rFonts w:ascii="Times New Roman" w:hAnsi="Times New Roman"/>
          <w:sz w:val="20"/>
        </w:rPr>
        <w:t xml:space="preserve">BOSTON LOS ANGELES  MIAMI NEW YORK SAN DIEGO SAN FRANCISCO TORONTO WASHINGTON </w:t>
      </w:r>
    </w:p>
    <w:p>
      <w:pPr>
        <w:pStyle w:val="TextBody"/>
        <w:bidi w:val="0"/>
        <w:spacing w:before="120" w:after="0"/>
        <w:jc w:val="center"/>
        <w:rPr>
          <w:rFonts w:ascii="Times New Roman" w:hAnsi="Times New Roman"/>
          <w:sz w:val="20"/>
        </w:rPr>
      </w:pPr>
      <w:r>
        <w:rPr>
          <w:rFonts w:ascii="Times New Roman" w:hAnsi="Times New Roman"/>
          <w:sz w:val="20"/>
        </w:rPr>
        <w:t xml:space="preserve">MINTZ, LEVIN, COHN, FERRIS, GLOVSKY AND POPEO, P.C.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198"/>
        <w:gridCol w:w="120"/>
        <w:gridCol w:w="4887"/>
      </w:tblGrid>
      <w:tr>
        <w:trPr/>
        <w:tc>
          <w:tcPr>
            <w:tcW w:w="519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87" w:type="dxa"/>
            <w:tcBorders/>
            <w:vAlign w:val="center"/>
          </w:tcPr>
          <w:p>
            <w:pPr>
              <w:pStyle w:val="TableContents"/>
              <w:bidi w:val="0"/>
              <w:spacing w:before="0" w:after="283"/>
              <w:jc w:val="left"/>
              <w:rPr>
                <w:sz w:val="4"/>
                <w:szCs w:val="4"/>
              </w:rPr>
            </w:pPr>
            <w:r>
              <w:rPr>
                <w:sz w:val="4"/>
                <w:szCs w:val="4"/>
              </w:rPr>
            </w:r>
          </w:p>
        </w:tc>
      </w:tr>
      <w:tr>
        <w:trPr/>
        <w:tc>
          <w:tcPr>
            <w:tcW w:w="5198" w:type="dxa"/>
            <w:tcBorders/>
          </w:tcPr>
          <w:p>
            <w:pPr>
              <w:pStyle w:val="TableContents"/>
              <w:bidi w:val="0"/>
              <w:spacing w:before="0" w:after="0"/>
              <w:jc w:val="left"/>
              <w:rPr>
                <w:rFonts w:ascii="Times New Roman" w:hAnsi="Times New Roman"/>
                <w:b/>
                <w:sz w:val="20"/>
              </w:rPr>
            </w:pPr>
            <w:r>
              <w:rPr>
                <w:rFonts w:ascii="Times New Roman" w:hAnsi="Times New Roman"/>
                <w:b/>
                <w:sz w:val="20"/>
              </w:rPr>
              <w:t>MINTZ</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December 10, 2025</w:t>
            </w:r>
          </w:p>
          <w:p>
            <w:pPr>
              <w:pStyle w:val="TableContents"/>
              <w:bidi w:val="0"/>
              <w:spacing w:before="0" w:after="20"/>
              <w:jc w:val="left"/>
              <w:rPr>
                <w:rFonts w:ascii="Times New Roman" w:hAnsi="Times New Roman"/>
                <w:sz w:val="20"/>
              </w:rPr>
            </w:pPr>
            <w:r>
              <w:rPr>
                <w:rFonts w:ascii="Times New Roman" w:hAnsi="Times New Roman"/>
                <w:sz w:val="20"/>
              </w:rPr>
              <w:t>Page 2</w:t>
            </w:r>
          </w:p>
        </w:tc>
        <w:tc>
          <w:tcPr>
            <w:tcW w:w="120" w:type="dxa"/>
            <w:tcBorders/>
            <w:vAlign w:val="bottom"/>
          </w:tcPr>
          <w:p>
            <w:pPr>
              <w:pStyle w:val="TableContents"/>
              <w:bidi w:val="0"/>
              <w:spacing w:before="0" w:after="283"/>
              <w:jc w:val="left"/>
              <w:rPr/>
            </w:pPr>
            <w:r>
              <w:rPr/>
              <w:t>  </w:t>
            </w:r>
          </w:p>
        </w:tc>
        <w:tc>
          <w:tcPr>
            <w:tcW w:w="4887" w:type="dxa"/>
            <w:tcBorders/>
          </w:tcPr>
          <w:p>
            <w:pPr>
              <w:pStyle w:val="TableContents"/>
              <w:bidi w:val="0"/>
              <w:spacing w:before="0" w:after="283"/>
              <w:jc w:val="right"/>
              <w:rPr/>
            </w:pPr>
            <w:r>
              <w:rPr/>
              <w:drawing>
                <wp:inline distT="0" distB="0" distL="0" distR="0">
                  <wp:extent cx="463550" cy="5619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63550" cy="56197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With respect to the Pre-Funded Warrants, we have assumed that, as of each and every time any of the Pre-Funded Warrants are exercised, the Company will have a sufficient number of authorized and unissued Ordinary Shares available for issuance under the Constitution of the Company as then in effect (the “</w:t>
      </w:r>
      <w:r>
        <w:rPr>
          <w:rFonts w:ascii="Times New Roman" w:hAnsi="Times New Roman"/>
          <w:sz w:val="20"/>
          <w:u w:val="single"/>
        </w:rPr>
        <w:t>Constitution</w:t>
      </w:r>
      <w:r>
        <w:rPr>
          <w:rFonts w:ascii="Times New Roman" w:hAnsi="Times New Roman"/>
          <w:sz w:val="20"/>
        </w:rPr>
        <w:t xml:space="preserve">”) to permit full exercise of each of the Pre-Funded Warrants in accordance with their terms without the breach or violation of any other agreement, commitment or obligation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our opinions expressed below, we have assumed that, (i) at or prior to the time of the issuance and delivery of any of the Pre-Funded Warrants, there will not have occurred any change in the law or the facts affecting the validity of the Pre-Funded Warrants, any change in actions of the Board of Directors or the Company’s shareholders, or any amendments to the Constitution, and (ii) at the time of the offer, issuance and sale of any Pre-Funded Warrants no stop order suspending the Registration Statement’s effectiveness will have been issued and remain in effect, and that the Registration Statement will not have been modified or rescinded. We also have assumed that the issuance and delivery of the Pre-Funded Warrants subsequent to the date hereof and the compliance by the Company with the terms of such Pre-Funded Warrants will not result in a violation of the Constitution or any provision of any instrument or agreement then binding upon the Company or any restriction imposed by any court or governmental body then having jurisdiction over the Company.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in reliance thereon, and subject to the qualifications herein stated, we are of the opinion that when the Pre-Funded Warrants are issued, sold and delivered in the manner and for the consideration stated in the Registration Statement and the Prospectus Supplement, and in accordance with the resolutions adopted by the Company’s Board of Directors and the Pricing Committee of the Company’s Board of Directors, such Pre-Funded Warrants will be valid and binding obligations of the Company, enforceable against the Company in accordance with their terms, subject to bankruptcy, insolvency, fraudulent transfer, reorganization, moratorium and other laws of general applicability relating to or affecting creditors’ rights and to general equity principles. </w:t>
      </w:r>
    </w:p>
    <w:p>
      <w:pPr>
        <w:pStyle w:val="TextBody"/>
        <w:bidi w:val="0"/>
        <w:spacing w:before="240" w:after="0"/>
        <w:jc w:val="left"/>
        <w:rPr>
          <w:rFonts w:ascii="Times New Roman" w:hAnsi="Times New Roman"/>
          <w:sz w:val="20"/>
        </w:rPr>
      </w:pPr>
      <w:r>
        <w:rPr>
          <w:rFonts w:ascii="Times New Roman" w:hAnsi="Times New Roman"/>
          <w:sz w:val="20"/>
        </w:rPr>
        <w:t xml:space="preserve">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We understand that you wish to file this opinion with the Commission as an exhibit to a Current Report on Form 8-K for incorporation by reference into the Registration Statement in accordance with the requirements of Item 601(b)(5) of Regulation S-K promulgated under the Securities Act and to reference the firm’s name under the caption “Legal Matters” in the Prospectus Supplement, and we hereby consent thereto. In giving this consent, we do not admit that we are within the category of persons whose consent is required under Section 7 of the Securities Act or the rules and regulations of the Commission promulgated thereunder.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198"/>
        <w:gridCol w:w="120"/>
        <w:gridCol w:w="4887"/>
      </w:tblGrid>
      <w:tr>
        <w:trPr/>
        <w:tc>
          <w:tcPr>
            <w:tcW w:w="519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87" w:type="dxa"/>
            <w:tcBorders/>
            <w:vAlign w:val="center"/>
          </w:tcPr>
          <w:p>
            <w:pPr>
              <w:pStyle w:val="TableContents"/>
              <w:bidi w:val="0"/>
              <w:spacing w:before="0" w:after="283"/>
              <w:jc w:val="left"/>
              <w:rPr>
                <w:sz w:val="4"/>
                <w:szCs w:val="4"/>
              </w:rPr>
            </w:pPr>
            <w:r>
              <w:rPr>
                <w:sz w:val="4"/>
                <w:szCs w:val="4"/>
              </w:rPr>
            </w:r>
          </w:p>
        </w:tc>
      </w:tr>
      <w:tr>
        <w:trPr/>
        <w:tc>
          <w:tcPr>
            <w:tcW w:w="5198" w:type="dxa"/>
            <w:tcBorders/>
          </w:tcPr>
          <w:p>
            <w:pPr>
              <w:pStyle w:val="TableContents"/>
              <w:bidi w:val="0"/>
              <w:spacing w:before="0" w:after="0"/>
              <w:jc w:val="left"/>
              <w:rPr>
                <w:rFonts w:ascii="Times New Roman" w:hAnsi="Times New Roman"/>
                <w:b/>
                <w:sz w:val="20"/>
              </w:rPr>
            </w:pPr>
            <w:r>
              <w:rPr>
                <w:rFonts w:ascii="Times New Roman" w:hAnsi="Times New Roman"/>
                <w:b/>
                <w:sz w:val="20"/>
              </w:rPr>
              <w:t>MINTZ</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December 10, 2025</w:t>
            </w:r>
          </w:p>
          <w:p>
            <w:pPr>
              <w:pStyle w:val="TableContents"/>
              <w:bidi w:val="0"/>
              <w:spacing w:before="0" w:after="20"/>
              <w:jc w:val="left"/>
              <w:rPr>
                <w:rFonts w:ascii="Times New Roman" w:hAnsi="Times New Roman"/>
                <w:sz w:val="20"/>
              </w:rPr>
            </w:pPr>
            <w:r>
              <w:rPr>
                <w:rFonts w:ascii="Times New Roman" w:hAnsi="Times New Roman"/>
                <w:sz w:val="20"/>
              </w:rPr>
              <w:t>Page 3</w:t>
            </w:r>
          </w:p>
        </w:tc>
        <w:tc>
          <w:tcPr>
            <w:tcW w:w="120" w:type="dxa"/>
            <w:tcBorders/>
            <w:vAlign w:val="bottom"/>
          </w:tcPr>
          <w:p>
            <w:pPr>
              <w:pStyle w:val="TableContents"/>
              <w:bidi w:val="0"/>
              <w:spacing w:before="0" w:after="283"/>
              <w:jc w:val="left"/>
              <w:rPr/>
            </w:pPr>
            <w:r>
              <w:rPr/>
              <w:t>  </w:t>
            </w:r>
          </w:p>
        </w:tc>
        <w:tc>
          <w:tcPr>
            <w:tcW w:w="4887" w:type="dxa"/>
            <w:tcBorders/>
          </w:tcPr>
          <w:p>
            <w:pPr>
              <w:pStyle w:val="TableContents"/>
              <w:bidi w:val="0"/>
              <w:spacing w:before="0" w:after="283"/>
              <w:jc w:val="right"/>
              <w:rPr/>
            </w:pPr>
            <w:r>
              <w:rPr/>
              <w:drawing>
                <wp:inline distT="0" distB="0" distL="0" distR="0">
                  <wp:extent cx="463550" cy="5619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63550" cy="56197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Mintz, Levin, Cohn, Ferris, Glovsky and Popeo, P.C.</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Mintz, Levin, Cohn, Ferris, Glovsky and Popeo, P.C.</w:t>
            </w:r>
          </w:p>
        </w:tc>
      </w:tr>
    </w:tbl>
    <w:p>
      <w:pPr>
        <w:pStyle w:val="TextBody"/>
        <w:bidi w:val="0"/>
        <w:spacing w:before="0" w:after="0"/>
        <w:jc w:val="right"/>
        <w:rPr>
          <w:rFonts w:ascii="Times New Roman" w:hAnsi="Times New Roman"/>
          <w:b/>
          <w:sz w:val="20"/>
        </w:rPr>
      </w:pPr>
      <w:bookmarkStart w:id="10" w:name="d88507dex991.htm"/>
      <w:bookmarkStart w:id="11" w:name="ksd88507dex991"/>
      <w:bookmarkEnd w:id="10"/>
      <w:bookmarkEnd w:id="11"/>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Wave Life Sciences Prices Upsized $350 Million Public Offering of Ordinary Shares and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CAMBRIDGE, Mass., December 9, 2025 (GLOBE NEWSWIRE) — Wave Life Sciences Ltd. (Nasdaq: WVE), a clinical-stage biotechnology company focused on unlocking the broad potential of RNA medicines to transform human health (“Wave” or “Wave Life Sciences”), announced today the pricing of its previously announced underwritten public offering of 15,789,475 of its ordinary shares at a price to the public of $19.00 per ordinary share, and, in lieu of ordinary shares to certain investors, pre-funded warrants to purchase up to 2,631,578 ordinary shares at an offering price of $18.9999 per pre-funded warrant, which represents the per share offering price for the ordinary shares less the $0.0001 per share exercise price for each pre-funded warrant. </w:t>
      </w:r>
    </w:p>
    <w:p>
      <w:pPr>
        <w:pStyle w:val="TextBody"/>
        <w:bidi w:val="0"/>
        <w:spacing w:before="240" w:after="0"/>
        <w:jc w:val="left"/>
        <w:rPr>
          <w:rFonts w:ascii="Times New Roman" w:hAnsi="Times New Roman"/>
          <w:sz w:val="20"/>
        </w:rPr>
      </w:pPr>
      <w:r>
        <w:rPr>
          <w:rFonts w:ascii="Times New Roman" w:hAnsi="Times New Roman"/>
          <w:sz w:val="20"/>
        </w:rPr>
        <w:t xml:space="preserve">Gross proceeds to Wave Life Sciences from the offering are expected to be approximately $350 million, before deducting underwriting discounts and commissions and offering expenses. All of the securities in the offering are being sold by Wave Life Sciences. In addition, Wave Life Sciences has granted the underwriters a 30-day option to purchase up to an additional 2,763,157 of its ordinary shares on the same terms and conditions. The offering is expected to close on or about December 11, 2025, subject to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Jefferies, Leerink Partners and BofA Securities are acting as joint book-running managers for the offering. Truist Securities and Mizuho are acting as book-runners for the offering. </w:t>
      </w:r>
    </w:p>
    <w:p>
      <w:pPr>
        <w:pStyle w:val="TextBody"/>
        <w:bidi w:val="0"/>
        <w:spacing w:before="240" w:after="0"/>
        <w:jc w:val="left"/>
        <w:rPr>
          <w:rFonts w:ascii="Times New Roman" w:hAnsi="Times New Roman"/>
          <w:sz w:val="20"/>
        </w:rPr>
      </w:pPr>
      <w:r>
        <w:rPr>
          <w:rFonts w:ascii="Times New Roman" w:hAnsi="Times New Roman"/>
          <w:sz w:val="20"/>
        </w:rPr>
        <w:t>The offering is being made only by means of a prospectus and related prospectus supplement forming part of a shelf registration statement that was previously filed with the Securities and Exchange Commission (“SEC”) and became effective upon filing. The preliminary prospectus supplement and accompanying base prospectus relating to the offering were filed with the SEC on December 8, 2025. The final prospectus supplement and the accompanying prospectus will be filed with the SEC and will be available on the SEC’s website located at http://www.sec.gov, copies of which may be obtained, when available, from Jefferies LLC, by mail at Attn: Equity Syndicate Prospectus Department, 520 Madison Avenue, New York, NY 10022, by telephone at (877) 821-7388, or by email at </w:t>
      </w:r>
      <w:r>
        <w:rPr>
          <w:rFonts w:ascii="Times New Roman" w:hAnsi="Times New Roman"/>
          <w:sz w:val="20"/>
          <w:u w:val="single"/>
        </w:rPr>
        <w:t>prospectus_department@jefferies.com</w:t>
      </w:r>
      <w:r>
        <w:rPr>
          <w:rFonts w:ascii="Times New Roman" w:hAnsi="Times New Roman"/>
          <w:sz w:val="20"/>
        </w:rPr>
        <w:t>; from Leerink Partners LLC, Syndicate Department, 53 State Street, 40th Floor, Boston, MA 02109, or by telephone at (800) 808-7525, ext. 6105, or by email at </w:t>
      </w:r>
      <w:r>
        <w:rPr>
          <w:rFonts w:ascii="Times New Roman" w:hAnsi="Times New Roman"/>
          <w:sz w:val="20"/>
          <w:u w:val="single"/>
        </w:rPr>
        <w:t>syndicate@leerink.com</w:t>
      </w:r>
      <w:r>
        <w:rPr>
          <w:rFonts w:ascii="Times New Roman" w:hAnsi="Times New Roman"/>
          <w:sz w:val="20"/>
        </w:rPr>
        <w:t xml:space="preserve">; or from BofA Securities, NC1-022-02-25, 201 North Tyron Street, Charlotte, NC 28255-0001, Attention: Prospectus Department, or by emailing </w:t>
      </w:r>
      <w:r>
        <w:rPr>
          <w:rFonts w:ascii="Times New Roman" w:hAnsi="Times New Roman"/>
          <w:sz w:val="20"/>
          <w:u w:val="single"/>
        </w:rPr>
        <w:t>dg.prospectus_requests@bofa.com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shall not constitute an offer to sell, or a solicitation of an offer to buy, nor will there be any sale of these securities in any state or other jurisdiction in which such an offer, solicitation or sale would be unlawful prior to the registration or qualification under the securities laws of any such state or other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About Wave Life Sciences </w:t>
      </w:r>
    </w:p>
    <w:p>
      <w:pPr>
        <w:pStyle w:val="TextBody"/>
        <w:bidi w:val="0"/>
        <w:spacing w:before="120" w:after="0"/>
        <w:jc w:val="left"/>
        <w:rPr>
          <w:rFonts w:ascii="Times New Roman" w:hAnsi="Times New Roman"/>
          <w:sz w:val="20"/>
        </w:rPr>
      </w:pPr>
      <w:r>
        <w:rPr>
          <w:rFonts w:ascii="Times New Roman" w:hAnsi="Times New Roman"/>
          <w:sz w:val="20"/>
        </w:rPr>
        <w:t xml:space="preserve">Wave Life Sciences (Nasdaq: WVE) is a biotechnology company focused on unlocking the broad potential of RNA medicines to transform human health. Wave’s RNA medicines platform, PRISM®, combines multiple modalities, chemistry innovation and deep insights in human genetics to deliver scientific breakthroughs that treat both rare and common disorders. Its toolkit of RNA-targeting modalities includes editing, splicing, RNA interference, and antisense silencing, providing Wave with unmatched capabilities for designing and sustainably delivering candidates that optimally address disease biology. Wave’s diversified pipeline includes clinical programs 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obesity, alpha-1 antitrypsin deficiency, Duchenne muscular dystrophy, and Huntington’s disease, as well as several preclinical programs utilizing the company’s broad RNA therapeutics toolkit. Driven by the calling to “Reimagine Possible,” Wave is leading the charge toward a world in which human potential is no longer hindered by the burden of disease. Wave is headquartered in Cambridge, MA.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as amended. The words “may,” “will,” “could,” “would,” “should,” “expect,” “plan,” “anticipate,” “intend,” “believe,” “estimate,” “predict,” “project,” “potential,” “continue,” “target” and similar expressions are intended to identify forward-looking statements, although not all forward-looking statements contain these identifying words. Forward-looking statements include statements regarding the closing of the public offering of ordinary shares and pre-funded warrants to purchase ordinary shares. These statements are subject to various risks and uncertainties, actual results could differ materially from those projected and Wave cautions investors not to place undue reliance on the forward-looking statements in this press release. These risks and uncertainties include, without limitation, risks and uncertainties related to satisfaction of customary closing conditions related to the public offering. There can be no assurance that Wave will be able to complete the public offering on the anticipated terms, or at all.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the risks and uncertainties described in the section entitled “Risk Factors” in Wave’s preliminary prospectus supplement related to the proposed offering filed with the SEC on December 8, 2025 and Wave’s most recent Annual Report on Form 10-K filed with the SEC and in other filings Wave makes with the SEC from time to time. Wave undertakes no obligation to update the information contained in this press release to reflect subsequently occurring events or circumstances. </w:t>
      </w:r>
    </w:p>
    <w:p>
      <w:pPr>
        <w:pStyle w:val="TextBody"/>
        <w:bidi w:val="0"/>
        <w:spacing w:before="360" w:after="0"/>
        <w:jc w:val="left"/>
        <w:rPr>
          <w:rFonts w:ascii="Times New Roman" w:hAnsi="Times New Roman"/>
          <w:b/>
          <w:sz w:val="20"/>
        </w:rPr>
      </w:pPr>
      <w:r>
        <w:rPr>
          <w:rFonts w:ascii="Times New Roman" w:hAnsi="Times New Roman"/>
          <w:b/>
          <w:sz w:val="20"/>
        </w:rPr>
        <w:t>Contact:</w:t>
      </w:r>
    </w:p>
    <w:p>
      <w:pPr>
        <w:pStyle w:val="TextBody"/>
        <w:bidi w:val="0"/>
        <w:spacing w:before="120" w:after="0"/>
        <w:jc w:val="left"/>
        <w:rPr>
          <w:rFonts w:ascii="Times New Roman" w:hAnsi="Times New Roman"/>
          <w:sz w:val="20"/>
        </w:rPr>
      </w:pPr>
      <w:r>
        <w:rPr>
          <w:rFonts w:ascii="Times New Roman" w:hAnsi="Times New Roman"/>
          <w:sz w:val="20"/>
        </w:rPr>
        <w:t xml:space="preserve">Kate Rausch </w:t>
      </w:r>
    </w:p>
    <w:p>
      <w:pPr>
        <w:pStyle w:val="TextBody"/>
        <w:bidi w:val="0"/>
        <w:spacing w:before="0" w:after="0"/>
        <w:jc w:val="left"/>
        <w:rPr>
          <w:rFonts w:ascii="Times New Roman" w:hAnsi="Times New Roman"/>
          <w:sz w:val="20"/>
        </w:rPr>
      </w:pPr>
      <w:r>
        <w:rPr>
          <w:rFonts w:ascii="Times New Roman" w:hAnsi="Times New Roman"/>
          <w:sz w:val="20"/>
        </w:rPr>
        <w:t xml:space="preserve">VP, Corporate Affairs and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+1 617-949-4827 </w:t>
      </w:r>
    </w:p>
    <w:p>
      <w:pPr>
        <w:pStyle w:val="TextBody"/>
        <w:bidi w:val="0"/>
        <w:spacing w:before="360" w:after="0"/>
        <w:jc w:val="left"/>
        <w:rPr>
          <w:rFonts w:ascii="Times New Roman" w:hAnsi="Times New Roman"/>
          <w:b/>
          <w:sz w:val="20"/>
        </w:rPr>
      </w:pPr>
      <w:r>
        <w:rPr>
          <w:rFonts w:ascii="Times New Roman" w:hAnsi="Times New Roman"/>
          <w:b/>
          <w:sz w:val="20"/>
        </w:rPr>
        <w:t xml:space="preserve">Investors: </w:t>
      </w:r>
    </w:p>
    <w:p>
      <w:pPr>
        <w:pStyle w:val="TextBody"/>
        <w:bidi w:val="0"/>
        <w:spacing w:before="120" w:after="0"/>
        <w:jc w:val="left"/>
        <w:rPr>
          <w:rFonts w:ascii="Times New Roman" w:hAnsi="Times New Roman"/>
          <w:sz w:val="20"/>
        </w:rPr>
      </w:pPr>
      <w:r>
        <w:rPr>
          <w:rFonts w:ascii="Times New Roman" w:hAnsi="Times New Roman"/>
          <w:sz w:val="20"/>
        </w:rPr>
        <w:t xml:space="preserve">James Salierno </w:t>
      </w:r>
    </w:p>
    <w:p>
      <w:pPr>
        <w:pStyle w:val="TextBody"/>
        <w:bidi w:val="0"/>
        <w:spacing w:before="0" w:after="0"/>
        <w:jc w:val="left"/>
        <w:rPr>
          <w:rFonts w:ascii="Times New Roman" w:hAnsi="Times New Roman"/>
          <w:sz w:val="20"/>
        </w:rPr>
      </w:pPr>
      <w:r>
        <w:rPr>
          <w:rFonts w:ascii="Times New Roman" w:hAnsi="Times New Roman"/>
          <w:sz w:val="20"/>
        </w:rPr>
        <w:t xml:space="preserve">Director,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+1 617-949-4043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InvestorRelations@wavelifesci.com </w:t>
      </w:r>
    </w:p>
    <w:p>
      <w:pPr>
        <w:pStyle w:val="TextBody"/>
        <w:bidi w:val="0"/>
        <w:spacing w:before="360" w:after="0"/>
        <w:jc w:val="left"/>
        <w:rPr>
          <w:rFonts w:ascii="Times New Roman" w:hAnsi="Times New Roman"/>
          <w:b/>
          <w:sz w:val="20"/>
        </w:rPr>
      </w:pPr>
      <w:r>
        <w:rPr>
          <w:rFonts w:ascii="Times New Roman" w:hAnsi="Times New Roman"/>
          <w:b/>
          <w:sz w:val="20"/>
        </w:rPr>
        <w:t xml:space="preserve">Media: </w:t>
      </w:r>
    </w:p>
    <w:p>
      <w:pPr>
        <w:pStyle w:val="TextBody"/>
        <w:bidi w:val="0"/>
        <w:spacing w:before="120" w:after="0"/>
        <w:jc w:val="left"/>
        <w:rPr>
          <w:rFonts w:ascii="Times New Roman" w:hAnsi="Times New Roman"/>
          <w:sz w:val="20"/>
        </w:rPr>
      </w:pPr>
      <w:r>
        <w:rPr>
          <w:rFonts w:ascii="Times New Roman" w:hAnsi="Times New Roman"/>
          <w:sz w:val="20"/>
        </w:rPr>
        <w:t xml:space="preserve">Katie Sullivan </w:t>
      </w:r>
    </w:p>
    <w:p>
      <w:pPr>
        <w:pStyle w:val="TextBody"/>
        <w:bidi w:val="0"/>
        <w:spacing w:before="0" w:after="0"/>
        <w:jc w:val="left"/>
        <w:rPr>
          <w:rFonts w:ascii="Times New Roman" w:hAnsi="Times New Roman"/>
          <w:sz w:val="20"/>
        </w:rPr>
      </w:pPr>
      <w:r>
        <w:rPr>
          <w:rFonts w:ascii="Times New Roman" w:hAnsi="Times New Roman"/>
          <w:sz w:val="20"/>
        </w:rPr>
        <w:t xml:space="preserve">Senior Director, Corporate Communications </w:t>
      </w:r>
    </w:p>
    <w:p>
      <w:pPr>
        <w:pStyle w:val="TextBody"/>
        <w:bidi w:val="0"/>
        <w:spacing w:before="0" w:after="0"/>
        <w:jc w:val="left"/>
        <w:rPr>
          <w:rFonts w:ascii="Times New Roman" w:hAnsi="Times New Roman"/>
          <w:sz w:val="20"/>
        </w:rPr>
      </w:pPr>
      <w:r>
        <w:rPr>
          <w:rFonts w:ascii="Times New Roman" w:hAnsi="Times New Roman"/>
          <w:sz w:val="20"/>
        </w:rPr>
        <w:t xml:space="preserve">+1 617-949-2936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MediaRelations@wavelifesci.com </w:t>
      </w:r>
    </w:p>
    <w:p>
      <w:pPr>
        <w:pStyle w:val="TextBody"/>
        <w:bidi w:val="0"/>
        <w:spacing w:before="0" w:after="0"/>
        <w:jc w:val="left"/>
        <w:rPr/>
      </w:pPr>
      <w:r>
        <w:rPr/>
        <w:t> </w:t>
      </w:r>
    </w:p>
    <w:p>
      <w:pPr>
        <w:pStyle w:val="TextBody"/>
        <w:bidi w:val="0"/>
        <w:spacing w:before="0" w:after="0"/>
        <w:jc w:val="left"/>
        <w:rPr/>
      </w:pPr>
      <w:r>
        <w:rPr/>
        <w:drawing>
          <wp:inline distT="0" distB="0" distL="0" distR="0">
            <wp:extent cx="1219200" cy="809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19200" cy="809625"/>
                    </a:xfrm>
                    <a:prstGeom prst="rect">
                      <a:avLst/>
                    </a:prstGeom>
                  </pic:spPr>
                </pic:pic>
              </a:graphicData>
            </a:graphic>
          </wp:inline>
        </w:drawing>
      </w: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90</Pages>
  <Words>50222</Words>
  <Characters>264704</Characters>
  <CharactersWithSpaces>315149</CharactersWithSpaces>
  <Paragraphs>1483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