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178435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205740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WAVE LIFE SCIENCES LTD.</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189865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sectPr>
      </w:pPr>
    </w:p>
    <w:p>
      <w:pPr>
        <w:spacing w:after="0" w:line="200" w:lineRule="exact"/>
        <w:rPr>
          <w:sz w:val="24"/>
          <w:szCs w:val="24"/>
          <w:color w:val="auto"/>
        </w:rPr>
      </w:pPr>
    </w:p>
    <w:p>
      <w:pPr>
        <w:spacing w:after="0" w:line="306" w:lineRule="exact"/>
        <w:rPr>
          <w:sz w:val="24"/>
          <w:szCs w:val="24"/>
          <w:color w:val="auto"/>
        </w:rPr>
      </w:pPr>
    </w:p>
    <w:p>
      <w:pPr>
        <w:ind w:left="1301"/>
        <w:spacing w:after="0"/>
        <w:rPr>
          <w:sz w:val="20"/>
          <w:szCs w:val="20"/>
          <w:color w:val="auto"/>
        </w:rPr>
      </w:pPr>
      <w:r>
        <w:rPr>
          <w:rFonts w:ascii="Times New Roman" w:cs="Times New Roman" w:eastAsia="Times New Roman" w:hAnsi="Times New Roman"/>
          <w:sz w:val="15"/>
          <w:szCs w:val="15"/>
          <w:b w:val="1"/>
          <w:bCs w:val="1"/>
          <w:color w:val="auto"/>
        </w:rPr>
        <w:t>Singapore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001-37627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98-1356880</w:t>
      </w:r>
    </w:p>
    <w:p>
      <w:pPr>
        <w:spacing w:after="0" w:line="10" w:lineRule="exact"/>
        <w:rPr>
          <w:sz w:val="24"/>
          <w:szCs w:val="24"/>
          <w:color w:val="auto"/>
        </w:rPr>
      </w:pPr>
    </w:p>
    <w:p>
      <w:pPr>
        <w:sectPr>
          <w:pgSz w:w="11900" w:h="16838" w:orient="portrait"/>
          <w:cols w:equalWidth="0" w:num="3">
            <w:col w:w="3861" w:space="720"/>
            <w:col w:w="2420" w:space="720"/>
            <w:col w:w="1920"/>
          </w:cols>
          <w:pgMar w:left="1119" w:top="404"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80" w:lineRule="exact"/>
        <w:rPr>
          <w:sz w:val="24"/>
          <w:szCs w:val="24"/>
          <w:color w:val="auto"/>
        </w:rPr>
      </w:pPr>
    </w:p>
    <w:p>
      <w:pPr>
        <w:sectPr>
          <w:pgSz w:w="11900" w:h="16838" w:orient="portrait"/>
          <w:cols w:equalWidth="0" w:num="3">
            <w:col w:w="3841" w:space="720"/>
            <w:col w:w="2340" w:space="720"/>
            <w:col w:w="2020"/>
          </w:cols>
          <w:pgMar w:left="1119" w:top="404" w:right="1139" w:bottom="1440" w:gutter="0" w:footer="0" w:header="0"/>
          <w:type w:val="continuous"/>
        </w:sectPr>
      </w:pPr>
    </w:p>
    <w:p>
      <w:pPr>
        <w:jc w:val="center"/>
        <w:ind w:right="1499"/>
        <w:spacing w:after="0"/>
        <w:rPr>
          <w:sz w:val="20"/>
          <w:szCs w:val="20"/>
          <w:color w:val="auto"/>
        </w:rPr>
      </w:pPr>
      <w:r>
        <w:rPr>
          <w:rFonts w:ascii="Times New Roman" w:cs="Times New Roman" w:eastAsia="Times New Roman" w:hAnsi="Times New Roman"/>
          <w:sz w:val="15"/>
          <w:szCs w:val="15"/>
          <w:b w:val="1"/>
          <w:bCs w:val="1"/>
          <w:color w:val="auto"/>
        </w:rPr>
        <w:t>7 Straits View #12-00, Marina One</w:t>
      </w:r>
    </w:p>
    <w:p>
      <w:pPr>
        <w:spacing w:after="0" w:line="36" w:lineRule="exact"/>
        <w:rPr>
          <w:sz w:val="24"/>
          <w:szCs w:val="24"/>
          <w:color w:val="auto"/>
        </w:rPr>
      </w:pPr>
    </w:p>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East Tower</w:t>
      </w:r>
    </w:p>
    <w:p>
      <w:pPr>
        <w:spacing w:after="0" w:line="5" w:lineRule="exact"/>
        <w:rPr>
          <w:sz w:val="24"/>
          <w:szCs w:val="24"/>
          <w:color w:val="auto"/>
        </w:rPr>
      </w:pPr>
    </w:p>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Singapore</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018936</w:t>
      </w:r>
    </w:p>
    <w:p>
      <w:pPr>
        <w:spacing w:after="0" w:line="35" w:lineRule="exact"/>
        <w:rPr>
          <w:sz w:val="24"/>
          <w:szCs w:val="24"/>
          <w:color w:val="auto"/>
        </w:rPr>
      </w:pPr>
    </w:p>
    <w:p>
      <w:pPr>
        <w:sectPr>
          <w:pgSz w:w="11900" w:h="16838" w:orient="portrait"/>
          <w:cols w:equalWidth="0" w:num="2">
            <w:col w:w="6361" w:space="720"/>
            <w:col w:w="2560"/>
          </w:cols>
          <w:pgMar w:left="1119" w:top="404" w:right="1139" w:bottom="1440" w:gutter="0" w:footer="0" w:header="0"/>
          <w:type w:val="continuous"/>
        </w:sectPr>
      </w:pPr>
    </w:p>
    <w:p>
      <w:pPr>
        <w:ind w:left="14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38" w:lineRule="exact"/>
        <w:rPr>
          <w:sz w:val="24"/>
          <w:szCs w:val="24"/>
          <w:color w:val="auto"/>
        </w:rPr>
      </w:pPr>
    </w:p>
    <w:p>
      <w:pPr>
        <w:sectPr>
          <w:pgSz w:w="11900" w:h="16838" w:orient="portrait"/>
          <w:cols w:equalWidth="0" w:num="2">
            <w:col w:w="6301" w:space="720"/>
            <w:col w:w="2620"/>
          </w:cols>
          <w:pgMar w:left="1119" w:top="404"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195580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u w:val="single" w:color="auto"/>
          <w:color w:val="auto"/>
        </w:rPr>
        <w:t>see</w:t>
      </w:r>
      <w:r>
        <w:rPr>
          <w:rFonts w:ascii="Times New Roman" w:cs="Times New Roman" w:eastAsia="Times New Roman" w:hAnsi="Times New Roman"/>
          <w:sz w:val="16"/>
          <w:szCs w:val="16"/>
          <w:color w:val="auto"/>
        </w:rPr>
        <w:t xml:space="preserve"> General Instruction A.2. below):</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71"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3"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symbol</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9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$0 Par Value Ordinary Shares</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WVE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c>
          <w:tcPr>
            <w:tcW w:w="0" w:type="dxa"/>
            <w:vAlign w:val="bottom"/>
          </w:tcPr>
          <w:p>
            <w:pPr>
              <w:spacing w:after="0"/>
              <w:rPr>
                <w:sz w:val="1"/>
                <w:szCs w:val="1"/>
                <w:color w:val="auto"/>
              </w:rPr>
            </w:pPr>
          </w:p>
        </w:tc>
      </w:tr>
      <w:tr>
        <w:trPr>
          <w:trHeight w:val="184"/>
        </w:trPr>
        <w:tc>
          <w:tcPr>
            <w:tcW w:w="3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9641"/>
          </w:cols>
          <w:pgMar w:left="1119" w:top="404"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10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6"/>
          <w:szCs w:val="16"/>
          <w:color w:val="auto"/>
        </w:rPr>
        <w:t>On May 9, 2024, Wave Life Sciences Ltd. (the “Company”) announced its financial results for the quarter ended March 31, 2024. The full text of the press release issued in connection with the announcement is furnished as Exhibit 99.1 to this Current Report on Form 8-K and is incorporated by reference herein.</w:t>
      </w:r>
    </w:p>
    <w:p>
      <w:pPr>
        <w:spacing w:after="0" w:line="28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6"/>
          <w:szCs w:val="16"/>
          <w:color w:val="auto"/>
        </w:rPr>
        <w:t>From time to time, the Company presents and/or distributes slides and presentations to the investment community to provide updates and summaries of its business. On May 9, 2024, the Company updated its corporate presentation, which is available on the “Investors” section of the Company’s website at http://ir.wavelifesciences.com/. This presentation is also furnished as Exhibit 99.2 to this Current Report on Form 8-K</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i w:val="1"/>
          <w:iCs w:val="1"/>
          <w:color w:val="auto"/>
        </w:rPr>
        <w:t>The information in these Items 2.02 and 7.01 are being furnished and shall not be deemed “filed” for purposes of Section 18 of the Securities Exchange Act of 1934, as amended (the “Exchange Act”), or otherwise subject to the liabilities of that Section, nor shall they be deemed incorporated by reference into any registration statement or other filing under the Securities Act of 1933, as amended, or the Exchange Act, except as shall be expressly set forth by specific reference in such filing</w:t>
      </w:r>
      <w:r>
        <w:rPr>
          <w:rFonts w:ascii="Times New Roman" w:cs="Times New Roman" w:eastAsia="Times New Roman" w:hAnsi="Times New Roman"/>
          <w:sz w:val="16"/>
          <w:szCs w:val="16"/>
          <w:color w:val="auto"/>
        </w:rPr>
        <w:t>.</w:t>
      </w:r>
    </w:p>
    <w:p>
      <w:pPr>
        <w:spacing w:after="0" w:line="28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relating to Items 2.02 and 7.01 are furnished and not filed: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0"/>
        <w:spacing w:after="0"/>
        <w:tabs>
          <w:tab w:leader="none" w:pos="74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6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Press Release issued by Wave Life Sciences Ltd. dated May 9, 2024</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EE"/>
        </w:rPr>
        <w:t>Corporate Presentation of Wave Life Sciences Ltd. dated May 9, 2024</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640"/>
          </w:cols>
          <w:pgMar w:left="1120" w:top="275" w:right="1139" w:bottom="1440" w:gutter="0" w:footer="0" w:header="0"/>
        </w:sectPr>
      </w:pPr>
    </w:p>
    <w:bookmarkStart w:id="2" w:name="page3"/>
    <w:bookmarkEnd w:id="2"/>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6" w:lineRule="exact"/>
        <w:rPr>
          <w:sz w:val="20"/>
          <w:szCs w:val="20"/>
          <w:color w:val="auto"/>
        </w:rPr>
      </w:pPr>
    </w:p>
    <w:p>
      <w:pPr>
        <w:ind w:right="3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WAVE LIFE SCIENCES LTD.</w:t>
      </w:r>
    </w:p>
    <w:p>
      <w:pPr>
        <w:spacing w:after="0" w:line="19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15240</wp:posOffset>
            </wp:positionV>
            <wp:extent cx="22453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Kyle Moran</w:t>
      </w:r>
    </w:p>
    <w:p>
      <w:pPr>
        <w:spacing w:after="0" w:line="2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9, 2024</w:t>
      </w:r>
    </w:p>
    <w:p>
      <w:pPr>
        <w:sectPr>
          <w:pgSz w:w="11900" w:h="16838" w:orient="portrait"/>
          <w:cols w:equalWidth="0" w:num="1">
            <w:col w:w="9339"/>
          </w:cols>
          <w:pgMar w:left="1120" w:top="275"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306830" cy="826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6830" cy="82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Wave Life Sciences Reports First Quarter 2024 Financial Results and Provides Business Update</w:t>
      </w:r>
    </w:p>
    <w:p>
      <w:pPr>
        <w:spacing w:after="0" w:line="10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i w:val="1"/>
          <w:iCs w:val="1"/>
          <w:color w:val="auto"/>
        </w:rPr>
        <w:t>RestorAATion-2 clinical trial of WVE-006 in AATD patients underway; expected proof-of-mechanism data in patients with AATD remains on track for 2024</w:t>
      </w:r>
    </w:p>
    <w:p>
      <w:pPr>
        <w:spacing w:after="0" w:line="14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i w:val="1"/>
          <w:iCs w:val="1"/>
          <w:color w:val="auto"/>
        </w:rPr>
        <w:t>INHBE program for obesity expected clinical trial initiation in 1Q 2025; preclinical data demonstrate weight loss similar to semaglutide, fat loss with no loss of muscle mass, and curtailed rebound weight gain upon cessation of semaglutide, with potential for dosing 1 – 2 times per year</w:t>
      </w:r>
    </w:p>
    <w:p>
      <w:pPr>
        <w:spacing w:after="0" w:line="14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6"/>
          <w:szCs w:val="16"/>
          <w:i w:val="1"/>
          <w:iCs w:val="1"/>
          <w:color w:val="auto"/>
        </w:rPr>
        <w:t>Continued momentum in GSK collaboration; advancing first two GSK collaboration programs following successful target validation; both programs utilize Wave’s GalNAc-siRNA format and discovery collaboration continues to span all Wave modalities, including RNA editing</w:t>
      </w:r>
    </w:p>
    <w:p>
      <w:pPr>
        <w:spacing w:after="0" w:line="14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6"/>
          <w:szCs w:val="16"/>
          <w:i w:val="1"/>
          <w:iCs w:val="1"/>
          <w:color w:val="auto"/>
        </w:rPr>
        <w:t>Clinical data on track for first-in-class, allele-selective HD program (expected 2Q 2024) and potentially registrational FORWARD-53 trial in DMD (expected 3Q 2024)</w:t>
      </w:r>
    </w:p>
    <w:p>
      <w:pPr>
        <w:spacing w:after="0" w:line="141"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6"/>
          <w:szCs w:val="16"/>
          <w:i w:val="1"/>
          <w:iCs w:val="1"/>
          <w:color w:val="auto"/>
        </w:rPr>
        <w:t>Cash and cash equivalents of $181 million as of March 31, 2024; with an additional $12 million aggregate initiation payment earned under GSK collaboration subsequent to quarter-end for advancement of programs; runway expected into 4Q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Investor conference call and webcast at 8:30 a.m. ET today</w:t>
      </w:r>
    </w:p>
    <w:p>
      <w:pPr>
        <w:spacing w:after="0" w:line="19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CAMBRIDGE, Mass., May 9, 2024 </w:t>
      </w:r>
      <w:r>
        <w:rPr>
          <w:rFonts w:ascii="Times New Roman" w:cs="Times New Roman" w:eastAsia="Times New Roman" w:hAnsi="Times New Roman"/>
          <w:sz w:val="16"/>
          <w:szCs w:val="16"/>
          <w:color w:val="auto"/>
        </w:rPr>
        <w:t>– Wave Life Sciences Ltd. (Nasdaq: WVE), a clinical-stage biotechnology company focused on unlocking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broad potential of RNA medicines to transform human health, today announced financial results for the first quarter ended March 31, 2024, and provided a business update.</w:t>
      </w:r>
    </w:p>
    <w:p>
      <w:pPr>
        <w:spacing w:after="0" w:line="15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“Since our last update, we have made excellent progress across our multimodal pipeline of novel RNA medicines and continued to advance our collaboration with GSK. We are on-track to deliver key data sets this year, which enable opportunities to unlock the broad potential of our RNA editing, silencing and splicing capabilities,” said Paul Bolno, MD, MBA, President and Chief Executive Officer of Wave Life Sciences. “In RNA editing, we are advancing WVE-006, having used data from healthy volunteers in RestorAATion-1 to identify a starting dose in our RestorAATion-2 study that is expected to engage target in patients. With RestorAATion-2 now underway, we remain on track to deliver expected proof of mechanism data in patients with AATD this year, which would represent the first-ever clinical demonstration of RNA editing and be an important milestone for the alpha-1 community, as well as serve to validate our wholly owned RNA editing pipeline.”</w:t>
      </w:r>
    </w:p>
    <w:p>
      <w:pPr>
        <w:spacing w:after="0" w:line="1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Dr. Bolno continued, “In addition to pioneering the field of RNA editing, we are working expeditiously to advance our GalNAc-siRNA INHBE program in obesity and expect to initiate a clinical trial in the first quarter of next year. In DMD and HD, we are approaching clinical data readouts as we plan to deliver multidose data for our allele-selective HD program in the second quarter and potentially registrational data from our FORWARD-53 trial in DMD in the third quarter. Our efforts to accelerate development of our INHBE program and advance our pipeline and collaborations have laid a strong foundation for Wave’s future and we look forward to demonstrating our leadership in RNA medicines as we reimagine what’s possible for science, for medicine, and for human health.”</w:t>
      </w:r>
    </w:p>
    <w:p>
      <w:pPr>
        <w:sectPr>
          <w:pgSz w:w="11900" w:h="16838" w:orient="portrait"/>
          <w:cols w:equalWidth="0" w:num="1">
            <w:col w:w="9640"/>
          </w:cols>
          <w:pgMar w:left="1120" w:top="121" w:right="1139" w:bottom="1440" w:gutter="0" w:footer="0" w:header="0"/>
        </w:sectPr>
      </w:pPr>
    </w:p>
    <w:bookmarkStart w:id="4" w:name="page5"/>
    <w:bookmarkEnd w:id="4"/>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9086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Recent Business Highlights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AATD and AIMer pipeline (RNA editing)</w:t>
      </w:r>
    </w:p>
    <w:p>
      <w:pPr>
        <w:spacing w:after="0" w:line="112" w:lineRule="exact"/>
        <w:rPr>
          <w:sz w:val="20"/>
          <w:szCs w:val="20"/>
          <w:color w:val="auto"/>
        </w:rPr>
      </w:pPr>
    </w:p>
    <w:p>
      <w:pPr>
        <w:ind w:left="860" w:right="20" w:hanging="388"/>
        <w:spacing w:after="0" w:line="278" w:lineRule="auto"/>
        <w:tabs>
          <w:tab w:leader="none" w:pos="86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RestorAATion-2 underway; clinical program investigating WVE-006 as a first- and best-in-class treatment for alpha-1 antitrypsin deficiency (AATD)</w:t>
      </w:r>
    </w:p>
    <w:p>
      <w:pPr>
        <w:spacing w:after="0" w:line="60" w:lineRule="exact"/>
        <w:rPr>
          <w:rFonts w:ascii="Times New Roman" w:cs="Times New Roman" w:eastAsia="Times New Roman" w:hAnsi="Times New Roman"/>
          <w:sz w:val="16"/>
          <w:szCs w:val="16"/>
          <w:b w:val="1"/>
          <w:bCs w:val="1"/>
          <w:color w:val="auto"/>
        </w:rPr>
      </w:pPr>
    </w:p>
    <w:p>
      <w:pPr>
        <w:jc w:val="both"/>
        <w:ind w:left="1240" w:right="400" w:hanging="283"/>
        <w:spacing w:after="0" w:line="310" w:lineRule="auto"/>
        <w:tabs>
          <w:tab w:leader="none" w:pos="1240" w:val="left"/>
        </w:tabs>
        <w:numPr>
          <w:ilvl w:val="1"/>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WVE-006 is Wave’s GalNAc-conjugated, subcutaneously delivered, RNA editing oligonucleotide that is uniquely designed to address AATD-related lung disease, liver disease, or both. WVE-006 does not use a lipid-nanoparticle (LNP) delivery system.</w:t>
      </w:r>
    </w:p>
    <w:p>
      <w:pPr>
        <w:spacing w:after="0" w:line="39" w:lineRule="exact"/>
        <w:rPr>
          <w:rFonts w:ascii="Times New Roman" w:cs="Times New Roman" w:eastAsia="Times New Roman" w:hAnsi="Times New Roman"/>
          <w:sz w:val="15"/>
          <w:szCs w:val="15"/>
          <w:color w:val="auto"/>
        </w:rPr>
      </w:pPr>
    </w:p>
    <w:p>
      <w:pPr>
        <w:ind w:left="1240" w:hanging="283"/>
        <w:spacing w:after="0" w:line="254" w:lineRule="auto"/>
        <w:tabs>
          <w:tab w:leader="none" w:pos="124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RestorAATion-2 clinical trial is now underway. RestorAATion-2 is a Phase 1b/2a open label study designed to evaluate the safety, tolerability, pharmacodynamics (PD) and pharmacokinetics (PK) of WVE-006 in patients with AATD who have the homozygous Pi*ZZ mutation. The trial includes both single ascending dose (SAD) and multiple ascending dose (MAD) portions. It is designed to provide an efficient path to proof-of-mechanism as measured by restoration of wild-type alpha-1 antitrypsin (M-AAT) protein in serum.</w:t>
      </w:r>
    </w:p>
    <w:p>
      <w:pPr>
        <w:spacing w:after="0" w:line="78" w:lineRule="exact"/>
        <w:rPr>
          <w:rFonts w:ascii="Times New Roman" w:cs="Times New Roman" w:eastAsia="Times New Roman" w:hAnsi="Times New Roman"/>
          <w:sz w:val="16"/>
          <w:szCs w:val="16"/>
          <w:color w:val="auto"/>
        </w:rPr>
      </w:pPr>
    </w:p>
    <w:p>
      <w:pPr>
        <w:ind w:left="1240" w:right="80" w:hanging="283"/>
        <w:spacing w:after="0" w:line="276" w:lineRule="auto"/>
        <w:tabs>
          <w:tab w:leader="none" w:pos="124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Wave’s progress in dose-escalating healthy volunteers in RestorAAtion-1 enabled the quick identification of a starting dose level in RestorAATion-2 that, based on preclinical data, is expected to engage target in patients.</w:t>
      </w:r>
    </w:p>
    <w:p>
      <w:pPr>
        <w:spacing w:after="0" w:line="61" w:lineRule="exact"/>
        <w:rPr>
          <w:rFonts w:ascii="Times New Roman" w:cs="Times New Roman" w:eastAsia="Times New Roman" w:hAnsi="Times New Roman"/>
          <w:sz w:val="16"/>
          <w:szCs w:val="16"/>
          <w:color w:val="auto"/>
        </w:rPr>
      </w:pPr>
    </w:p>
    <w:p>
      <w:pPr>
        <w:ind w:left="1240" w:right="60" w:hanging="283"/>
        <w:spacing w:after="0" w:line="254" w:lineRule="auto"/>
        <w:tabs>
          <w:tab w:leader="none" w:pos="124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WVE-006, Wave continues to advance its pipeline of wholly owned RNA editing therapeutics across a range of high-impact GalNAc-hepatic and extra-hepatic targets. Powered by genetic datasets and deep learning models, Wave is utilizing its proprietary “edit-verse” to identify new RNA editing targets that leverage easily accessible biomarkers, offer efficient paths to proof-of-concept in humans, address diseases of high unmet need, and represent meaningful commercial opportunities. Wave plans to share new preclinical data from its wholly owned RNA editing pipeline in 2024.</w:t>
      </w:r>
    </w:p>
    <w:p>
      <w:pPr>
        <w:spacing w:after="0" w:line="76" w:lineRule="exact"/>
        <w:rPr>
          <w:rFonts w:ascii="Times New Roman" w:cs="Times New Roman" w:eastAsia="Times New Roman" w:hAnsi="Times New Roman"/>
          <w:sz w:val="16"/>
          <w:szCs w:val="16"/>
          <w:color w:val="auto"/>
        </w:rPr>
      </w:pPr>
    </w:p>
    <w:p>
      <w:pPr>
        <w:ind w:left="1240" w:right="60" w:hanging="283"/>
        <w:spacing w:after="0" w:line="278" w:lineRule="auto"/>
        <w:tabs>
          <w:tab w:leader="none" w:pos="124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Expected upcoming milestone: </w:t>
      </w:r>
      <w:r>
        <w:rPr>
          <w:rFonts w:ascii="Times New Roman" w:cs="Times New Roman" w:eastAsia="Times New Roman" w:hAnsi="Times New Roman"/>
          <w:sz w:val="16"/>
          <w:szCs w:val="16"/>
          <w:color w:val="auto"/>
        </w:rPr>
        <w:t>Wave expects to deliver proof-of-mechanism data from RestorAATion-2 in patients with AATD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Obesity (siRNA)</w:t>
      </w:r>
    </w:p>
    <w:p>
      <w:pPr>
        <w:spacing w:after="0" w:line="112" w:lineRule="exact"/>
        <w:rPr>
          <w:sz w:val="20"/>
          <w:szCs w:val="20"/>
          <w:color w:val="auto"/>
        </w:rPr>
      </w:pPr>
    </w:p>
    <w:p>
      <w:pPr>
        <w:ind w:left="860" w:right="440" w:hanging="388"/>
        <w:spacing w:after="0" w:line="278" w:lineRule="auto"/>
        <w:tabs>
          <w:tab w:leader="none" w:pos="86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Advancing lead clinical candidate for INHBE program with a potentially best-in-class profile for obesity toward anticipated clinical trial initiation in 1Q 2025</w:t>
      </w:r>
    </w:p>
    <w:p>
      <w:pPr>
        <w:spacing w:after="0" w:line="60" w:lineRule="exact"/>
        <w:rPr>
          <w:rFonts w:ascii="Times New Roman" w:cs="Times New Roman" w:eastAsia="Times New Roman" w:hAnsi="Times New Roman"/>
          <w:sz w:val="16"/>
          <w:szCs w:val="16"/>
          <w:b w:val="1"/>
          <w:bCs w:val="1"/>
          <w:color w:val="auto"/>
        </w:rPr>
      </w:pPr>
    </w:p>
    <w:p>
      <w:pPr>
        <w:ind w:left="1240" w:right="140" w:hanging="283"/>
        <w:spacing w:after="0" w:line="261" w:lineRule="auto"/>
        <w:tabs>
          <w:tab w:leader="none" w:pos="12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Wave’s wholly owned INHBE clinical candidate is a GalNAc-small interfering RNA (siRNA) that utilizes Wave’s next generation siRNA format and is designed to silence the INHBE (Inhibin bE) gene, with a goal of inducing lipolysis (fat-burning) while preserving muscle mass to restore and maintain a healthy metabolic profile.</w:t>
      </w:r>
    </w:p>
    <w:p>
      <w:pPr>
        <w:sectPr>
          <w:pgSz w:w="11900" w:h="16838" w:orient="portrait"/>
          <w:cols w:equalWidth="0" w:num="1">
            <w:col w:w="9600"/>
          </w:cols>
          <w:pgMar w:left="1120" w:top="1440" w:right="1179" w:bottom="1440" w:gutter="0" w:footer="0" w:header="0"/>
        </w:sectPr>
      </w:pPr>
    </w:p>
    <w:bookmarkStart w:id="5" w:name="page6"/>
    <w:bookmarkEnd w:id="5"/>
    <w:p>
      <w:pPr>
        <w:spacing w:after="0" w:line="2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08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908685"/>
                    </a:xfrm>
                    <a:prstGeom prst="rect">
                      <a:avLst/>
                    </a:prstGeom>
                    <a:noFill/>
                  </pic:spPr>
                </pic:pic>
              </a:graphicData>
            </a:graphic>
          </wp:anchor>
        </w:drawing>
      </w:r>
    </w:p>
    <w:p>
      <w:pPr>
        <w:ind w:left="1240" w:right="80" w:hanging="283"/>
        <w:spacing w:after="0" w:line="261" w:lineRule="auto"/>
        <w:tabs>
          <w:tab w:leader="none" w:pos="1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INHBE loss-of-function (LoF) heterozygous human carriers have a favorable cardiometabolic profile, including reduced abdominal obesity and reduced odds of type 2 diabetes and coronary artery disease. Silencing INHBE is expected to recapitulate the cardiometabolic profile of these LoF carriers and may also address limitations of GLP-1s.</w:t>
      </w:r>
    </w:p>
    <w:p>
      <w:pPr>
        <w:spacing w:after="0" w:line="73" w:lineRule="exact"/>
        <w:rPr>
          <w:rFonts w:ascii="Times New Roman" w:cs="Times New Roman" w:eastAsia="Times New Roman" w:hAnsi="Times New Roman"/>
          <w:sz w:val="16"/>
          <w:szCs w:val="16"/>
          <w:color w:val="auto"/>
        </w:rPr>
      </w:pPr>
    </w:p>
    <w:p>
      <w:pPr>
        <w:ind w:left="1240" w:right="40" w:hanging="283"/>
        <w:spacing w:after="0" w:line="256" w:lineRule="auto"/>
        <w:tabs>
          <w:tab w:leader="none" w:pos="1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Wave’s INHBE GalNAc-siRNA has demonstrated highly potent (ED50 &lt; 1mg/kg) and durable silencing following one, low-single-digit dose supporting every-six-month or annual subcutaneous dosing in preclinical mouse models. Data also demonstrated weight loss with no loss of muscle mass and a reduction in fat mass with preferential effects on visceral fat, consistent with the profile of INHBE LoF carriers in human genetics.</w:t>
      </w:r>
    </w:p>
    <w:p>
      <w:pPr>
        <w:spacing w:after="0" w:line="78" w:lineRule="exact"/>
        <w:rPr>
          <w:rFonts w:ascii="Times New Roman" w:cs="Times New Roman" w:eastAsia="Times New Roman" w:hAnsi="Times New Roman"/>
          <w:sz w:val="16"/>
          <w:szCs w:val="16"/>
          <w:color w:val="auto"/>
        </w:rPr>
      </w:pPr>
    </w:p>
    <w:p>
      <w:pPr>
        <w:ind w:left="1240" w:hanging="283"/>
        <w:spacing w:after="0" w:line="286" w:lineRule="auto"/>
        <w:tabs>
          <w:tab w:leader="none" w:pos="12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 ongoing, head-to-head study in diet-induced obesity mice, Wave has observed a weight loss effect from a single dose of its INHBE GalNAc-siRNA similar to semaglutide. In addition, treatment with Wave’s INHBE GalNAc-siRNA upon cessation of semaglutide treatment curtailed expected rebound weight gain. The company plans to share additional preclinical data later this year.</w:t>
      </w:r>
    </w:p>
    <w:p>
      <w:pPr>
        <w:spacing w:after="0" w:line="55" w:lineRule="exact"/>
        <w:rPr>
          <w:rFonts w:ascii="Times New Roman" w:cs="Times New Roman" w:eastAsia="Times New Roman" w:hAnsi="Times New Roman"/>
          <w:sz w:val="15"/>
          <w:szCs w:val="15"/>
          <w:color w:val="auto"/>
        </w:rPr>
      </w:pPr>
    </w:p>
    <w:p>
      <w:pPr>
        <w:ind w:left="1240" w:hanging="283"/>
        <w:spacing w:after="0"/>
        <w:tabs>
          <w:tab w:leader="none" w:pos="1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Expected upcoming milestone: </w:t>
      </w:r>
      <w:r>
        <w:rPr>
          <w:rFonts w:ascii="Times New Roman" w:cs="Times New Roman" w:eastAsia="Times New Roman" w:hAnsi="Times New Roman"/>
          <w:sz w:val="16"/>
          <w:szCs w:val="16"/>
          <w:color w:val="auto"/>
        </w:rPr>
        <w:t>Wave expects to initiate a clinical trial for its INHBE candidate in the first quarter of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GSK Collaboration</w:t>
      </w:r>
    </w:p>
    <w:p>
      <w:pPr>
        <w:spacing w:after="0" w:line="112" w:lineRule="exact"/>
        <w:rPr>
          <w:sz w:val="20"/>
          <w:szCs w:val="20"/>
          <w:color w:val="auto"/>
        </w:rPr>
      </w:pPr>
    </w:p>
    <w:p>
      <w:pPr>
        <w:ind w:left="860" w:right="220" w:hanging="388"/>
        <w:spacing w:after="0" w:line="278" w:lineRule="auto"/>
        <w:tabs>
          <w:tab w:leader="none" w:pos="86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Advancing first two collaboration programs recently selected by GSK following target validation; programs utilize Wave’s next generation GalNAc siRNA format</w:t>
      </w:r>
    </w:p>
    <w:p>
      <w:pPr>
        <w:spacing w:after="0" w:line="60" w:lineRule="exact"/>
        <w:rPr>
          <w:rFonts w:ascii="Times New Roman" w:cs="Times New Roman" w:eastAsia="Times New Roman" w:hAnsi="Times New Roman"/>
          <w:sz w:val="16"/>
          <w:szCs w:val="16"/>
          <w:b w:val="1"/>
          <w:bCs w:val="1"/>
          <w:color w:val="auto"/>
        </w:rPr>
      </w:pPr>
    </w:p>
    <w:p>
      <w:pPr>
        <w:ind w:left="1240" w:right="200" w:hanging="283"/>
        <w:spacing w:after="0" w:line="310" w:lineRule="auto"/>
        <w:tabs>
          <w:tab w:leader="none" w:pos="12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2024, GSK selected its first two Collaboration Programs, which are in hepatology, to advance to development candidates following achievement of target validation. GSK will provide an aggregate initiation payment of $12 million to Wave.</w:t>
      </w:r>
    </w:p>
    <w:p>
      <w:pPr>
        <w:spacing w:after="0" w:line="39" w:lineRule="exact"/>
        <w:rPr>
          <w:rFonts w:ascii="Times New Roman" w:cs="Times New Roman" w:eastAsia="Times New Roman" w:hAnsi="Times New Roman"/>
          <w:sz w:val="15"/>
          <w:szCs w:val="15"/>
          <w:color w:val="auto"/>
        </w:rPr>
      </w:pPr>
    </w:p>
    <w:p>
      <w:pPr>
        <w:ind w:left="1240" w:right="180" w:hanging="283"/>
        <w:spacing w:after="0" w:line="261" w:lineRule="auto"/>
        <w:tabs>
          <w:tab w:leader="none" w:pos="124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two GSK Collaboration Programs utilize Wave’s GalNAc-siRNA formats. Under the agreement, GSK can advance up to eight programs leveraging Wave’s PRISM platform and multiple RNA-targeting modalities, including RNA editing, with target validation ongoing in multiple therapy areas.</w:t>
      </w:r>
    </w:p>
    <w:p>
      <w:pPr>
        <w:spacing w:after="0" w:line="73" w:lineRule="exact"/>
        <w:rPr>
          <w:rFonts w:ascii="Times New Roman" w:cs="Times New Roman" w:eastAsia="Times New Roman" w:hAnsi="Times New Roman"/>
          <w:sz w:val="16"/>
          <w:szCs w:val="16"/>
          <w:color w:val="auto"/>
        </w:rPr>
      </w:pPr>
    </w:p>
    <w:p>
      <w:pPr>
        <w:ind w:left="1240" w:right="280" w:hanging="283"/>
        <w:spacing w:after="0" w:line="276" w:lineRule="auto"/>
        <w:tabs>
          <w:tab w:leader="none" w:pos="124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total, Wave is eligible for up to $3.3 billion in potential milestone payments, as well as tiered royalties on net sales, for GSK’s eight Collaboration Programs and WVE-006, for which GSK has an exclusive global license.</w:t>
      </w:r>
    </w:p>
    <w:p>
      <w:pPr>
        <w:sectPr>
          <w:pgSz w:w="11900" w:h="16838" w:orient="portrait"/>
          <w:cols w:equalWidth="0" w:num="1">
            <w:col w:w="9620"/>
          </w:cols>
          <w:pgMar w:left="1120" w:top="1440" w:right="1159" w:bottom="1440" w:gutter="0" w:footer="0" w:header="0"/>
        </w:sectPr>
      </w:pPr>
    </w:p>
    <w:bookmarkStart w:id="6" w:name="page7"/>
    <w:bookmarkEnd w:id="6"/>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08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9086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DMD (exon skipping)</w:t>
      </w:r>
    </w:p>
    <w:p>
      <w:pPr>
        <w:spacing w:after="0" w:line="112" w:lineRule="exact"/>
        <w:rPr>
          <w:sz w:val="20"/>
          <w:szCs w:val="20"/>
          <w:color w:val="auto"/>
        </w:rPr>
      </w:pPr>
    </w:p>
    <w:p>
      <w:pPr>
        <w:ind w:left="860" w:hanging="388"/>
        <w:spacing w:after="0"/>
        <w:tabs>
          <w:tab w:leader="none" w:pos="86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Advancing FORWARD-53 clinical trial toward potentially registrational 24-week dystrophin data in the third quarter of 2024</w:t>
      </w:r>
    </w:p>
    <w:p>
      <w:pPr>
        <w:spacing w:after="0" w:line="113" w:lineRule="exact"/>
        <w:rPr>
          <w:rFonts w:ascii="Times New Roman" w:cs="Times New Roman" w:eastAsia="Times New Roman" w:hAnsi="Times New Roman"/>
          <w:sz w:val="16"/>
          <w:szCs w:val="16"/>
          <w:b w:val="1"/>
          <w:bCs w:val="1"/>
          <w:color w:val="auto"/>
        </w:rPr>
      </w:pPr>
    </w:p>
    <w:p>
      <w:pPr>
        <w:ind w:left="1240" w:right="340" w:hanging="283"/>
        <w:spacing w:after="0" w:line="276" w:lineRule="auto"/>
        <w:tabs>
          <w:tab w:leader="none" w:pos="12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Wave’s WVE-N531 program for boys with Duchenne muscular dystrophy (DMD) amenable to exon 53 skipping is designed to induce production of endogenous, functional dystrophin protein.</w:t>
      </w:r>
    </w:p>
    <w:p>
      <w:pPr>
        <w:spacing w:after="0" w:line="61" w:lineRule="exact"/>
        <w:rPr>
          <w:rFonts w:ascii="Times New Roman" w:cs="Times New Roman" w:eastAsia="Times New Roman" w:hAnsi="Times New Roman"/>
          <w:sz w:val="16"/>
          <w:szCs w:val="16"/>
          <w:color w:val="auto"/>
        </w:rPr>
      </w:pPr>
    </w:p>
    <w:p>
      <w:pPr>
        <w:ind w:left="1240" w:right="460" w:hanging="283"/>
        <w:spacing w:after="0" w:line="276" w:lineRule="auto"/>
        <w:tabs>
          <w:tab w:leader="none" w:pos="12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Part A of Wave’s WVE-N531 trial, WVE-N531 demonstrated industry-leading exon skipping levels of 53%, muscle tissue concentrations of 42 µg/g (~42,000 ng/g), and myogenic stem cell distribution in all study participants.</w:t>
      </w:r>
    </w:p>
    <w:p>
      <w:pPr>
        <w:spacing w:after="0" w:line="61" w:lineRule="exact"/>
        <w:rPr>
          <w:rFonts w:ascii="Times New Roman" w:cs="Times New Roman" w:eastAsia="Times New Roman" w:hAnsi="Times New Roman"/>
          <w:sz w:val="16"/>
          <w:szCs w:val="16"/>
          <w:color w:val="auto"/>
        </w:rPr>
      </w:pPr>
    </w:p>
    <w:p>
      <w:pPr>
        <w:ind w:left="1240" w:right="220" w:hanging="283"/>
        <w:spacing w:after="0" w:line="256" w:lineRule="auto"/>
        <w:tabs>
          <w:tab w:leader="none" w:pos="12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WVE-N531 is currently being evaluated in the ongoing FORWARD-53 clinical trial of 11 boys with DMD, which is powered to evaluate endogenous, functional dystrophin expression following 24 and 48 weeks of 10 mg/kg dosing administered every-other-week. The primary endpoint is dystrophin protein levels, and the trial will also evaluate pharmacokinetics, digital and functional endpoints, and safety and tolerability.</w:t>
      </w:r>
    </w:p>
    <w:p>
      <w:pPr>
        <w:spacing w:after="0" w:line="78" w:lineRule="exact"/>
        <w:rPr>
          <w:rFonts w:ascii="Times New Roman" w:cs="Times New Roman" w:eastAsia="Times New Roman" w:hAnsi="Times New Roman"/>
          <w:sz w:val="16"/>
          <w:szCs w:val="16"/>
          <w:color w:val="auto"/>
        </w:rPr>
      </w:pPr>
    </w:p>
    <w:p>
      <w:pPr>
        <w:ind w:left="1240" w:right="20" w:hanging="283"/>
        <w:spacing w:after="0" w:line="261" w:lineRule="auto"/>
        <w:tabs>
          <w:tab w:leader="none" w:pos="12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Pending positive results from the FORWARD-53 trial, the company is planning to advance a broader DMD pipeline of PN-modified oligonucleotides for skipping other exons, with the goal of providing new treatment options for a larger population of boys with DMD.</w:t>
      </w:r>
    </w:p>
    <w:p>
      <w:pPr>
        <w:spacing w:after="0" w:line="71" w:lineRule="exact"/>
        <w:rPr>
          <w:rFonts w:ascii="Times New Roman" w:cs="Times New Roman" w:eastAsia="Times New Roman" w:hAnsi="Times New Roman"/>
          <w:sz w:val="16"/>
          <w:szCs w:val="16"/>
          <w:color w:val="auto"/>
        </w:rPr>
      </w:pPr>
    </w:p>
    <w:p>
      <w:pPr>
        <w:ind w:left="1240" w:right="120" w:hanging="283"/>
        <w:spacing w:after="0" w:line="278" w:lineRule="auto"/>
        <w:tabs>
          <w:tab w:leader="none" w:pos="12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Expected upcoming milestone: </w:t>
      </w:r>
      <w:r>
        <w:rPr>
          <w:rFonts w:ascii="Times New Roman" w:cs="Times New Roman" w:eastAsia="Times New Roman" w:hAnsi="Times New Roman"/>
          <w:sz w:val="16"/>
          <w:szCs w:val="16"/>
          <w:color w:val="auto"/>
        </w:rPr>
        <w:t>Wave expects to deliver data, including dystrophin protein expression from muscle biopsies at 24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weeks, in the third quarter of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HD (antisense silencing)</w:t>
      </w:r>
    </w:p>
    <w:p>
      <w:pPr>
        <w:spacing w:after="0" w:line="112" w:lineRule="exact"/>
        <w:rPr>
          <w:sz w:val="20"/>
          <w:szCs w:val="20"/>
          <w:color w:val="auto"/>
        </w:rPr>
      </w:pPr>
    </w:p>
    <w:p>
      <w:pPr>
        <w:ind w:left="860" w:right="40" w:hanging="388"/>
        <w:spacing w:after="0" w:line="278" w:lineRule="auto"/>
        <w:tabs>
          <w:tab w:leader="none" w:pos="86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WVE-003 SELECT-HD multi-dose data with extended follow-up remains on track for 2Q 2024; first-in-class program designed to lower mutant HTT while sparing wild-type HTT</w:t>
      </w:r>
    </w:p>
    <w:p>
      <w:pPr>
        <w:spacing w:after="0" w:line="60" w:lineRule="exact"/>
        <w:rPr>
          <w:rFonts w:ascii="Times New Roman" w:cs="Times New Roman" w:eastAsia="Times New Roman" w:hAnsi="Times New Roman"/>
          <w:sz w:val="16"/>
          <w:szCs w:val="16"/>
          <w:b w:val="1"/>
          <w:bCs w:val="1"/>
          <w:color w:val="auto"/>
        </w:rPr>
      </w:pPr>
    </w:p>
    <w:p>
      <w:pPr>
        <w:ind w:left="1240" w:right="60" w:hanging="283"/>
        <w:spacing w:after="0" w:line="254"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WVE-003 is a first-in-class investigational allele-selective Huntington’s disease (HD) therapeutic designed to reduce mutant huntingtin (mHTT) protein while also sparing healthy wild-type huntingtin (wtHTT) protein. Due to the significance of wtHTT function for the health of the central nervous system and the potential for mHTT to disrupt wtHTT function, selectively lowering mHTT while preserving wtHTT protein expression and function may offer advantages over nonselective HTT-lowering approaches for the treatment of HD.</w:t>
      </w:r>
    </w:p>
    <w:p>
      <w:pPr>
        <w:spacing w:after="0" w:line="78" w:lineRule="exact"/>
        <w:rPr>
          <w:rFonts w:ascii="Times New Roman" w:cs="Times New Roman" w:eastAsia="Times New Roman" w:hAnsi="Times New Roman"/>
          <w:sz w:val="16"/>
          <w:szCs w:val="16"/>
          <w:color w:val="auto"/>
        </w:rPr>
      </w:pPr>
    </w:p>
    <w:p>
      <w:pPr>
        <w:ind w:left="1240" w:right="520" w:hanging="283"/>
        <w:spacing w:after="0" w:line="276"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WVE-003 has demonstrated single-dose reductions in mean mHTT in cerebrospinal fluid of 35% compared to placebo, with preservation of wtHTT, as previously shared in September 2022.</w:t>
      </w:r>
    </w:p>
    <w:p>
      <w:pPr>
        <w:spacing w:after="0" w:line="61" w:lineRule="exact"/>
        <w:rPr>
          <w:rFonts w:ascii="Times New Roman" w:cs="Times New Roman" w:eastAsia="Times New Roman" w:hAnsi="Times New Roman"/>
          <w:sz w:val="16"/>
          <w:szCs w:val="16"/>
          <w:color w:val="auto"/>
        </w:rPr>
      </w:pPr>
    </w:p>
    <w:p>
      <w:pPr>
        <w:ind w:left="1240" w:right="320" w:hanging="283"/>
        <w:spacing w:after="0" w:line="276"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multi-dose portion of the SELECT-HD clinical trial is evaluating a cohort of 24 patients with HD receiving 30 mg doses of WVE-003 administered every eight weeks.</w:t>
      </w:r>
    </w:p>
    <w:p>
      <w:pPr>
        <w:spacing w:after="0" w:line="61" w:lineRule="exact"/>
        <w:rPr>
          <w:rFonts w:ascii="Times New Roman" w:cs="Times New Roman" w:eastAsia="Times New Roman" w:hAnsi="Times New Roman"/>
          <w:sz w:val="16"/>
          <w:szCs w:val="16"/>
          <w:color w:val="auto"/>
        </w:rPr>
      </w:pPr>
    </w:p>
    <w:p>
      <w:pPr>
        <w:ind w:left="1240" w:right="80" w:hanging="283"/>
        <w:spacing w:after="0" w:line="276"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from the ongoing SELECT-HD clinical trial will form the basis for decision making for Wave’s advancement of this program, including supporting an opt-in package for Takeda.</w:t>
      </w:r>
    </w:p>
    <w:p>
      <w:pPr>
        <w:spacing w:after="0" w:line="59" w:lineRule="exact"/>
        <w:rPr>
          <w:rFonts w:ascii="Times New Roman" w:cs="Times New Roman" w:eastAsia="Times New Roman" w:hAnsi="Times New Roman"/>
          <w:sz w:val="16"/>
          <w:szCs w:val="16"/>
          <w:color w:val="auto"/>
        </w:rPr>
      </w:pPr>
    </w:p>
    <w:p>
      <w:pPr>
        <w:ind w:left="1240" w:hanging="283"/>
        <w:spacing w:after="0" w:line="278" w:lineRule="auto"/>
        <w:tabs>
          <w:tab w:leader="none" w:pos="12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Expected upcoming milestone: </w:t>
      </w:r>
      <w:r>
        <w:rPr>
          <w:rFonts w:ascii="Times New Roman" w:cs="Times New Roman" w:eastAsia="Times New Roman" w:hAnsi="Times New Roman"/>
          <w:sz w:val="16"/>
          <w:szCs w:val="16"/>
          <w:color w:val="auto"/>
        </w:rPr>
        <w:t>Wave expects to report data from the 30 mg multi-dose cohort with extended follow-up, along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single-dose data, in the second quarter of 2024.</w:t>
      </w:r>
    </w:p>
    <w:p>
      <w:pPr>
        <w:sectPr>
          <w:pgSz w:w="11900" w:h="16838" w:orient="portrait"/>
          <w:cols w:equalWidth="0" w:num="1">
            <w:col w:w="9600"/>
          </w:cols>
          <w:pgMar w:left="1120" w:top="1440" w:right="1179" w:bottom="1440" w:gutter="0" w:footer="0" w:header="0"/>
        </w:sectPr>
      </w:pPr>
    </w:p>
    <w:bookmarkStart w:id="7" w:name="page8"/>
    <w:bookmarkEnd w:id="7"/>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08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9086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Corporate</w:t>
      </w:r>
    </w:p>
    <w:p>
      <w:pPr>
        <w:spacing w:after="0" w:line="112" w:lineRule="exact"/>
        <w:rPr>
          <w:sz w:val="20"/>
          <w:szCs w:val="20"/>
          <w:color w:val="auto"/>
        </w:rPr>
      </w:pPr>
    </w:p>
    <w:p>
      <w:pPr>
        <w:ind w:left="860" w:right="40" w:hanging="388"/>
        <w:spacing w:after="0" w:line="278" w:lineRule="auto"/>
        <w:tabs>
          <w:tab w:leader="none" w:pos="86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Dr. Erik Ingelsson appointed CSO; builds on Wave’s recent progress advancing innovative genetic targets and adds experience to accelerate rapid identification and translation of unique genetic insights</w:t>
      </w:r>
    </w:p>
    <w:p>
      <w:pPr>
        <w:spacing w:after="0" w:line="60" w:lineRule="exact"/>
        <w:rPr>
          <w:rFonts w:ascii="Times New Roman" w:cs="Times New Roman" w:eastAsia="Times New Roman" w:hAnsi="Times New Roman"/>
          <w:sz w:val="16"/>
          <w:szCs w:val="16"/>
          <w:b w:val="1"/>
          <w:bCs w:val="1"/>
          <w:color w:val="auto"/>
        </w:rPr>
      </w:pPr>
    </w:p>
    <w:p>
      <w:pPr>
        <w:ind w:left="1240" w:right="60" w:hanging="283"/>
        <w:spacing w:after="0" w:line="254" w:lineRule="auto"/>
        <w:tabs>
          <w:tab w:leader="none" w:pos="12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Today, Wave announced the appointment of Erik Ingelsson, MD, PhD, as Chief Scientific Officer (CSO). Dr. Ingelsson joins Wave to drive the emerging therapeutic portfolio strategy, including growing its genetics and genomics capabilities for identifying new, high impact targets and leveraging Wave’s multimodal platform to advance transformative RNA medicines. Dr. Ingelsson brings deep expertise in genetics and drug discovery, as well as substantial experience in metabolic diseases, such as obesity, MASH and cardiovascular disease.</w:t>
      </w:r>
    </w:p>
    <w:p>
      <w:pPr>
        <w:spacing w:after="0" w:line="78" w:lineRule="exact"/>
        <w:rPr>
          <w:rFonts w:ascii="Times New Roman" w:cs="Times New Roman" w:eastAsia="Times New Roman" w:hAnsi="Times New Roman"/>
          <w:sz w:val="16"/>
          <w:szCs w:val="16"/>
          <w:color w:val="auto"/>
        </w:rPr>
      </w:pPr>
    </w:p>
    <w:p>
      <w:pPr>
        <w:ind w:left="1240" w:hanging="283"/>
        <w:spacing w:after="0" w:line="310" w:lineRule="auto"/>
        <w:tabs>
          <w:tab w:leader="none" w:pos="124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Most recently, Dr. Ingelsson served as Senior Vice President, Head of Target Discovery, at GSK, and prior to that, was SVP of Genomic Sciences at GSK. Previously, he was a Professor of Medicine at Stanford University. (See May 9, 2024 press release here)</w:t>
      </w:r>
    </w:p>
    <w:p>
      <w:pPr>
        <w:sectPr>
          <w:pgSz w:w="11900" w:h="16838" w:orient="portrait"/>
          <w:cols w:equalWidth="0" w:num="1">
            <w:col w:w="9560"/>
          </w:cols>
          <w:pgMar w:left="1120" w:top="1440" w:right="1219" w:bottom="1440" w:gutter="0" w:footer="0" w:header="0"/>
        </w:sectPr>
      </w:pPr>
    </w:p>
    <w:bookmarkStart w:id="8" w:name="page9"/>
    <w:bookmarkEnd w:id="8"/>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08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9086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Financial Highlights</w:t>
      </w:r>
    </w:p>
    <w:p>
      <w:pPr>
        <w:spacing w:after="0" w:line="114" w:lineRule="exact"/>
        <w:rPr>
          <w:sz w:val="20"/>
          <w:szCs w:val="20"/>
          <w:color w:val="auto"/>
        </w:rPr>
      </w:pPr>
    </w:p>
    <w:p>
      <w:pPr>
        <w:jc w:val="both"/>
        <w:ind w:left="860" w:hanging="388"/>
        <w:spacing w:after="0" w:line="256" w:lineRule="auto"/>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 were $180.9 million as of March 31, 2024, compared to $200.4 million as of December 31, 2023. Subsequent to March 31, 2024, GSK advanced two programs to candidate development, triggering a $12.0 million aggregate initiation payment to Wave. Wave expects that its current cash and cash equivalents will be sufficient to fund operations into the fourth quarter of 2025. Potential future milestone and other payments to Wave under its GSK and Takeda collaborations are not included in its cash runway.</w:t>
      </w:r>
    </w:p>
    <w:p>
      <w:pPr>
        <w:spacing w:after="0" w:line="78" w:lineRule="exact"/>
        <w:rPr>
          <w:rFonts w:ascii="Times New Roman" w:cs="Times New Roman" w:eastAsia="Times New Roman" w:hAnsi="Times New Roman"/>
          <w:sz w:val="16"/>
          <w:szCs w:val="16"/>
          <w:color w:val="auto"/>
        </w:rPr>
      </w:pPr>
    </w:p>
    <w:p>
      <w:pPr>
        <w:ind w:left="860" w:right="200" w:hanging="388"/>
        <w:spacing w:after="0" w:line="261" w:lineRule="auto"/>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was $12.5 million for the first quarter of 2024, as compared to $12.9 million in the first quarter of 2023. The slight decrease in revenue was due to decreased revenue from the Takeda collaboration. Revenue from the GSK collaboration was consistent for the first quarter of 2024 and 2023.</w:t>
      </w:r>
    </w:p>
    <w:p>
      <w:pPr>
        <w:spacing w:after="0" w:line="73" w:lineRule="exact"/>
        <w:rPr>
          <w:rFonts w:ascii="Times New Roman" w:cs="Times New Roman" w:eastAsia="Times New Roman" w:hAnsi="Times New Roman"/>
          <w:sz w:val="16"/>
          <w:szCs w:val="16"/>
          <w:color w:val="auto"/>
        </w:rPr>
      </w:pPr>
    </w:p>
    <w:p>
      <w:pPr>
        <w:ind w:left="860" w:right="40" w:hanging="388"/>
        <w:spacing w:after="0" w:line="261" w:lineRule="auto"/>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expenses were $33.4 million in the first quarter of 2024, as compared to $31.0 million in the first quarter of 2023. General and administrative expenses were $13.5 million in the first quarter of 2024, as compared to $12.2 million in the first quarter of 2023.</w:t>
      </w:r>
    </w:p>
    <w:p>
      <w:pPr>
        <w:spacing w:after="0" w:line="73"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was $31.6 million for the first quarter of 2024, as compared to $27.4 million for the first quarter of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Conference Call and Webcast</w:t>
      </w:r>
    </w:p>
    <w:p>
      <w:pPr>
        <w:spacing w:after="0" w:line="1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 xml:space="preserve">Wave will host an investor conference call today at 8:30 a.m. ET to review the first quarter 2024 financial results and pipeline updates. A webcast of the conference call can be accessed by visiting “Investor Events” on the investor relations section of the Wave Life Sciences website: </w:t>
      </w:r>
      <w:r>
        <w:rPr>
          <w:rFonts w:ascii="Times New Roman" w:cs="Times New Roman" w:eastAsia="Times New Roman" w:hAnsi="Times New Roman"/>
          <w:sz w:val="16"/>
          <w:szCs w:val="16"/>
          <w:u w:val="single" w:color="auto"/>
          <w:color w:val="auto"/>
        </w:rPr>
        <w:t>https://ir.wavelifesciences.com/events-publications/events</w:t>
      </w:r>
      <w:r>
        <w:rPr>
          <w:rFonts w:ascii="Times New Roman" w:cs="Times New Roman" w:eastAsia="Times New Roman" w:hAnsi="Times New Roman"/>
          <w:sz w:val="16"/>
          <w:szCs w:val="16"/>
          <w:color w:val="auto"/>
        </w:rPr>
        <w:t xml:space="preserve">. Analysts planning to participate during the Q&amp;A portion of the live call can join the conference call at the following audio-conferencing link: </w:t>
      </w:r>
      <w:r>
        <w:rPr>
          <w:rFonts w:ascii="Times New Roman" w:cs="Times New Roman" w:eastAsia="Times New Roman" w:hAnsi="Times New Roman"/>
          <w:sz w:val="16"/>
          <w:szCs w:val="16"/>
          <w:u w:val="single" w:color="auto"/>
          <w:color w:val="auto"/>
        </w:rPr>
        <w:t>available here</w:t>
      </w:r>
      <w:r>
        <w:rPr>
          <w:rFonts w:ascii="Times New Roman" w:cs="Times New Roman" w:eastAsia="Times New Roman" w:hAnsi="Times New Roman"/>
          <w:sz w:val="16"/>
          <w:szCs w:val="16"/>
          <w:color w:val="auto"/>
        </w:rPr>
        <w:t>. Once registered, participants will receive the dial-in information. Following the live event, an archived version of the webcast will be available on the Wave Life Sciences website.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Wave Life Sciences</w:t>
      </w:r>
    </w:p>
    <w:p>
      <w:pPr>
        <w:spacing w:after="0" w:line="10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6"/>
          <w:szCs w:val="16"/>
          <w:color w:val="auto"/>
        </w:rPr>
        <w:t>Wave Life Sciences (Nasdaq: WVE) is a biotechnology company focused on unlocking the broad potential of RNA medicines to transform human health. Wave’s RNA medicines platform, PRISM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combines multiple modalities, chemistry innovation and deep insights in human genetics to deliver scientific breakthroughs that treat both rare and prevalent disorders. Its toolkit of RNA-targeting modalities includes editing, splicing, RNA interference and antisense silencing, providing Wave with unmatched capabilities for designing and sustainably delivering candidates that optimally address disease biology. Wave’s diversified pipeline includes clinical programs in Duchenne muscular dystrophy, Alpha-1 antitrypsin deficiency and Huntington’s disease, as well as a preclinical program in obesity. Driven by the calling to “Reimagine Possible”, Wave is leading the charge toward a world in which human potential is no longer hindered by the burden of disease. Wave is headquartered in Cambridge, MA. For more information on Wave’s science, pipeline and people, please visit </w:t>
      </w:r>
      <w:r>
        <w:rPr>
          <w:rFonts w:ascii="Times New Roman" w:cs="Times New Roman" w:eastAsia="Times New Roman" w:hAnsi="Times New Roman"/>
          <w:sz w:val="16"/>
          <w:szCs w:val="16"/>
          <w:u w:val="single" w:color="auto"/>
          <w:color w:val="auto"/>
        </w:rPr>
        <w:t>www.wavelifesciences.com</w:t>
      </w:r>
      <w:r>
        <w:rPr>
          <w:rFonts w:ascii="Times New Roman" w:cs="Times New Roman" w:eastAsia="Times New Roman" w:hAnsi="Times New Roman"/>
          <w:sz w:val="16"/>
          <w:szCs w:val="16"/>
          <w:color w:val="auto"/>
        </w:rPr>
        <w:t xml:space="preserve"> and follow Wave on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xml:space="preserve"> (formerly Twitter) and </w:t>
      </w:r>
      <w:r>
        <w:rPr>
          <w:rFonts w:ascii="Times New Roman" w:cs="Times New Roman" w:eastAsia="Times New Roman" w:hAnsi="Times New Roman"/>
          <w:sz w:val="16"/>
          <w:szCs w:val="16"/>
          <w:u w:val="single" w:color="auto"/>
          <w:color w:val="auto"/>
        </w:rPr>
        <w:t>LinkedIn</w:t>
      </w:r>
      <w:r>
        <w:rPr>
          <w:rFonts w:ascii="Times New Roman" w:cs="Times New Roman" w:eastAsia="Times New Roman" w:hAnsi="Times New Roman"/>
          <w:sz w:val="16"/>
          <w:szCs w:val="16"/>
          <w:color w:val="auto"/>
        </w:rPr>
        <w:t>.</w:t>
      </w:r>
    </w:p>
    <w:p>
      <w:pPr>
        <w:sectPr>
          <w:pgSz w:w="11900" w:h="16838" w:orient="portrait"/>
          <w:cols w:equalWidth="0" w:num="1">
            <w:col w:w="9620"/>
          </w:cols>
          <w:pgMar w:left="1120" w:top="1440" w:right="1159" w:bottom="1440" w:gutter="0" w:footer="0" w:header="0"/>
        </w:sectPr>
      </w:pPr>
    </w:p>
    <w:bookmarkStart w:id="9" w:name="page10"/>
    <w:bookmarkEnd w:id="9"/>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08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9086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This press release contains forward-looking statements concerning our goals, beliefs, expectations, strategies, objectives and plans, and other statements that are not necessarily based on historical facts, including statements regarding the following, among others: the anticipated initiation, site activation, patient recruitment, patient enrollment, dosing, generation and reporting of data and completion of our clinical trials, including interactions with regulators and any potential registration based on these data, and the announcement of such events; the protocol, design and endpoints of our clinical trials; the future performance and results of our programs in clinical trials; ongoing and future preclinical activities and programs; regulatory submissions; the progress and potential benefits of our collaborations; the potential achievement of milestones under our collaborations and receipt of cash payments therefor; the potential of our preclinical data to predict the behavior of our compounds in humans; our identification and expected timing of future product candidates and their therapeutic potential; the anticipated benefits of our therapeutic candidates and pipeline compared to our competitors; our ability to design compounds using various modalities and the anticipated benefits of that approach; the breadth and versatility of our PRISM drug discovery and development platform; the expected benefits of our stereopure oligonucleotides compared with stereorandom oligonucleotides; the potential benefits of our RNA editing capability, including our AIMers, compared to others; the potential for certain of our programs to be best-in-class or first-in-class; the potential benefits of our GalNAc-conjugated siRNA program targeting INHBE; the potential benefits that our “edit-verse” may provide us, including identifying new RNA editing targets; the status and progress of our programs relative to potential competitors; anticipated benefits of our proprietary manufacturing processes and our internal manufacturing capabilities; the benefits of RNA medicines generally; the strength of our intellectual property and the data that support our IP; the anticipated duration of our cash runway and our ability to fund future operations; our intended uses of capital; and our expectations regarding the impact of any potential global macro events on our business. Actual results may differ materially from those indicated by these forward-looking statements as a result of various important factors, including the following: our ability to finance our drug discovery and development efforts and to raise additional capital when needed; the ability of our preclinical programs to produce data sufficient to support our clinical trial applications and the timing thereof; the clinical results of our programs and the timing thereof, which may not support further development of our product candidates; actions of regulatory authorities and their receptiveness to our adaptive trial designs, which may affect the initiation, timing and progress of clinical trials; our effectiveness in managing regulatory interactions and future clinical trials; the effectiveness of PRISM; the effectiveness of our RNA editing capability and our AIMers; our ability to demonstrate the therapeutic benefits of our candidates in clinical trials, including our ability to develop candidates across multiple therapeutic modalities; our dependence on third parties, including contract research organizations, contract manufacturing organizations, collaborators and partners; our ability to manufacture or contract with third parties to manufacture drug material to support our programs and growth; our ability to obtain, maintain and protect our intellectual property; our ability to enforce our patents against infringers and defend our patent portfolio against challenges from third parties; competition from others developing therapies for the indications we are pursuing; our ability to maintain the company infrastructure and personnel needed to achieve our goals; and the information under the caption “Risk Factors” contained in our most recent Annual Report on Form 10-K filed with the Securities and Exchange Commission (SEC) and in other filings we make with the SEC from time to time. We undertake no obligation to update the information contained in this press release to reflect subsequently occurring events or circumstances.</w:t>
      </w:r>
    </w:p>
    <w:p>
      <w:pPr>
        <w:sectPr>
          <w:pgSz w:w="11900" w:h="16838" w:orient="portrait"/>
          <w:cols w:equalWidth="0" w:num="1">
            <w:col w:w="9640"/>
          </w:cols>
          <w:pgMar w:left="1120" w:top="1440" w:right="1139" w:bottom="1440" w:gutter="0" w:footer="0" w:header="0"/>
        </w:sectPr>
      </w:pPr>
    </w:p>
    <w:bookmarkStart w:id="10" w:name="page11"/>
    <w:bookmarkEnd w:id="10"/>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08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9086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WAVE LIFE SCIENCES LTD.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BALANCE SHEETS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March 31, 2024</w:t>
            </w:r>
          </w:p>
        </w:tc>
        <w:tc>
          <w:tcPr>
            <w:tcW w:w="11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180,922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200,351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11,139</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196,767</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235,373</w:t>
            </w:r>
          </w:p>
        </w:tc>
        <w:tc>
          <w:tcPr>
            <w:tcW w:w="0" w:type="dxa"/>
            <w:vAlign w:val="bottom"/>
          </w:tcPr>
          <w:p>
            <w:pPr>
              <w:spacing w:after="0"/>
              <w:rPr>
                <w:sz w:val="1"/>
                <w:szCs w:val="1"/>
                <w:color w:val="auto"/>
              </w:rPr>
            </w:pPr>
          </w:p>
        </w:tc>
      </w:tr>
      <w:tr>
        <w:trPr>
          <w:trHeight w:val="19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80" w:type="dxa"/>
            <w:vAlign w:val="bottom"/>
            <w:shd w:val="clear" w:color="auto" w:fill="CCEEFF"/>
          </w:tcPr>
          <w:p>
            <w:pPr>
              <w:ind w:left="300"/>
              <w:spacing w:after="0" w:line="173" w:lineRule="exact"/>
              <w:rPr>
                <w:sz w:val="20"/>
                <w:szCs w:val="20"/>
                <w:color w:val="auto"/>
              </w:rPr>
            </w:pPr>
            <w:r>
              <w:rPr>
                <w:rFonts w:ascii="Times New Roman" w:cs="Times New Roman" w:eastAsia="Times New Roman" w:hAnsi="Times New Roman"/>
                <w:sz w:val="16"/>
                <w:szCs w:val="16"/>
                <w:color w:val="auto"/>
              </w:rPr>
              <w:t>Property and equipment, net of accumulated depreciation of $43,687 and $42,709 as of March 31, 2024 and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12,418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21,502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22,637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3,715</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38,503</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39,576</w:t>
            </w:r>
          </w:p>
        </w:tc>
        <w:tc>
          <w:tcPr>
            <w:tcW w:w="0" w:type="dxa"/>
            <w:vAlign w:val="bottom"/>
          </w:tcPr>
          <w:p>
            <w:pPr>
              <w:spacing w:after="0"/>
              <w:rPr>
                <w:sz w:val="1"/>
                <w:szCs w:val="1"/>
                <w:color w:val="auto"/>
              </w:rPr>
            </w:pPr>
          </w:p>
        </w:tc>
      </w:tr>
      <w:tr>
        <w:trPr>
          <w:trHeight w:val="205"/>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235,270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274,949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4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Series A preferred shares, and shareholders’ equity</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11,730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12,839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6,621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16,828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140,586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165,873</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186,440</w:t>
            </w:r>
          </w:p>
        </w:tc>
        <w:tc>
          <w:tcPr>
            <w:tcW w:w="0" w:type="dxa"/>
            <w:vAlign w:val="bottom"/>
          </w:tcPr>
          <w:p>
            <w:pPr>
              <w:spacing w:after="0"/>
              <w:rPr>
                <w:sz w:val="1"/>
                <w:szCs w:val="1"/>
                <w:color w:val="auto"/>
              </w:rPr>
            </w:pPr>
          </w:p>
        </w:tc>
      </w:tr>
      <w:tr>
        <w:trPr>
          <w:trHeight w:val="19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12,536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36,134</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41,005</w:t>
            </w:r>
          </w:p>
        </w:tc>
        <w:tc>
          <w:tcPr>
            <w:tcW w:w="0" w:type="dxa"/>
            <w:vAlign w:val="bottom"/>
          </w:tcPr>
          <w:p>
            <w:pPr>
              <w:spacing w:after="0"/>
              <w:rPr>
                <w:sz w:val="1"/>
                <w:szCs w:val="1"/>
                <w:color w:val="auto"/>
              </w:rPr>
            </w:pPr>
          </w:p>
        </w:tc>
      </w:tr>
      <w:tr>
        <w:trPr>
          <w:trHeight w:val="205"/>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202,007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227,445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48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Series A preferred shares, no par value; 3,901,348 shares issued and outstanding at March 31, 2024 and</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7,874</w:t>
            </w:r>
          </w:p>
        </w:tc>
        <w:tc>
          <w:tcPr>
            <w:tcW w:w="1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7,874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14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80" w:type="dxa"/>
            <w:vAlign w:val="bottom"/>
            <w:shd w:val="clear" w:color="auto" w:fill="CCEEFF"/>
          </w:tcPr>
          <w:p>
            <w:pPr>
              <w:ind w:left="300"/>
              <w:spacing w:after="0" w:line="173" w:lineRule="exact"/>
              <w:rPr>
                <w:sz w:val="20"/>
                <w:szCs w:val="20"/>
                <w:color w:val="auto"/>
              </w:rPr>
            </w:pPr>
            <w:r>
              <w:rPr>
                <w:rFonts w:ascii="Times New Roman" w:cs="Times New Roman" w:eastAsia="Times New Roman" w:hAnsi="Times New Roman"/>
                <w:sz w:val="16"/>
                <w:szCs w:val="16"/>
                <w:color w:val="auto"/>
              </w:rPr>
              <w:t>Ordinary shares, no par value; 122,321,384 and 119,162,234 shares issued and outstanding at March 31, 2024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and December 31, 2023, respectively</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949,877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935,367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132,118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129,237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(198)</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w w:val="99"/>
              </w:rPr>
              <w:t>(1,056,408)</w:t>
            </w:r>
          </w:p>
        </w:tc>
        <w:tc>
          <w:tcPr>
            <w:tcW w:w="20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(1,024,850)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25,389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39,630</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Series A preferred shares, and shareholders’ equity</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235,270</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274,949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640"/>
          </w:cols>
          <w:pgMar w:left="1120" w:top="1440" w:right="1139" w:bottom="1440" w:gutter="0" w:footer="0" w:header="0"/>
        </w:sectPr>
      </w:pPr>
    </w:p>
    <w:bookmarkStart w:id="11" w:name="page12"/>
    <w:bookmarkEnd w:id="11"/>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908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9086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WAVE LIFE SCIENCES LTD.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OPERATIONS AND COMPREHENSIVE LOSS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5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41"/>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12,538</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12,929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33,447</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30,979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12,235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46,996</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43,214</w:t>
            </w:r>
          </w:p>
        </w:tc>
        <w:tc>
          <w:tcPr>
            <w:tcW w:w="0" w:type="dxa"/>
            <w:vAlign w:val="bottom"/>
          </w:tcPr>
          <w:p>
            <w:pPr>
              <w:spacing w:after="0"/>
              <w:rPr>
                <w:sz w:val="1"/>
                <w:szCs w:val="1"/>
                <w:color w:val="auto"/>
              </w:rPr>
            </w:pPr>
          </w:p>
        </w:tc>
      </w:tr>
      <w:tr>
        <w:trPr>
          <w:trHeight w:val="197"/>
        </w:trPr>
        <w:tc>
          <w:tcPr>
            <w:tcW w:w="7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(34,458)</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Dividend income and interest income</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2,535</w:t>
            </w: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197"/>
        </w:trPr>
        <w:tc>
          <w:tcPr>
            <w:tcW w:w="7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other income, net</w:t>
            </w: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(31,558)</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(27,405)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(31,558)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(27,405)</w:t>
            </w:r>
          </w:p>
        </w:tc>
        <w:tc>
          <w:tcPr>
            <w:tcW w:w="0" w:type="dxa"/>
            <w:vAlign w:val="bottom"/>
          </w:tcPr>
          <w:p>
            <w:pPr>
              <w:spacing w:after="0"/>
              <w:rPr>
                <w:sz w:val="1"/>
                <w:szCs w:val="1"/>
                <w:color w:val="auto"/>
              </w:rPr>
            </w:pPr>
          </w:p>
        </w:tc>
      </w:tr>
      <w:tr>
        <w:trPr>
          <w:trHeight w:val="20"/>
        </w:trPr>
        <w:tc>
          <w:tcPr>
            <w:tcW w:w="75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per share attributable to ordinary shareholders—basic and diluted</w:t>
            </w:r>
          </w:p>
        </w:tc>
        <w:tc>
          <w:tcPr>
            <w:tcW w:w="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(0.24)</w:t>
            </w: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5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Weighted-average ordinary shares used in computing net loss per share attributable to ordinary shareholders—basic</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diluted</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7"/>
              </w:rPr>
              <w:t>129,271,678</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102,056,712</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(31,558)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(27,405)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(31,632)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Kate Rausch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+1 617-949-4827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krausch@wavelifesci.com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Contact: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Alicia Suter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+1 617-949-4817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asuter@wavelifesci.com</w:t>
      </w:r>
    </w:p>
    <w:p>
      <w:pPr>
        <w:sectPr>
          <w:pgSz w:w="11900" w:h="16838" w:orient="portrait"/>
          <w:cols w:equalWidth="0" w:num="1">
            <w:col w:w="9640"/>
          </w:cols>
          <w:pgMar w:left="1120" w:top="1440" w:right="113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2024-05-09T06:41:25Z</dcterms:created>
  <dcterms:modified xsi:type="dcterms:W3CDTF">2024-05-09T06:41:25Z</dcterms:modified>
</cp:coreProperties>
</file>