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060"/>
        <w:spacing w:after="0"/>
        <w:rPr>
          <w:sz w:val="20"/>
          <w:szCs w:val="20"/>
          <w:color w:val="auto"/>
        </w:rPr>
      </w:pPr>
      <w:r>
        <w:rPr>
          <w:rFonts w:ascii="Arial" w:cs="Arial" w:eastAsia="Arial" w:hAnsi="Arial"/>
          <w:sz w:val="16"/>
          <w:szCs w:val="16"/>
          <w:b w:val="1"/>
          <w:bCs w:val="1"/>
          <w:color w:val="auto"/>
        </w:rPr>
        <w:t>As confidentially submitted to the Securities and Exchange Commission on September 4, 2015</w:t>
      </w:r>
    </w:p>
    <w:p>
      <w:pPr>
        <w:spacing w:after="0" w:line="46"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96520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96520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WAVE LIFE SCIENCES PTE. LTD.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66" w:lineRule="exact"/>
        <w:rPr>
          <w:sz w:val="24"/>
          <w:szCs w:val="24"/>
          <w:color w:val="auto"/>
        </w:rPr>
      </w:pPr>
    </w:p>
    <w:tbl>
      <w:tblPr>
        <w:tblLayout w:type="fixed"/>
        <w:tblInd w:w="700" w:type="dxa"/>
        <w:tblCellMar>
          <w:top w:w="0" w:type="dxa"/>
          <w:left w:w="0" w:type="dxa"/>
          <w:bottom w:w="0" w:type="dxa"/>
          <w:right w:w="0" w:type="dxa"/>
        </w:tblCellMar>
      </w:tblPr>
      <w:tr>
        <w:trPr>
          <w:trHeight w:val="193"/>
        </w:trPr>
        <w:tc>
          <w:tcPr>
            <w:tcW w:w="3140" w:type="dxa"/>
            <w:vAlign w:val="bottom"/>
          </w:tcPr>
          <w:p>
            <w:pPr>
              <w:jc w:val="center"/>
              <w:ind w:right="779"/>
              <w:spacing w:after="0"/>
              <w:rPr>
                <w:sz w:val="20"/>
                <w:szCs w:val="20"/>
                <w:color w:val="auto"/>
              </w:rPr>
            </w:pPr>
            <w:r>
              <w:rPr>
                <w:rFonts w:ascii="Arial" w:cs="Arial" w:eastAsia="Arial" w:hAnsi="Arial"/>
                <w:sz w:val="16"/>
                <w:szCs w:val="16"/>
                <w:b w:val="1"/>
                <w:bCs w:val="1"/>
                <w:color w:val="auto"/>
              </w:rPr>
              <w:t>Singapore</w:t>
            </w:r>
          </w:p>
        </w:tc>
        <w:tc>
          <w:tcPr>
            <w:tcW w:w="4020" w:type="dxa"/>
            <w:vAlign w:val="bottom"/>
          </w:tcPr>
          <w:p>
            <w:pPr>
              <w:jc w:val="center"/>
              <w:ind w:right="179"/>
              <w:spacing w:after="0"/>
              <w:rPr>
                <w:sz w:val="20"/>
                <w:szCs w:val="20"/>
                <w:color w:val="auto"/>
              </w:rPr>
            </w:pPr>
            <w:r>
              <w:rPr>
                <w:rFonts w:ascii="Arial" w:cs="Arial" w:eastAsia="Arial" w:hAnsi="Arial"/>
                <w:sz w:val="16"/>
                <w:szCs w:val="16"/>
                <w:b w:val="1"/>
                <w:bCs w:val="1"/>
                <w:color w:val="auto"/>
              </w:rPr>
              <w:t>2834</w:t>
            </w:r>
          </w:p>
        </w:tc>
        <w:tc>
          <w:tcPr>
            <w:tcW w:w="2360" w:type="dxa"/>
            <w:vAlign w:val="bottom"/>
          </w:tcPr>
          <w:p>
            <w:pPr>
              <w:jc w:val="center"/>
              <w:ind w:left="1039"/>
              <w:spacing w:after="0"/>
              <w:rPr>
                <w:sz w:val="20"/>
                <w:szCs w:val="20"/>
                <w:color w:val="auto"/>
              </w:rPr>
            </w:pPr>
            <w:r>
              <w:rPr>
                <w:rFonts w:ascii="Arial" w:cs="Arial" w:eastAsia="Arial" w:hAnsi="Arial"/>
                <w:sz w:val="16"/>
                <w:szCs w:val="16"/>
                <w:b w:val="1"/>
                <w:bCs w:val="1"/>
                <w:color w:val="auto"/>
              </w:rPr>
              <w:t>Not applicable</w:t>
            </w:r>
          </w:p>
        </w:tc>
      </w:tr>
      <w:tr>
        <w:trPr>
          <w:trHeight w:val="189"/>
        </w:trPr>
        <w:tc>
          <w:tcPr>
            <w:tcW w:w="3140" w:type="dxa"/>
            <w:vAlign w:val="bottom"/>
          </w:tcPr>
          <w:p>
            <w:pPr>
              <w:jc w:val="center"/>
              <w:ind w:right="779"/>
              <w:spacing w:after="0"/>
              <w:rPr>
                <w:sz w:val="20"/>
                <w:szCs w:val="20"/>
                <w:color w:val="auto"/>
              </w:rPr>
            </w:pPr>
            <w:r>
              <w:rPr>
                <w:rFonts w:ascii="Arial" w:cs="Arial" w:eastAsia="Arial" w:hAnsi="Arial"/>
                <w:sz w:val="16"/>
                <w:szCs w:val="16"/>
                <w:i w:val="1"/>
                <w:iCs w:val="1"/>
                <w:color w:val="auto"/>
              </w:rPr>
              <w:t>(State or other jurisdiction</w:t>
            </w:r>
          </w:p>
        </w:tc>
        <w:tc>
          <w:tcPr>
            <w:tcW w:w="4020" w:type="dxa"/>
            <w:vAlign w:val="bottom"/>
          </w:tcPr>
          <w:p>
            <w:pPr>
              <w:jc w:val="center"/>
              <w:ind w:right="159"/>
              <w:spacing w:after="0"/>
              <w:rPr>
                <w:sz w:val="20"/>
                <w:szCs w:val="20"/>
                <w:color w:val="auto"/>
              </w:rPr>
            </w:pPr>
            <w:r>
              <w:rPr>
                <w:rFonts w:ascii="Arial" w:cs="Arial" w:eastAsia="Arial" w:hAnsi="Arial"/>
                <w:sz w:val="16"/>
                <w:szCs w:val="16"/>
                <w:i w:val="1"/>
                <w:iCs w:val="1"/>
                <w:color w:val="auto"/>
              </w:rPr>
              <w:t>(Primary Standard Industrial</w:t>
            </w:r>
          </w:p>
        </w:tc>
        <w:tc>
          <w:tcPr>
            <w:tcW w:w="2360" w:type="dxa"/>
            <w:vAlign w:val="bottom"/>
          </w:tcPr>
          <w:p>
            <w:pPr>
              <w:jc w:val="center"/>
              <w:ind w:left="1039"/>
              <w:spacing w:after="0"/>
              <w:rPr>
                <w:sz w:val="20"/>
                <w:szCs w:val="20"/>
                <w:color w:val="auto"/>
              </w:rPr>
            </w:pPr>
            <w:r>
              <w:rPr>
                <w:rFonts w:ascii="Arial" w:cs="Arial" w:eastAsia="Arial" w:hAnsi="Arial"/>
                <w:sz w:val="16"/>
                <w:szCs w:val="16"/>
                <w:i w:val="1"/>
                <w:iCs w:val="1"/>
                <w:color w:val="auto"/>
              </w:rPr>
              <w:t>(I.R.S. Employer</w:t>
            </w:r>
          </w:p>
        </w:tc>
      </w:tr>
      <w:tr>
        <w:trPr>
          <w:trHeight w:val="211"/>
        </w:trPr>
        <w:tc>
          <w:tcPr>
            <w:tcW w:w="3140" w:type="dxa"/>
            <w:vAlign w:val="bottom"/>
          </w:tcPr>
          <w:p>
            <w:pPr>
              <w:jc w:val="center"/>
              <w:ind w:right="779"/>
              <w:spacing w:after="0"/>
              <w:rPr>
                <w:sz w:val="20"/>
                <w:szCs w:val="20"/>
                <w:color w:val="auto"/>
              </w:rPr>
            </w:pPr>
            <w:r>
              <w:rPr>
                <w:rFonts w:ascii="Arial" w:cs="Arial" w:eastAsia="Arial" w:hAnsi="Arial"/>
                <w:sz w:val="16"/>
                <w:szCs w:val="16"/>
                <w:i w:val="1"/>
                <w:iCs w:val="1"/>
                <w:color w:val="auto"/>
              </w:rPr>
              <w:t>of incorporation or organization)</w:t>
            </w:r>
          </w:p>
        </w:tc>
        <w:tc>
          <w:tcPr>
            <w:tcW w:w="4020" w:type="dxa"/>
            <w:vAlign w:val="bottom"/>
          </w:tcPr>
          <w:p>
            <w:pPr>
              <w:jc w:val="center"/>
              <w:ind w:right="159"/>
              <w:spacing w:after="0"/>
              <w:rPr>
                <w:sz w:val="20"/>
                <w:szCs w:val="20"/>
                <w:color w:val="auto"/>
              </w:rPr>
            </w:pPr>
            <w:r>
              <w:rPr>
                <w:rFonts w:ascii="Arial" w:cs="Arial" w:eastAsia="Arial" w:hAnsi="Arial"/>
                <w:sz w:val="16"/>
                <w:szCs w:val="16"/>
                <w:i w:val="1"/>
                <w:iCs w:val="1"/>
                <w:color w:val="auto"/>
              </w:rPr>
              <w:t>Classification Code Number)</w:t>
            </w:r>
          </w:p>
        </w:tc>
        <w:tc>
          <w:tcPr>
            <w:tcW w:w="2360" w:type="dxa"/>
            <w:vAlign w:val="bottom"/>
          </w:tcPr>
          <w:p>
            <w:pPr>
              <w:jc w:val="center"/>
              <w:ind w:left="1019"/>
              <w:spacing w:after="0"/>
              <w:rPr>
                <w:sz w:val="20"/>
                <w:szCs w:val="20"/>
                <w:color w:val="auto"/>
              </w:rPr>
            </w:pPr>
            <w:r>
              <w:rPr>
                <w:rFonts w:ascii="Arial" w:cs="Arial" w:eastAsia="Arial" w:hAnsi="Arial"/>
                <w:sz w:val="16"/>
                <w:szCs w:val="16"/>
                <w:i w:val="1"/>
                <w:iCs w:val="1"/>
                <w:color w:val="auto"/>
              </w:rPr>
              <w:t>Identification No.)</w:t>
            </w:r>
          </w:p>
        </w:tc>
      </w:tr>
    </w:tbl>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 Cross Street #10-00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PWC Building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Singapore 048424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+65 6236 7389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96520</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CT Corporation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155 Federal Street, Suite 700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Boston, MA 02110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(617) 757-6400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106680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of all communications, including communications sent to agent for service, should be sent to:</w:t>
      </w:r>
    </w:p>
    <w:p>
      <w:pPr>
        <w:spacing w:after="0" w:line="86" w:lineRule="exact"/>
        <w:rPr>
          <w:sz w:val="24"/>
          <w:szCs w:val="24"/>
          <w:color w:val="auto"/>
        </w:rPr>
      </w:pPr>
    </w:p>
    <w:tbl>
      <w:tblPr>
        <w:tblLayout w:type="fixed"/>
        <w:tblInd w:w="880" w:type="dxa"/>
        <w:tblCellMar>
          <w:top w:w="0" w:type="dxa"/>
          <w:left w:w="0" w:type="dxa"/>
          <w:bottom w:w="0" w:type="dxa"/>
          <w:right w:w="0" w:type="dxa"/>
        </w:tblCellMar>
      </w:tblP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William C. Hicks</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w w:val="99"/>
              </w:rPr>
              <w:t>Frank F. Rahmani</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Matthew J. Gardella</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Nicole Brookshire</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Linda Rockett</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w w:val="99"/>
              </w:rPr>
              <w:t>John T. McKenna</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Mintz, Levin, Cohn, Ferris, Glovsky and Popeo, P.C.</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Cooley LLP</w:t>
            </w:r>
          </w:p>
        </w:tc>
      </w:tr>
      <w:tr>
        <w:trPr>
          <w:trHeight w:val="189"/>
        </w:trPr>
        <w:tc>
          <w:tcPr>
            <w:tcW w:w="5480" w:type="dxa"/>
            <w:vAlign w:val="bottom"/>
          </w:tcPr>
          <w:p>
            <w:pPr>
              <w:jc w:val="center"/>
              <w:ind w:right="1419"/>
              <w:spacing w:after="0"/>
              <w:rPr>
                <w:sz w:val="20"/>
                <w:szCs w:val="20"/>
                <w:color w:val="auto"/>
              </w:rPr>
            </w:pPr>
            <w:r>
              <w:rPr>
                <w:rFonts w:ascii="Arial" w:cs="Arial" w:eastAsia="Arial" w:hAnsi="Arial"/>
                <w:sz w:val="16"/>
                <w:szCs w:val="16"/>
                <w:b w:val="1"/>
                <w:bCs w:val="1"/>
                <w:color w:val="auto"/>
              </w:rPr>
              <w:t>One Financial Center</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rPr>
              <w:t>500 Boylston Street</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Boston, MA 02111</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rPr>
              <w:t>Boston, MA 02116</w:t>
            </w:r>
          </w:p>
        </w:tc>
      </w:tr>
      <w:tr>
        <w:trPr>
          <w:trHeight w:val="215"/>
        </w:trPr>
        <w:tc>
          <w:tcPr>
            <w:tcW w:w="5480" w:type="dxa"/>
            <w:vAlign w:val="bottom"/>
          </w:tcPr>
          <w:p>
            <w:pPr>
              <w:jc w:val="center"/>
              <w:ind w:right="1419"/>
              <w:spacing w:after="0"/>
              <w:rPr>
                <w:sz w:val="20"/>
                <w:szCs w:val="20"/>
                <w:color w:val="auto"/>
              </w:rPr>
            </w:pPr>
            <w:r>
              <w:rPr>
                <w:rFonts w:ascii="Arial" w:cs="Arial" w:eastAsia="Arial" w:hAnsi="Arial"/>
                <w:sz w:val="16"/>
                <w:szCs w:val="16"/>
                <w:b w:val="1"/>
                <w:bCs w:val="1"/>
                <w:color w:val="auto"/>
              </w:rPr>
              <w:t>(617) 542-6000</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(617) 937-2300</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Approximate date of commencement of proposed sale to the public: 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109220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8"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6"/>
          <w:szCs w:val="16"/>
          <w:color w:val="auto"/>
        </w:rPr>
        <w:t>☐</w:t>
      </w:r>
    </w:p>
    <w:p>
      <w:pPr>
        <w:spacing w:after="0" w:line="30"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7" w:lineRule="exact"/>
        <w:rPr>
          <w:sz w:val="24"/>
          <w:szCs w:val="24"/>
          <w:color w:val="auto"/>
        </w:rPr>
      </w:pPr>
    </w:p>
    <w:p>
      <w:pPr>
        <w:ind w:right="8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0"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0" w:lineRule="exact"/>
        <w:rPr>
          <w:sz w:val="24"/>
          <w:szCs w:val="24"/>
          <w:color w:val="auto"/>
        </w:rPr>
      </w:pPr>
    </w:p>
    <w:p>
      <w:pPr>
        <w:ind w:right="16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200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3120" w:type="dxa"/>
            <w:vAlign w:val="bottom"/>
            <w:gridSpan w:val="2"/>
          </w:tcPr>
          <w:p>
            <w:pPr>
              <w:ind w:left="12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3220" w:type="dxa"/>
            <w:vAlign w:val="bottom"/>
            <w:gridSpan w:val="3"/>
          </w:tcPr>
          <w:p>
            <w:pPr>
              <w:ind w:left="5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2820" w:type="dxa"/>
            <w:vAlign w:val="bottom"/>
            <w:gridSpan w:val="2"/>
          </w:tcPr>
          <w:p>
            <w:pPr>
              <w:jc w:val="right"/>
              <w:ind w:right="485"/>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20" w:type="dxa"/>
            <w:vAlign w:val="bottom"/>
            <w:gridSpan w:val="3"/>
          </w:tcPr>
          <w:p>
            <w:pPr>
              <w:jc w:val="center"/>
              <w:ind w:left="479"/>
              <w:spacing w:after="0"/>
              <w:rPr>
                <w:sz w:val="20"/>
                <w:szCs w:val="20"/>
                <w:color w:val="auto"/>
              </w:rPr>
            </w:pPr>
            <w:r>
              <w:rPr>
                <w:rFonts w:ascii="Arial" w:cs="Arial" w:eastAsia="Arial" w:hAnsi="Arial"/>
                <w:sz w:val="16"/>
                <w:szCs w:val="16"/>
                <w:color w:val="auto"/>
              </w:rPr>
              <w:t>(Do not check if a</w:t>
            </w: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2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20" w:type="dxa"/>
            <w:vAlign w:val="bottom"/>
            <w:gridSpan w:val="3"/>
          </w:tcPr>
          <w:p>
            <w:pPr>
              <w:jc w:val="center"/>
              <w:ind w:left="499"/>
              <w:spacing w:after="0"/>
              <w:rPr>
                <w:sz w:val="20"/>
                <w:szCs w:val="20"/>
                <w:color w:val="auto"/>
              </w:rPr>
            </w:pPr>
            <w:r>
              <w:rPr>
                <w:rFonts w:ascii="Arial" w:cs="Arial" w:eastAsia="Arial" w:hAnsi="Arial"/>
                <w:sz w:val="16"/>
                <w:szCs w:val="16"/>
                <w:color w:val="auto"/>
              </w:rPr>
              <w:t>smaller reporting company)</w:t>
            </w: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2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700" w:type="dxa"/>
            <w:vAlign w:val="bottom"/>
            <w:tcBorders>
              <w:bottom w:val="single" w:sz="8" w:color="auto"/>
            </w:tcBorders>
            <w:gridSpan w:val="2"/>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7"/>
        </w:trPr>
        <w:tc>
          <w:tcPr>
            <w:tcW w:w="2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380" w:type="dxa"/>
            <w:vAlign w:val="bottom"/>
            <w:gridSpan w:val="4"/>
          </w:tcPr>
          <w:p>
            <w:pPr>
              <w:ind w:left="240"/>
              <w:spacing w:after="0"/>
              <w:rPr>
                <w:sz w:val="20"/>
                <w:szCs w:val="20"/>
                <w:color w:val="auto"/>
              </w:rPr>
            </w:pPr>
            <w:r>
              <w:rPr>
                <w:rFonts w:ascii="Arial" w:cs="Arial" w:eastAsia="Arial" w:hAnsi="Arial"/>
                <w:sz w:val="16"/>
                <w:szCs w:val="16"/>
                <w:b w:val="1"/>
                <w:bCs w:val="1"/>
                <w:color w:val="auto"/>
              </w:rPr>
              <w:t>CALCULATION OF REGISTRATION FEE</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81"/>
        </w:trPr>
        <w:tc>
          <w:tcPr>
            <w:tcW w:w="2000" w:type="dxa"/>
            <w:vAlign w:val="bottom"/>
            <w:tcBorders>
              <w:bottom w:val="single" w:sz="8" w:color="auto"/>
            </w:tcBorders>
          </w:tcPr>
          <w:p>
            <w:pPr>
              <w:spacing w:after="0"/>
              <w:rPr>
                <w:sz w:val="7"/>
                <w:szCs w:val="7"/>
                <w:color w:val="auto"/>
              </w:rPr>
            </w:pPr>
          </w:p>
        </w:tc>
        <w:tc>
          <w:tcPr>
            <w:tcW w:w="3120" w:type="dxa"/>
            <w:vAlign w:val="bottom"/>
            <w:tcBorders>
              <w:bottom w:val="single" w:sz="8" w:color="auto"/>
            </w:tcBorders>
            <w:gridSpan w:val="2"/>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3080" w:type="dxa"/>
            <w:vAlign w:val="bottom"/>
            <w:tcBorders>
              <w:bottom w:val="single" w:sz="8" w:color="auto"/>
            </w:tcBorders>
            <w:gridSpan w:val="3"/>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r>
      <w:tr>
        <w:trPr>
          <w:trHeight w:val="149"/>
        </w:trPr>
        <w:tc>
          <w:tcPr>
            <w:tcW w:w="2000" w:type="dxa"/>
            <w:vAlign w:val="bottom"/>
          </w:tcPr>
          <w:p>
            <w:pPr>
              <w:spacing w:after="0"/>
              <w:rPr>
                <w:sz w:val="12"/>
                <w:szCs w:val="12"/>
                <w:color w:val="auto"/>
              </w:rPr>
            </w:pPr>
          </w:p>
        </w:tc>
        <w:tc>
          <w:tcPr>
            <w:tcW w:w="3120" w:type="dxa"/>
            <w:vAlign w:val="bottom"/>
            <w:gridSpan w:val="2"/>
          </w:tcPr>
          <w:p>
            <w:pPr>
              <w:jc w:val="center"/>
              <w:ind w:right="379"/>
              <w:spacing w:after="0" w:line="149" w:lineRule="exact"/>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tcPr>
          <w:p>
            <w:pPr>
              <w:spacing w:after="0"/>
              <w:rPr>
                <w:sz w:val="12"/>
                <w:szCs w:val="12"/>
                <w:color w:val="auto"/>
              </w:rPr>
            </w:pPr>
          </w:p>
        </w:tc>
        <w:tc>
          <w:tcPr>
            <w:tcW w:w="3080" w:type="dxa"/>
            <w:vAlign w:val="bottom"/>
            <w:tcBorders>
              <w:right w:val="single" w:sz="8" w:color="auto"/>
            </w:tcBorders>
            <w:gridSpan w:val="3"/>
          </w:tcPr>
          <w:p>
            <w:pPr>
              <w:jc w:val="center"/>
              <w:ind w:left="7"/>
              <w:spacing w:after="0" w:line="149" w:lineRule="exact"/>
              <w:rPr>
                <w:sz w:val="20"/>
                <w:szCs w:val="20"/>
                <w:color w:val="auto"/>
              </w:rPr>
            </w:pPr>
            <w:r>
              <w:rPr>
                <w:rFonts w:ascii="Arial" w:cs="Arial" w:eastAsia="Arial" w:hAnsi="Arial"/>
                <w:sz w:val="14"/>
                <w:szCs w:val="14"/>
                <w:b w:val="1"/>
                <w:bCs w:val="1"/>
                <w:color w:val="auto"/>
              </w:rPr>
              <w:t>PROPOSED MAXIMUM</w:t>
            </w:r>
          </w:p>
        </w:tc>
        <w:tc>
          <w:tcPr>
            <w:tcW w:w="1420" w:type="dxa"/>
            <w:vAlign w:val="bottom"/>
          </w:tcPr>
          <w:p>
            <w:pPr>
              <w:jc w:val="center"/>
              <w:ind w:left="265"/>
              <w:spacing w:after="0" w:line="149" w:lineRule="exact"/>
              <w:rPr>
                <w:sz w:val="20"/>
                <w:szCs w:val="20"/>
                <w:color w:val="auto"/>
              </w:rPr>
            </w:pPr>
            <w:r>
              <w:rPr>
                <w:rFonts w:ascii="Arial" w:cs="Arial" w:eastAsia="Arial" w:hAnsi="Arial"/>
                <w:sz w:val="14"/>
                <w:szCs w:val="14"/>
                <w:b w:val="1"/>
                <w:bCs w:val="1"/>
                <w:color w:val="auto"/>
              </w:rPr>
              <w:t>AMOUNT OF</w:t>
            </w:r>
          </w:p>
        </w:tc>
        <w:tc>
          <w:tcPr>
            <w:tcW w:w="260" w:type="dxa"/>
            <w:vAlign w:val="bottom"/>
          </w:tcPr>
          <w:p>
            <w:pPr>
              <w:spacing w:after="0"/>
              <w:rPr>
                <w:sz w:val="12"/>
                <w:szCs w:val="12"/>
                <w:color w:val="auto"/>
              </w:rPr>
            </w:pPr>
          </w:p>
        </w:tc>
      </w:tr>
      <w:tr>
        <w:trPr>
          <w:trHeight w:val="189"/>
        </w:trPr>
        <w:tc>
          <w:tcPr>
            <w:tcW w:w="20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ind w:left="7"/>
              <w:spacing w:after="0" w:line="189" w:lineRule="exact"/>
              <w:rPr>
                <w:sz w:val="20"/>
                <w:szCs w:val="20"/>
                <w:color w:val="auto"/>
              </w:rPr>
            </w:pPr>
            <w:r>
              <w:rPr>
                <w:rFonts w:ascii="Arial" w:cs="Arial" w:eastAsia="Arial" w:hAnsi="Arial"/>
                <w:sz w:val="13"/>
                <w:szCs w:val="13"/>
                <w:b w:val="1"/>
                <w:bCs w:val="1"/>
                <w:color w:val="auto"/>
              </w:rPr>
              <w:t xml:space="preserve">AGGREGATE OFFERING PRICE </w:t>
            </w:r>
            <w:r>
              <w:rPr>
                <w:rFonts w:ascii="Arial" w:cs="Arial" w:eastAsia="Arial" w:hAnsi="Arial"/>
                <w:sz w:val="21"/>
                <w:szCs w:val="21"/>
                <w:b w:val="1"/>
                <w:bCs w:val="1"/>
                <w:color w:val="auto"/>
                <w:vertAlign w:val="superscript"/>
              </w:rPr>
              <w:t>(1)(2)</w:t>
            </w:r>
          </w:p>
        </w:tc>
        <w:tc>
          <w:tcPr>
            <w:tcW w:w="1680" w:type="dxa"/>
            <w:vAlign w:val="bottom"/>
            <w:tcBorders>
              <w:bottom w:val="single" w:sz="8" w:color="auto"/>
            </w:tcBorders>
            <w:gridSpan w:val="2"/>
          </w:tcPr>
          <w:p>
            <w:pPr>
              <w:jc w:val="center"/>
              <w:ind w:left="5"/>
              <w:spacing w:after="0"/>
              <w:rPr>
                <w:sz w:val="20"/>
                <w:szCs w:val="20"/>
                <w:color w:val="auto"/>
              </w:rPr>
            </w:pPr>
            <w:r>
              <w:rPr>
                <w:rFonts w:ascii="Arial" w:cs="Arial" w:eastAsia="Arial" w:hAnsi="Arial"/>
                <w:sz w:val="14"/>
                <w:szCs w:val="14"/>
                <w:b w:val="1"/>
                <w:bCs w:val="1"/>
                <w:color w:val="auto"/>
              </w:rPr>
              <w:t>REGISTRATION FEE</w:t>
            </w:r>
          </w:p>
        </w:tc>
      </w:tr>
      <w:tr>
        <w:trPr>
          <w:trHeight w:val="190"/>
        </w:trPr>
        <w:tc>
          <w:tcPr>
            <w:tcW w:w="5120" w:type="dxa"/>
            <w:vAlign w:val="bottom"/>
            <w:tcBorders>
              <w:bottom w:val="single" w:sz="8" w:color="auto"/>
            </w:tcBorders>
            <w:gridSpan w:val="3"/>
          </w:tcPr>
          <w:p>
            <w:pPr>
              <w:spacing w:after="0" w:line="183" w:lineRule="exact"/>
              <w:rPr>
                <w:sz w:val="20"/>
                <w:szCs w:val="20"/>
                <w:color w:val="auto"/>
              </w:rPr>
            </w:pPr>
            <w:r>
              <w:rPr>
                <w:rFonts w:ascii="Arial" w:cs="Arial" w:eastAsia="Arial" w:hAnsi="Arial"/>
                <w:sz w:val="16"/>
                <w:szCs w:val="16"/>
                <w:color w:val="auto"/>
              </w:rPr>
              <w:t>Ordinary Shares, no par value per share</w:t>
            </w:r>
          </w:p>
        </w:tc>
        <w:tc>
          <w:tcPr>
            <w:tcW w:w="15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jc w:val="right"/>
              <w:ind w:right="507"/>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65"/>
              <w:spacing w:after="0" w:line="183"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r>
    </w:tbl>
    <w:p>
      <w:pPr>
        <w:ind w:left="340" w:hanging="305"/>
        <w:spacing w:after="0" w:line="180"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340" w:hanging="265"/>
        <w:spacing w:after="0" w:line="189" w:lineRule="auto"/>
        <w:tabs>
          <w:tab w:leader="none" w:pos="340" w:val="left"/>
        </w:tabs>
        <w:numPr>
          <w:ilvl w:val="1"/>
          <w:numId w:val="1"/>
        </w:numPr>
        <w:rPr>
          <w:rFonts w:ascii="Arial" w:cs="Arial" w:eastAsia="Arial" w:hAnsi="Arial"/>
          <w:sz w:val="19"/>
          <w:szCs w:val="19"/>
          <w:color w:val="auto"/>
          <w:vertAlign w:val="superscript"/>
        </w:rPr>
      </w:pPr>
      <w:r>
        <w:rPr>
          <w:rFonts w:ascii="Arial" w:cs="Arial" w:eastAsia="Arial" w:hAnsi="Arial"/>
          <w:sz w:val="12"/>
          <w:szCs w:val="12"/>
          <w:color w:val="auto"/>
        </w:rPr>
        <w:t>Includes the offering price of any additional ordinary shares that the underwriters have the option to purchase.</w:t>
      </w:r>
    </w:p>
    <w:p>
      <w:pPr>
        <w:spacing w:after="0" w:line="28" w:lineRule="exact"/>
        <w:rPr>
          <w:sz w:val="24"/>
          <w:szCs w:val="24"/>
          <w:color w:val="auto"/>
        </w:rPr>
      </w:pPr>
    </w:p>
    <w:p>
      <w:pPr>
        <w:ind w:right="120"/>
        <w:spacing w:after="0" w:line="251"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34"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6"/>
          <w:szCs w:val="16"/>
          <w:color w:val="C21128"/>
        </w:rPr>
        <w:t>SUBJECT TO COMPLETION, DATED SEPTEMBER</w:t>
        <w:tab/>
        <w:t>, 2015</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336" w:lineRule="exact"/>
        <w:rPr>
          <w:sz w:val="20"/>
          <w:szCs w:val="20"/>
          <w:color w:val="auto"/>
        </w:rPr>
      </w:pPr>
    </w:p>
    <w:p>
      <w:pPr>
        <w:ind w:left="57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57960"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Ordinary Shares</w:t>
      </w:r>
    </w:p>
    <w:p>
      <w:pPr>
        <w:spacing w:after="0" w:line="255"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7"/>
          <w:szCs w:val="17"/>
          <w:color w:val="auto"/>
        </w:rPr>
        <w:t>of our ordinary shares. This is our initial public offering and no public market currently exists for our ordinary shares.</w:t>
      </w:r>
    </w:p>
    <w:p>
      <w:pPr>
        <w:spacing w:after="0"/>
        <w:tabs>
          <w:tab w:leader="none" w:pos="4980" w:val="left"/>
          <w:tab w:leader="none" w:pos="5880" w:val="left"/>
        </w:tabs>
        <w:rPr>
          <w:sz w:val="20"/>
          <w:szCs w:val="20"/>
          <w:color w:val="auto"/>
        </w:rPr>
      </w:pPr>
      <w:r>
        <w:rPr>
          <w:rFonts w:ascii="Arial" w:cs="Arial" w:eastAsia="Arial" w:hAnsi="Arial"/>
          <w:sz w:val="18"/>
          <w:szCs w:val="18"/>
          <w:color w:val="auto"/>
        </w:rPr>
        <w:t>We expect the initial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list our ordinary shares on the NASDAQ Global Market under the symbol “WVE.”</w:t>
      </w:r>
    </w:p>
    <w:p>
      <w:pPr>
        <w:spacing w:after="0" w:line="19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and, as such, will be subject to reduced public reporting requirements.</w:t>
      </w:r>
    </w:p>
    <w:p>
      <w:pPr>
        <w:spacing w:after="0" w:line="154"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risks. See the section titled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13.</w:t>
      </w:r>
    </w:p>
    <w:p>
      <w:pPr>
        <w:spacing w:after="0" w:line="212"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1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34"/>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2160" w:type="dxa"/>
            <w:vAlign w:val="bottom"/>
            <w:gridSpan w:val="2"/>
          </w:tcPr>
          <w:p>
            <w:pPr>
              <w:jc w:val="right"/>
              <w:ind w:right="739"/>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720" w:type="dxa"/>
            <w:vAlign w:val="bottom"/>
          </w:tcPr>
          <w:p>
            <w:pPr>
              <w:jc w:val="right"/>
              <w:ind w:right="534"/>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WAVE Life Sciences Pte. Ltd., before expenses</w:t>
            </w:r>
          </w:p>
        </w:tc>
        <w:tc>
          <w:tcPr>
            <w:tcW w:w="2160" w:type="dxa"/>
            <w:vAlign w:val="bottom"/>
            <w:gridSpan w:val="2"/>
            <w:shd w:val="clear" w:color="auto" w:fill="CCEEFF"/>
          </w:tcPr>
          <w:p>
            <w:pPr>
              <w:jc w:val="right"/>
              <w:ind w:right="739"/>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7"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3"/>
          <w:szCs w:val="13"/>
          <w:color w:val="auto"/>
        </w:rPr>
      </w:pPr>
      <w:r>
        <w:rPr>
          <w:rFonts w:ascii="Arial" w:cs="Arial" w:eastAsia="Arial" w:hAnsi="Arial"/>
          <w:sz w:val="15"/>
          <w:szCs w:val="15"/>
          <w:color w:val="auto"/>
        </w:rPr>
        <w:t>We refer you to the section titled “Underwriting” for additional information regarding underwriter compensation.</w:t>
      </w:r>
    </w:p>
    <w:p>
      <w:pPr>
        <w:spacing w:after="0" w:line="2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Delivery of the ordinary shares is expected to be made on or about , 2015. We have granted the underwriters an option for a period of 30 days to purchase up to an additional ordinary shares solely to cover over-allotments. If the underwriters exercise the option in full, the total underwriting discounts and commissions payable by us will be $ , and the total proceeds to us, before expenses, will be $ .</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Leerink Partners</w:t>
      </w:r>
    </w:p>
    <w:p>
      <w:pPr>
        <w:spacing w:after="0" w:line="211" w:lineRule="exact"/>
        <w:rPr>
          <w:sz w:val="20"/>
          <w:szCs w:val="20"/>
          <w:color w:val="auto"/>
        </w:rPr>
      </w:pPr>
    </w:p>
    <w:p>
      <w:pPr>
        <w:sectPr>
          <w:pgSz w:w="11900" w:h="16838" w:orient="portrait"/>
          <w:cols w:equalWidth="0" w:num="2">
            <w:col w:w="8420" w:space="720"/>
            <w:col w:w="228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22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Prospectus dated</w:t>
            </w:r>
          </w:p>
        </w:tc>
        <w:tc>
          <w:tcPr>
            <w:tcW w:w="1080" w:type="dxa"/>
            <w:vAlign w:val="bottom"/>
          </w:tcPr>
          <w:p>
            <w:pPr>
              <w:jc w:val="right"/>
              <w:spacing w:after="0"/>
              <w:rPr>
                <w:sz w:val="20"/>
                <w:szCs w:val="20"/>
                <w:color w:val="auto"/>
              </w:rPr>
            </w:pPr>
            <w:r>
              <w:rPr>
                <w:rFonts w:ascii="Arial" w:cs="Arial" w:eastAsia="Arial" w:hAnsi="Arial"/>
                <w:sz w:val="18"/>
                <w:szCs w:val="18"/>
                <w:color w:val="auto"/>
              </w:rPr>
              <w:t>, 2015.</w:t>
            </w: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gridSpan w:val="21"/>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Prospectus Summary</w:t>
              </w:r>
            </w:hyperlink>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00" w:type="dxa"/>
            <w:vAlign w:val="bottom"/>
            <w:gridSpan w:val="21"/>
            <w:vMerge w:val="continue"/>
          </w:tcPr>
          <w:p>
            <w:pPr>
              <w:spacing w:after="0"/>
              <w:rPr>
                <w:sz w:val="13"/>
                <w:szCs w:val="13"/>
                <w:color w:val="auto"/>
              </w:rPr>
            </w:pPr>
          </w:p>
        </w:tc>
        <w:tc>
          <w:tcPr>
            <w:tcW w:w="4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97"/>
              </w:rPr>
            </w:pPr>
            <w:hyperlink w:anchor="page16">
              <w:r>
                <w:rPr>
                  <w:rFonts w:ascii="Arial" w:cs="Arial" w:eastAsia="Arial" w:hAnsi="Arial"/>
                  <w:sz w:val="17"/>
                  <w:szCs w:val="17"/>
                  <w:color w:val="0000EE"/>
                  <w:w w:val="97"/>
                </w:rPr>
                <w:t>Risk Factors</w:t>
              </w:r>
            </w:hyperlink>
          </w:p>
        </w:tc>
        <w:tc>
          <w:tcPr>
            <w:tcW w:w="680" w:type="dxa"/>
            <w:vAlign w:val="bottom"/>
            <w:tcBorders>
              <w:top w:val="single" w:sz="8" w:color="0000EE"/>
            </w:tcBorders>
            <w:gridSpan w:val="4"/>
          </w:tcPr>
          <w:p>
            <w:pPr>
              <w:spacing w:after="0"/>
              <w:rPr>
                <w:sz w:val="14"/>
                <w:szCs w:val="14"/>
                <w:color w:val="auto"/>
              </w:rPr>
            </w:pPr>
          </w:p>
        </w:tc>
        <w:tc>
          <w:tcPr>
            <w:tcW w:w="9260" w:type="dxa"/>
            <w:vAlign w:val="bottom"/>
            <w:gridSpan w:val="14"/>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69"/>
        </w:trPr>
        <w:tc>
          <w:tcPr>
            <w:tcW w:w="5720" w:type="dxa"/>
            <w:vAlign w:val="bottom"/>
            <w:tcBorders>
              <w:bottom w:val="single" w:sz="8" w:color="0000EE"/>
            </w:tcBorders>
            <w:gridSpan w:val="19"/>
          </w:tcPr>
          <w:p>
            <w:pPr>
              <w:spacing w:after="0" w:line="169" w:lineRule="exact"/>
              <w:rPr>
                <w:rFonts w:ascii="Arial" w:cs="Arial" w:eastAsia="Arial" w:hAnsi="Arial"/>
                <w:sz w:val="17"/>
                <w:szCs w:val="17"/>
                <w:color w:val="0000EE"/>
              </w:rPr>
            </w:pPr>
            <w:hyperlink w:anchor="page47">
              <w:r>
                <w:rPr>
                  <w:rFonts w:ascii="Arial" w:cs="Arial" w:eastAsia="Arial" w:hAnsi="Arial"/>
                  <w:sz w:val="17"/>
                  <w:szCs w:val="17"/>
                  <w:color w:val="0000EE"/>
                </w:rPr>
                <w:t>Enforcement of Civil Liabilities under United States Federal Securities Laws</w:t>
              </w:r>
            </w:hyperlink>
          </w:p>
        </w:tc>
        <w:tc>
          <w:tcPr>
            <w:tcW w:w="5180" w:type="dxa"/>
            <w:vAlign w:val="bottom"/>
            <w:gridSpan w:val="2"/>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69"/>
        </w:trPr>
        <w:tc>
          <w:tcPr>
            <w:tcW w:w="4060" w:type="dxa"/>
            <w:vAlign w:val="bottom"/>
            <w:tcBorders>
              <w:bottom w:val="single" w:sz="8" w:color="0000EE"/>
            </w:tcBorders>
            <w:gridSpan w:val="18"/>
          </w:tcPr>
          <w:p>
            <w:pPr>
              <w:spacing w:after="0" w:line="169" w:lineRule="exact"/>
              <w:rPr>
                <w:rFonts w:ascii="Arial" w:cs="Arial" w:eastAsia="Arial" w:hAnsi="Arial"/>
                <w:sz w:val="17"/>
                <w:szCs w:val="17"/>
                <w:color w:val="0000EE"/>
              </w:rPr>
            </w:pPr>
            <w:hyperlink w:anchor="page48">
              <w:r>
                <w:rPr>
                  <w:rFonts w:ascii="Arial" w:cs="Arial" w:eastAsia="Arial" w:hAnsi="Arial"/>
                  <w:sz w:val="17"/>
                  <w:szCs w:val="17"/>
                  <w:color w:val="0000EE"/>
                </w:rPr>
                <w:t>Special Note Regarding Forward-Looking Statements</w:t>
              </w:r>
            </w:hyperlink>
          </w:p>
        </w:tc>
        <w:tc>
          <w:tcPr>
            <w:tcW w:w="6840" w:type="dxa"/>
            <w:vAlign w:val="bottom"/>
            <w:gridSpan w:val="3"/>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49">
              <w:r>
                <w:rPr>
                  <w:rFonts w:ascii="Arial" w:cs="Arial" w:eastAsia="Arial" w:hAnsi="Arial"/>
                  <w:sz w:val="17"/>
                  <w:szCs w:val="17"/>
                  <w:color w:val="0000EE"/>
                </w:rPr>
                <w:t>Industry and Market Data</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69"/>
        </w:trPr>
        <w:tc>
          <w:tcPr>
            <w:tcW w:w="1280" w:type="dxa"/>
            <w:vAlign w:val="bottom"/>
            <w:tcBorders>
              <w:top w:val="single" w:sz="8" w:color="0000EE"/>
              <w:bottom w:val="single" w:sz="8" w:color="0000EE"/>
            </w:tcBorders>
            <w:gridSpan w:val="6"/>
          </w:tcPr>
          <w:p>
            <w:pPr>
              <w:spacing w:after="0" w:line="169" w:lineRule="exact"/>
              <w:rPr>
                <w:rFonts w:ascii="Arial" w:cs="Arial" w:eastAsia="Arial" w:hAnsi="Arial"/>
                <w:sz w:val="17"/>
                <w:szCs w:val="17"/>
                <w:color w:val="0000EE"/>
              </w:rPr>
            </w:pPr>
            <w:hyperlink w:anchor="page50">
              <w:r>
                <w:rPr>
                  <w:rFonts w:ascii="Arial" w:cs="Arial" w:eastAsia="Arial" w:hAnsi="Arial"/>
                  <w:sz w:val="17"/>
                  <w:szCs w:val="17"/>
                  <w:color w:val="0000EE"/>
                </w:rPr>
                <w:t>Use of Proceeds</w:t>
              </w:r>
            </w:hyperlink>
          </w:p>
        </w:tc>
        <w:tc>
          <w:tcPr>
            <w:tcW w:w="640" w:type="dxa"/>
            <w:vAlign w:val="bottom"/>
            <w:tcBorders>
              <w:top w:val="single" w:sz="8" w:color="0000EE"/>
            </w:tcBorders>
            <w:gridSpan w:val="3"/>
          </w:tcPr>
          <w:p>
            <w:pPr>
              <w:spacing w:after="0"/>
              <w:rPr>
                <w:sz w:val="14"/>
                <w:szCs w:val="14"/>
                <w:color w:val="auto"/>
              </w:rPr>
            </w:pPr>
          </w:p>
        </w:tc>
        <w:tc>
          <w:tcPr>
            <w:tcW w:w="8980" w:type="dxa"/>
            <w:vAlign w:val="bottom"/>
            <w:gridSpan w:val="12"/>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0000EE"/>
            </w:tcBorders>
            <w:gridSpan w:val="5"/>
          </w:tcPr>
          <w:p>
            <w:pPr>
              <w:spacing w:after="0" w:line="169" w:lineRule="exact"/>
              <w:rPr>
                <w:rFonts w:ascii="Arial" w:cs="Arial" w:eastAsia="Arial" w:hAnsi="Arial"/>
                <w:sz w:val="17"/>
                <w:szCs w:val="17"/>
                <w:color w:val="0000EE"/>
                <w:w w:val="99"/>
              </w:rPr>
            </w:pPr>
            <w:hyperlink w:anchor="page51">
              <w:r>
                <w:rPr>
                  <w:rFonts w:ascii="Arial" w:cs="Arial" w:eastAsia="Arial" w:hAnsi="Arial"/>
                  <w:sz w:val="17"/>
                  <w:szCs w:val="17"/>
                  <w:color w:val="0000EE"/>
                  <w:w w:val="99"/>
                </w:rPr>
                <w:t>Dividend Policy</w:t>
              </w:r>
            </w:hyperlink>
          </w:p>
        </w:tc>
        <w:tc>
          <w:tcPr>
            <w:tcW w:w="9720" w:type="dxa"/>
            <w:vAlign w:val="bottom"/>
            <w:gridSpan w:val="16"/>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0000EE"/>
            </w:tcBorders>
            <w:gridSpan w:val="4"/>
          </w:tcPr>
          <w:p>
            <w:pPr>
              <w:spacing w:after="0" w:line="169" w:lineRule="exact"/>
              <w:rPr>
                <w:rFonts w:ascii="Arial" w:cs="Arial" w:eastAsia="Arial" w:hAnsi="Arial"/>
                <w:sz w:val="17"/>
                <w:szCs w:val="17"/>
                <w:color w:val="0000EE"/>
                <w:w w:val="99"/>
              </w:rPr>
            </w:pPr>
            <w:hyperlink w:anchor="page52">
              <w:r>
                <w:rPr>
                  <w:rFonts w:ascii="Arial" w:cs="Arial" w:eastAsia="Arial" w:hAnsi="Arial"/>
                  <w:sz w:val="17"/>
                  <w:szCs w:val="17"/>
                  <w:color w:val="0000EE"/>
                  <w:w w:val="99"/>
                </w:rPr>
                <w:t>Capitalization</w:t>
              </w:r>
            </w:hyperlink>
          </w:p>
        </w:tc>
        <w:tc>
          <w:tcPr>
            <w:tcW w:w="9860" w:type="dxa"/>
            <w:vAlign w:val="bottom"/>
            <w:gridSpan w:val="17"/>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69"/>
        </w:trPr>
        <w:tc>
          <w:tcPr>
            <w:tcW w:w="580" w:type="dxa"/>
            <w:vAlign w:val="bottom"/>
            <w:tcBorders>
              <w:bottom w:val="single" w:sz="8" w:color="0000EE"/>
            </w:tcBorders>
          </w:tcPr>
          <w:p>
            <w:pPr>
              <w:spacing w:after="0" w:line="169" w:lineRule="exact"/>
              <w:rPr>
                <w:rFonts w:ascii="Arial" w:cs="Arial" w:eastAsia="Arial" w:hAnsi="Arial"/>
                <w:sz w:val="17"/>
                <w:szCs w:val="17"/>
                <w:color w:val="0000EE"/>
                <w:w w:val="98"/>
              </w:rPr>
            </w:pPr>
            <w:hyperlink w:anchor="page54">
              <w:r>
                <w:rPr>
                  <w:rFonts w:ascii="Arial" w:cs="Arial" w:eastAsia="Arial" w:hAnsi="Arial"/>
                  <w:sz w:val="17"/>
                  <w:szCs w:val="17"/>
                  <w:color w:val="0000EE"/>
                  <w:w w:val="98"/>
                </w:rPr>
                <w:t>Dilution</w:t>
              </w:r>
            </w:hyperlink>
          </w:p>
        </w:tc>
        <w:tc>
          <w:tcPr>
            <w:tcW w:w="10320" w:type="dxa"/>
            <w:vAlign w:val="bottom"/>
            <w:gridSpan w:val="20"/>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69"/>
        </w:trPr>
        <w:tc>
          <w:tcPr>
            <w:tcW w:w="286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w:anchor="page56">
              <w:r>
                <w:rPr>
                  <w:rFonts w:ascii="Arial" w:cs="Arial" w:eastAsia="Arial" w:hAnsi="Arial"/>
                  <w:sz w:val="17"/>
                  <w:szCs w:val="17"/>
                  <w:color w:val="0000EE"/>
                </w:rPr>
                <w:t>Selected Consolidated Financial Data</w:t>
              </w:r>
            </w:hyperlink>
          </w:p>
        </w:tc>
        <w:tc>
          <w:tcPr>
            <w:tcW w:w="8040" w:type="dxa"/>
            <w:vAlign w:val="bottom"/>
            <w:gridSpan w:val="7"/>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69"/>
        </w:trPr>
        <w:tc>
          <w:tcPr>
            <w:tcW w:w="6740" w:type="dxa"/>
            <w:vAlign w:val="bottom"/>
            <w:tcBorders>
              <w:bottom w:val="single" w:sz="8" w:color="0000EE"/>
            </w:tcBorders>
            <w:gridSpan w:val="20"/>
          </w:tcPr>
          <w:p>
            <w:pPr>
              <w:spacing w:after="0" w:line="169" w:lineRule="exact"/>
              <w:rPr>
                <w:rFonts w:ascii="Arial" w:cs="Arial" w:eastAsia="Arial" w:hAnsi="Arial"/>
                <w:sz w:val="17"/>
                <w:szCs w:val="17"/>
                <w:color w:val="0000EE"/>
              </w:rPr>
            </w:pPr>
            <w:hyperlink w:anchor="page58">
              <w:r>
                <w:rPr>
                  <w:rFonts w:ascii="Arial" w:cs="Arial" w:eastAsia="Arial" w:hAnsi="Arial"/>
                  <w:sz w:val="17"/>
                  <w:szCs w:val="17"/>
                  <w:color w:val="0000EE"/>
                </w:rPr>
                <w:t>Management’s Discussion and Analysis of Financial Condition and Results of Operations</w:t>
              </w:r>
            </w:hyperlink>
          </w:p>
        </w:tc>
        <w:tc>
          <w:tcPr>
            <w:tcW w:w="4160" w:type="dxa"/>
            <w:vAlign w:val="bottom"/>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74">
              <w:r>
                <w:rPr>
                  <w:rFonts w:ascii="Arial" w:cs="Arial" w:eastAsia="Arial" w:hAnsi="Arial"/>
                  <w:sz w:val="17"/>
                  <w:szCs w:val="17"/>
                  <w:color w:val="0000EE"/>
                </w:rPr>
                <w:t>Business</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95</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98">
              <w:r>
                <w:rPr>
                  <w:rFonts w:ascii="Arial" w:cs="Arial" w:eastAsia="Arial" w:hAnsi="Arial"/>
                  <w:sz w:val="17"/>
                  <w:szCs w:val="17"/>
                  <w:color w:val="0000EE"/>
                </w:rPr>
                <w:t>Management</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100</w:t>
            </w:r>
          </w:p>
        </w:tc>
        <w:tc>
          <w:tcPr>
            <w:tcW w:w="0" w:type="dxa"/>
            <w:vAlign w:val="bottom"/>
          </w:tcPr>
          <w:p>
            <w:pPr>
              <w:spacing w:after="0" w:line="20" w:lineRule="exact"/>
              <w:rPr>
                <w:sz w:val="1"/>
                <w:szCs w:val="1"/>
                <w:color w:val="auto"/>
              </w:rPr>
            </w:pPr>
          </w:p>
        </w:tc>
      </w:tr>
      <w:tr>
        <w:trPr>
          <w:trHeight w:val="169"/>
        </w:trPr>
        <w:tc>
          <w:tcPr>
            <w:tcW w:w="2880" w:type="dxa"/>
            <w:vAlign w:val="bottom"/>
            <w:tcBorders>
              <w:bottom w:val="single" w:sz="8" w:color="0000EE"/>
            </w:tcBorders>
            <w:gridSpan w:val="15"/>
          </w:tcPr>
          <w:p>
            <w:pPr>
              <w:spacing w:after="0" w:line="169" w:lineRule="exact"/>
              <w:rPr>
                <w:rFonts w:ascii="Arial" w:cs="Arial" w:eastAsia="Arial" w:hAnsi="Arial"/>
                <w:sz w:val="17"/>
                <w:szCs w:val="17"/>
                <w:color w:val="0000EE"/>
              </w:rPr>
            </w:pPr>
            <w:hyperlink w:anchor="page103">
              <w:r>
                <w:rPr>
                  <w:rFonts w:ascii="Arial" w:cs="Arial" w:eastAsia="Arial" w:hAnsi="Arial"/>
                  <w:sz w:val="17"/>
                  <w:szCs w:val="17"/>
                  <w:color w:val="0000EE"/>
                </w:rPr>
                <w:t>Executive and Director Compensation</w:t>
              </w:r>
            </w:hyperlink>
          </w:p>
        </w:tc>
        <w:tc>
          <w:tcPr>
            <w:tcW w:w="8020" w:type="dxa"/>
            <w:vAlign w:val="bottom"/>
            <w:gridSpan w:val="6"/>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08">
              <w:r>
                <w:rPr>
                  <w:rFonts w:ascii="Arial" w:cs="Arial" w:eastAsia="Arial" w:hAnsi="Arial"/>
                  <w:sz w:val="17"/>
                  <w:szCs w:val="17"/>
                  <w:color w:val="0000EE"/>
                </w:rPr>
                <w:t>Certain Relationships and Related Party Transactions</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69"/>
        </w:trPr>
        <w:tc>
          <w:tcPr>
            <w:tcW w:w="4060" w:type="dxa"/>
            <w:vAlign w:val="bottom"/>
            <w:tcBorders>
              <w:top w:val="single" w:sz="8" w:color="0000EE"/>
            </w:tcBorders>
            <w:gridSpan w:val="18"/>
          </w:tcPr>
          <w:p>
            <w:pPr>
              <w:spacing w:after="0" w:line="169" w:lineRule="exact"/>
              <w:rPr>
                <w:rFonts w:ascii="Arial" w:cs="Arial" w:eastAsia="Arial" w:hAnsi="Arial"/>
                <w:sz w:val="17"/>
                <w:szCs w:val="17"/>
                <w:color w:val="0000EE"/>
              </w:rPr>
            </w:pPr>
            <w:hyperlink w:anchor="page111">
              <w:r>
                <w:rPr>
                  <w:rFonts w:ascii="Arial" w:cs="Arial" w:eastAsia="Arial" w:hAnsi="Arial"/>
                  <w:sz w:val="17"/>
                  <w:szCs w:val="17"/>
                  <w:color w:val="0000EE"/>
                </w:rPr>
                <w:t>Principal Shareholders</w:t>
              </w:r>
            </w:hyperlink>
          </w:p>
        </w:tc>
        <w:tc>
          <w:tcPr>
            <w:tcW w:w="6840" w:type="dxa"/>
            <w:vAlign w:val="bottom"/>
            <w:gridSpan w:val="3"/>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111</w:t>
            </w:r>
          </w:p>
        </w:tc>
        <w:tc>
          <w:tcPr>
            <w:tcW w:w="0" w:type="dxa"/>
            <w:vAlign w:val="bottom"/>
          </w:tcPr>
          <w:p>
            <w:pPr>
              <w:spacing w:after="0" w:line="20" w:lineRule="exact"/>
              <w:rPr>
                <w:sz w:val="1"/>
                <w:szCs w:val="1"/>
                <w:color w:val="auto"/>
              </w:rPr>
            </w:pPr>
          </w:p>
        </w:tc>
      </w:tr>
      <w:tr>
        <w:trPr>
          <w:trHeight w:val="169"/>
        </w:trPr>
        <w:tc>
          <w:tcPr>
            <w:tcW w:w="2140" w:type="dxa"/>
            <w:vAlign w:val="bottom"/>
            <w:tcBorders>
              <w:bottom w:val="single" w:sz="8" w:color="0000EE"/>
            </w:tcBorders>
            <w:gridSpan w:val="11"/>
          </w:tcPr>
          <w:p>
            <w:pPr>
              <w:spacing w:after="0" w:line="169" w:lineRule="exact"/>
              <w:rPr>
                <w:rFonts w:ascii="Arial" w:cs="Arial" w:eastAsia="Arial" w:hAnsi="Arial"/>
                <w:sz w:val="17"/>
                <w:szCs w:val="17"/>
                <w:color w:val="0000EE"/>
              </w:rPr>
            </w:pPr>
            <w:hyperlink w:anchor="page114">
              <w:r>
                <w:rPr>
                  <w:rFonts w:ascii="Arial" w:cs="Arial" w:eastAsia="Arial" w:hAnsi="Arial"/>
                  <w:sz w:val="17"/>
                  <w:szCs w:val="17"/>
                  <w:color w:val="0000EE"/>
                </w:rPr>
                <w:t>Description of Share Capital</w:t>
              </w:r>
            </w:hyperlink>
          </w:p>
        </w:tc>
        <w:tc>
          <w:tcPr>
            <w:tcW w:w="8760" w:type="dxa"/>
            <w:vAlign w:val="bottom"/>
            <w:gridSpan w:val="10"/>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Borders>
              <w:bottom w:val="single" w:sz="8" w:color="0000EE"/>
            </w:tcBorders>
            <w:gridSpan w:val="13"/>
          </w:tcPr>
          <w:p>
            <w:pPr>
              <w:spacing w:after="0" w:line="169" w:lineRule="exact"/>
              <w:rPr>
                <w:rFonts w:ascii="Arial" w:cs="Arial" w:eastAsia="Arial" w:hAnsi="Arial"/>
                <w:sz w:val="17"/>
                <w:szCs w:val="17"/>
                <w:color w:val="0000EE"/>
              </w:rPr>
            </w:pPr>
            <w:hyperlink w:anchor="page123">
              <w:r>
                <w:rPr>
                  <w:rFonts w:ascii="Arial" w:cs="Arial" w:eastAsia="Arial" w:hAnsi="Arial"/>
                  <w:sz w:val="17"/>
                  <w:szCs w:val="17"/>
                  <w:color w:val="0000EE"/>
                </w:rPr>
                <w:t>Comparison of Shareholder Rights</w:t>
              </w:r>
            </w:hyperlink>
          </w:p>
        </w:tc>
        <w:tc>
          <w:tcPr>
            <w:tcW w:w="8260" w:type="dxa"/>
            <w:vAlign w:val="bottom"/>
            <w:gridSpan w:val="8"/>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38">
              <w:r>
                <w:rPr>
                  <w:rFonts w:ascii="Arial" w:cs="Arial" w:eastAsia="Arial" w:hAnsi="Arial"/>
                  <w:sz w:val="17"/>
                  <w:szCs w:val="17"/>
                  <w:color w:val="0000EE"/>
                </w:rPr>
                <w:t>Shares Eligible for Future Sale</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69"/>
        </w:trPr>
        <w:tc>
          <w:tcPr>
            <w:tcW w:w="2120" w:type="dxa"/>
            <w:vAlign w:val="bottom"/>
            <w:tcBorders>
              <w:top w:val="single" w:sz="8" w:color="0000EE"/>
              <w:bottom w:val="single" w:sz="8" w:color="0000EE"/>
            </w:tcBorders>
            <w:gridSpan w:val="10"/>
          </w:tcPr>
          <w:p>
            <w:pPr>
              <w:spacing w:after="0" w:line="169" w:lineRule="exact"/>
              <w:rPr>
                <w:rFonts w:ascii="Arial" w:cs="Arial" w:eastAsia="Arial" w:hAnsi="Arial"/>
                <w:sz w:val="17"/>
                <w:szCs w:val="17"/>
                <w:color w:val="0000EE"/>
                <w:w w:val="99"/>
              </w:rPr>
            </w:pPr>
            <w:hyperlink w:anchor="page140">
              <w:r>
                <w:rPr>
                  <w:rFonts w:ascii="Arial" w:cs="Arial" w:eastAsia="Arial" w:hAnsi="Arial"/>
                  <w:sz w:val="17"/>
                  <w:szCs w:val="17"/>
                  <w:color w:val="0000EE"/>
                  <w:w w:val="99"/>
                </w:rPr>
                <w:t>Material Tax Considerations</w:t>
              </w:r>
            </w:hyperlink>
          </w:p>
        </w:tc>
        <w:tc>
          <w:tcPr>
            <w:tcW w:w="200" w:type="dxa"/>
            <w:vAlign w:val="bottom"/>
            <w:tcBorders>
              <w:top w:val="single" w:sz="8" w:color="0000EE"/>
            </w:tcBorders>
            <w:gridSpan w:val="2"/>
          </w:tcPr>
          <w:p>
            <w:pPr>
              <w:spacing w:after="0"/>
              <w:rPr>
                <w:sz w:val="14"/>
                <w:szCs w:val="14"/>
                <w:color w:val="auto"/>
              </w:rPr>
            </w:pPr>
          </w:p>
        </w:tc>
        <w:tc>
          <w:tcPr>
            <w:tcW w:w="8580" w:type="dxa"/>
            <w:vAlign w:val="bottom"/>
            <w:gridSpan w:val="9"/>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46">
              <w:r>
                <w:rPr>
                  <w:rFonts w:ascii="Arial" w:cs="Arial" w:eastAsia="Arial" w:hAnsi="Arial"/>
                  <w:sz w:val="17"/>
                  <w:szCs w:val="17"/>
                  <w:color w:val="0000EE"/>
                </w:rPr>
                <w:t>Underwriting</w:t>
              </w:r>
            </w:hyperlink>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151</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54">
              <w:r>
                <w:rPr>
                  <w:rFonts w:ascii="Arial" w:cs="Arial" w:eastAsia="Arial" w:hAnsi="Arial"/>
                  <w:sz w:val="17"/>
                  <w:szCs w:val="17"/>
                  <w:color w:val="0000EE"/>
                </w:rPr>
                <w:t>Legal Matters</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0000EE"/>
            </w:tcBorders>
            <w:gridSpan w:val="4"/>
          </w:tcPr>
          <w:p>
            <w:pPr>
              <w:spacing w:after="0" w:line="169" w:lineRule="exact"/>
              <w:rPr>
                <w:rFonts w:ascii="Arial" w:cs="Arial" w:eastAsia="Arial" w:hAnsi="Arial"/>
                <w:sz w:val="17"/>
                <w:szCs w:val="17"/>
                <w:color w:val="0000EE"/>
              </w:rPr>
            </w:pPr>
            <w:hyperlink w:anchor="page154">
              <w:r>
                <w:rPr>
                  <w:rFonts w:ascii="Arial" w:cs="Arial" w:eastAsia="Arial" w:hAnsi="Arial"/>
                  <w:sz w:val="17"/>
                  <w:szCs w:val="17"/>
                  <w:color w:val="0000EE"/>
                </w:rPr>
                <w:t>Experts</w:t>
              </w:r>
            </w:hyperlink>
          </w:p>
        </w:tc>
        <w:tc>
          <w:tcPr>
            <w:tcW w:w="9860" w:type="dxa"/>
            <w:vAlign w:val="bottom"/>
            <w:gridSpan w:val="17"/>
          </w:tcPr>
          <w:p>
            <w:pPr>
              <w:spacing w:after="0"/>
              <w:rPr>
                <w:sz w:val="14"/>
                <w:szCs w:val="14"/>
                <w:color w:val="auto"/>
              </w:rPr>
            </w:pPr>
          </w:p>
        </w:tc>
        <w:tc>
          <w:tcPr>
            <w:tcW w:w="440" w:type="dxa"/>
            <w:vAlign w:val="bottom"/>
            <w:gridSpan w:val="2"/>
          </w:tcPr>
          <w:p>
            <w:pPr>
              <w:jc w:val="right"/>
              <w:ind w:right="20"/>
              <w:spacing w:after="0" w:line="169"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34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151</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54">
              <w:r>
                <w:rPr>
                  <w:rFonts w:ascii="Arial" w:cs="Arial" w:eastAsia="Arial" w:hAnsi="Arial"/>
                  <w:sz w:val="17"/>
                  <w:szCs w:val="17"/>
                  <w:color w:val="0000EE"/>
                </w:rPr>
                <w:t>Where You Can Find More Information</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gridSpan w:val="1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440" w:type="dxa"/>
            <w:vAlign w:val="bottom"/>
            <w:gridSpan w:val="2"/>
            <w:vMerge w:val="restart"/>
          </w:tcPr>
          <w:p>
            <w:pPr>
              <w:jc w:val="right"/>
              <w:ind w:right="20"/>
              <w:spacing w:after="0" w:line="189" w:lineRule="exact"/>
              <w:rPr>
                <w:sz w:val="20"/>
                <w:szCs w:val="20"/>
                <w:color w:val="auto"/>
              </w:rPr>
            </w:pPr>
            <w:r>
              <w:rPr>
                <w:rFonts w:ascii="Arial" w:cs="Arial" w:eastAsia="Arial" w:hAnsi="Arial"/>
                <w:sz w:val="17"/>
                <w:szCs w:val="17"/>
                <w:color w:val="auto"/>
              </w:rPr>
              <w:t>F-1</w:t>
            </w:r>
          </w:p>
        </w:tc>
        <w:tc>
          <w:tcPr>
            <w:tcW w:w="0" w:type="dxa"/>
            <w:vAlign w:val="bottom"/>
          </w:tcPr>
          <w:p>
            <w:pPr>
              <w:spacing w:after="0" w:line="20" w:lineRule="exact"/>
              <w:rPr>
                <w:sz w:val="1"/>
                <w:szCs w:val="1"/>
                <w:color w:val="auto"/>
              </w:rPr>
            </w:pPr>
          </w:p>
        </w:tc>
      </w:tr>
      <w:tr>
        <w:trPr>
          <w:trHeight w:val="169"/>
        </w:trPr>
        <w:tc>
          <w:tcPr>
            <w:tcW w:w="10900" w:type="dxa"/>
            <w:vAlign w:val="bottom"/>
            <w:gridSpan w:val="21"/>
          </w:tcPr>
          <w:p>
            <w:pPr>
              <w:spacing w:after="0" w:line="169" w:lineRule="exact"/>
              <w:rPr>
                <w:rFonts w:ascii="Arial" w:cs="Arial" w:eastAsia="Arial" w:hAnsi="Arial"/>
                <w:sz w:val="17"/>
                <w:szCs w:val="17"/>
                <w:color w:val="0000EE"/>
              </w:rPr>
            </w:pPr>
            <w:hyperlink w:anchor="page155">
              <w:r>
                <w:rPr>
                  <w:rFonts w:ascii="Arial" w:cs="Arial" w:eastAsia="Arial" w:hAnsi="Arial"/>
                  <w:sz w:val="17"/>
                  <w:szCs w:val="17"/>
                  <w:color w:val="0000EE"/>
                </w:rPr>
                <w:t>Index to Consolidated Financial Statements</w:t>
              </w:r>
            </w:hyperlink>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prepared by or on behalf of us or to which we have referred you. We have not and the underwriters have not authorized anyone to provide you with information that is different from that contained in such prospectuses. We are offering to sell our ordinary shares, and seeking offers to buy our ordinary shares, only in jurisdictions where such offers and sales are permitted. The information in this prospectus is accurate only as of the date of this prospectus, regardless of the time of delivery of this prospectus or any sale of our ordinary shares.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200" w:right="120"/>
        <w:spacing w:after="0" w:line="238" w:lineRule="auto"/>
        <w:rPr>
          <w:sz w:val="20"/>
          <w:szCs w:val="20"/>
          <w:color w:val="auto"/>
        </w:rPr>
      </w:pPr>
      <w:r>
        <w:rPr>
          <w:rFonts w:ascii="Arial" w:cs="Arial" w:eastAsia="Arial" w:hAnsi="Arial"/>
          <w:sz w:val="17"/>
          <w:szCs w:val="17"/>
          <w:i w:val="1"/>
          <w:iCs w:val="1"/>
          <w:color w:val="auto"/>
        </w:rPr>
        <w:t>The following is a summary of information discussed elsewhere in this prospectus, and does not contain all the details concerning our business, our ordinary shares or other information that you should consider in making your investment decision. You should carefully review this entire prospectus, including the information set forth in the sections titled “Risk Factors” and “Management’s Discussion and Analysis of Financial Condition and Results of Operations” and our consolidated financial statements and the related notes, before making an investment decision. As used in this prospectus, unless the context otherwise indicates, references to “WAVE,” the “company,” “we,” “our,” “us” or similar terms refer to WAVE Life Sciences Pte. Ltd. and our wholly-owned subsidiaries. References in this prospectus to “S$” refer to Singapore dollars and “¥” refer to Japanese yen.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Overview</w:t>
      </w:r>
    </w:p>
    <w:p>
      <w:pPr>
        <w:spacing w:after="0" w:line="41"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are a preclinical biopharmaceutical company with an innovative and proprietary synthetic chemistry drug development platform that we are using to design, develop and commercialize a broad pipeline of first-in-class or best-in-class nucleic acid therapeutic candidates. Nucleic acid therapeutics have the potential to address diseases that have been difficult to treat with small molecule drugs or biologics and have emerged as a large and promising class of drugs. We are initially developing nucleic acid therapeutics that target genetic defects to either reduce the expression of disease-promoting proteins or transform the production of dysfunctional mutant proteins into the production of functional proteins. Our platform is driven by our innovative and proprietary stereochemistry technology, enabling us to rationally design, optimize and manufacture stereopure nucleic acid therapeutics, which we believe possess drug properties that are superior to the stereoisomer mixtures of oligonucleotides currently on the market or in development by others. Building upon the innovative work of our scientific founders, Gregory L. Verdine, Ph.D. and Takeshi Wada, Ph.D., we have demonstrated the benefits of our stereopure nucleic acid therapeutics in preclinical studies. Our platform can be used to design therapies that utilize any of the major molecular mechanisms employed by nucleic acid therapeutics, including antisense, ribonucleic acid interference, or RNAi, exon skipping and others.</w:t>
      </w:r>
    </w:p>
    <w:p>
      <w:pPr>
        <w:spacing w:after="0" w:line="154" w:lineRule="exact"/>
        <w:rPr>
          <w:sz w:val="20"/>
          <w:szCs w:val="20"/>
          <w:color w:val="auto"/>
        </w:rPr>
      </w:pPr>
    </w:p>
    <w:p>
      <w:pPr>
        <w:ind w:left="200" w:right="100"/>
        <w:spacing w:after="0" w:line="233" w:lineRule="auto"/>
        <w:rPr>
          <w:sz w:val="20"/>
          <w:szCs w:val="20"/>
          <w:color w:val="auto"/>
        </w:rPr>
      </w:pPr>
      <w:r>
        <w:rPr>
          <w:rFonts w:ascii="Arial" w:cs="Arial" w:eastAsia="Arial" w:hAnsi="Arial"/>
          <w:sz w:val="17"/>
          <w:szCs w:val="17"/>
          <w:color w:val="auto"/>
        </w:rPr>
        <w:t>Our goal is to develop disease-modifying drugs for indications with a high degree of unmet medical need, in both orphan and broad diseases. We are initially focused on designing single-stranded nucleic acid therapeutics that can distribute broadly within the human body, allowing us to target diseases across multiple organ systems and tissues, through both systemic and local administration. Our most advanced therapeutic programs are in Huntington’s disease, Duchenne muscular dystrophy, or DMD, and inflammatory bowel disease, or IBD. In Huntington’s disease, we have programs targeting HTT SNP-1 and HTT SNP-2; in DMD, we are targeting Exon 51; and in IBD, we are targeting SMAD7. Upon selecting a lead candidate within each of these programs, we expect to file investigational new drug applications, or INDs, with the U.S Food and Drug Administration, or FDA, for such candidates in 2016 and early 2017. We have late-stage discovery programs in epidermolysis bullosa simplex, in which we are targeting KRT14 SNP-1 and KRT14 SNP-2, and in DMD, in which we are focused on an additional DMD target, AcRIIb. We expect to identify lead candidates for these programs in 2016. We believe that, based on our initial selection criteria of novel and fast-follower opportunities, our platform can potentially be used in the near-term to design treatments for approximately 25 other potential target indications, mostly consisting of orphan indications, with an initial focus on orphan neuromuscular and central nervous system disease targets.</w:t>
      </w:r>
    </w:p>
    <w:p>
      <w:pPr>
        <w:spacing w:after="0" w:line="154" w:lineRule="exact"/>
        <w:rPr>
          <w:sz w:val="20"/>
          <w:szCs w:val="20"/>
          <w:color w:val="auto"/>
        </w:rPr>
      </w:pPr>
    </w:p>
    <w:p>
      <w:pPr>
        <w:ind w:left="200" w:right="220"/>
        <w:spacing w:after="0" w:line="235" w:lineRule="auto"/>
        <w:rPr>
          <w:sz w:val="20"/>
          <w:szCs w:val="20"/>
          <w:color w:val="auto"/>
        </w:rPr>
      </w:pPr>
      <w:r>
        <w:rPr>
          <w:rFonts w:ascii="Arial" w:cs="Arial" w:eastAsia="Arial" w:hAnsi="Arial"/>
          <w:sz w:val="17"/>
          <w:szCs w:val="17"/>
          <w:color w:val="auto"/>
        </w:rPr>
        <w:t>We believe that we have a strong intellectual property position relating to the development and commercialization of our stereopure nucleic acid therapeutics.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Our portfolio also includes filings on both methods and reagents that are designed to protect various features of the chemical methodologies that enable production of such stereopure oligonucleotide compositions. Our portfolio also includes filings designed to protect methods of using stereopure oligonucleotide compositions and filings designed to protect particular stereopure oligonucleotide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products, such as those having a particular sequence, pattern of nucleoside or backbone modification, or both, pattern of backbone linkages and pattern of backbone chiral centers.</w:t>
      </w:r>
    </w:p>
    <w:p>
      <w:pPr>
        <w:spacing w:after="0" w:line="144"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believe that our technology provides us with a unique position in the therapeutic oligonucleotide marketplace. Due to prior or expected patent expirations and patent invalidations, we believe that a variety of useful and effective oligonucleotide chemistries, such as certain backbone and sugar modifications, that have been developed in the industry will be available to the public prior to when we expect our drugs will be commercialized. Therefore, we believe that we can readily incorporate these chemistries or other chemistries into our stereopure drugs. Moreover, our strategy does not require or rely on a particular chemistry or any particular nucleotide sequence, thus permitting us to navigate the intellectual property landscape in the field while developing our novel and proprietary oligonucleotide drugs.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Nucleic Acid Therapeutics</w:t>
      </w:r>
    </w:p>
    <w:p>
      <w:pPr>
        <w:spacing w:after="0" w:line="41"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color w:val="auto"/>
        </w:rPr>
        <w:t>A majority of traditional therapeutic modalities, such as small molecule drugs and biologics, work by interacting with proteins that contribute to the disease. However, there are thought to be a limited number of “druggable” proteins; it is currently estimated that approximately 80% of human protein targets cannot be addressed by these conventional approaches. In contrast, directing medicines “upstream” of protein production to the ribonucleic acid, or RNA, has the potential to significantly increase the number of druggable targets.</w:t>
      </w:r>
    </w:p>
    <w:p>
      <w:pPr>
        <w:spacing w:after="0" w:line="149"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Nucleic acid therapeutics is a large and innovative class of drugs that can modulate the function of target RNAs to ultimately affect the production of disease-associated proteins. Nucleic acid therapeutics employ a number of different molecular mechanisms to regulate protein production. These mechanisms can be broadly categorized as those that promote degradation of the target RNA, including antisense and RNAi, and those that involve binding to the target RNA and modulating its function by promoting exon skipping, splice-correction and RNA-guided gene editing.</w:t>
      </w:r>
    </w:p>
    <w:p>
      <w:pPr>
        <w:spacing w:after="0" w:line="149"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7"/>
          <w:szCs w:val="17"/>
          <w:color w:val="auto"/>
        </w:rPr>
        <w:t>The unique capability of nucleic acid therapeutics to address a wide range of genomic targets across multiple therapeutic areas has the potential to create significant market opportunities to develop drugs to treat a broad spectrum of human diseases, including diseases where no medicines currently exist or for which existing treatments are suboptimal.</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Design of Nucleic Acid Therapeutics</w:t>
      </w:r>
    </w:p>
    <w:p>
      <w:pPr>
        <w:spacing w:after="0" w:line="81"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color w:val="auto"/>
        </w:rPr>
        <w:t>A large subset of nucleic acid therapeutics are comprised of chemically modified, short-length RNA or deoxyribonucleic acid, or DNA, strands, commonly known as oligonucleotides. Oligonucleotides are comprised of a sequence of nucleotides—the building blocks of RNA and DNA—that are linked together by a backbone of chemical bonds.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nucleic acid molecules that have not been modified for therapeutic use, the nucleotides are linked by phosphodiester bonds,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Such unmodified nucleic acid molecules are unsuitable for use as therapeutics because they are rapidly degraded by enzymes called nucleases that are widely present in the human body, are rapidly cleared by the kidneys and have poor uptake into targeted cells. The industry has employed chemical modifications of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47001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nucleotides and phosphodiester bonds to improve the stability, biodistribution and cellular uptake of nucleic acid therapeutics.</w:t>
      </w:r>
    </w:p>
    <w:p>
      <w:pPr>
        <w:spacing w:after="0" w:line="15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Phosphorothioate, or PS, modification was one of the earliest and remains one of the most common backbone modifications used in nucleic acid therapeutics. In PS modification, one of the nonbridging oxygen (O) atoms bonded to a phosphorus (P) atom is replaced with a sulfur (S) atom. PS modification has been shown to improve the stability of oligonucleotides by making them less susceptible to enzymatic degradation. Further, PS bond-containing oligonucleotides often show increased binding to plasma proteins, which improves biodistribution by preventing rapid renal excretion of these molecules.</w:t>
      </w:r>
    </w:p>
    <w:p>
      <w:pPr>
        <w:spacing w:after="0" w:line="150" w:lineRule="exact"/>
        <w:rPr>
          <w:sz w:val="20"/>
          <w:szCs w:val="20"/>
          <w:color w:val="auto"/>
        </w:rPr>
      </w:pPr>
    </w:p>
    <w:p>
      <w:pPr>
        <w:ind w:left="200" w:right="340"/>
        <w:spacing w:after="0" w:line="238" w:lineRule="auto"/>
        <w:rPr>
          <w:sz w:val="20"/>
          <w:szCs w:val="20"/>
          <w:color w:val="auto"/>
        </w:rPr>
      </w:pPr>
      <w:r>
        <w:rPr>
          <w:rFonts w:ascii="Arial" w:cs="Arial" w:eastAsia="Arial" w:hAnsi="Arial"/>
          <w:sz w:val="17"/>
          <w:szCs w:val="17"/>
          <w:color w:val="auto"/>
        </w:rPr>
        <w:t>PS modification is accepted as state-of-the-art in the nucleic acid therapeutics field. The two nucleic acid therapeutics that have received regulatory approval, mipomersen and fomiversen, as well as a large majority of nucleic acid therapeutics currently in development, employ PS modification. We believe that PS modification will remain a critical component of this class of therapeutics.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PS Modification Results in Complex Drug Mixtures</w:t>
      </w:r>
    </w:p>
    <w:p>
      <w:pPr>
        <w:spacing w:after="0" w:line="41" w:lineRule="exact"/>
        <w:rPr>
          <w:sz w:val="20"/>
          <w:szCs w:val="20"/>
          <w:color w:val="auto"/>
        </w:rPr>
      </w:pPr>
    </w:p>
    <w:p>
      <w:pPr>
        <w:ind w:left="200" w:right="640"/>
        <w:spacing w:after="0" w:line="238" w:lineRule="auto"/>
        <w:rPr>
          <w:sz w:val="20"/>
          <w:szCs w:val="20"/>
          <w:color w:val="auto"/>
        </w:rPr>
      </w:pPr>
      <w:r>
        <w:rPr>
          <w:rFonts w:ascii="Arial" w:cs="Arial" w:eastAsia="Arial" w:hAnsi="Arial"/>
          <w:sz w:val="17"/>
          <w:szCs w:val="17"/>
          <w:color w:val="auto"/>
        </w:rPr>
        <w:t>A consequence of using PS modification in oligonucleotide synthesis is that it creates a chiral center at each phosphorus, each of which is designated as either an “Sp” or “Rp” configuration. This chirality creates stereoisomers, which, as shown below, have identical chemical composition but different three-dimensional arrangement of their atoms and consequently different chemical and biological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The configuration of each PS modification occurs randomly during conventional nucleic acid synthesis. Because oligonucleotides are comprised of numerous nucleotides and associated PS modifications—with each PS modification having a random chiral configuration—the synthesis process generates an exponentially large number of stereoisomers of the synthesized oligonucleotide. Specifically, each linkage of an additional nucleotide residue doubles the number of stereoisomers of the product, so that a conventional preparation of a PS-containing oligonucleotide is in fact a highly heterogeneous mixtures of 2</w:t>
      </w:r>
      <w:r>
        <w:rPr>
          <w:rFonts w:ascii="Arial" w:cs="Arial" w:eastAsia="Arial" w:hAnsi="Arial"/>
          <w:sz w:val="14"/>
          <w:szCs w:val="14"/>
          <w:color w:val="auto"/>
        </w:rPr>
        <w:t>N</w:t>
      </w:r>
      <w:r>
        <w:rPr>
          <w:rFonts w:ascii="Arial" w:cs="Arial" w:eastAsia="Arial" w:hAnsi="Arial"/>
          <w:sz w:val="17"/>
          <w:szCs w:val="17"/>
          <w:color w:val="auto"/>
        </w:rPr>
        <w:t xml:space="preserve"> stereoisomers, where N represents the number of PS modifications. For instance, as shown below, a conventional fully PS-modified oligonucleotide (20 nucleotides in length, 19 PS modifications) in fact is a mixture of over 500,000 stereoisomers, each having the same nucleotide sequence but differing in the stereochemistry along their backbones.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200"/>
        <w:spacing w:after="0" w:line="238" w:lineRule="auto"/>
        <w:rPr>
          <w:sz w:val="20"/>
          <w:szCs w:val="20"/>
          <w:color w:val="auto"/>
        </w:rPr>
      </w:pPr>
      <w:r>
        <w:rPr>
          <w:rFonts w:ascii="Arial" w:cs="Arial" w:eastAsia="Arial" w:hAnsi="Arial"/>
          <w:sz w:val="17"/>
          <w:szCs w:val="17"/>
          <w:color w:val="auto"/>
        </w:rPr>
        <w:t>Stereoisomers often possess different chemical and pharmacologic properties. For example, certain stereoisomers can drive the therapeutic effects of a drug while others can be less beneficial or can even contribute to undesirable side effects. The greater the variation among a drug’s constituent stereoisomers, the greater the potential to diminish the drug’s efficacy and safety.</w:t>
      </w:r>
    </w:p>
    <w:p>
      <w:pPr>
        <w:spacing w:after="0" w:line="148"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Up until now, it has not been possible to create stereopure PS-modified nucleic acid therapeutics—meaning drugs comprised entirely of the same stereoisomer—because of an inability to specifically control the configuration of each chiral PS linkage during chemical synthesis. Moreover, because of the sheer number of stereoisomers present in a mixture, it would be impractical, if not impossible, to physically isolate the most therapeutically optimal stereoisomer from within a mixture. For these reasons, all of the PS-modified nucleic acid therapeutics currently on the market and in development by others are mixtures of many stereoisomers, which we believe are not optimized for stability, catalytic activity, efficacy or toxicity.</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In small molecule therapeutics, U.S. regulators have long sought to eliminate the risks potentially posed by drug mixtures containing multiple stereoisomers. Since 1992, the FDA has recommended full molecular characterization of stereoisomers within small molecule drug mixtures. Historically, it has not been possible to achieve such characterization of nucleic acid therapeutic drug mixtures, which can contain tens of thousands to millions of distinct pharmacologic entities. We believe that our demonstrated ability to design and synthesize stereopure PS-modified nucleic acid therapeutics will set a new industry standard for the molecular characterization of complex nucleic acid therapeutic drug mixtures.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Solution: Controlling Stereochemistry in Nucleic Acid Therapeutics</w:t>
      </w:r>
    </w:p>
    <w:p>
      <w:pPr>
        <w:spacing w:after="0" w:line="81" w:lineRule="exact"/>
        <w:rPr>
          <w:sz w:val="20"/>
          <w:szCs w:val="20"/>
          <w:color w:val="auto"/>
        </w:rPr>
      </w:pPr>
    </w:p>
    <w:p>
      <w:pPr>
        <w:ind w:left="200" w:right="420"/>
        <w:spacing w:after="0" w:line="238" w:lineRule="auto"/>
        <w:rPr>
          <w:sz w:val="20"/>
          <w:szCs w:val="20"/>
          <w:color w:val="auto"/>
        </w:rPr>
      </w:pPr>
      <w:r>
        <w:rPr>
          <w:rFonts w:ascii="Arial" w:cs="Arial" w:eastAsia="Arial" w:hAnsi="Arial"/>
          <w:sz w:val="17"/>
          <w:szCs w:val="17"/>
          <w:color w:val="auto"/>
        </w:rPr>
        <w:t>We have developed proprietary technology that, for the first time, enables the development of PS-modified nucleic acid therapeutics in which stereochemistry is precisely controlled. This degree of control enables us to both rationally design and synthesize therapeutically optimized stereopure nucleic acid therapeutics.</w:t>
      </w:r>
    </w:p>
    <w:p>
      <w:pPr>
        <w:spacing w:after="0" w:line="148" w:lineRule="exact"/>
        <w:rPr>
          <w:sz w:val="20"/>
          <w:szCs w:val="20"/>
          <w:color w:val="auto"/>
        </w:rPr>
      </w:pPr>
    </w:p>
    <w:p>
      <w:pPr>
        <w:ind w:left="200" w:right="180"/>
        <w:spacing w:after="0" w:line="235" w:lineRule="auto"/>
        <w:rPr>
          <w:sz w:val="20"/>
          <w:szCs w:val="20"/>
          <w:color w:val="auto"/>
        </w:rPr>
      </w:pPr>
      <w:r>
        <w:rPr>
          <w:rFonts w:ascii="Arial" w:cs="Arial" w:eastAsia="Arial" w:hAnsi="Arial"/>
          <w:sz w:val="17"/>
          <w:szCs w:val="17"/>
          <w:color w:val="auto"/>
        </w:rPr>
        <w:t>We have discovered and continue to identify fundamental relationships between oligonucleotide stereochemistry and pharmacology, including stability, catalytic activity, efficacy, durability of effect, specificity, safety and immunogenicity. We have designed and synthesized stereopure PS-modified drugs that, when compared with their respective parent drug mixtures, possess superior stability or potency, or both, resulting in increased durability of effect, as well as specificity and decreased immune activity. Therefore, we expect them to have improved safety profiles and to be dosed at lower concentrations or less frequently, or both, compared with mixture-based nucleic acid therapeutics. We are using these discoveries to guide our drug development activities.</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Advantages of Our Approach</w:t>
      </w:r>
    </w:p>
    <w:p>
      <w:pPr>
        <w:spacing w:after="0" w:line="54" w:lineRule="exact"/>
        <w:rPr>
          <w:sz w:val="20"/>
          <w:szCs w:val="20"/>
          <w:color w:val="auto"/>
        </w:rPr>
      </w:pPr>
    </w:p>
    <w:p>
      <w:pPr>
        <w:ind w:left="200" w:right="460"/>
        <w:spacing w:after="0" w:line="243" w:lineRule="auto"/>
        <w:rPr>
          <w:sz w:val="20"/>
          <w:szCs w:val="20"/>
          <w:color w:val="auto"/>
        </w:rPr>
      </w:pPr>
      <w:r>
        <w:rPr>
          <w:rFonts w:ascii="Arial" w:cs="Arial" w:eastAsia="Arial" w:hAnsi="Arial"/>
          <w:sz w:val="17"/>
          <w:szCs w:val="17"/>
          <w:color w:val="auto"/>
        </w:rPr>
        <w:t>We believe that our innovative and proprietary synthetic chemistry drug development platform is a significant advance in the development of nucleic acid therapeutics. The advantages of our approach include:</w:t>
      </w:r>
    </w:p>
    <w:p>
      <w:pPr>
        <w:spacing w:after="0" w:line="165" w:lineRule="exact"/>
        <w:rPr>
          <w:sz w:val="20"/>
          <w:szCs w:val="20"/>
          <w:color w:val="auto"/>
        </w:rPr>
      </w:pPr>
    </w:p>
    <w:p>
      <w:pPr>
        <w:ind w:left="960" w:right="340" w:hanging="439"/>
        <w:spacing w:after="0" w:line="244"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design drugs rationally with optimized pharmacological properties</w:t>
      </w:r>
      <w:r>
        <w:rPr>
          <w:rFonts w:ascii="Arial" w:cs="Arial" w:eastAsia="Arial" w:hAnsi="Arial"/>
          <w:sz w:val="17"/>
          <w:szCs w:val="17"/>
          <w:color w:val="auto"/>
        </w:rPr>
        <w:t>. Our platform reduces susceptibility to enzymatic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degradation and renal clearance and optimizes interactions with proteins that mediate activity as well as those that affect safety and tolerability. Our ability to improve pharmacologic stability and reduce clearance can enhance the biodistribution of single-stranded oligonucleotides to multiple tissues following systemic administration without the need for additional delivery technology.</w:t>
      </w:r>
    </w:p>
    <w:p>
      <w:pPr>
        <w:spacing w:after="0" w:line="1" w:lineRule="exact"/>
        <w:rPr>
          <w:rFonts w:ascii="Arial" w:cs="Arial" w:eastAsia="Arial" w:hAnsi="Arial"/>
          <w:sz w:val="17"/>
          <w:szCs w:val="17"/>
          <w:color w:val="auto"/>
        </w:rPr>
      </w:pPr>
    </w:p>
    <w:p>
      <w:pPr>
        <w:ind w:left="960" w:right="100" w:hanging="439"/>
        <w:spacing w:after="0" w:line="257"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Broad applicability</w:t>
      </w:r>
      <w:r>
        <w:rPr>
          <w:rFonts w:ascii="Arial" w:cs="Arial" w:eastAsia="Arial" w:hAnsi="Arial"/>
          <w:sz w:val="17"/>
          <w:szCs w:val="17"/>
          <w:color w:val="auto"/>
        </w:rPr>
        <w:t>. Our platform is applicable to multiple RNA-targeting approaches, including antisense, RNAi, exon-skipping, RNA-guided gene editing, microRNA and others, and is compatible with a broad range of chemical modifications and targeting moieties.</w:t>
      </w:r>
    </w:p>
    <w:p>
      <w:pPr>
        <w:ind w:left="960" w:right="200" w:hanging="439"/>
        <w:spacing w:after="0" w:line="250"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manufacturing of stereopure nucleic acid therapeutics</w:t>
      </w:r>
      <w:r>
        <w:rPr>
          <w:rFonts w:ascii="Arial" w:cs="Arial" w:eastAsia="Arial" w:hAnsi="Arial"/>
          <w:sz w:val="17"/>
          <w:szCs w:val="17"/>
          <w:color w:val="auto"/>
        </w:rPr>
        <w:t>. We are a leader in the manufacturing of PS-modified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stereopure nucleic acid therapeutics, and we have the intellectual property position and know-how necessary to protect, advance and scale our manufacturing processes.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78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497840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Proof of Concept of Our Technology</w:t>
      </w:r>
    </w:p>
    <w:p>
      <w:pPr>
        <w:spacing w:after="0" w:line="54" w:lineRule="exact"/>
        <w:rPr>
          <w:sz w:val="20"/>
          <w:szCs w:val="20"/>
          <w:color w:val="auto"/>
        </w:rPr>
      </w:pPr>
    </w:p>
    <w:p>
      <w:pPr>
        <w:ind w:left="200" w:right="180"/>
        <w:spacing w:after="0" w:line="235" w:lineRule="auto"/>
        <w:rPr>
          <w:sz w:val="20"/>
          <w:szCs w:val="20"/>
          <w:color w:val="auto"/>
        </w:rPr>
      </w:pPr>
      <w:r>
        <w:rPr>
          <w:rFonts w:ascii="Arial" w:cs="Arial" w:eastAsia="Arial" w:hAnsi="Arial"/>
          <w:sz w:val="17"/>
          <w:szCs w:val="17"/>
          <w:color w:val="auto"/>
        </w:rPr>
        <w:t xml:space="preserve">We have demonstrated in preclinical models, predictive of human biology, that direct relationships exist between stereochemistry and pharmacology, and that these relationships can be used to rationally design and construct nucleic acid therapeutics. In proof-of-concept studies, we examined diverse sets of oligonucleotides designed and synthesized using our platform, which allowed us to characterize and compare the behavior of various stereoisomers. These studies have shown that by controlling stereochemistry, we can optimize multiple aspects of pharmacology, including stability, catalytic activity, efficacy, durability of effect, specificity, safety and immunogenicity. See </w:t>
      </w:r>
      <w:r>
        <w:rPr>
          <w:rFonts w:ascii="Arial" w:cs="Arial" w:eastAsia="Arial" w:hAnsi="Arial"/>
          <w:sz w:val="17"/>
          <w:szCs w:val="17"/>
          <w:i w:val="1"/>
          <w:iCs w:val="1"/>
          <w:color w:val="auto"/>
        </w:rPr>
        <w:t>“</w:t>
      </w:r>
      <w:r>
        <w:rPr>
          <w:rFonts w:ascii="Arial" w:cs="Arial" w:eastAsia="Arial" w:hAnsi="Arial"/>
          <w:sz w:val="17"/>
          <w:szCs w:val="17"/>
          <w:color w:val="auto"/>
        </w:rPr>
        <w:t>Business—Proof of Concept of Our Technology” for greater detail.</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Strategy</w:t>
      </w:r>
    </w:p>
    <w:p>
      <w:pPr>
        <w:spacing w:after="0" w:line="54"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We are leveraging our innovative platform to design, develop and commercialize optimized nucleic acid therapeutics that address important unmet medical needs. The key components of our strategy are as follows:</w:t>
      </w:r>
    </w:p>
    <w:p>
      <w:pPr>
        <w:spacing w:after="0" w:line="165" w:lineRule="exact"/>
        <w:rPr>
          <w:sz w:val="20"/>
          <w:szCs w:val="20"/>
          <w:color w:val="auto"/>
        </w:rPr>
      </w:pPr>
    </w:p>
    <w:p>
      <w:pPr>
        <w:ind w:left="960" w:right="40" w:hanging="439"/>
        <w:spacing w:after="0" w:line="237"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advance product candidates. </w:t>
      </w:r>
      <w:r>
        <w:rPr>
          <w:rFonts w:ascii="Arial" w:cs="Arial" w:eastAsia="Arial" w:hAnsi="Arial"/>
          <w:sz w:val="17"/>
          <w:szCs w:val="17"/>
          <w:color w:val="auto"/>
        </w:rPr>
        <w:t>We are initially focused on designing single-stranded nucleic acid therapeutics that 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 broadly within the human body, allowing us to target diseases across multiple organ systems and tissues, through both systemic and local administration. Our most advanced therapeutic programs are in Huntington’s disease, DMD and IBD. In Huntington’s disease, we have programs targeting HTT SNP-1 and HTT SNP-2; in DMD, we are targeting Exon 51; and in IBD, we are targeting SMAD7. Upon selecting a lead candidate within each of these programs, we expect to file INDs with the FDA for such candidates in 2016 and early 2017. We also have late-stage discovery programs in epidermolysis bullosa simplex, in which we are targeting KRT14 SNP-1 and KRT14 SNP-2, and in DMD, in which we are focused on an additional DMD target, AcRIIb. We expect to identify lead candidates for these programs in 2016.</w:t>
      </w:r>
    </w:p>
    <w:p>
      <w:pPr>
        <w:spacing w:after="0" w:line="8" w:lineRule="exact"/>
        <w:rPr>
          <w:rFonts w:ascii="Arial" w:cs="Arial" w:eastAsia="Arial" w:hAnsi="Arial"/>
          <w:sz w:val="17"/>
          <w:szCs w:val="17"/>
          <w:color w:val="auto"/>
        </w:rPr>
      </w:pPr>
    </w:p>
    <w:p>
      <w:pPr>
        <w:ind w:left="960" w:right="140" w:hanging="439"/>
        <w:spacing w:after="0" w:line="241"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pipeline in the area of orphan diseases</w:t>
      </w:r>
      <w:r>
        <w:rPr>
          <w:rFonts w:ascii="Arial" w:cs="Arial" w:eastAsia="Arial" w:hAnsi="Arial"/>
          <w:sz w:val="17"/>
          <w:szCs w:val="17"/>
          <w:color w:val="auto"/>
        </w:rPr>
        <w:t>. We intend to continue to expand our pipeline in the area of orphan diseases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multiple opportunities for clinical and commercial success and demonstrate the breadth of our abilities across multiple organ systems and tissues and therapeutic modalities. We believe that, based on our initial selection criteria of novel and fast-follower opportunities, our platform can potentially be used in the near-term to design treatments for approximately 25 other target indications, mostly consisting of orphan indications, with an initial focus on orphan neuromuscular and central nervous system disease targets.</w:t>
      </w:r>
    </w:p>
    <w:p>
      <w:pPr>
        <w:spacing w:after="0" w:line="4" w:lineRule="exact"/>
        <w:rPr>
          <w:rFonts w:ascii="Arial" w:cs="Arial" w:eastAsia="Arial" w:hAnsi="Arial"/>
          <w:sz w:val="17"/>
          <w:szCs w:val="17"/>
          <w:color w:val="auto"/>
        </w:rPr>
      </w:pPr>
    </w:p>
    <w:p>
      <w:pPr>
        <w:ind w:left="960" w:right="120" w:hanging="439"/>
        <w:spacing w:after="0" w:line="244"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Establish opportunistic strategic partnerships</w:t>
      </w:r>
      <w:r>
        <w:rPr>
          <w:rFonts w:ascii="Arial" w:cs="Arial" w:eastAsia="Arial" w:hAnsi="Arial"/>
          <w:sz w:val="17"/>
          <w:szCs w:val="17"/>
          <w:color w:val="auto"/>
        </w:rPr>
        <w:t>. We intend to collaborate selectively and opportunistically with pharmaceutical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companies in the development and commercialization of nucleic acid therapeutics targeting certain orphan and broad indications. We expect to pursue such partnerships primarily when we believe they will significantly accelerate and enhance the clinical and commercial potential of a given development program.</w:t>
      </w:r>
    </w:p>
    <w:p>
      <w:pPr>
        <w:spacing w:after="0" w:line="1" w:lineRule="exact"/>
        <w:rPr>
          <w:rFonts w:ascii="Arial" w:cs="Arial" w:eastAsia="Arial" w:hAnsi="Arial"/>
          <w:sz w:val="17"/>
          <w:szCs w:val="17"/>
          <w:color w:val="auto"/>
        </w:rPr>
      </w:pPr>
    </w:p>
    <w:p>
      <w:pPr>
        <w:ind w:left="960" w:right="140" w:hanging="439"/>
        <w:spacing w:after="0" w:line="24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Leverage and expand our intellectual property portfolio</w:t>
      </w:r>
      <w:r>
        <w:rPr>
          <w:rFonts w:ascii="Arial" w:cs="Arial" w:eastAsia="Arial" w:hAnsi="Arial"/>
          <w:sz w:val="17"/>
          <w:szCs w:val="17"/>
          <w:color w:val="auto"/>
        </w:rPr>
        <w:t>. We believe we have a strong intellectual property position relating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 development and commercialization of stereopure nucleic acid therapeutics. We intend to file new patent applications and take other steps to leverage, expand and enforce our intellectual property position.</w:t>
      </w:r>
    </w:p>
    <w:p>
      <w:pPr>
        <w:spacing w:after="0" w:line="1" w:lineRule="exact"/>
        <w:rPr>
          <w:rFonts w:ascii="Arial" w:cs="Arial" w:eastAsia="Arial" w:hAnsi="Arial"/>
          <w:sz w:val="17"/>
          <w:szCs w:val="17"/>
          <w:color w:val="auto"/>
        </w:rPr>
      </w:pPr>
    </w:p>
    <w:p>
      <w:pPr>
        <w:ind w:left="960" w:right="40" w:hanging="439"/>
        <w:spacing w:after="0" w:line="26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and extend our leadership in oligonucleotide stereochemistry</w:t>
      </w:r>
      <w:r>
        <w:rPr>
          <w:rFonts w:ascii="Arial" w:cs="Arial" w:eastAsia="Arial" w:hAnsi="Arial"/>
          <w:sz w:val="17"/>
          <w:szCs w:val="17"/>
          <w:color w:val="auto"/>
        </w:rPr>
        <w:t>. We plan to establish a dominant position in the field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oligonucleotide stereochemistry, advancing basic research and pharmacology across multiple therapeutic modalities and target classes.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Product Pipeline</w:t>
      </w:r>
    </w:p>
    <w:p>
      <w:pPr>
        <w:spacing w:after="0" w:line="54" w:lineRule="exact"/>
        <w:rPr>
          <w:sz w:val="20"/>
          <w:szCs w:val="20"/>
          <w:color w:val="auto"/>
        </w:rPr>
      </w:pPr>
    </w:p>
    <w:p>
      <w:pPr>
        <w:ind w:left="200" w:right="220"/>
        <w:spacing w:after="0" w:line="243" w:lineRule="auto"/>
        <w:rPr>
          <w:sz w:val="20"/>
          <w:szCs w:val="20"/>
          <w:color w:val="auto"/>
        </w:rPr>
      </w:pPr>
      <w:r>
        <w:rPr>
          <w:rFonts w:ascii="Arial" w:cs="Arial" w:eastAsia="Arial" w:hAnsi="Arial"/>
          <w:sz w:val="17"/>
          <w:szCs w:val="17"/>
          <w:color w:val="auto"/>
        </w:rPr>
        <w:t>We are developing nucleic acid therapeutics that are capable of targeting diseases in a wide range of organ systems and tissues. Based on our design principles, we have the ability to rapidly design and select lead therapeutic candidates with optimized pharmacological properties.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31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273113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60"/>
        <w:spacing w:after="0" w:line="236" w:lineRule="auto"/>
        <w:rPr>
          <w:sz w:val="20"/>
          <w:szCs w:val="20"/>
          <w:color w:val="auto"/>
        </w:rPr>
      </w:pPr>
      <w:r>
        <w:rPr>
          <w:rFonts w:ascii="Arial" w:cs="Arial" w:eastAsia="Arial" w:hAnsi="Arial"/>
          <w:sz w:val="17"/>
          <w:szCs w:val="17"/>
          <w:color w:val="auto"/>
        </w:rPr>
        <w:t>Our most advanced therapeutic programs are in Huntington’s disease, DMD and IBD. In Huntington’s disease, we have programs targeting HTT SNP-1 and HTT SNP-2; in DMD, we are targeting EXON 51; and in IBD, we are targeting SMAD7. Upon selecting a lead candidate within each of these programs, we expect to file INDs with the FDA for such candidates in 2016 and early 2017. See “Business—Our Initial Therapeutic Candidates” for more information about these targets.</w:t>
      </w:r>
    </w:p>
    <w:p>
      <w:pPr>
        <w:spacing w:after="0" w:line="95" w:lineRule="exact"/>
        <w:rPr>
          <w:sz w:val="20"/>
          <w:szCs w:val="20"/>
          <w:color w:val="auto"/>
        </w:rPr>
      </w:pPr>
    </w:p>
    <w:p>
      <w:pPr>
        <w:ind w:left="200" w:right="420"/>
        <w:spacing w:after="0" w:line="238" w:lineRule="auto"/>
        <w:rPr>
          <w:sz w:val="20"/>
          <w:szCs w:val="20"/>
          <w:color w:val="auto"/>
        </w:rPr>
      </w:pPr>
      <w:r>
        <w:rPr>
          <w:rFonts w:ascii="Arial" w:cs="Arial" w:eastAsia="Arial" w:hAnsi="Arial"/>
          <w:sz w:val="17"/>
          <w:szCs w:val="17"/>
          <w:color w:val="auto"/>
        </w:rPr>
        <w:t>We have late-stage discovery programs in epidermolysis bullosa simplex, in which we are targeting KRT14 SNP-1 and KRT14 SNP-2, and in DMD, in which we are focused on an additional DMD target, AcRIIb. We expect to identify lead candidates for these programs in 2016. See “Business—Our Late-Stage Discovery Programs” for more information about these targets.</w:t>
      </w:r>
    </w:p>
    <w:p>
      <w:pPr>
        <w:spacing w:after="0" w:line="94" w:lineRule="exact"/>
        <w:rPr>
          <w:sz w:val="20"/>
          <w:szCs w:val="20"/>
          <w:color w:val="auto"/>
        </w:rPr>
      </w:pPr>
    </w:p>
    <w:p>
      <w:pPr>
        <w:ind w:left="200" w:right="20"/>
        <w:spacing w:after="0" w:line="238" w:lineRule="auto"/>
        <w:rPr>
          <w:sz w:val="20"/>
          <w:szCs w:val="20"/>
          <w:color w:val="auto"/>
        </w:rPr>
      </w:pPr>
      <w:r>
        <w:rPr>
          <w:rFonts w:ascii="Arial" w:cs="Arial" w:eastAsia="Arial" w:hAnsi="Arial"/>
          <w:sz w:val="17"/>
          <w:szCs w:val="17"/>
          <w:color w:val="auto"/>
        </w:rPr>
        <w:t>We believe that, based on our initial selection criteria of novel and fast-follower opportunities, our platform can potentially be used in the near-term to design treatments for a number other target indications, as illustrated in the table below, mostly consisting of orphan indications, with an initial focus on orphan neuromuscular and central nervous system disease targets.</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Private Placement</w:t>
      </w:r>
    </w:p>
    <w:p>
      <w:pPr>
        <w:spacing w:after="0" w:line="93"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In August 2015, we completed a private placement of our Series B preferred shares, which was led by institutional investor Foresite Capital. Other new investors included entities affiliated with Fidelity Management and Research Company, New Leaf Venture Partners, Redmile Group, Jennison Associates (on behalf of certain clients), Cormorant Asset Management and certain private investment funds advised by Clough Capital Partners L.P. Our existing shareholders, RA Capital Management LLC and Kagoshima Shinsangyo Sosei Investment Limited Partnership, also participated in this private placement. Net proceeds from this private placement were approximately $62.5 million.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40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5408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93" w:lineRule="exact"/>
        <w:rPr>
          <w:sz w:val="20"/>
          <w:szCs w:val="20"/>
          <w:color w:val="auto"/>
        </w:rPr>
      </w:pPr>
    </w:p>
    <w:p>
      <w:pPr>
        <w:jc w:val="both"/>
        <w:ind w:left="200" w:right="140"/>
        <w:spacing w:after="0" w:line="243" w:lineRule="auto"/>
        <w:rPr>
          <w:sz w:val="20"/>
          <w:szCs w:val="20"/>
          <w:color w:val="auto"/>
        </w:rPr>
      </w:pPr>
      <w:r>
        <w:rPr>
          <w:rFonts w:ascii="Arial" w:cs="Arial" w:eastAsia="Arial" w:hAnsi="Arial"/>
          <w:sz w:val="17"/>
          <w:szCs w:val="17"/>
          <w:color w:val="auto"/>
        </w:rPr>
        <w:t>Our business is subject to a number of risks you should be aware of before making an investment decision. These risks are discussed more fully in the “Risk Factors” section of this prospectus immediately following this prospectus summary. These risks include, among others, the following:</w:t>
      </w:r>
    </w:p>
    <w:p>
      <w:pPr>
        <w:spacing w:after="0" w:line="185" w:lineRule="exact"/>
        <w:rPr>
          <w:sz w:val="20"/>
          <w:szCs w:val="20"/>
          <w:color w:val="auto"/>
        </w:rPr>
      </w:pPr>
    </w:p>
    <w:p>
      <w:pPr>
        <w:ind w:left="960" w:right="260" w:hanging="439"/>
        <w:spacing w:after="0" w:line="243"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 preclinical biopharmaceutical company with a history of losses, expect to continue to incur losses for the foreseeable future and may never achieve or maintain profitability.</w:t>
      </w:r>
    </w:p>
    <w:p>
      <w:pPr>
        <w:spacing w:after="0" w:line="22" w:lineRule="exact"/>
        <w:rPr>
          <w:rFonts w:ascii="Arial" w:cs="Arial" w:eastAsia="Arial" w:hAnsi="Arial"/>
          <w:sz w:val="17"/>
          <w:szCs w:val="17"/>
          <w:color w:val="auto"/>
        </w:rPr>
      </w:pPr>
    </w:p>
    <w:p>
      <w:pPr>
        <w:ind w:left="960" w:hanging="439"/>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require substantial additional funding, which may not be available on acceptable terms, or at all.</w:t>
      </w:r>
    </w:p>
    <w:p>
      <w:pPr>
        <w:spacing w:after="0" w:line="47" w:lineRule="exact"/>
        <w:rPr>
          <w:rFonts w:ascii="Arial" w:cs="Arial" w:eastAsia="Arial" w:hAnsi="Arial"/>
          <w:sz w:val="17"/>
          <w:szCs w:val="17"/>
          <w:color w:val="auto"/>
        </w:rPr>
      </w:pPr>
    </w:p>
    <w:p>
      <w:pPr>
        <w:ind w:left="960" w:hanging="439"/>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approach we are taking to discover and develop nucleic acid therapeutics is novel and may never lead to marketable products.</w:t>
      </w:r>
    </w:p>
    <w:p>
      <w:pPr>
        <w:spacing w:after="0" w:line="47" w:lineRule="exact"/>
        <w:rPr>
          <w:rFonts w:ascii="Arial" w:cs="Arial" w:eastAsia="Arial" w:hAnsi="Arial"/>
          <w:sz w:val="17"/>
          <w:szCs w:val="17"/>
          <w:color w:val="auto"/>
        </w:rPr>
      </w:pPr>
    </w:p>
    <w:p>
      <w:pPr>
        <w:ind w:left="960" w:right="820" w:hanging="439"/>
        <w:spacing w:after="0" w:line="243"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of our therapeutic programs are still in the preclinical development stage. If we are unable to successfully complete clinical development and commercialize product candidates, our business will be materially harmed.</w:t>
      </w:r>
    </w:p>
    <w:p>
      <w:pPr>
        <w:spacing w:after="0" w:line="22" w:lineRule="exact"/>
        <w:rPr>
          <w:rFonts w:ascii="Arial" w:cs="Arial" w:eastAsia="Arial" w:hAnsi="Arial"/>
          <w:sz w:val="17"/>
          <w:szCs w:val="17"/>
          <w:color w:val="auto"/>
        </w:rPr>
      </w:pPr>
    </w:p>
    <w:p>
      <w:pPr>
        <w:ind w:left="960" w:right="200" w:hanging="439"/>
        <w:spacing w:after="0" w:line="243"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receive regulatory approval to market product candidates, the market may not be receptive to our product candidates upon their commercial introduction, which will prevent us from becoming profitable.</w:t>
      </w:r>
    </w:p>
    <w:p>
      <w:pPr>
        <w:spacing w:after="0" w:line="22" w:lineRule="exact"/>
        <w:rPr>
          <w:rFonts w:ascii="Arial" w:cs="Arial" w:eastAsia="Arial" w:hAnsi="Arial"/>
          <w:sz w:val="17"/>
          <w:szCs w:val="17"/>
          <w:color w:val="auto"/>
        </w:rPr>
      </w:pPr>
    </w:p>
    <w:p>
      <w:pPr>
        <w:ind w:left="960" w:right="60" w:hanging="439"/>
        <w:spacing w:after="0" w:line="243"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pharmaceutical market is intensely competitive. If we are unable to compete effectively with existing drugs, new treatment methods and new technologies, we may be unable to commercialize successfully any drugs that we develop.</w:t>
      </w:r>
    </w:p>
    <w:p>
      <w:pPr>
        <w:spacing w:after="0" w:line="22" w:lineRule="exact"/>
        <w:rPr>
          <w:rFonts w:ascii="Arial" w:cs="Arial" w:eastAsia="Arial" w:hAnsi="Arial"/>
          <w:sz w:val="17"/>
          <w:szCs w:val="17"/>
          <w:color w:val="auto"/>
        </w:rPr>
      </w:pPr>
    </w:p>
    <w:p>
      <w:pPr>
        <w:ind w:left="960" w:hanging="439"/>
        <w:spacing w:after="0" w:line="23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 If we are unable to protect the confidentiality of our trade secrets, our business and competitive position will be harmed.</w:t>
      </w:r>
    </w:p>
    <w:p>
      <w:pPr>
        <w:spacing w:after="0" w:line="27" w:lineRule="exact"/>
        <w:rPr>
          <w:rFonts w:ascii="Arial" w:cs="Arial" w:eastAsia="Arial" w:hAnsi="Arial"/>
          <w:sz w:val="17"/>
          <w:szCs w:val="17"/>
          <w:color w:val="auto"/>
        </w:rPr>
      </w:pPr>
    </w:p>
    <w:p>
      <w:pPr>
        <w:ind w:left="960" w:right="440" w:hanging="439"/>
        <w:spacing w:after="0" w:line="238"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subject to the laws of Singapore, which differ in certain material respects from the laws of the United States, including the Singapore Code on Take-Overs and Mergers pursuant to which a person acquiring 30% or more of our voting shares is required to conduct a takeover offer for all of our voting shares.</w:t>
      </w:r>
    </w:p>
    <w:p>
      <w:pPr>
        <w:spacing w:after="0" w:line="148" w:lineRule="exact"/>
        <w:rPr>
          <w:sz w:val="20"/>
          <w:szCs w:val="20"/>
          <w:color w:val="auto"/>
        </w:rPr>
      </w:pPr>
    </w:p>
    <w:p>
      <w:pPr>
        <w:ind w:left="200" w:right="220"/>
        <w:spacing w:after="0" w:line="243" w:lineRule="auto"/>
        <w:rPr>
          <w:sz w:val="20"/>
          <w:szCs w:val="20"/>
          <w:color w:val="auto"/>
        </w:rPr>
      </w:pPr>
      <w:r>
        <w:rPr>
          <w:rFonts w:ascii="Arial" w:cs="Arial" w:eastAsia="Arial" w:hAnsi="Arial"/>
          <w:sz w:val="17"/>
          <w:szCs w:val="17"/>
          <w:color w:val="auto"/>
        </w:rPr>
        <w:t>If we are unable to adequately address these and other risks we face, our business, financial condition, operating results and prospects may be adversely affected.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80"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enacted in April 2012.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00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43008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93"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WAVE Life Sciences Pte. Ltd. (Registration No.: 201218209G), or WAVE, was incorporated under the laws of Singapore on July 23, 2012. WAVE has two wholly-owned subsidiaries: WAVE Life Sciences USA, Inc., or WAVE USA, a Delaware corporation (formerly Ontorii, Inc.), and WAVE Life Sciences (Japan), or WAVE Japan, a company organized under the laws of Japan (formerly Chiralgen., Ltd.). Our therapeutic development research and development activities are conducted in WAVE USA’s facilities and our process development research and development activities are conducted in WAVE Japan’s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Our registered office is located at 8 Cross Street #10-00, PWC Building, Singapore 048424, and our telephone number at that address is +65 6236 7389. Our U.S. office and the WAVE USA office is located at 419 Western Avenue, Boston, MA 02135, and our telephone number at that address is +1-617-206-4830. WAVE Japan’s office is located at OHBIC 108, 12-75 Suzaki Uruma-shi, Okinawa, 904-2234, Japan. Our corporate website address is www.wavelifesciences.com. The information on our website is not part of this prospectus, and you should not consider any information contained on, or that can be accessed through, our website in deciding whether to purchase our ordinary shares.</w:t>
      </w:r>
    </w:p>
    <w:p>
      <w:pPr>
        <w:spacing w:after="0" w:line="150"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 xml:space="preserve">The WAVE Life Sciences Pte. Ltd. name, the WAVE Life Sciences mark, and the other trademarks, trade names and service marks of WAVE Life Sciences Pte. Ltd. appearing in this prospectus are the property of WAVE Life Sciences Pte. Ltd. WAVE has applied to register certain of its trademarks in the United States. This prospectus also contains additional trade names, trademarks and service marks belonging to WAVE Life Sciences Pte.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prospectus are referred to without the </w:t>
      </w:r>
      <w:r>
        <w:rPr>
          <w:rFonts w:ascii="Arial" w:cs="Arial" w:eastAsia="Arial" w:hAnsi="Arial"/>
          <w:sz w:val="14"/>
          <w:szCs w:val="14"/>
          <w:color w:val="auto"/>
        </w:rPr>
        <w:t>®</w:t>
      </w:r>
      <w:r>
        <w:rPr>
          <w:rFonts w:ascii="Arial" w:cs="Arial" w:eastAsia="Arial" w:hAnsi="Arial"/>
          <w:sz w:val="17"/>
          <w:szCs w:val="17"/>
          <w:color w:val="auto"/>
        </w:rPr>
        <w:t xml:space="preserve"> and ™ symbols, but such reference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04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9042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ind w:left="360"/>
              <w:spacing w:after="0"/>
              <w:rPr>
                <w:sz w:val="20"/>
                <w:szCs w:val="20"/>
                <w:color w:val="auto"/>
              </w:rPr>
            </w:pPr>
            <w:r>
              <w:rPr>
                <w:rFonts w:ascii="Arial" w:cs="Arial" w:eastAsia="Arial" w:hAnsi="Arial"/>
                <w:sz w:val="18"/>
                <w:szCs w:val="18"/>
                <w:b w:val="1"/>
                <w:bCs w:val="1"/>
                <w:color w:val="auto"/>
              </w:rPr>
              <w:t>THE OFFERING</w:t>
            </w:r>
          </w:p>
        </w:tc>
        <w:tc>
          <w:tcPr>
            <w:tcW w:w="4620" w:type="dxa"/>
            <w:vAlign w:val="bottom"/>
          </w:tcPr>
          <w:p>
            <w:pPr>
              <w:spacing w:after="0"/>
              <w:rPr>
                <w:sz w:val="20"/>
                <w:szCs w:val="20"/>
                <w:color w:val="auto"/>
              </w:rPr>
            </w:pPr>
          </w:p>
        </w:tc>
      </w:tr>
      <w:tr>
        <w:trPr>
          <w:trHeight w:val="550"/>
        </w:trPr>
        <w:tc>
          <w:tcPr>
            <w:tcW w:w="4160" w:type="dxa"/>
            <w:vAlign w:val="bottom"/>
          </w:tcPr>
          <w:p>
            <w:pPr>
              <w:spacing w:after="0"/>
              <w:rPr>
                <w:sz w:val="20"/>
                <w:szCs w:val="20"/>
                <w:color w:val="auto"/>
              </w:rPr>
            </w:pPr>
            <w:r>
              <w:rPr>
                <w:rFonts w:ascii="Arial" w:cs="Arial" w:eastAsia="Arial" w:hAnsi="Arial"/>
                <w:sz w:val="17"/>
                <w:szCs w:val="17"/>
                <w:color w:val="auto"/>
              </w:rPr>
              <w:t>Ordinary shares offered by us</w:t>
            </w:r>
          </w:p>
        </w:tc>
        <w:tc>
          <w:tcPr>
            <w:tcW w:w="340" w:type="dxa"/>
            <w:vAlign w:val="bottom"/>
          </w:tcPr>
          <w:p>
            <w:pPr>
              <w:spacing w:after="0"/>
              <w:rPr>
                <w:sz w:val="24"/>
                <w:szCs w:val="24"/>
                <w:color w:val="auto"/>
              </w:rPr>
            </w:pPr>
          </w:p>
        </w:tc>
        <w:tc>
          <w:tcPr>
            <w:tcW w:w="1920" w:type="dxa"/>
            <w:vAlign w:val="bottom"/>
          </w:tcPr>
          <w:p>
            <w:pPr>
              <w:ind w:left="320"/>
              <w:spacing w:after="0"/>
              <w:rPr>
                <w:sz w:val="20"/>
                <w:szCs w:val="20"/>
                <w:color w:val="auto"/>
              </w:rPr>
            </w:pPr>
            <w:r>
              <w:rPr>
                <w:rFonts w:ascii="Arial" w:cs="Arial" w:eastAsia="Arial" w:hAnsi="Arial"/>
                <w:sz w:val="17"/>
                <w:szCs w:val="17"/>
                <w:color w:val="auto"/>
              </w:rPr>
              <w:t>shares</w:t>
            </w:r>
          </w:p>
        </w:tc>
        <w:tc>
          <w:tcPr>
            <w:tcW w:w="4620" w:type="dxa"/>
            <w:vAlign w:val="bottom"/>
          </w:tcPr>
          <w:p>
            <w:pPr>
              <w:spacing w:after="0"/>
              <w:rPr>
                <w:sz w:val="24"/>
                <w:szCs w:val="24"/>
                <w:color w:val="auto"/>
              </w:rPr>
            </w:pPr>
          </w:p>
        </w:tc>
      </w:tr>
      <w:tr>
        <w:trPr>
          <w:trHeight w:val="405"/>
        </w:trPr>
        <w:tc>
          <w:tcPr>
            <w:tcW w:w="4160" w:type="dxa"/>
            <w:vAlign w:val="bottom"/>
          </w:tcPr>
          <w:p>
            <w:pPr>
              <w:spacing w:after="0"/>
              <w:rPr>
                <w:sz w:val="20"/>
                <w:szCs w:val="20"/>
                <w:color w:val="auto"/>
              </w:rPr>
            </w:pPr>
            <w:r>
              <w:rPr>
                <w:rFonts w:ascii="Arial" w:cs="Arial" w:eastAsia="Arial" w:hAnsi="Arial"/>
                <w:sz w:val="17"/>
                <w:szCs w:val="17"/>
                <w:color w:val="auto"/>
              </w:rPr>
              <w:t>Ordinary shares to be outstanding after this offering</w:t>
            </w:r>
          </w:p>
        </w:tc>
        <w:tc>
          <w:tcPr>
            <w:tcW w:w="340" w:type="dxa"/>
            <w:vAlign w:val="bottom"/>
          </w:tcPr>
          <w:p>
            <w:pPr>
              <w:spacing w:after="0"/>
              <w:rPr>
                <w:sz w:val="24"/>
                <w:szCs w:val="24"/>
                <w:color w:val="auto"/>
              </w:rPr>
            </w:pPr>
          </w:p>
        </w:tc>
        <w:tc>
          <w:tcPr>
            <w:tcW w:w="1920" w:type="dxa"/>
            <w:vAlign w:val="bottom"/>
          </w:tcPr>
          <w:p>
            <w:pPr>
              <w:ind w:left="320"/>
              <w:spacing w:after="0"/>
              <w:rPr>
                <w:sz w:val="20"/>
                <w:szCs w:val="20"/>
                <w:color w:val="auto"/>
              </w:rPr>
            </w:pPr>
            <w:r>
              <w:rPr>
                <w:rFonts w:ascii="Arial" w:cs="Arial" w:eastAsia="Arial" w:hAnsi="Arial"/>
                <w:sz w:val="17"/>
                <w:szCs w:val="17"/>
                <w:color w:val="auto"/>
              </w:rPr>
              <w:t>shares</w:t>
            </w:r>
          </w:p>
        </w:tc>
        <w:tc>
          <w:tcPr>
            <w:tcW w:w="4620" w:type="dxa"/>
            <w:vAlign w:val="bottom"/>
          </w:tcPr>
          <w:p>
            <w:pPr>
              <w:spacing w:after="0"/>
              <w:rPr>
                <w:sz w:val="24"/>
                <w:szCs w:val="24"/>
                <w:color w:val="auto"/>
              </w:rPr>
            </w:pPr>
          </w:p>
        </w:tc>
      </w:tr>
      <w:tr>
        <w:trPr>
          <w:trHeight w:val="389"/>
        </w:trPr>
        <w:tc>
          <w:tcPr>
            <w:tcW w:w="4160" w:type="dxa"/>
            <w:vAlign w:val="bottom"/>
          </w:tcPr>
          <w:p>
            <w:pPr>
              <w:spacing w:after="0"/>
              <w:rPr>
                <w:sz w:val="20"/>
                <w:szCs w:val="20"/>
                <w:color w:val="auto"/>
              </w:rPr>
            </w:pPr>
            <w:r>
              <w:rPr>
                <w:rFonts w:ascii="Arial" w:cs="Arial" w:eastAsia="Arial" w:hAnsi="Arial"/>
                <w:sz w:val="17"/>
                <w:szCs w:val="17"/>
                <w:color w:val="auto"/>
              </w:rPr>
              <w:t>Series A preferred shares to be outstanding after this</w:t>
            </w:r>
          </w:p>
        </w:tc>
        <w:tc>
          <w:tcPr>
            <w:tcW w:w="340" w:type="dxa"/>
            <w:vAlign w:val="bottom"/>
          </w:tcPr>
          <w:p>
            <w:pPr>
              <w:spacing w:after="0"/>
              <w:rPr>
                <w:sz w:val="24"/>
                <w:szCs w:val="24"/>
                <w:color w:val="auto"/>
              </w:rPr>
            </w:pPr>
          </w:p>
        </w:tc>
        <w:tc>
          <w:tcPr>
            <w:tcW w:w="1920" w:type="dxa"/>
            <w:vAlign w:val="bottom"/>
          </w:tcPr>
          <w:p>
            <w:pPr>
              <w:ind w:left="320"/>
              <w:spacing w:after="0"/>
              <w:rPr>
                <w:sz w:val="20"/>
                <w:szCs w:val="20"/>
                <w:color w:val="auto"/>
              </w:rPr>
            </w:pPr>
            <w:r>
              <w:rPr>
                <w:rFonts w:ascii="Arial" w:cs="Arial" w:eastAsia="Arial" w:hAnsi="Arial"/>
                <w:sz w:val="17"/>
                <w:szCs w:val="17"/>
                <w:color w:val="auto"/>
              </w:rPr>
              <w:t>shares</w:t>
            </w:r>
          </w:p>
        </w:tc>
        <w:tc>
          <w:tcPr>
            <w:tcW w:w="4620" w:type="dxa"/>
            <w:vAlign w:val="bottom"/>
          </w:tcPr>
          <w:p>
            <w:pPr>
              <w:spacing w:after="0"/>
              <w:rPr>
                <w:sz w:val="24"/>
                <w:szCs w:val="24"/>
                <w:color w:val="auto"/>
              </w:rPr>
            </w:pPr>
          </w:p>
        </w:tc>
      </w:tr>
      <w:tr>
        <w:trPr>
          <w:trHeight w:val="205"/>
        </w:trPr>
        <w:tc>
          <w:tcPr>
            <w:tcW w:w="4160" w:type="dxa"/>
            <w:vAlign w:val="bottom"/>
          </w:tcPr>
          <w:p>
            <w:pPr>
              <w:ind w:left="80"/>
              <w:spacing w:after="0"/>
              <w:rPr>
                <w:sz w:val="20"/>
                <w:szCs w:val="20"/>
                <w:color w:val="auto"/>
              </w:rPr>
            </w:pPr>
            <w:r>
              <w:rPr>
                <w:rFonts w:ascii="Arial" w:cs="Arial" w:eastAsia="Arial" w:hAnsi="Arial"/>
                <w:sz w:val="17"/>
                <w:szCs w:val="17"/>
                <w:color w:val="auto"/>
              </w:rPr>
              <w:t>offering</w:t>
            </w: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20" w:type="dxa"/>
            <w:vAlign w:val="bottom"/>
          </w:tcPr>
          <w:p>
            <w:pPr>
              <w:spacing w:after="0"/>
              <w:rPr>
                <w:sz w:val="17"/>
                <w:szCs w:val="17"/>
                <w:color w:val="auto"/>
              </w:rPr>
            </w:pPr>
          </w:p>
        </w:tc>
      </w:tr>
      <w:tr>
        <w:trPr>
          <w:trHeight w:val="768"/>
        </w:trPr>
        <w:tc>
          <w:tcPr>
            <w:tcW w:w="4160" w:type="dxa"/>
            <w:vAlign w:val="bottom"/>
          </w:tcPr>
          <w:p>
            <w:pPr>
              <w:spacing w:after="0"/>
              <w:rPr>
                <w:sz w:val="20"/>
                <w:szCs w:val="20"/>
                <w:color w:val="auto"/>
              </w:rPr>
            </w:pPr>
            <w:r>
              <w:rPr>
                <w:rFonts w:ascii="Arial" w:cs="Arial" w:eastAsia="Arial" w:hAnsi="Arial"/>
                <w:sz w:val="17"/>
                <w:szCs w:val="17"/>
                <w:color w:val="auto"/>
              </w:rPr>
              <w:t>Total ordinary shares and Series A preferred shares to</w:t>
            </w:r>
          </w:p>
        </w:tc>
        <w:tc>
          <w:tcPr>
            <w:tcW w:w="340" w:type="dxa"/>
            <w:vAlign w:val="bottom"/>
          </w:tcPr>
          <w:p>
            <w:pPr>
              <w:spacing w:after="0"/>
              <w:rPr>
                <w:sz w:val="24"/>
                <w:szCs w:val="24"/>
                <w:color w:val="auto"/>
              </w:rPr>
            </w:pPr>
          </w:p>
        </w:tc>
        <w:tc>
          <w:tcPr>
            <w:tcW w:w="1920" w:type="dxa"/>
            <w:vAlign w:val="bottom"/>
          </w:tcPr>
          <w:p>
            <w:pPr>
              <w:ind w:left="320"/>
              <w:spacing w:after="0"/>
              <w:rPr>
                <w:sz w:val="20"/>
                <w:szCs w:val="20"/>
                <w:color w:val="auto"/>
              </w:rPr>
            </w:pPr>
            <w:r>
              <w:rPr>
                <w:rFonts w:ascii="Arial" w:cs="Arial" w:eastAsia="Arial" w:hAnsi="Arial"/>
                <w:sz w:val="17"/>
                <w:szCs w:val="17"/>
                <w:color w:val="auto"/>
              </w:rPr>
              <w:t>shares</w:t>
            </w:r>
          </w:p>
        </w:tc>
        <w:tc>
          <w:tcPr>
            <w:tcW w:w="4620" w:type="dxa"/>
            <w:vAlign w:val="bottom"/>
          </w:tcPr>
          <w:p>
            <w:pPr>
              <w:spacing w:after="0"/>
              <w:rPr>
                <w:sz w:val="24"/>
                <w:szCs w:val="24"/>
                <w:color w:val="auto"/>
              </w:rPr>
            </w:pPr>
          </w:p>
        </w:tc>
      </w:tr>
      <w:tr>
        <w:trPr>
          <w:trHeight w:val="205"/>
        </w:trPr>
        <w:tc>
          <w:tcPr>
            <w:tcW w:w="4160" w:type="dxa"/>
            <w:vAlign w:val="bottom"/>
          </w:tcPr>
          <w:p>
            <w:pPr>
              <w:ind w:left="80"/>
              <w:spacing w:after="0"/>
              <w:rPr>
                <w:sz w:val="20"/>
                <w:szCs w:val="20"/>
                <w:color w:val="auto"/>
              </w:rPr>
            </w:pPr>
            <w:r>
              <w:rPr>
                <w:rFonts w:ascii="Arial" w:cs="Arial" w:eastAsia="Arial" w:hAnsi="Arial"/>
                <w:sz w:val="17"/>
                <w:szCs w:val="17"/>
                <w:color w:val="auto"/>
              </w:rPr>
              <w:t>be outstanding after this offering</w:t>
            </w: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20" w:type="dxa"/>
            <w:vAlign w:val="bottom"/>
          </w:tcPr>
          <w:p>
            <w:pPr>
              <w:spacing w:after="0"/>
              <w:rPr>
                <w:sz w:val="17"/>
                <w:szCs w:val="17"/>
                <w:color w:val="auto"/>
              </w:rPr>
            </w:pPr>
          </w:p>
        </w:tc>
      </w:tr>
      <w:tr>
        <w:trPr>
          <w:trHeight w:val="389"/>
        </w:trPr>
        <w:tc>
          <w:tcPr>
            <w:tcW w:w="4160" w:type="dxa"/>
            <w:vAlign w:val="bottom"/>
          </w:tcPr>
          <w:p>
            <w:pPr>
              <w:spacing w:after="0"/>
              <w:rPr>
                <w:sz w:val="20"/>
                <w:szCs w:val="20"/>
                <w:color w:val="auto"/>
              </w:rPr>
            </w:pPr>
            <w:r>
              <w:rPr>
                <w:rFonts w:ascii="Arial" w:cs="Arial" w:eastAsia="Arial" w:hAnsi="Arial"/>
                <w:sz w:val="17"/>
                <w:szCs w:val="17"/>
                <w:color w:val="auto"/>
              </w:rPr>
              <w:t>Option to purchase additional ordinary shares</w:t>
            </w:r>
          </w:p>
        </w:tc>
        <w:tc>
          <w:tcPr>
            <w:tcW w:w="6880" w:type="dxa"/>
            <w:vAlign w:val="bottom"/>
            <w:gridSpan w:val="3"/>
          </w:tcPr>
          <w:p>
            <w:pPr>
              <w:ind w:left="40"/>
              <w:spacing w:after="0"/>
              <w:rPr>
                <w:sz w:val="20"/>
                <w:szCs w:val="20"/>
                <w:color w:val="auto"/>
              </w:rPr>
            </w:pPr>
            <w:r>
              <w:rPr>
                <w:rFonts w:ascii="Arial" w:cs="Arial" w:eastAsia="Arial" w:hAnsi="Arial"/>
                <w:sz w:val="17"/>
                <w:szCs w:val="17"/>
                <w:color w:val="auto"/>
              </w:rPr>
              <w:t>We have granted the underwriters an option to purchase up to an additional</w:t>
            </w:r>
          </w:p>
        </w:tc>
      </w:tr>
      <w:tr>
        <w:trPr>
          <w:trHeight w:val="205"/>
        </w:trPr>
        <w:tc>
          <w:tcPr>
            <w:tcW w:w="4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40" w:type="dxa"/>
            <w:vAlign w:val="bottom"/>
            <w:gridSpan w:val="2"/>
          </w:tcPr>
          <w:p>
            <w:pPr>
              <w:ind w:left="260"/>
              <w:spacing w:after="0"/>
              <w:rPr>
                <w:sz w:val="20"/>
                <w:szCs w:val="20"/>
                <w:color w:val="auto"/>
              </w:rPr>
            </w:pPr>
            <w:r>
              <w:rPr>
                <w:rFonts w:ascii="Arial" w:cs="Arial" w:eastAsia="Arial" w:hAnsi="Arial"/>
                <w:sz w:val="17"/>
                <w:szCs w:val="17"/>
                <w:color w:val="auto"/>
              </w:rPr>
              <w:t>ordinary shares from us within 30 days of the date of this prospectus.</w:t>
            </w:r>
          </w:p>
        </w:tc>
      </w:tr>
      <w:tr>
        <w:trPr>
          <w:trHeight w:val="376"/>
        </w:trPr>
        <w:tc>
          <w:tcPr>
            <w:tcW w:w="4160" w:type="dxa"/>
            <w:vAlign w:val="bottom"/>
          </w:tcPr>
          <w:p>
            <w:pPr>
              <w:spacing w:after="0"/>
              <w:rPr>
                <w:sz w:val="20"/>
                <w:szCs w:val="20"/>
                <w:color w:val="auto"/>
              </w:rPr>
            </w:pPr>
            <w:r>
              <w:rPr>
                <w:rFonts w:ascii="Arial" w:cs="Arial" w:eastAsia="Arial" w:hAnsi="Arial"/>
                <w:sz w:val="17"/>
                <w:szCs w:val="17"/>
                <w:color w:val="auto"/>
              </w:rPr>
              <w:t>Ordinary shares to be outstanding immediately after</w:t>
            </w:r>
          </w:p>
        </w:tc>
        <w:tc>
          <w:tcPr>
            <w:tcW w:w="340" w:type="dxa"/>
            <w:vAlign w:val="bottom"/>
          </w:tcPr>
          <w:p>
            <w:pPr>
              <w:spacing w:after="0"/>
              <w:rPr>
                <w:sz w:val="24"/>
                <w:szCs w:val="24"/>
                <w:color w:val="auto"/>
              </w:rPr>
            </w:pPr>
          </w:p>
        </w:tc>
        <w:tc>
          <w:tcPr>
            <w:tcW w:w="1920" w:type="dxa"/>
            <w:vAlign w:val="bottom"/>
          </w:tcPr>
          <w:p>
            <w:pPr>
              <w:ind w:left="260"/>
              <w:spacing w:after="0"/>
              <w:rPr>
                <w:sz w:val="20"/>
                <w:szCs w:val="20"/>
                <w:color w:val="auto"/>
              </w:rPr>
            </w:pPr>
            <w:r>
              <w:rPr>
                <w:rFonts w:ascii="Arial" w:cs="Arial" w:eastAsia="Arial" w:hAnsi="Arial"/>
                <w:sz w:val="17"/>
                <w:szCs w:val="17"/>
                <w:color w:val="auto"/>
              </w:rPr>
              <w:t>ordinary shares (or</w:t>
            </w:r>
          </w:p>
        </w:tc>
        <w:tc>
          <w:tcPr>
            <w:tcW w:w="4620" w:type="dxa"/>
            <w:vAlign w:val="bottom"/>
          </w:tcPr>
          <w:p>
            <w:pPr>
              <w:ind w:left="440"/>
              <w:spacing w:after="0"/>
              <w:rPr>
                <w:sz w:val="20"/>
                <w:szCs w:val="20"/>
                <w:color w:val="auto"/>
              </w:rPr>
            </w:pPr>
            <w:r>
              <w:rPr>
                <w:rFonts w:ascii="Arial" w:cs="Arial" w:eastAsia="Arial" w:hAnsi="Arial"/>
                <w:sz w:val="17"/>
                <w:szCs w:val="17"/>
                <w:color w:val="auto"/>
              </w:rPr>
              <w:t>ordinary shares if the underwriters exercise their option</w:t>
            </w:r>
          </w:p>
        </w:tc>
      </w:tr>
      <w:tr>
        <w:trPr>
          <w:trHeight w:val="205"/>
        </w:trPr>
        <w:tc>
          <w:tcPr>
            <w:tcW w:w="4160" w:type="dxa"/>
            <w:vAlign w:val="bottom"/>
          </w:tcPr>
          <w:p>
            <w:pPr>
              <w:ind w:left="80"/>
              <w:spacing w:after="0"/>
              <w:rPr>
                <w:sz w:val="20"/>
                <w:szCs w:val="20"/>
                <w:color w:val="auto"/>
              </w:rPr>
            </w:pPr>
            <w:r>
              <w:rPr>
                <w:rFonts w:ascii="Arial" w:cs="Arial" w:eastAsia="Arial" w:hAnsi="Arial"/>
                <w:sz w:val="17"/>
                <w:szCs w:val="17"/>
                <w:color w:val="auto"/>
              </w:rPr>
              <w:t>this offering</w:t>
            </w:r>
          </w:p>
        </w:tc>
        <w:tc>
          <w:tcPr>
            <w:tcW w:w="6880" w:type="dxa"/>
            <w:vAlign w:val="bottom"/>
            <w:gridSpan w:val="3"/>
          </w:tcPr>
          <w:p>
            <w:pPr>
              <w:ind w:left="40"/>
              <w:spacing w:after="0"/>
              <w:rPr>
                <w:sz w:val="20"/>
                <w:szCs w:val="20"/>
                <w:color w:val="auto"/>
              </w:rPr>
            </w:pPr>
            <w:r>
              <w:rPr>
                <w:rFonts w:ascii="Arial" w:cs="Arial" w:eastAsia="Arial" w:hAnsi="Arial"/>
                <w:sz w:val="17"/>
                <w:szCs w:val="17"/>
                <w:color w:val="auto"/>
              </w:rPr>
              <w:t>to purchase additional ordinary shares in full).</w:t>
            </w:r>
          </w:p>
        </w:tc>
      </w:tr>
      <w:tr>
        <w:trPr>
          <w:trHeight w:val="389"/>
        </w:trPr>
        <w:tc>
          <w:tcPr>
            <w:tcW w:w="4160" w:type="dxa"/>
            <w:vAlign w:val="bottom"/>
          </w:tcPr>
          <w:p>
            <w:pPr>
              <w:spacing w:after="0"/>
              <w:rPr>
                <w:sz w:val="20"/>
                <w:szCs w:val="20"/>
                <w:color w:val="auto"/>
              </w:rPr>
            </w:pPr>
            <w:r>
              <w:rPr>
                <w:rFonts w:ascii="Arial" w:cs="Arial" w:eastAsia="Arial" w:hAnsi="Arial"/>
                <w:sz w:val="17"/>
                <w:szCs w:val="17"/>
                <w:color w:val="auto"/>
              </w:rPr>
              <w:t>Voting rights</w:t>
            </w:r>
          </w:p>
        </w:tc>
        <w:tc>
          <w:tcPr>
            <w:tcW w:w="6880" w:type="dxa"/>
            <w:vAlign w:val="bottom"/>
            <w:gridSpan w:val="3"/>
          </w:tcPr>
          <w:p>
            <w:pPr>
              <w:ind w:left="40"/>
              <w:spacing w:after="0"/>
              <w:rPr>
                <w:sz w:val="20"/>
                <w:szCs w:val="20"/>
                <w:color w:val="auto"/>
              </w:rPr>
            </w:pPr>
            <w:r>
              <w:rPr>
                <w:rFonts w:ascii="Arial" w:cs="Arial" w:eastAsia="Arial" w:hAnsi="Arial"/>
                <w:sz w:val="17"/>
                <w:szCs w:val="17"/>
                <w:color w:val="auto"/>
              </w:rPr>
              <w:t>We will have two classes of outstanding securities: ordinary shares and Series A preferred</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shares. The rights of the Series A preferred shares are identical to the ordinary shares,</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other than: (1) no voting rights other than in limited circumstances, (2) the right to a non-</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cumulative dividend if and when declared by our board of directors and (3) the right to</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convert the Series A preferred shares at any time on a one-for-one basis into ordinary</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shares at the discretion of the holder. The holders of ordinary shares are entitled to one</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vote per share on all matters that are subject to shareholder vote and the holders of Series</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A preferred shares are only entitled to vote their shares in certain limited circumstances.</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Following this offering, each Series A preferred share may be converted into one ordinary</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share at the option of the holder thereof. See “Description of Share Capital” for additional</w:t>
            </w:r>
          </w:p>
        </w:tc>
      </w:tr>
      <w:tr>
        <w:trPr>
          <w:trHeight w:val="205"/>
        </w:trPr>
        <w:tc>
          <w:tcPr>
            <w:tcW w:w="4160" w:type="dxa"/>
            <w:vAlign w:val="bottom"/>
          </w:tcPr>
          <w:p>
            <w:pPr>
              <w:spacing w:after="0"/>
              <w:rPr>
                <w:sz w:val="17"/>
                <w:szCs w:val="17"/>
                <w:color w:val="auto"/>
              </w:rPr>
            </w:pPr>
          </w:p>
        </w:tc>
        <w:tc>
          <w:tcPr>
            <w:tcW w:w="2260" w:type="dxa"/>
            <w:vAlign w:val="bottom"/>
            <w:gridSpan w:val="2"/>
          </w:tcPr>
          <w:p>
            <w:pPr>
              <w:ind w:left="40"/>
              <w:spacing w:after="0"/>
              <w:rPr>
                <w:sz w:val="20"/>
                <w:szCs w:val="20"/>
                <w:color w:val="auto"/>
              </w:rPr>
            </w:pPr>
            <w:r>
              <w:rPr>
                <w:rFonts w:ascii="Arial" w:cs="Arial" w:eastAsia="Arial" w:hAnsi="Arial"/>
                <w:sz w:val="17"/>
                <w:szCs w:val="17"/>
                <w:color w:val="auto"/>
              </w:rPr>
              <w:t>information.</w:t>
            </w:r>
          </w:p>
        </w:tc>
        <w:tc>
          <w:tcPr>
            <w:tcW w:w="4620" w:type="dxa"/>
            <w:vAlign w:val="bottom"/>
          </w:tcPr>
          <w:p>
            <w:pPr>
              <w:spacing w:after="0"/>
              <w:rPr>
                <w:sz w:val="17"/>
                <w:szCs w:val="17"/>
                <w:color w:val="auto"/>
              </w:rPr>
            </w:pPr>
          </w:p>
        </w:tc>
      </w:tr>
      <w:tr>
        <w:trPr>
          <w:trHeight w:val="376"/>
        </w:trPr>
        <w:tc>
          <w:tcPr>
            <w:tcW w:w="4160" w:type="dxa"/>
            <w:vAlign w:val="bottom"/>
          </w:tcPr>
          <w:p>
            <w:pPr>
              <w:spacing w:after="0"/>
              <w:rPr>
                <w:sz w:val="20"/>
                <w:szCs w:val="20"/>
                <w:color w:val="auto"/>
              </w:rPr>
            </w:pPr>
            <w:r>
              <w:rPr>
                <w:rFonts w:ascii="Arial" w:cs="Arial" w:eastAsia="Arial" w:hAnsi="Arial"/>
                <w:sz w:val="17"/>
                <w:szCs w:val="17"/>
                <w:color w:val="auto"/>
              </w:rPr>
              <w:t>Use of proceeds</w:t>
            </w:r>
          </w:p>
        </w:tc>
        <w:tc>
          <w:tcPr>
            <w:tcW w:w="6880" w:type="dxa"/>
            <w:vAlign w:val="bottom"/>
            <w:gridSpan w:val="3"/>
          </w:tcPr>
          <w:p>
            <w:pPr>
              <w:ind w:left="40"/>
              <w:spacing w:after="0"/>
              <w:rPr>
                <w:sz w:val="20"/>
                <w:szCs w:val="20"/>
                <w:color w:val="auto"/>
              </w:rPr>
            </w:pPr>
            <w:r>
              <w:rPr>
                <w:rFonts w:ascii="Arial" w:cs="Arial" w:eastAsia="Arial" w:hAnsi="Arial"/>
                <w:sz w:val="17"/>
                <w:szCs w:val="17"/>
                <w:color w:val="auto"/>
              </w:rPr>
              <w:t>We estimate that the net proceeds from this offering to us will be approximately $</w:t>
            </w:r>
          </w:p>
        </w:tc>
      </w:tr>
      <w:tr>
        <w:trPr>
          <w:trHeight w:val="189"/>
        </w:trPr>
        <w:tc>
          <w:tcPr>
            <w:tcW w:w="4160" w:type="dxa"/>
            <w:vAlign w:val="bottom"/>
          </w:tcPr>
          <w:p>
            <w:pPr>
              <w:spacing w:after="0"/>
              <w:rPr>
                <w:sz w:val="16"/>
                <w:szCs w:val="16"/>
                <w:color w:val="auto"/>
              </w:rPr>
            </w:pPr>
          </w:p>
        </w:tc>
        <w:tc>
          <w:tcPr>
            <w:tcW w:w="226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million (or approximately $</w:t>
            </w:r>
          </w:p>
        </w:tc>
        <w:tc>
          <w:tcPr>
            <w:tcW w:w="4620" w:type="dxa"/>
            <w:vAlign w:val="bottom"/>
          </w:tcPr>
          <w:p>
            <w:pPr>
              <w:ind w:left="200"/>
              <w:spacing w:after="0" w:line="189" w:lineRule="exact"/>
              <w:rPr>
                <w:sz w:val="20"/>
                <w:szCs w:val="20"/>
                <w:color w:val="auto"/>
              </w:rPr>
            </w:pPr>
            <w:r>
              <w:rPr>
                <w:rFonts w:ascii="Arial" w:cs="Arial" w:eastAsia="Arial" w:hAnsi="Arial"/>
                <w:sz w:val="17"/>
                <w:szCs w:val="17"/>
                <w:color w:val="auto"/>
              </w:rPr>
              <w:t>million, if the underwriters exercise their option to</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purchase additional ordinary shares in full), based on an assumed initial offering price of</w:t>
            </w:r>
          </w:p>
        </w:tc>
      </w:tr>
      <w:tr>
        <w:trPr>
          <w:trHeight w:val="189"/>
        </w:trPr>
        <w:tc>
          <w:tcPr>
            <w:tcW w:w="4160" w:type="dxa"/>
            <w:vAlign w:val="bottom"/>
          </w:tcPr>
          <w:p>
            <w:pPr>
              <w:spacing w:after="0"/>
              <w:rPr>
                <w:sz w:val="16"/>
                <w:szCs w:val="16"/>
                <w:color w:val="auto"/>
              </w:rPr>
            </w:pPr>
          </w:p>
        </w:tc>
        <w:tc>
          <w:tcPr>
            <w:tcW w:w="340" w:type="dxa"/>
            <w:vAlign w:val="bottom"/>
          </w:tcPr>
          <w:p>
            <w:pPr>
              <w:ind w:left="40"/>
              <w:spacing w:after="0" w:line="189" w:lineRule="exact"/>
              <w:rPr>
                <w:sz w:val="20"/>
                <w:szCs w:val="20"/>
                <w:color w:val="auto"/>
              </w:rPr>
            </w:pPr>
            <w:r>
              <w:rPr>
                <w:rFonts w:ascii="Arial" w:cs="Arial" w:eastAsia="Arial" w:hAnsi="Arial"/>
                <w:sz w:val="17"/>
                <w:szCs w:val="17"/>
                <w:color w:val="auto"/>
              </w:rPr>
              <w:t>$</w:t>
            </w:r>
          </w:p>
        </w:tc>
        <w:tc>
          <w:tcPr>
            <w:tcW w:w="65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per share, the midpoint of the price range set forth on the cover page of this</w:t>
            </w:r>
          </w:p>
        </w:tc>
      </w:tr>
      <w:tr>
        <w:trPr>
          <w:trHeight w:val="189"/>
        </w:trPr>
        <w:tc>
          <w:tcPr>
            <w:tcW w:w="4160" w:type="dxa"/>
            <w:vAlign w:val="bottom"/>
          </w:tcPr>
          <w:p>
            <w:pPr>
              <w:spacing w:after="0"/>
              <w:rPr>
                <w:sz w:val="16"/>
                <w:szCs w:val="16"/>
                <w:color w:val="auto"/>
              </w:rPr>
            </w:pPr>
          </w:p>
        </w:tc>
        <w:tc>
          <w:tcPr>
            <w:tcW w:w="688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prospectus, after deducting underwriting discounts and commissions and estimated</w:t>
            </w:r>
          </w:p>
        </w:tc>
      </w:tr>
      <w:tr>
        <w:trPr>
          <w:trHeight w:val="205"/>
        </w:trPr>
        <w:tc>
          <w:tcPr>
            <w:tcW w:w="4160" w:type="dxa"/>
            <w:vAlign w:val="bottom"/>
          </w:tcPr>
          <w:p>
            <w:pPr>
              <w:spacing w:after="0"/>
              <w:rPr>
                <w:sz w:val="17"/>
                <w:szCs w:val="17"/>
                <w:color w:val="auto"/>
              </w:rPr>
            </w:pPr>
          </w:p>
        </w:tc>
        <w:tc>
          <w:tcPr>
            <w:tcW w:w="6880" w:type="dxa"/>
            <w:vAlign w:val="bottom"/>
            <w:gridSpan w:val="3"/>
          </w:tcPr>
          <w:p>
            <w:pPr>
              <w:ind w:left="40"/>
              <w:spacing w:after="0"/>
              <w:rPr>
                <w:sz w:val="20"/>
                <w:szCs w:val="20"/>
                <w:color w:val="auto"/>
              </w:rPr>
            </w:pPr>
            <w:r>
              <w:rPr>
                <w:rFonts w:ascii="Arial" w:cs="Arial" w:eastAsia="Arial" w:hAnsi="Arial"/>
                <w:sz w:val="17"/>
                <w:szCs w:val="17"/>
                <w:color w:val="auto"/>
              </w:rPr>
              <w:t>offering expenses payable by us.</w:t>
            </w:r>
          </w:p>
        </w:tc>
      </w:tr>
    </w:tbl>
    <w:p>
      <w:pPr>
        <w:spacing w:after="0" w:line="187" w:lineRule="exact"/>
        <w:rPr>
          <w:sz w:val="20"/>
          <w:szCs w:val="20"/>
          <w:color w:val="auto"/>
        </w:rPr>
      </w:pPr>
    </w:p>
    <w:p>
      <w:pPr>
        <w:ind w:left="4400" w:right="120"/>
        <w:spacing w:after="0" w:line="235" w:lineRule="auto"/>
        <w:rPr>
          <w:sz w:val="20"/>
          <w:szCs w:val="20"/>
          <w:color w:val="auto"/>
        </w:rPr>
      </w:pPr>
      <w:r>
        <w:rPr>
          <w:rFonts w:ascii="Arial" w:cs="Arial" w:eastAsia="Arial" w:hAnsi="Arial"/>
          <w:sz w:val="17"/>
          <w:szCs w:val="17"/>
          <w:color w:val="auto"/>
        </w:rPr>
        <w:t>We intend to use the net proceeds from this offering to fund our most advanced therapeutic programs and advance our late-stage discovery programs, including to select our lead product candidates in those programs, to advance our early-stage discovery programs, to expand our pipeline further, for working capital and for other general corporate purposes. See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3683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368300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have never declared or paid any dividends on our ordinary shares. We do not currently anticipate declaring or paying any cash dividends on our ordinary shares for the foreseeable future. See “Dividend Policy.”</w:t>
      </w:r>
    </w:p>
    <w:p>
      <w:pPr>
        <w:spacing w:after="0" w:line="18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380"/>
        <w:spacing w:after="0" w:line="243" w:lineRule="auto"/>
        <w:rPr>
          <w:sz w:val="20"/>
          <w:szCs w:val="20"/>
          <w:color w:val="auto"/>
        </w:rPr>
      </w:pPr>
      <w:r>
        <w:rPr>
          <w:rFonts w:ascii="Arial" w:cs="Arial" w:eastAsia="Arial" w:hAnsi="Arial"/>
          <w:sz w:val="17"/>
          <w:szCs w:val="17"/>
          <w:color w:val="auto"/>
        </w:rPr>
        <w:t>You should read the section titled “Risk Factors” for a discussion of factors to consider carefully before deciding to invest in our ordinary shares.</w:t>
      </w:r>
    </w:p>
    <w:p>
      <w:pPr>
        <w:spacing w:after="0" w:line="185"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Proposed NASDAQ listing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“WVE”</w:t>
      </w:r>
    </w:p>
    <w:p>
      <w:pPr>
        <w:spacing w:after="0" w:line="174"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The number of our ordinary shares to be outstanding immediately after this offering is based on 3,602,123 ordinary shares outstanding as of</w:t>
      </w:r>
    </w:p>
    <w:p>
      <w:pPr>
        <w:ind w:left="200"/>
        <w:spacing w:after="0"/>
        <w:rPr>
          <w:sz w:val="20"/>
          <w:szCs w:val="20"/>
          <w:color w:val="auto"/>
        </w:rPr>
      </w:pPr>
      <w:r>
        <w:rPr>
          <w:rFonts w:ascii="Arial" w:cs="Arial" w:eastAsia="Arial" w:hAnsi="Arial"/>
          <w:sz w:val="17"/>
          <w:szCs w:val="17"/>
          <w:color w:val="auto"/>
        </w:rPr>
        <w:t>June 30, 2015, and excludes:</w:t>
      </w:r>
    </w:p>
    <w:p>
      <w:pPr>
        <w:spacing w:after="0" w:line="196" w:lineRule="exact"/>
        <w:rPr>
          <w:sz w:val="20"/>
          <w:szCs w:val="20"/>
          <w:color w:val="auto"/>
        </w:rPr>
      </w:pPr>
    </w:p>
    <w:p>
      <w:pPr>
        <w:ind w:left="960" w:hanging="439"/>
        <w:spacing w:after="0" w:line="238"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456,449 ordinary shares issuable upon the exercise of options outstanding as of June 30, 2015, with an exercise price of $10.00 per share, plus 24,400 ordinary shares issuable upon the exercise of options granted subsequent to June 30, 2015, with an exercise price of $24.21 per share;</w:t>
      </w:r>
    </w:p>
    <w:p>
      <w:pPr>
        <w:spacing w:after="0" w:line="26" w:lineRule="exact"/>
        <w:rPr>
          <w:rFonts w:ascii="Arial" w:cs="Arial" w:eastAsia="Arial" w:hAnsi="Arial"/>
          <w:sz w:val="17"/>
          <w:szCs w:val="17"/>
          <w:color w:val="auto"/>
        </w:rPr>
      </w:pPr>
    </w:p>
    <w:p>
      <w:pPr>
        <w:ind w:left="960" w:hanging="439"/>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351,728 ordinary shares reserved for future issuance under our 2014 Equity Incentive Plan, or the 2014 Plan; and</w:t>
      </w:r>
    </w:p>
    <w:p>
      <w:pPr>
        <w:spacing w:after="0" w:line="47" w:lineRule="exact"/>
        <w:rPr>
          <w:rFonts w:ascii="Arial" w:cs="Arial" w:eastAsia="Arial" w:hAnsi="Arial"/>
          <w:sz w:val="17"/>
          <w:szCs w:val="17"/>
          <w:color w:val="auto"/>
        </w:rPr>
      </w:pPr>
    </w:p>
    <w:p>
      <w:pPr>
        <w:ind w:left="960" w:right="260" w:hanging="439"/>
        <w:spacing w:after="0" w:line="243"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965,300 outstanding Series A preferred shares which can be converted at any time on a one-for-one basis into ordinary shares at the discretion of the holder.</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96" w:lineRule="exact"/>
        <w:rPr>
          <w:sz w:val="20"/>
          <w:szCs w:val="20"/>
          <w:color w:val="auto"/>
        </w:rPr>
      </w:pPr>
    </w:p>
    <w:p>
      <w:pPr>
        <w:ind w:left="960" w:hanging="439"/>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conversion of all outstanding Series B preferred shares into 1,320,000 ordinary shares prior to the closing of this offering;</w:t>
      </w:r>
    </w:p>
    <w:p>
      <w:pPr>
        <w:spacing w:after="0" w:line="36" w:lineRule="exact"/>
        <w:rPr>
          <w:sz w:val="20"/>
          <w:szCs w:val="20"/>
          <w:color w:val="auto"/>
        </w:rPr>
      </w:pPr>
    </w:p>
    <w:p>
      <w:pPr>
        <w:ind w:left="520"/>
        <w:spacing w:after="0"/>
        <w:tabs>
          <w:tab w:leader="none" w:pos="940" w:val="left"/>
          <w:tab w:leader="none" w:pos="74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no exercise by the underwriters of their option to purchase up to an additional</w:t>
      </w:r>
      <w:r>
        <w:rPr>
          <w:sz w:val="20"/>
          <w:szCs w:val="20"/>
          <w:color w:val="auto"/>
        </w:rPr>
        <w:tab/>
      </w:r>
      <w:r>
        <w:rPr>
          <w:rFonts w:ascii="Arial" w:cs="Arial" w:eastAsia="Arial" w:hAnsi="Arial"/>
          <w:sz w:val="17"/>
          <w:szCs w:val="17"/>
          <w:color w:val="auto"/>
        </w:rPr>
        <w:t>ordinary shares from us;</w:t>
      </w:r>
    </w:p>
    <w:p>
      <w:pPr>
        <w:spacing w:after="0" w:line="59" w:lineRule="exact"/>
        <w:rPr>
          <w:sz w:val="20"/>
          <w:szCs w:val="20"/>
          <w:color w:val="auto"/>
        </w:rPr>
      </w:pPr>
    </w:p>
    <w:p>
      <w:pPr>
        <w:ind w:left="960" w:right="240" w:hanging="439"/>
        <w:spacing w:after="0" w:line="243"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effectiveness of our amended and restated memorandum and articles of association in connection with the closing of this offering; and</w:t>
      </w:r>
    </w:p>
    <w:p>
      <w:pPr>
        <w:spacing w:after="0" w:line="22" w:lineRule="exact"/>
        <w:rPr>
          <w:rFonts w:ascii="Arial" w:cs="Arial" w:eastAsia="Arial" w:hAnsi="Arial"/>
          <w:sz w:val="17"/>
          <w:szCs w:val="17"/>
          <w:color w:val="auto"/>
        </w:rPr>
      </w:pPr>
    </w:p>
    <w:p>
      <w:pPr>
        <w:ind w:left="960" w:hanging="439"/>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exercise of any outstanding options after June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200" w:right="80"/>
        <w:spacing w:after="0" w:line="233"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related notes included elsewhere in this prospectus and the sections titled “Selected Consolidated Financial Data” and “Management’s Discussion and Analysis of Financial Condition and Results of Operations.” We have derived the summary consolidated statements of operations data for the years ended December 31, 2013 and 2014 from our audited consolidated financial statements appearing elsewhere in this prospectus. The summary consolidated statements of operations data for the six months ended June 30, 2014 and 2015 and the consolidated balance sheet data as of June 30, 2015 have been derived from our unaudited consolidated financial statements appearing elsewhere in this prospectus and have been prepared on the same basis as our audited consolidated financial statements. In the opinion of management, the unaudited data reflects all adjustments, consisting only of normal recurring adjustments, necessary for a fair presentation of the consolidated financial information in those statements. Our consolidated historical results are not necessarily indicative of the results that should be expected in the future, and our consolidated results for the six months ended June 30, 2015 are not necessarily indicative of the results that should be expected for the full year ending December 31, 2015.</w:t>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center"/>
              <w:ind w:right="15"/>
              <w:spacing w:after="0" w:line="14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gridSpan w:val="11"/>
          </w:tcPr>
          <w:p>
            <w:pPr>
              <w:jc w:val="right"/>
              <w:ind w:right="76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Statements of Operations Data:</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80" w:type="dxa"/>
            <w:vAlign w:val="bottom"/>
          </w:tcPr>
          <w:p>
            <w:pPr>
              <w:spacing w:after="0" w:line="189" w:lineRule="exact"/>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28"/>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1,920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2,395</w:t>
            </w:r>
          </w:p>
        </w:tc>
        <w:tc>
          <w:tcPr>
            <w:tcW w:w="120" w:type="dxa"/>
            <w:vAlign w:val="bottom"/>
          </w:tcPr>
          <w:p>
            <w:pPr>
              <w:spacing w:after="0"/>
              <w:rPr>
                <w:sz w:val="16"/>
                <w:szCs w:val="16"/>
                <w:color w:val="auto"/>
              </w:rPr>
            </w:pPr>
          </w:p>
        </w:tc>
        <w:tc>
          <w:tcPr>
            <w:tcW w:w="1120" w:type="dxa"/>
            <w:vAlign w:val="bottom"/>
            <w:gridSpan w:val="2"/>
          </w:tcPr>
          <w:p>
            <w:pPr>
              <w:jc w:val="right"/>
              <w:ind w:right="428"/>
              <w:spacing w:after="0" w:line="189" w:lineRule="exact"/>
              <w:rPr>
                <w:sz w:val="20"/>
                <w:szCs w:val="20"/>
                <w:color w:val="auto"/>
              </w:rPr>
            </w:pPr>
            <w:r>
              <w:rPr>
                <w:rFonts w:ascii="Arial" w:cs="Arial" w:eastAsia="Arial" w:hAnsi="Arial"/>
                <w:sz w:val="17"/>
                <w:szCs w:val="17"/>
                <w:color w:val="auto"/>
              </w:rPr>
              <w:t>1,087</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3,457</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1,654</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2,999</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8"/>
              <w:spacing w:after="0" w:line="189" w:lineRule="exact"/>
              <w:rPr>
                <w:sz w:val="20"/>
                <w:szCs w:val="20"/>
                <w:color w:val="auto"/>
              </w:rPr>
            </w:pPr>
            <w:r>
              <w:rPr>
                <w:rFonts w:ascii="Arial" w:cs="Arial" w:eastAsia="Arial" w:hAnsi="Arial"/>
                <w:sz w:val="17"/>
                <w:szCs w:val="17"/>
                <w:color w:val="auto"/>
              </w:rPr>
              <w:t>1,173</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3,574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5,394</w:t>
            </w:r>
          </w:p>
        </w:tc>
        <w:tc>
          <w:tcPr>
            <w:tcW w:w="120" w:type="dxa"/>
            <w:vAlign w:val="bottom"/>
          </w:tcPr>
          <w:p>
            <w:pPr>
              <w:spacing w:after="0"/>
              <w:rPr>
                <w:sz w:val="22"/>
                <w:szCs w:val="22"/>
                <w:color w:val="auto"/>
              </w:rPr>
            </w:pPr>
          </w:p>
        </w:tc>
        <w:tc>
          <w:tcPr>
            <w:tcW w:w="1120" w:type="dxa"/>
            <w:vAlign w:val="bottom"/>
            <w:gridSpan w:val="2"/>
          </w:tcPr>
          <w:p>
            <w:pPr>
              <w:jc w:val="right"/>
              <w:ind w:right="428"/>
              <w:spacing w:after="0"/>
              <w:rPr>
                <w:sz w:val="20"/>
                <w:szCs w:val="20"/>
                <w:color w:val="auto"/>
              </w:rPr>
            </w:pPr>
            <w:r>
              <w:rPr>
                <w:rFonts w:ascii="Arial" w:cs="Arial" w:eastAsia="Arial" w:hAnsi="Arial"/>
                <w:sz w:val="17"/>
                <w:szCs w:val="17"/>
                <w:color w:val="auto"/>
              </w:rPr>
              <w:t>2,260</w:t>
            </w:r>
          </w:p>
        </w:tc>
        <w:tc>
          <w:tcPr>
            <w:tcW w:w="12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7,246</w:t>
            </w:r>
          </w:p>
        </w:tc>
        <w:tc>
          <w:tcPr>
            <w:tcW w:w="0" w:type="dxa"/>
            <w:vAlign w:val="bottom"/>
          </w:tcPr>
          <w:p>
            <w:pPr>
              <w:spacing w:after="0"/>
              <w:rPr>
                <w:sz w:val="1"/>
                <w:szCs w:val="1"/>
                <w:color w:val="auto"/>
              </w:rPr>
            </w:pPr>
          </w:p>
        </w:tc>
      </w:tr>
      <w:tr>
        <w:trPr>
          <w:trHeight w:val="75"/>
        </w:trPr>
        <w:tc>
          <w:tcPr>
            <w:tcW w:w="63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(3,574)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(5,394)</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(2,260)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(7,094)</w:t>
            </w: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0"/>
                <w:szCs w:val="20"/>
                <w:color w:val="auto"/>
              </w:rPr>
            </w:pPr>
            <w:r>
              <w:rPr>
                <w:rFonts w:ascii="Arial" w:cs="Arial" w:eastAsia="Arial" w:hAnsi="Arial"/>
                <w:sz w:val="17"/>
                <w:szCs w:val="17"/>
                <w:color w:val="auto"/>
              </w:rPr>
              <w:t>Other (expense) income:</w:t>
            </w: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6380" w:type="dxa"/>
            <w:vAlign w:val="bottom"/>
          </w:tcPr>
          <w:p>
            <w:pPr>
              <w:ind w:left="260"/>
              <w:spacing w:after="0" w:line="189" w:lineRule="exact"/>
              <w:rPr>
                <w:sz w:val="20"/>
                <w:szCs w:val="20"/>
                <w:color w:val="auto"/>
              </w:rPr>
            </w:pPr>
            <w:r>
              <w:rPr>
                <w:rFonts w:ascii="Arial" w:cs="Arial" w:eastAsia="Arial" w:hAnsi="Arial"/>
                <w:sz w:val="17"/>
                <w:szCs w:val="17"/>
                <w:color w:val="auto"/>
              </w:rPr>
              <w:t>Other, net</w:t>
            </w: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261</w:t>
            </w:r>
          </w:p>
        </w:tc>
        <w:tc>
          <w:tcPr>
            <w:tcW w:w="120" w:type="dxa"/>
            <w:vAlign w:val="bottom"/>
          </w:tcPr>
          <w:p>
            <w:pPr>
              <w:spacing w:after="0"/>
              <w:rPr>
                <w:sz w:val="16"/>
                <w:szCs w:val="16"/>
                <w:color w:val="auto"/>
              </w:rPr>
            </w:pPr>
          </w:p>
        </w:tc>
        <w:tc>
          <w:tcPr>
            <w:tcW w:w="1120" w:type="dxa"/>
            <w:vAlign w:val="bottom"/>
            <w:gridSpan w:val="2"/>
          </w:tcPr>
          <w:p>
            <w:pPr>
              <w:jc w:val="right"/>
              <w:ind w:right="428"/>
              <w:spacing w:after="0" w:line="189" w:lineRule="exact"/>
              <w:rPr>
                <w:sz w:val="20"/>
                <w:szCs w:val="20"/>
                <w:color w:val="auto"/>
              </w:rPr>
            </w:pPr>
            <w:r>
              <w:rPr>
                <w:rFonts w:ascii="Arial" w:cs="Arial" w:eastAsia="Arial" w:hAnsi="Arial"/>
                <w:sz w:val="17"/>
                <w:szCs w:val="17"/>
                <w:color w:val="auto"/>
              </w:rPr>
              <w:t>215</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75"/>
        </w:trPr>
        <w:tc>
          <w:tcPr>
            <w:tcW w:w="63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(expense) income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249</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8"/>
              <w:spacing w:after="0" w:line="189" w:lineRule="exact"/>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8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(3,648)</w:t>
            </w:r>
          </w:p>
        </w:tc>
        <w:tc>
          <w:tcPr>
            <w:tcW w:w="10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(5,145)</w:t>
            </w:r>
          </w:p>
        </w:tc>
        <w:tc>
          <w:tcPr>
            <w:tcW w:w="120" w:type="dxa"/>
            <w:vAlign w:val="bottom"/>
          </w:tcPr>
          <w:p>
            <w:pPr>
              <w:spacing w:after="0"/>
              <w:rPr>
                <w:sz w:val="22"/>
                <w:szCs w:val="22"/>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7"/>
                <w:szCs w:val="17"/>
                <w:color w:val="auto"/>
              </w:rPr>
              <w:t>(2,057)</w:t>
            </w: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(7,066)</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8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(3,318)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(5,229)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368"/>
              <w:spacing w:after="0"/>
              <w:rPr>
                <w:sz w:val="20"/>
                <w:szCs w:val="20"/>
                <w:color w:val="auto"/>
              </w:rPr>
            </w:pPr>
            <w:r>
              <w:rPr>
                <w:rFonts w:ascii="Arial" w:cs="Arial" w:eastAsia="Arial" w:hAnsi="Arial"/>
                <w:sz w:val="17"/>
                <w:szCs w:val="17"/>
                <w:color w:val="auto"/>
              </w:rPr>
              <w:t>(2,117)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Net loss per share attributable to ordinary shareholders—basic and diluted </w:t>
            </w:r>
            <w:r>
              <w:rPr>
                <w:rFonts w:ascii="Arial" w:cs="Arial" w:eastAsia="Arial" w:hAnsi="Arial"/>
                <w:sz w:val="14"/>
                <w:szCs w:val="14"/>
                <w:color w:val="auto"/>
              </w:rPr>
              <w:t>(1)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(5.40)</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in computing net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380" w:type="dxa"/>
            <w:vAlign w:val="bottom"/>
          </w:tcPr>
          <w:p>
            <w:pPr>
              <w:ind w:left="260"/>
              <w:spacing w:after="0"/>
              <w:rPr>
                <w:sz w:val="20"/>
                <w:szCs w:val="20"/>
                <w:color w:val="auto"/>
              </w:rPr>
            </w:pPr>
            <w:r>
              <w:rPr>
                <w:rFonts w:ascii="Arial" w:cs="Arial" w:eastAsia="Arial" w:hAnsi="Arial"/>
                <w:sz w:val="17"/>
                <w:szCs w:val="17"/>
                <w:color w:val="auto"/>
              </w:rPr>
              <w:t xml:space="preserve">attributable to ordinary shareholders—basic and diluted </w:t>
            </w: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431,270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967,894</w:t>
            </w:r>
          </w:p>
        </w:tc>
        <w:tc>
          <w:tcPr>
            <w:tcW w:w="120" w:type="dxa"/>
            <w:vAlign w:val="bottom"/>
          </w:tcPr>
          <w:p>
            <w:pPr>
              <w:spacing w:after="0"/>
              <w:rPr>
                <w:sz w:val="16"/>
                <w:szCs w:val="16"/>
                <w:color w:val="auto"/>
              </w:rPr>
            </w:pPr>
          </w:p>
        </w:tc>
        <w:tc>
          <w:tcPr>
            <w:tcW w:w="1120" w:type="dxa"/>
            <w:vAlign w:val="bottom"/>
            <w:gridSpan w:val="2"/>
          </w:tcPr>
          <w:p>
            <w:pPr>
              <w:jc w:val="right"/>
              <w:ind w:right="428"/>
              <w:spacing w:after="0"/>
              <w:rPr>
                <w:sz w:val="20"/>
                <w:szCs w:val="20"/>
                <w:color w:val="auto"/>
              </w:rPr>
            </w:pPr>
            <w:r>
              <w:rPr>
                <w:rFonts w:ascii="Arial" w:cs="Arial" w:eastAsia="Arial" w:hAnsi="Arial"/>
                <w:sz w:val="17"/>
                <w:szCs w:val="17"/>
                <w:color w:val="auto"/>
                <w:w w:val="97"/>
              </w:rPr>
              <w:t>879,265</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2,159,811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20" w:right="300" w:hanging="296"/>
        <w:spacing w:after="0" w:line="183" w:lineRule="auto"/>
        <w:tabs>
          <w:tab w:leader="none" w:pos="52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See Note 10 to our consolidated financial statements appearing elsewhere in this prospectus for further details on the calculation of net loss per share attributable to ordinary shareholders, basic and diluted.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37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323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As of June 30, 2015</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9"/>
        </w:trPr>
        <w:tc>
          <w:tcPr>
            <w:tcW w:w="7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ind w:left="180"/>
              <w:spacing w:after="0" w:line="139" w:lineRule="exact"/>
              <w:rPr>
                <w:sz w:val="20"/>
                <w:szCs w:val="20"/>
                <w:color w:val="auto"/>
              </w:rPr>
            </w:pPr>
            <w:r>
              <w:rPr>
                <w:rFonts w:ascii="Arial" w:cs="Arial" w:eastAsia="Arial" w:hAnsi="Arial"/>
                <w:sz w:val="14"/>
                <w:szCs w:val="14"/>
                <w:b w:val="1"/>
                <w:bCs w:val="1"/>
                <w:color w:val="auto"/>
              </w:rPr>
              <w:t>Pro Forma as</w:t>
            </w:r>
          </w:p>
        </w:tc>
        <w:tc>
          <w:tcPr>
            <w:tcW w:w="120" w:type="dxa"/>
            <w:vAlign w:val="bottom"/>
          </w:tcPr>
          <w:p>
            <w:pPr>
              <w:spacing w:after="0"/>
              <w:rPr>
                <w:sz w:val="12"/>
                <w:szCs w:val="12"/>
                <w:color w:val="auto"/>
              </w:rPr>
            </w:pPr>
          </w:p>
        </w:tc>
      </w:tr>
      <w:tr>
        <w:trPr>
          <w:trHeight w:val="179"/>
        </w:trPr>
        <w:tc>
          <w:tcPr>
            <w:tcW w:w="7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1440" w:type="dxa"/>
            <w:vAlign w:val="bottom"/>
            <w:gridSpan w:val="2"/>
          </w:tcPr>
          <w:p>
            <w:pPr>
              <w:jc w:val="right"/>
              <w:ind w:right="396"/>
              <w:spacing w:after="0" w:line="179" w:lineRule="exact"/>
              <w:rPr>
                <w:sz w:val="20"/>
                <w:szCs w:val="20"/>
                <w:color w:val="auto"/>
              </w:rPr>
            </w:pPr>
            <w:r>
              <w:rPr>
                <w:rFonts w:ascii="Arial" w:cs="Arial" w:eastAsia="Arial" w:hAnsi="Arial"/>
                <w:sz w:val="12"/>
                <w:szCs w:val="12"/>
                <w:b w:val="1"/>
                <w:bCs w:val="1"/>
                <w:color w:val="auto"/>
              </w:rPr>
              <w:t xml:space="preserve">Pro Forma </w:t>
            </w:r>
            <w:r>
              <w:rPr>
                <w:rFonts w:ascii="Arial" w:cs="Arial" w:eastAsia="Arial" w:hAnsi="Arial"/>
                <w:sz w:val="20"/>
                <w:szCs w:val="20"/>
                <w:b w:val="1"/>
                <w:bCs w:val="1"/>
                <w:color w:val="auto"/>
                <w:vertAlign w:val="superscript"/>
              </w:rPr>
              <w:t>(1)</w:t>
            </w:r>
          </w:p>
        </w:tc>
        <w:tc>
          <w:tcPr>
            <w:tcW w:w="1220" w:type="dxa"/>
            <w:vAlign w:val="bottom"/>
            <w:gridSpan w:val="2"/>
          </w:tcPr>
          <w:p>
            <w:pPr>
              <w:ind w:left="160"/>
              <w:spacing w:after="0" w:line="179" w:lineRule="exact"/>
              <w:rPr>
                <w:sz w:val="20"/>
                <w:szCs w:val="20"/>
                <w:color w:val="auto"/>
              </w:rPr>
            </w:pPr>
            <w:r>
              <w:rPr>
                <w:rFonts w:ascii="Arial" w:cs="Arial" w:eastAsia="Arial" w:hAnsi="Arial"/>
                <w:sz w:val="12"/>
                <w:szCs w:val="12"/>
                <w:b w:val="1"/>
                <w:bCs w:val="1"/>
                <w:color w:val="auto"/>
              </w:rPr>
              <w:t xml:space="preserve">Adjusted </w:t>
            </w:r>
            <w:r>
              <w:rPr>
                <w:rFonts w:ascii="Arial" w:cs="Arial" w:eastAsia="Arial" w:hAnsi="Arial"/>
                <w:sz w:val="20"/>
                <w:szCs w:val="20"/>
                <w:b w:val="1"/>
                <w:bCs w:val="1"/>
                <w:color w:val="auto"/>
                <w:vertAlign w:val="superscript"/>
              </w:rPr>
              <w:t>(1)(2)</w:t>
            </w:r>
          </w:p>
        </w:tc>
      </w:tr>
      <w:tr>
        <w:trPr>
          <w:trHeight w:val="156"/>
        </w:trPr>
        <w:tc>
          <w:tcPr>
            <w:tcW w:w="7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2"/>
          </w:tcPr>
          <w:p>
            <w:pPr>
              <w:ind w:left="620"/>
              <w:spacing w:after="0" w:line="156"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175"/>
        </w:trPr>
        <w:tc>
          <w:tcPr>
            <w:tcW w:w="7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Cash</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  7,779</w:t>
            </w:r>
          </w:p>
        </w:tc>
        <w:tc>
          <w:tcPr>
            <w:tcW w:w="54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356"/>
              <w:spacing w:after="0" w:line="189" w:lineRule="exact"/>
              <w:rPr>
                <w:sz w:val="20"/>
                <w:szCs w:val="20"/>
                <w:color w:val="auto"/>
              </w:rPr>
            </w:pPr>
            <w:r>
              <w:rPr>
                <w:rFonts w:ascii="Arial" w:cs="Arial" w:eastAsia="Arial" w:hAnsi="Arial"/>
                <w:sz w:val="17"/>
                <w:szCs w:val="17"/>
                <w:color w:val="auto"/>
              </w:rPr>
              <w:t>70,279</w:t>
            </w:r>
          </w:p>
        </w:tc>
        <w:tc>
          <w:tcPr>
            <w:tcW w:w="110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p>
        </w:tc>
        <w:tc>
          <w:tcPr>
            <w:tcW w:w="10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6,134</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6"/>
              <w:spacing w:after="0" w:line="189" w:lineRule="exact"/>
              <w:rPr>
                <w:sz w:val="20"/>
                <w:szCs w:val="20"/>
                <w:color w:val="auto"/>
              </w:rPr>
            </w:pPr>
            <w:r>
              <w:rPr>
                <w:rFonts w:ascii="Arial" w:cs="Arial" w:eastAsia="Arial" w:hAnsi="Arial"/>
                <w:sz w:val="17"/>
                <w:szCs w:val="17"/>
                <w:color w:val="auto"/>
              </w:rPr>
              <w:t>68,634</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11,596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56"/>
              <w:spacing w:after="0" w:line="189" w:lineRule="exact"/>
              <w:rPr>
                <w:sz w:val="20"/>
                <w:szCs w:val="20"/>
                <w:color w:val="auto"/>
              </w:rPr>
            </w:pPr>
            <w:r>
              <w:rPr>
                <w:rFonts w:ascii="Arial" w:cs="Arial" w:eastAsia="Arial" w:hAnsi="Arial"/>
                <w:sz w:val="17"/>
                <w:szCs w:val="17"/>
                <w:color w:val="auto"/>
              </w:rPr>
              <w:t>74,096</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10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2,633</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6"/>
              <w:spacing w:after="0" w:line="189" w:lineRule="exact"/>
              <w:rPr>
                <w:sz w:val="20"/>
                <w:szCs w:val="20"/>
                <w:color w:val="auto"/>
              </w:rPr>
            </w:pPr>
            <w:r>
              <w:rPr>
                <w:rFonts w:ascii="Arial" w:cs="Arial" w:eastAsia="Arial" w:hAnsi="Arial"/>
                <w:sz w:val="17"/>
                <w:szCs w:val="17"/>
                <w:color w:val="auto"/>
              </w:rPr>
              <w:t>2,633</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10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(23,041)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296"/>
              <w:spacing w:after="0" w:line="189" w:lineRule="exact"/>
              <w:rPr>
                <w:sz w:val="20"/>
                <w:szCs w:val="20"/>
                <w:color w:val="auto"/>
              </w:rPr>
            </w:pPr>
            <w:r>
              <w:rPr>
                <w:rFonts w:ascii="Arial" w:cs="Arial" w:eastAsia="Arial" w:hAnsi="Arial"/>
                <w:sz w:val="17"/>
                <w:szCs w:val="17"/>
                <w:color w:val="auto"/>
              </w:rPr>
              <w:t>(23,041)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0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8,963</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6"/>
              <w:spacing w:after="0" w:line="189" w:lineRule="exact"/>
              <w:rPr>
                <w:sz w:val="20"/>
                <w:szCs w:val="20"/>
                <w:color w:val="auto"/>
              </w:rPr>
            </w:pPr>
            <w:r>
              <w:rPr>
                <w:rFonts w:ascii="Arial" w:cs="Arial" w:eastAsia="Arial" w:hAnsi="Arial"/>
                <w:sz w:val="17"/>
                <w:szCs w:val="17"/>
                <w:color w:val="auto"/>
              </w:rPr>
              <w:t>71,463</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bl>
    <w:p>
      <w:pPr>
        <w:spacing w:after="0" w:line="161" w:lineRule="exact"/>
        <w:rPr>
          <w:sz w:val="20"/>
          <w:szCs w:val="20"/>
          <w:color w:val="auto"/>
        </w:rPr>
      </w:pPr>
    </w:p>
    <w:p>
      <w:pPr>
        <w:ind w:left="520" w:hanging="296"/>
        <w:spacing w:after="0"/>
        <w:tabs>
          <w:tab w:leader="none" w:pos="52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reflects the issuance of 1,320,000 Series B preferred shares in exchange for net proceeds of approximately $62.5 million, which</w:t>
      </w:r>
    </w:p>
    <w:p>
      <w:pPr>
        <w:ind w:left="520"/>
        <w:spacing w:after="0"/>
        <w:rPr>
          <w:rFonts w:ascii="Arial" w:cs="Arial" w:eastAsia="Arial" w:hAnsi="Arial"/>
          <w:sz w:val="24"/>
          <w:szCs w:val="24"/>
          <w:color w:val="auto"/>
          <w:vertAlign w:val="superscript"/>
        </w:rPr>
      </w:pPr>
      <w:r>
        <w:rPr>
          <w:rFonts w:ascii="Arial" w:cs="Arial" w:eastAsia="Arial" w:hAnsi="Arial"/>
          <w:sz w:val="14"/>
          <w:szCs w:val="14"/>
          <w:color w:val="auto"/>
        </w:rPr>
        <w:t>occurred in August 2015.</w:t>
      </w:r>
    </w:p>
    <w:p>
      <w:pPr>
        <w:spacing w:after="0" w:line="155" w:lineRule="exact"/>
        <w:rPr>
          <w:sz w:val="20"/>
          <w:szCs w:val="20"/>
          <w:color w:val="auto"/>
        </w:rPr>
      </w:pPr>
    </w:p>
    <w:p>
      <w:pPr>
        <w:ind w:left="520" w:right="60" w:hanging="299"/>
        <w:spacing w:after="0" w:line="243" w:lineRule="auto"/>
        <w:tabs>
          <w:tab w:leader="none" w:pos="5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The pro forma as adjusted balance sheet data further reflects the issuance of ordinary shares upon the completion of this offering at an assumed initial public offering price of $ per share, the midpoint of the price range set forth on the cover page of this prospectus, after deducting underwriting discounts and commissions</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and estimated offering expenses payable by us, as if this offering occurred on June 30, 2015. Each $1.00 increase (decrease) in the assumed initial public offering price</w:t>
      </w:r>
    </w:p>
    <w:p>
      <w:pPr>
        <w:spacing w:after="0" w:line="1"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of $</w:t>
      </w:r>
      <w:r>
        <w:rPr>
          <w:sz w:val="20"/>
          <w:szCs w:val="20"/>
          <w:color w:val="auto"/>
        </w:rPr>
        <w:tab/>
      </w:r>
      <w:r>
        <w:rPr>
          <w:rFonts w:ascii="Arial" w:cs="Arial" w:eastAsia="Arial" w:hAnsi="Arial"/>
          <w:sz w:val="14"/>
          <w:szCs w:val="14"/>
          <w:color w:val="auto"/>
        </w:rPr>
        <w:t>per share, the midpoint of the price range set forth on the cover page of this prospectus, would increase (decrease) each of cash, working capital, total assets</w:t>
      </w:r>
    </w:p>
    <w:p>
      <w:pPr>
        <w:spacing w:after="0" w:line="1" w:lineRule="exact"/>
        <w:rPr>
          <w:sz w:val="20"/>
          <w:szCs w:val="20"/>
          <w:color w:val="auto"/>
        </w:rPr>
      </w:pPr>
    </w:p>
    <w:p>
      <w:pPr>
        <w:jc w:val="both"/>
        <w:ind w:left="520" w:right="300"/>
        <w:spacing w:after="0" w:line="241" w:lineRule="auto"/>
        <w:rPr>
          <w:sz w:val="20"/>
          <w:szCs w:val="20"/>
          <w:color w:val="auto"/>
        </w:rPr>
      </w:pPr>
      <w:r>
        <w:rPr>
          <w:rFonts w:ascii="Arial" w:cs="Arial" w:eastAsia="Arial" w:hAnsi="Arial"/>
          <w:sz w:val="14"/>
          <w:szCs w:val="14"/>
          <w:color w:val="auto"/>
        </w:rPr>
        <w:t>and total shareholders’ equity by approximately $ million, assuming that the number of shares offered by us remains the same and after deducting underwriting discounts and commissions. Similarly, each increase (decrease) of 1,000,000 shares in the number of shares offered by us would increase (decrease) each of cash,</w:t>
      </w:r>
    </w:p>
    <w:p>
      <w:pPr>
        <w:spacing w:after="0" w:line="1" w:lineRule="exact"/>
        <w:rPr>
          <w:sz w:val="20"/>
          <w:szCs w:val="20"/>
          <w:color w:val="auto"/>
        </w:rPr>
      </w:pPr>
    </w:p>
    <w:p>
      <w:pPr>
        <w:jc w:val="both"/>
        <w:ind w:left="520" w:right="40"/>
        <w:spacing w:after="0" w:line="250" w:lineRule="auto"/>
        <w:rPr>
          <w:sz w:val="20"/>
          <w:szCs w:val="20"/>
          <w:color w:val="auto"/>
        </w:rPr>
      </w:pPr>
      <w:r>
        <w:rPr>
          <w:rFonts w:ascii="Arial" w:cs="Arial" w:eastAsia="Arial" w:hAnsi="Arial"/>
          <w:sz w:val="14"/>
          <w:szCs w:val="14"/>
          <w:color w:val="auto"/>
        </w:rPr>
        <w:t>working capital, total assets and total shareholders’ equity by approximately $ million, assuming the assumed initial public offering price remains the same and after deducting underwriting discounts and commissions. The pro forma as adjusted presentation discussed above is illustrative only and will be adjusted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spacing w:after="0" w:line="239" w:lineRule="auto"/>
        <w:rPr>
          <w:sz w:val="20"/>
          <w:szCs w:val="20"/>
          <w:color w:val="auto"/>
        </w:rPr>
      </w:pPr>
      <w:r>
        <w:rPr>
          <w:rFonts w:ascii="Arial" w:cs="Arial" w:eastAsia="Arial" w:hAnsi="Arial"/>
          <w:sz w:val="17"/>
          <w:szCs w:val="17"/>
          <w:i w:val="1"/>
          <w:iCs w:val="1"/>
          <w:color w:val="auto"/>
        </w:rPr>
        <w:t>Investing in our ordinary shares involves significant risks. In deciding whether to invest, you should carefully consider the following risk factors, as well as the other information contained in this prospectus, including our financial statements and the related notes appearing elsewhere in this prospectus. Any of the following risks could adversely affect our business, financial condition, results of operations and prospects and cause the value of our ordinary shares to decline, which could cause you to lose all or part of your investment. The risks and uncertainties we have described are not the only ones facing our company. Additional risks and uncertainties not presently known to us or that we currently deem immaterial may also affect our business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Requirements</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We are a preclinical biopharmaceutical company with a history of losses, expect to continue to incur losses for the foreseeable future and may never achieve or maintain profitability.</w:t>
      </w:r>
    </w:p>
    <w:p>
      <w:pPr>
        <w:ind w:right="40"/>
        <w:spacing w:after="0" w:line="235" w:lineRule="auto"/>
        <w:rPr>
          <w:sz w:val="20"/>
          <w:szCs w:val="20"/>
          <w:color w:val="auto"/>
        </w:rPr>
      </w:pPr>
      <w:r>
        <w:rPr>
          <w:rFonts w:ascii="Arial" w:cs="Arial" w:eastAsia="Arial" w:hAnsi="Arial"/>
          <w:sz w:val="17"/>
          <w:szCs w:val="17"/>
          <w:color w:val="auto"/>
        </w:rPr>
        <w:t>We are a preclinical biopharmaceutical company and have incurred significant operating losses since our incorporation in 2012. Our net loss was $3.3 million, $5.2 million and $7.2 million for the years ended December 31, 2013 and 2014, and for the six months ended June 30, 2015, respectively. As of June 30, 2015, we had an accumulated deficit of $23.0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we have not initiated clinical development of any product candidates and expect that it will be many years, if ever, before we have a product candidate ready for commercialization.</w:t>
      </w:r>
    </w:p>
    <w:p>
      <w:pPr>
        <w:spacing w:after="0" w:line="14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and the regulatory approval process for product candidates. The amount of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require substantial additional funding, which may not be available on acceptable terms, or at all.</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have used substantial funds to develop our therapeutic programs and proprietary synthetic chemistry drug development platform and will require substantial funds to conduct further research and development, including preclinical studies and clinical trials of our product candidates, seek regulatory approvals for our product candidates and manufacture and market any products that are approved for commercial sale. As of June 30, 2015, we had $7.8 million in cash. Based on our current operating plan, we believe that our available cash along with net proceeds of approximately $62.5 million from our Series B preferred share financing, which closed on August 14, 2015, and the net proceeds from this offering will be sufficient to fund our anticipated level of operations through at least 2017. Our future capital requirements and the period for which we expect our existing resources to support our operations may vary significantly from what we expect. Our monthly spending levels vary based on new and ongoing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48"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We do not expect to realize revenue from product sales, milestone payments or royalties in the foreseeable future, if at all. Our revenue sources will remain extremely limited unless and until our product candidates complete clinical development and are approved for commercialization and successfully marketed. To date, we have primarily financed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operations through sales of our securities. We intend to seek additional funding in the future through either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50"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If we are unable to obtain funding on a timely basis or on acceptable terms,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short operating history may make it difficult for you to evaluate the success of our business to date and to assess our future viability.</w:t>
      </w:r>
    </w:p>
    <w:p>
      <w:pPr>
        <w:spacing w:after="0" w:line="4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are a preclinical biopharmaceutical with limited operating history. We commenced active operations in 2012. Our operations to date have been limited to organizing and staffing our company, research and development activities, business planning and raising capital. All of our therapeutic programs are still in the preclinical development stage, and we plan to file our first INDs, for therapies to treat Huntington’s disease and Duchenne muscular dystrophy, in late 2016. We have not yet demonstrated our ability to initiate or successfully complete any clinical trials, including large-scale, pivotal clinical trials, obtain marketing approvals, manufacture a commercial-scale product, or arrange for a third party to do so on our behalf, or conduct sales and marketing activities necessary for successful product commercialization. Typically, it takes many years to develop one new medicine from the time it is discovered to when it is available for treating patients. Further, biopharmaceutical product development is a capital-intensive and highly speculative undertaking that involves a substantial degree of risk. You should consider our prospects in light of the costs, uncertainties, delays and difficulties frequently encountered by companies in the early stages of development, especially preclinical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5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approach we are taking to discover and develop nucleic acid therapeutics is novel and may never lead to marketable products.</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concentrated our efforts and research and development activities on nucleic acid therapeutics and our synthetic chemistry drug development platform. Our future success depends on the successful development of such therapeutics and the effectiveness of our platform. The scientific discoveries that form the basis for our efforts to discover and develop new drugs, including our discoveries about the relationships between oligonucleotide stereochemistry and pharmacology, are relatively new. The scientific evidence to support the feasibility of developing drugs based on these discoveries is both preliminary and limited. Skepticism as to the feasibility of developing nucleic acid therapeutics generally has been, and may continue to be, expressed in scientific literature. In addition, decisions by other companies with respect to their nucleic acid therapeutic development efforts may increase skepticism in the marketplace regarding the potential for nucleic acid therapeutics.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Relatively few nucleic acid therapeutic product candidates have been tested on humans, and a number of clinical trials for such therapeutics conducted by other companies have not been successful. The drugs we are studying may not demonstrate in patients the chemical and pharmacological properties ascribed to them in laboratory studies,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640"/>
        <w:spacing w:after="0" w:line="238" w:lineRule="auto"/>
        <w:rPr>
          <w:sz w:val="20"/>
          <w:szCs w:val="20"/>
          <w:color w:val="auto"/>
        </w:rPr>
      </w:pPr>
      <w:r>
        <w:rPr>
          <w:rFonts w:ascii="Arial" w:cs="Arial" w:eastAsia="Arial" w:hAnsi="Arial"/>
          <w:sz w:val="17"/>
          <w:szCs w:val="17"/>
          <w:color w:val="auto"/>
        </w:rPr>
        <w:t>they may interact with human biological systems in unforeseen, ineffective or harmful ways. If our nucleic acid product candidates prove to be ineffective, unsafe or commercially unviable, our entire platform and pipeline would have little, if any, value, which would substantially harm our business, financial condition, results of operations and prospects.</w:t>
      </w:r>
    </w:p>
    <w:p>
      <w:pPr>
        <w:spacing w:after="0" w:line="4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Because we are developing nucleic acid therapeutics, which are considered a relatively new class of drugs, there is increased risk that the outcome of our future clinical trials will not be sufficient to obtain regulatory approval.</w:t>
      </w:r>
    </w:p>
    <w:p>
      <w:pPr>
        <w:ind w:right="20"/>
        <w:spacing w:after="0" w:line="233" w:lineRule="auto"/>
        <w:rPr>
          <w:sz w:val="20"/>
          <w:szCs w:val="20"/>
          <w:color w:val="auto"/>
        </w:rPr>
      </w:pPr>
      <w:r>
        <w:rPr>
          <w:rFonts w:ascii="Arial" w:cs="Arial" w:eastAsia="Arial" w:hAnsi="Arial"/>
          <w:sz w:val="17"/>
          <w:szCs w:val="17"/>
          <w:color w:val="auto"/>
        </w:rPr>
        <w:t>The U.S. Food and Drug Administration, or the FDA, has relatively limited experience with nucleic acid therapeutics, which may increase the complexity, uncertainty and length of the regulatory approval process for our product candidates. To date, the FDA has approved only two nucleic acid therapeutics for marketing and commercialization, and the FDA and its foreign counterparts have not yet established any definitive policies, practices or guidelines in relation to these drugs.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 FDA’s standards, especially regarding drug safety, appear to have become more stringent. As a result of the foregoing factors, we may never receive regulatory approval to market and commercialize any product candidate.</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post-marketing testing requirements to maintain such approval. As a result, we may never succeed in developing a marketable product, we may not become profitable and the value of our ordinary shares could decline.</w:t>
      </w:r>
    </w:p>
    <w:p>
      <w:pPr>
        <w:spacing w:after="0" w:line="48" w:lineRule="exact"/>
        <w:rPr>
          <w:sz w:val="20"/>
          <w:szCs w:val="20"/>
          <w:color w:val="auto"/>
        </w:rPr>
      </w:pPr>
    </w:p>
    <w:p>
      <w:pPr>
        <w:ind w:right="660"/>
        <w:spacing w:after="0" w:line="250" w:lineRule="auto"/>
        <w:rPr>
          <w:sz w:val="20"/>
          <w:szCs w:val="20"/>
          <w:color w:val="auto"/>
        </w:rPr>
      </w:pPr>
      <w:r>
        <w:rPr>
          <w:rFonts w:ascii="Arial" w:cs="Arial" w:eastAsia="Arial" w:hAnsi="Arial"/>
          <w:sz w:val="17"/>
          <w:szCs w:val="17"/>
          <w:b w:val="1"/>
          <w:bCs w:val="1"/>
          <w:i w:val="1"/>
          <w:iCs w:val="1"/>
          <w:color w:val="auto"/>
        </w:rPr>
        <w:t>All of our therapeutic programs are in the preclinical development stage and we have not yet selected any product candidates. Our preclinical studies and clinical trials may not be successful. If we are unable to commercialize our product candidates or experience significant delays in doing so, our business will be materially harmed.</w:t>
      </w:r>
    </w:p>
    <w:p>
      <w:pPr>
        <w:spacing w:after="0" w:line="3"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We have no products on the market or in clinical development. We have invested a significant portion of our efforts and financial resources in the identification and preclinical development of nucleic acid therapeutics and the development of our platform. Our ability to generate product revenue, which we do not expect will occur for many years, if ever, will depend heavily on the successful development and eventual commercialization of our product candidates. Our success will depend on several factors, including the following:</w:t>
      </w:r>
    </w:p>
    <w:p>
      <w:pPr>
        <w:spacing w:after="0" w:line="190" w:lineRule="exact"/>
        <w:rPr>
          <w:sz w:val="20"/>
          <w:szCs w:val="20"/>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successfully completing preclinical studies and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receiving regulatory approvals from applicable regulatory authorities to market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launching commercial sales of the products, if and when approved, whether alone or in collaboration with others;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acceptance of the products, if and when approved, by patients, the medical community and third-party payors;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effectively competing with other therapies;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continued acceptable safety profile of the products following approval.</w:t>
      </w:r>
    </w:p>
    <w:p>
      <w:pPr>
        <w:spacing w:after="0" w:line="169"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regulatory approval and 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product candidates we develop may fail in development or be delayed to a point where they do not become commercially viable.</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is expensive, difficult to design and implement, can take many years to complete and is uncertain as to outcome, and the historical failure rate for drugs in preclinical and clinical development is high. We currently have a number of therapeutic programs in the preclinical development stage. However, we may not be able to further advance any product candidates through clinical trials.</w:t>
      </w:r>
    </w:p>
    <w:p>
      <w:pPr>
        <w:spacing w:after="0" w:line="15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we, the FDA or comparable foreign regulatory authorities, or an institutional review board, or IRB, or similar foreign review board or committee, may suspend clinical trials of a product candidate at any time for various reasons, including if we or they believe the healthy volunteer subjects or patients participating in such trials are being exposed to unacceptable health risks. Among other reasons, adverse side effects of a product candidate on healthy volunteer subjects or patients in a clinical trial could result in the FDA or comparable foreign regulatory authorities suspending or terminating the trial and refusing to approve a particular product candidate for any or all indications of use.</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Clinical trials also require the review, oversight and approval of IRBs, which continually review clinical investigations and protect the rights and welfare of human subjects. Inability to obtain or delay in obtaining IRB approval can prevent or delay the initiation and completion of clinical trials, and the FDA or comparable foreign regulatory authorities may decide not to consider any data or information derived from a clinical investigation not subject to initial and continuing IRB review and approval in support of a marketing application.</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product candidates may encounter problems during clinical trials that will cause us, an IRB or regulatory authorities to delay, suspend or terminate these trials, or that will delay or confound the analysis of data from these trials. If we experience any such problems, we may not have the financial resources to continue development of the product candidate that is affected, or development of any of our other product candidates. We may also lose, or be unable to enter into, collaborative arrangements for the affected product candidate and for other product candidates we are developing.</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188" w:lineRule="exact"/>
        <w:rPr>
          <w:sz w:val="20"/>
          <w:szCs w:val="20"/>
          <w:color w:val="auto"/>
        </w:rPr>
      </w:pPr>
    </w:p>
    <w:p>
      <w:pPr>
        <w:ind w:left="800" w:right="300" w:hanging="454"/>
        <w:spacing w:after="0" w:line="243"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preclinical studies or clinical trials may produce negative or inconclusive results, and we may decide, or regulators may require us, to conduct additional preclinical studies or clinical trials, or we may abandon projects that we had expected to be promising;</w:t>
      </w:r>
    </w:p>
    <w:p>
      <w:pPr>
        <w:spacing w:after="0" w:line="22" w:lineRule="exact"/>
        <w:rPr>
          <w:rFonts w:ascii="Arial" w:cs="Arial" w:eastAsia="Arial" w:hAnsi="Arial"/>
          <w:sz w:val="17"/>
          <w:szCs w:val="17"/>
          <w:color w:val="auto"/>
        </w:rPr>
      </w:pPr>
    </w:p>
    <w:p>
      <w:pPr>
        <w:ind w:left="800" w:right="180" w:hanging="454"/>
        <w:spacing w:after="0" w:line="243"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in filing INDs or comparable foreign applications or delays or failure in obtaining the necessary approvals from regulators or IRBs in order to commence a clinical trial at a prospective trial site, or their suspension or termination of a clinical trial once commenced;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conditions imposed on us by an IRB, or the FDA or comparable foreign authorities regarding the scope or design of our clinical trials;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problems in engaging IRBs to oversee clinical trials or problems in obtaining or maintaining IRB approval of trials;</w:t>
      </w:r>
    </w:p>
    <w:p>
      <w:pPr>
        <w:spacing w:after="0" w:line="47"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enrolling patients and volunteers into clinical trials, and variability in the number and types of patients and volunteers available for clinical trials;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 drop-out rates for patients and volunteers in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negative or inconclusive results from our clinical trials or the clinical trials of others for product candidates similar to ours;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inadequate supply or quality of product candidate materials or other materials necessary for the conduct of our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serious and unexpected drug-related side effects experienced by participants in our clinical trials or by individuals using drugs similar to our product candidates;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poor or disappointing effectiveness of our product candidates during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 or records of any clinical or preclinical investigation;</w:t>
      </w:r>
    </w:p>
    <w:p>
      <w:pPr>
        <w:spacing w:after="0" w:line="47" w:lineRule="exact"/>
        <w:rPr>
          <w:rFonts w:ascii="Arial" w:cs="Arial" w:eastAsia="Arial" w:hAnsi="Arial"/>
          <w:sz w:val="17"/>
          <w:szCs w:val="17"/>
          <w:color w:val="auto"/>
        </w:rPr>
      </w:pPr>
    </w:p>
    <w:p>
      <w:pPr>
        <w:ind w:left="800" w:right="20" w:hanging="454"/>
        <w:spacing w:after="0" w:line="243"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22"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governmental or regulatory delays and changes in regulatory requirements, policy and guidelines, including the imposition of additional regulatory oversight around clinical testing generally or with respect to our product candidates in particular; or</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16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If the development of any of our product candidates fails or is delayed to a point where such product candidate is no longer commercially viable, our business may be materially harmed.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preclinical studies and early clinical trials may not be predictive of results of future clinical trials.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enter into clinical trials, the results from preclinical studies or early clinical trials of a product candidate may not predict the results that will be obtained in subsequent subjects or in subsequent clinical trials of that product candidate or any other product candidate. The design of a clinical trial can determine whether its results will support approval of a product candidate and flaws in the design of a clinical trial may not become apparent until the clinical trial is well advanced. We have no experience in designing clinical trials and we may be unable to design and execute a clinical trial to support regulatory approval of our product candidates. In addition, preclinical and clinical data are often susceptible to varying interpretations and analyses. Product candidates that seemingly perform satisfactorily in preclinical studies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47"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235" w:lineRule="auto"/>
        <w:rPr>
          <w:sz w:val="20"/>
          <w:szCs w:val="20"/>
          <w:color w:val="auto"/>
        </w:rPr>
      </w:pPr>
      <w:r>
        <w:rPr>
          <w:rFonts w:ascii="Arial" w:cs="Arial" w:eastAsia="Arial" w:hAnsi="Arial"/>
          <w:sz w:val="17"/>
          <w:szCs w:val="17"/>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age and condition of the patients, the stage and severity of disease, the nature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47"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b w:val="1"/>
          <w:bCs w:val="1"/>
          <w:i w:val="1"/>
          <w:iCs w:val="1"/>
          <w:color w:val="auto"/>
        </w:rPr>
        <w:t>We may be unable to obtain regulatory approval in the United States or foreign jurisdictions and, as a result, unable to commercialize our product candidates and our ability to generate revenue will be materially impaired.</w:t>
      </w:r>
    </w:p>
    <w:p>
      <w:pPr>
        <w:ind w:right="940"/>
        <w:spacing w:after="0" w:line="243"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research, testing, development, manufacturing, safety, efficacy, approval, recordkeeping, reporting, labeling, storage,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unanticipated delays. It is possible that none of the product candidates we may develop will obtain the regulatory approvals necessary for us or our collaborators to begin selling them.</w:t>
      </w:r>
    </w:p>
    <w:p>
      <w:pPr>
        <w:spacing w:after="0" w:line="15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have no experience in conducting and managing the human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are not always applied predictably or uniformly and can change.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30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Any delay or failure in obtaining required approvals could adversely affect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Strategy, or REMS, plan as part of a new drug application, or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includes all of the risks associated with FDA approval described above as well as risks attributable to the satisfaction of local regulations in foreign jurisdictions. Approval by the FDA does not ensure approval by comparable regulatory authorities outside the United States and vice versa.</w:t>
      </w:r>
    </w:p>
    <w:p>
      <w:pPr>
        <w:spacing w:after="0" w:line="48" w:lineRule="exact"/>
        <w:rPr>
          <w:sz w:val="20"/>
          <w:szCs w:val="20"/>
          <w:color w:val="auto"/>
        </w:rPr>
      </w:pPr>
    </w:p>
    <w:p>
      <w:pPr>
        <w:ind w:right="440"/>
        <w:spacing w:after="0" w:line="250" w:lineRule="auto"/>
        <w:rPr>
          <w:sz w:val="20"/>
          <w:szCs w:val="20"/>
          <w:color w:val="auto"/>
        </w:rPr>
      </w:pPr>
      <w:r>
        <w:rPr>
          <w:rFonts w:ascii="Arial" w:cs="Arial" w:eastAsia="Arial" w:hAnsi="Arial"/>
          <w:sz w:val="17"/>
          <w:szCs w:val="17"/>
          <w:b w:val="1"/>
          <w:bCs w:val="1"/>
          <w:i w:val="1"/>
          <w:iCs w:val="1"/>
          <w:color w:val="auto"/>
        </w:rPr>
        <w:t>Even if we obtain regulatory approvals, our marketed drugs will be subject to ongoing regulatory oversight. If we fail to comply with continuing U.S. and foreign requirements, our approvals could be limited or withdrawn, we could be subject to other penalties, and our business would be seriously harmed.</w:t>
      </w:r>
    </w:p>
    <w:p>
      <w:pPr>
        <w:spacing w:after="0" w:line="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Following any initial regulatory approval of any drugs we may develop, we will also be subject to continuing regulatory oversight, including the review of adverse drug experiences and clinical results that are reported after our drug products are made commercially available. This would include results from any post-marketing tests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compliance with cGMP requirements and good clinical practices for any clinical trials that we conduct post-approval. In addition, we are conducting, and intend to continue to conduct, clinical trials for our product candidates, and we intend to seek approval to market our product candidates, in jurisdictions outside of the United States, and therefore will be subject to, and must comply with, regulatory requirements in those jurisdictions.</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FDA has significant post-market authority, including, for example, the authority to require labeling changes based on new safety information and to require post-market studies or clinical trials to evaluate serious safety risks related to the use of a drug and to require withdrawal of the product from the market. The FDA also has the authority to require a REMS plan after approval, which may impose further requirements or restrictions on the distribution or use of an approved drug.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manufacturer and manufacturing facilities we use to make our product candidates will also be subject to periodic review and inspection by the FDA and other regulatory agencies. The discovery of any new or previously unknown problems with us or our third-party manufacturers, or our or their manufacturing processes or facilities, may result in restrictions on the drug or manufacturer or facility, including withdrawal of the drug from the market. We may not have the ability or capacity to manufacture material at a broader commercial scale in the future. We may manufacture clinical trial materials or we may contract a third party to manufacture these materials for us. Reliance on third-party manufacturers entails risks to which we would not be subject if we manufactured products ourselves, including reliance on the third-party manufacturer for regulatory compliance. Our product promotion and advertising will also be subject to regulatory requirements and continuing regulatory review.</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civil penalties and criminal prosecution.</w:t>
      </w:r>
    </w:p>
    <w:p>
      <w:pPr>
        <w:spacing w:after="0" w:line="49"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Even if we receive regulatory approval to market our product candidates, the market may not be receptive to our product candidates upon their commercial introduction, which will prevent us from becoming profitable.</w:t>
      </w:r>
    </w:p>
    <w:p>
      <w:pPr>
        <w:ind w:right="60"/>
        <w:spacing w:after="0" w:line="236" w:lineRule="auto"/>
        <w:rPr>
          <w:sz w:val="20"/>
          <w:szCs w:val="20"/>
          <w:color w:val="auto"/>
        </w:rPr>
      </w:pPr>
      <w:r>
        <w:rPr>
          <w:rFonts w:ascii="Arial" w:cs="Arial" w:eastAsia="Arial" w:hAnsi="Arial"/>
          <w:sz w:val="17"/>
          <w:szCs w:val="17"/>
          <w:color w:val="auto"/>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nucleic acid therapeutics. As a result, it may be more difficult for us to convince the medical community and third-party payors to accept and use our product, or to provide favorable reimbursement.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Other factors that we believe will materially affect market acceptance of our product candidates include:</w:t>
      </w:r>
    </w:p>
    <w:p>
      <w:pPr>
        <w:spacing w:after="0" w:line="196" w:lineRule="exact"/>
        <w:rPr>
          <w:sz w:val="20"/>
          <w:szCs w:val="20"/>
          <w:color w:val="auto"/>
        </w:rPr>
      </w:pPr>
    </w:p>
    <w:p>
      <w:pPr>
        <w:ind w:left="800" w:hanging="454"/>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of our receipt of any regulatory approvals, the terms of any approvals and the countries in which approvals are obtained;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safety and efficacy of our product candidates, as demonstrated in clinical trials and as compared with alternative treatments, if any;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relative convenience and ease of administration of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willingness of patients to accept potentially new routes of administration;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success of our physician education programs;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availability of government and third-party payor coverage and adequate reimbursement;</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pricing of our products, particularly as compared to alternative treatments; and</w:t>
      </w:r>
    </w:p>
    <w:p>
      <w:pPr>
        <w:spacing w:after="0" w:line="47"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of alternative effective treatments for the diseases that product candidates we develop are intended to treat and the relative risks, benefits and costs of those treatments.</w:t>
      </w:r>
    </w:p>
    <w:p>
      <w:pPr>
        <w:spacing w:after="0" w:line="144"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In addition, our estimates regarding the potential market size may be materially different from what we currently expect at the time we commence commercialization, which could result in significant changes in our business plan and may significantly harm our results of operations and financial condition.</w:t>
      </w:r>
    </w:p>
    <w:p>
      <w:pPr>
        <w:spacing w:after="0" w:line="4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The pharmaceutical market is intensely competitive. If we are unable to compete effectively with existing drugs, new treatment methods and new technologies, we may be unable to commercialize successfully any drugs that we develop.</w:t>
      </w:r>
    </w:p>
    <w:p>
      <w:pPr>
        <w:ind w:right="380"/>
        <w:spacing w:after="0" w:line="238" w:lineRule="auto"/>
        <w:rPr>
          <w:sz w:val="20"/>
          <w:szCs w:val="20"/>
          <w:color w:val="auto"/>
        </w:rPr>
      </w:pPr>
      <w:r>
        <w:rPr>
          <w:rFonts w:ascii="Arial" w:cs="Arial" w:eastAsia="Arial" w:hAnsi="Arial"/>
          <w:sz w:val="17"/>
          <w:szCs w:val="17"/>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88" w:lineRule="exact"/>
        <w:rPr>
          <w:sz w:val="20"/>
          <w:szCs w:val="20"/>
          <w:color w:val="auto"/>
        </w:rPr>
      </w:pPr>
    </w:p>
    <w:p>
      <w:pPr>
        <w:ind w:left="800" w:right="600" w:hanging="454"/>
        <w:spacing w:after="0" w:line="243"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much greater financial, technical and human resources than we have at every stage of the discovery, development, manufacture and commercialization of products;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760" w:hanging="454"/>
        <w:spacing w:after="0" w:line="243"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more extensive experience in designing and conducting preclinical studies and clinical trials, obtaining regulatory approvals, and in manufacturing, marketing and selling pharmaceutical products;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candidates that are based on previously tested or accepted technologies;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products that have been approved or are in late stages of development;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collaborative arrangements in our target markets with leading companies and research institutions.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face intense competition from drugs that have already been approved and accepted by the medical community for the treatment of the conditions for which we may develop drugs. We also expect to face competition from new drugs that enter the market. We believe a significant number of drugs are currently under development, and may become commercially available in the future, for the treatment of conditions for which we may try to develop drugs. These drugs may be more effective, safer, less expensive, or marketed and sold more effectively, than any products we develop.</w:t>
      </w:r>
    </w:p>
    <w:p>
      <w:pPr>
        <w:spacing w:after="0" w:line="149"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Our competitors may develop or commercialize products with significant advantages over any products we are able to develop and commercialize based on many different factors, including:</w:t>
      </w:r>
    </w:p>
    <w:p>
      <w:pPr>
        <w:spacing w:after="0" w:line="185" w:lineRule="exact"/>
        <w:rPr>
          <w:sz w:val="20"/>
          <w:szCs w:val="20"/>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safety and effectiveness of our products relative to alternative therapies, if any;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ease with which our products can be administered and the extent to which patients accept relatively new routes of administration;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and scope of regulatory approvals for these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availability and cost of manufacturing, marketing and sales capabilities;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price;</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reimbursement coverage;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patent position.</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the ability to execute on our business plan.</w:t>
      </w:r>
    </w:p>
    <w:p>
      <w:pPr>
        <w:spacing w:after="0" w:line="48"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b w:val="1"/>
          <w:bCs w:val="1"/>
          <w:i w:val="1"/>
          <w:iCs w:val="1"/>
          <w:color w:val="auto"/>
        </w:rPr>
        <w:t>If we or our collaborators, manufacturers or service providers fail to comply with applicable healthcare laws and regulations, we or they could be subject to enforcement actions, which could affect our ability to develop, market and sell our products and may harm our reputation.</w:t>
      </w:r>
    </w:p>
    <w:p>
      <w:pPr>
        <w:spacing w:after="0" w:line="3"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As a manufacturer of pharmaceuticals, we are currently or may in the future be subject to federal, state, local, and comparable foreign healthcare laws and regulations pertaining to such topics as fraud and abuse and patients’ rights. These laws may constrain the business or financial arrangements and relationships through which we conduct our operations, including how we research, market, sell and distribute our products for which we obtain marketing approval. These laws and regulations include:</w:t>
      </w:r>
    </w:p>
    <w:p>
      <w:pPr>
        <w:spacing w:after="0" w:line="190" w:lineRule="exact"/>
        <w:rPr>
          <w:sz w:val="20"/>
          <w:szCs w:val="20"/>
          <w:color w:val="auto"/>
        </w:rPr>
      </w:pPr>
    </w:p>
    <w:p>
      <w:pPr>
        <w:ind w:left="800" w:right="20" w:hanging="454"/>
        <w:spacing w:after="0" w:line="236"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a healthcare item or service, or the purchasing, recommending, or ordering of an item or service, for which payment may be made under a federal healthcare program such as Medicare or Medicaid;</w:t>
      </w:r>
    </w:p>
    <w:p>
      <w:pPr>
        <w:spacing w:after="0" w:line="27" w:lineRule="exact"/>
        <w:rPr>
          <w:rFonts w:ascii="Arial" w:cs="Arial" w:eastAsia="Arial" w:hAnsi="Arial"/>
          <w:sz w:val="17"/>
          <w:szCs w:val="17"/>
          <w:color w:val="auto"/>
        </w:rPr>
      </w:pPr>
    </w:p>
    <w:p>
      <w:pPr>
        <w:ind w:left="800" w:right="120" w:hanging="454"/>
        <w:spacing w:after="0" w:line="236"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U.S. federal false claims and civil monetary penalties laws, including the civil False Claims Act, which prohibits, among other things, individuals or entities from knowingly presenting or causing to be presented, claims for payment by government-funded programs such as Medicare or Medicaid that are false or fraudulent, or making a false statement to avoid, decrease, or conceal an obligation to pay money to the federal government;</w:t>
      </w:r>
    </w:p>
    <w:p>
      <w:pPr>
        <w:spacing w:after="0" w:line="27" w:lineRule="exact"/>
        <w:rPr>
          <w:rFonts w:ascii="Arial" w:cs="Arial" w:eastAsia="Arial" w:hAnsi="Arial"/>
          <w:sz w:val="17"/>
          <w:szCs w:val="17"/>
          <w:color w:val="auto"/>
        </w:rPr>
      </w:pPr>
    </w:p>
    <w:p>
      <w:pPr>
        <w:ind w:left="800" w:right="380" w:hanging="454"/>
        <w:spacing w:after="0" w:line="243"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or HIPAA, which imposes criminal and civil liability for, among other things, executing a scheme to defraud any healthcare benefit program or making false statements relating to healthcare matters;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20" w:hanging="454"/>
        <w:spacing w:after="0" w:line="236"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or HITECH, Act, and its implementing regulations, which impose requirements relating to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27" w:lineRule="exact"/>
        <w:rPr>
          <w:rFonts w:ascii="Arial" w:cs="Arial" w:eastAsia="Arial" w:hAnsi="Arial"/>
          <w:sz w:val="17"/>
          <w:szCs w:val="17"/>
          <w:color w:val="auto"/>
        </w:rPr>
      </w:pPr>
    </w:p>
    <w:p>
      <w:pPr>
        <w:ind w:left="800" w:right="120" w:hanging="454"/>
        <w:spacing w:after="0" w:line="234"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U.S. federal Physician Payments Sunshine Act, which requires certain manufacturers of medical devices, biological products, medical supplies, and drugs for which payment is available under Medicare, Medicaid or the Children’s Health Insurance Program, with specific exceptions, to report annually to the Centers for Medicare and Medicaid Services, or CMS, all transfers of value, including consulting fees, travel reimbursements, research grants, and other payments or gifts with values over $10 made to physicians and teaching hospitals, and teaching hospitals, applicable manufacturers, and applicable group purchasing organizations to report annually to CMS ownership and investment interests held by physicians and their immediate family members. Disclosure of such information is made by CMS on a publicly available website; and</w:t>
      </w:r>
    </w:p>
    <w:p>
      <w:pPr>
        <w:spacing w:after="0" w:line="29" w:lineRule="exact"/>
        <w:rPr>
          <w:rFonts w:ascii="Arial" w:cs="Arial" w:eastAsia="Arial" w:hAnsi="Arial"/>
          <w:sz w:val="17"/>
          <w:szCs w:val="17"/>
          <w:color w:val="auto"/>
        </w:rPr>
      </w:pPr>
    </w:p>
    <w:p>
      <w:pPr>
        <w:ind w:left="800" w:right="20" w:hanging="454"/>
        <w:spacing w:after="0" w:line="235"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state and foreign laws comparable to each of the above federal laws, such as, for example: state anti-kickback and false claims laws applicable to commercial insurers and other non-federal payors; state laws that require pharmaceutical manufacturers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relating governing the privacy and security of health information, some which differ from each other in significant ways and often are not preempted by HIPAA, thus complicating compliance efforts.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of the Department of Health and Human Services, disgorgement, individual imprisonment, contractual damages, reputational harm,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47"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188" w:lineRule="exact"/>
        <w:rPr>
          <w:sz w:val="20"/>
          <w:szCs w:val="20"/>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adverse regulatory inspection findings;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voluntary or mandatory product recalls or public notification or medical product safety alerts to healthcare professionals;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on, or prohibitions against, marketing our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on, or prohibitions against, importation or exportation of our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suspension of review or refusal to approve pending applications or supplements to approved applications;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exclusion from participation in government-funded healthcare programs;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exclusion from eligibility for the award of government contracts for our products;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suspension or withdrawal of product approvals;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product seizures;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injunctions; and</w:t>
      </w:r>
    </w:p>
    <w:p>
      <w:pPr>
        <w:spacing w:after="0" w:line="47" w:lineRule="exact"/>
        <w:rPr>
          <w:rFonts w:ascii="Arial" w:cs="Arial" w:eastAsia="Arial" w:hAnsi="Arial"/>
          <w:sz w:val="17"/>
          <w:szCs w:val="17"/>
          <w:color w:val="auto"/>
        </w:rPr>
      </w:pPr>
    </w:p>
    <w:p>
      <w:pPr>
        <w:ind w:left="800" w:right="260" w:hanging="454"/>
        <w:spacing w:after="0" w:line="243" w:lineRule="auto"/>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civil and criminal penalties, up to and including criminal prosecution resulting in fines, exclusion from healthcare reimbursement programs and imprisonment.</w:t>
      </w:r>
    </w:p>
    <w:p>
      <w:pPr>
        <w:spacing w:after="0" w:line="14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43"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Any drugs we develop may become subject to unfavorable pricing regulations, third-party reimbursement practices or healthcare reform initiatives, thereby harming our business.</w:t>
      </w:r>
    </w:p>
    <w:p>
      <w:pPr>
        <w:spacing w:after="0" w:line="234"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delay our commercial launch of the product and negatively impact the revenues we are able to generate from the sale of the product in that country and potentially in other countries due to reference pricing.</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For our earlier stage programs,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48"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currently expect that any drugs we develop may need to be administered under the supervision of a physician on an outpatient basis. Under currently applicable U.S. law, certain drugs that are not usually self-administered (including injectable drugs) may be eligible for coverage under the Medicare Part B program if:</w:t>
      </w:r>
    </w:p>
    <w:p>
      <w:pPr>
        <w:spacing w:after="0" w:line="188" w:lineRule="exact"/>
        <w:rPr>
          <w:sz w:val="20"/>
          <w:szCs w:val="20"/>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they are incident to a physician’s services;</w:t>
      </w:r>
    </w:p>
    <w:p>
      <w:pPr>
        <w:spacing w:after="0" w:line="47" w:lineRule="exact"/>
        <w:rPr>
          <w:rFonts w:ascii="Arial" w:cs="Arial" w:eastAsia="Arial" w:hAnsi="Arial"/>
          <w:sz w:val="17"/>
          <w:szCs w:val="17"/>
          <w:color w:val="auto"/>
        </w:rPr>
      </w:pPr>
    </w:p>
    <w:p>
      <w:pPr>
        <w:ind w:left="800" w:right="640" w:hanging="454"/>
        <w:spacing w:after="0" w:line="243"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they are reasonable and necessary for the diagnosis or treatment of the illness or injury for which they are administered according to accepted standards of medical practice; and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they have been approved by the FDA and meet other requirements of the statute.</w:t>
      </w:r>
    </w:p>
    <w:p>
      <w:pPr>
        <w:spacing w:after="0" w:line="169"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There may be significant delays in obtaining coverage for newly-approved drugs, and coverage may be more limited than the purposes for which the drug is approved by the FDA or comparable foreign regulatory authorities.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reimbursed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A number of legislative and regulatory changes in the healthcare system in the United States and other major healthcare markets have been proposed and/or adopted in recent years, and such efforts have expanded substantially in recent years. These developments have included prescription drug benefit legislation that was enacted in 2003 and took effect in January 2006, healthcare reform legislation enacted by certain states, and major healthcare reform legislation that was passed by Congress and enacted into law in the United States in 2010. These developments could, directly or indirectly, affect our ability to sell our products, if approved, at a favorable price.</w:t>
      </w:r>
    </w:p>
    <w:p>
      <w:pPr>
        <w:spacing w:after="0" w:line="15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In particular, in March 2010, the Patient Protection and Affordable Care Act, or PPACA, was signed into law. This new legislation changes the current system of healthcare insurance and benefits and is intended to broaden access to healthcare coverage, enhance remedies against fraud and abuse, add transparency requirements for the healthcare and health insurance industries, impose taxes and fees on the healthcare industry, impose health policy reforms, and control costs. The new law also contains provisions that will affect companies in the pharmaceutical industry and other healthcare related industries by imposing additional costs and changes to business practices. Provisions affecting pharmaceutical companies include the following:</w:t>
      </w:r>
    </w:p>
    <w:p>
      <w:pPr>
        <w:spacing w:after="0" w:line="189" w:lineRule="exact"/>
        <w:rPr>
          <w:sz w:val="20"/>
          <w:szCs w:val="20"/>
          <w:color w:val="auto"/>
        </w:rPr>
      </w:pPr>
    </w:p>
    <w:p>
      <w:pPr>
        <w:ind w:left="800" w:right="140" w:hanging="454"/>
        <w:spacing w:after="0" w:line="243"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Minimum rebates for drugs sold under the Medicaid Drug Rebate Program have increased, and the rebate requirement has been extended to drugs used in risk-based Medicaid managed care plans.</w:t>
      </w:r>
    </w:p>
    <w:p>
      <w:pPr>
        <w:spacing w:after="0" w:line="22" w:lineRule="exact"/>
        <w:rPr>
          <w:rFonts w:ascii="Arial" w:cs="Arial" w:eastAsia="Arial" w:hAnsi="Arial"/>
          <w:sz w:val="17"/>
          <w:szCs w:val="17"/>
          <w:color w:val="auto"/>
        </w:rPr>
      </w:pPr>
    </w:p>
    <w:p>
      <w:pPr>
        <w:ind w:left="800" w:right="220" w:hanging="454"/>
        <w:spacing w:after="0" w:line="243"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340B Drug Pricing Program under the Public Health Service Act has been extended to require mandatory discounts for drug products sold to certain critical access hospitals, cancer hospitals and other covered entities.</w:t>
      </w:r>
    </w:p>
    <w:p>
      <w:pPr>
        <w:spacing w:after="0" w:line="22" w:lineRule="exact"/>
        <w:rPr>
          <w:rFonts w:ascii="Arial" w:cs="Arial" w:eastAsia="Arial" w:hAnsi="Arial"/>
          <w:sz w:val="17"/>
          <w:szCs w:val="17"/>
          <w:color w:val="auto"/>
        </w:rPr>
      </w:pPr>
    </w:p>
    <w:p>
      <w:pPr>
        <w:ind w:left="800" w:right="140" w:hanging="454"/>
        <w:spacing w:after="0" w:line="243"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Pharmaceutical manufacturers are required to offer discounts off negotiated prices on applicable brand-name drugs to eligible beneficiaries who fall within the Medicare Part D coverage gap, commonly referred to as the “Donut Hole.”</w:t>
      </w:r>
    </w:p>
    <w:p>
      <w:pPr>
        <w:spacing w:after="0" w:line="22" w:lineRule="exact"/>
        <w:rPr>
          <w:rFonts w:ascii="Arial" w:cs="Arial" w:eastAsia="Arial" w:hAnsi="Arial"/>
          <w:sz w:val="17"/>
          <w:szCs w:val="17"/>
          <w:color w:val="auto"/>
        </w:rPr>
      </w:pPr>
    </w:p>
    <w:p>
      <w:pPr>
        <w:ind w:left="800" w:right="180" w:hanging="454"/>
        <w:spacing w:after="0" w:line="235"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Pharmaceutical manufacturers are required to pay an annual non-tax deductible fee to the federal government based on each company’s market share of prior year total sales of branded products to certain federal healthcare programs, such as Medicare and Medicaid, and programs administered by the Department of Veterans Affairs or the Department of Defense. Since we expect our branded pharmaceutical sales to constitute a small portion of the total federal health program pharmaceutical market, we do not expect this annual assessment to have a material impact on our financial condition.</w:t>
      </w:r>
    </w:p>
    <w:p>
      <w:pPr>
        <w:spacing w:after="0" w:line="28" w:lineRule="exact"/>
        <w:rPr>
          <w:rFonts w:ascii="Arial" w:cs="Arial" w:eastAsia="Arial" w:hAnsi="Arial"/>
          <w:sz w:val="17"/>
          <w:szCs w:val="17"/>
          <w:color w:val="auto"/>
        </w:rPr>
      </w:pPr>
    </w:p>
    <w:p>
      <w:pPr>
        <w:ind w:left="800" w:right="300" w:hanging="454"/>
        <w:spacing w:after="0" w:line="243"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w:t>
      </w:r>
    </w:p>
    <w:p>
      <w:pPr>
        <w:spacing w:after="0" w:line="47" w:lineRule="exact"/>
        <w:rPr>
          <w:rFonts w:ascii="Arial" w:cs="Arial" w:eastAsia="Arial" w:hAnsi="Arial"/>
          <w:sz w:val="17"/>
          <w:szCs w:val="17"/>
          <w:color w:val="auto"/>
        </w:rPr>
      </w:pPr>
    </w:p>
    <w:p>
      <w:pPr>
        <w:ind w:left="800" w:right="600" w:hanging="454"/>
        <w:spacing w:after="0" w:line="243"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22" w:lineRule="exact"/>
        <w:rPr>
          <w:rFonts w:ascii="Arial" w:cs="Arial" w:eastAsia="Arial" w:hAnsi="Arial"/>
          <w:sz w:val="17"/>
          <w:szCs w:val="17"/>
          <w:color w:val="auto"/>
        </w:rPr>
      </w:pPr>
    </w:p>
    <w:p>
      <w:pPr>
        <w:ind w:left="800" w:right="180" w:hanging="454"/>
        <w:spacing w:after="0" w:line="243"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new law provides that approval of an application for a follow-on biologic product may not become effective until 12 years after the date on which the reference innovator biologic product was first licensed by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00"/>
        <w:spacing w:after="0" w:line="235" w:lineRule="auto"/>
        <w:rPr>
          <w:sz w:val="20"/>
          <w:szCs w:val="20"/>
          <w:color w:val="auto"/>
        </w:rPr>
      </w:pPr>
      <w:r>
        <w:rPr>
          <w:rFonts w:ascii="Arial" w:cs="Arial" w:eastAsia="Arial" w:hAnsi="Arial"/>
          <w:sz w:val="17"/>
          <w:szCs w:val="17"/>
          <w:color w:val="auto"/>
        </w:rPr>
        <w:t>the FDA, with a possible six-month extension for pediatric products. After this exclusivity ends, it will be easier for so-called “biosimilar” manufacturers to enter the market, which is likely to reduce the pricing for such products and could affect our profitability. In July 2015, the U.S Court of Appeals for the Federal Circuit interpreted the statute as requiring biosimilar manufacturers to send a required pre-launch notice to the manufacturer of the reference biologic only after the FDA has approved the biosimilar for licensure. This ruling potentially provides the reference product manufacturer with an additional 180 days of marketing exclusivity for the innovator biologic, depending on whether the product’s 12-year exclusivity has expired at the time that the pre-launch notice is received from the biosimilar manufacturer.</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full effects of PPACA cannot be known until the new law is fully implemented through regulations or guidance issued by the CMS and other federal and state healthcare agencies. The financial impact of PPACA over the next few years will depend on a number of factors, including, but not limited, to the policies reflected in implementing regulations and guidance, and changes in sales volumes for products affected by the new system of rebates, discounts and fees. The new legislation may also have a positive impact on our future net sales, if any, by increasing the aggregate number of persons with healthcare coverage in the United States. We expect that PPACA, as well as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48"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Moreover, 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drug candidates.</w:t>
      </w:r>
    </w:p>
    <w:p>
      <w:pPr>
        <w:spacing w:after="0" w:line="48"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Our ability to obtain services, reimbursement or funding from the federal government may be impacted by possible reductions in federal spending.</w:t>
      </w:r>
    </w:p>
    <w:p>
      <w:pPr>
        <w:ind w:right="80"/>
        <w:spacing w:after="0" w:line="234" w:lineRule="auto"/>
        <w:rPr>
          <w:sz w:val="20"/>
          <w:szCs w:val="20"/>
          <w:color w:val="auto"/>
        </w:rPr>
      </w:pPr>
      <w:r>
        <w:rPr>
          <w:rFonts w:ascii="Arial" w:cs="Arial" w:eastAsia="Arial" w:hAnsi="Arial"/>
          <w:sz w:val="17"/>
          <w:szCs w:val="17"/>
          <w:color w:val="auto"/>
        </w:rPr>
        <w:t>Other legislative changes have been proposed and adopted since PPACA was enacted. For example, in August 2011, the President signed into law the Budget Control Act of 2011, which, among other things, created the Joint Select Committee on Deficit Reduction (Joint Select Committee) to recommend to Congress proposals in spending reductions. The failure of Congress to enact deficit reduction measures of at least $1.2 trillion for the years 2013 through 2021 triggered the legislation’s automatic reduction to several government programs. These cuts included aggregate reductions to Medicare payments to providers of up to 2% per fiscal year, which went into effect beginning on April 1, 2013, and will stay in effect through 2024 unless additional Congressional action is taken. Additionally, under the American Taxpayer Relief Act of 2012, which was enacted on January 1, 2013, the imposition of these automatic cuts was delayed until March 1, 2013. As required by law, President Obama issued a sequestration order on March 1, 2013. Certain of these automatic cuts have been implemented resulting in reductions in Medicare payments to physicians, hospitals, and other healthcare providers, among other things. The full impact on our business of these automatic cuts is uncertain.</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If other federal spending is reduced, any budgetary shortfalls may also impact the ability of relevant agencies, such as the FDA or National Institutes of Health to continue to function. Amounts allocated to federal grants and contracts may be reduced or eliminated. These reductions may also impact the ability of relevant agencies to timely review and approve drug research and development, manufacturing, and marketing activities, which may delay our ability to develop, market and sell any products we may develop.</w:t>
      </w:r>
    </w:p>
    <w:p>
      <w:pPr>
        <w:spacing w:after="0" w:line="4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There is a substantial risk of product liability claims in our business. If we are unable to obtain sufficient insurance, a product liability claim against us could adversely affect our business.</w:t>
      </w:r>
    </w:p>
    <w:p>
      <w:pPr>
        <w:ind w:right="80"/>
        <w:spacing w:after="0" w:line="236" w:lineRule="auto"/>
        <w:rPr>
          <w:sz w:val="20"/>
          <w:szCs w:val="20"/>
          <w:color w:val="auto"/>
        </w:rPr>
      </w:pPr>
      <w:r>
        <w:rPr>
          <w:rFonts w:ascii="Arial" w:cs="Arial" w:eastAsia="Arial" w:hAnsi="Arial"/>
          <w:sz w:val="17"/>
          <w:szCs w:val="17"/>
          <w:color w:val="auto"/>
        </w:rPr>
        <w:t>Our business exposes us to significant potential product liability risks that are inherent in the development, testing, manufacturing and marketing of human therapeutic products. Product liability claims could delay or prevent completion of our clinical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share price. Any insurance we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w:t>
      </w:r>
    </w:p>
    <w:p>
      <w:pPr>
        <w:spacing w:after="0" w:line="47"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spacing w:after="0" w:line="234" w:lineRule="auto"/>
        <w:rPr>
          <w:sz w:val="20"/>
          <w:szCs w:val="20"/>
          <w:color w:val="auto"/>
        </w:rPr>
      </w:pPr>
      <w:r>
        <w:rPr>
          <w:rFonts w:ascii="Arial" w:cs="Arial" w:eastAsia="Arial" w:hAnsi="Arial"/>
          <w:sz w:val="17"/>
          <w:szCs w:val="17"/>
          <w:color w:val="auto"/>
        </w:rPr>
        <w:t>Our research, development and manufacturing processes involve the use of hazardous materials, chemicals and various radioactive compounds.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w:t>
      </w:r>
    </w:p>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to depend on collaborations with third parties for the development and commercialization of certain of our product candidates.</w:t>
      </w:r>
    </w:p>
    <w:p>
      <w:pPr>
        <w:spacing w:after="0" w:line="41" w:lineRule="exact"/>
        <w:rPr>
          <w:sz w:val="20"/>
          <w:szCs w:val="20"/>
          <w:color w:val="auto"/>
        </w:rPr>
      </w:pPr>
    </w:p>
    <w:p>
      <w:pPr>
        <w:jc w:val="both"/>
        <w:ind w:right="140"/>
        <w:spacing w:after="0" w:line="236" w:lineRule="auto"/>
        <w:rPr>
          <w:sz w:val="20"/>
          <w:szCs w:val="20"/>
          <w:color w:val="auto"/>
        </w:rPr>
      </w:pPr>
      <w:r>
        <w:rPr>
          <w:rFonts w:ascii="Arial" w:cs="Arial" w:eastAsia="Arial" w:hAnsi="Arial"/>
          <w:sz w:val="17"/>
          <w:szCs w:val="17"/>
          <w:color w:val="auto"/>
        </w:rPr>
        <w:t>We expect to depend on third-party collaborators for the development and commercialization of certain of our product candidates. We face significant competition in seeking appropriate collaborators. Our likely collaborators include large and mid-size pharmaceutical companies, regional and national pharmaceutical companies and biotechnology companies. 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Collaborations are complex and time-consuming to negotiate and document. We may not be able to negotiate collaborations on a timely basis, on acceptable terms, or at all. We may also be restricted under existing license agreements from entering into agreements on certain terms with potential collaborators. If we are unable to enter into collaborations with respect to a product candidate,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50"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Even if we are able to enter into any such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product candidates would pose the following risks to us:</w:t>
      </w:r>
    </w:p>
    <w:p>
      <w:pPr>
        <w:spacing w:after="0" w:line="196" w:lineRule="exact"/>
        <w:rPr>
          <w:sz w:val="20"/>
          <w:szCs w:val="20"/>
          <w:color w:val="auto"/>
        </w:rPr>
      </w:pPr>
    </w:p>
    <w:p>
      <w:pPr>
        <w:ind w:left="800" w:hanging="454"/>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47" w:lineRule="exact"/>
        <w:rPr>
          <w:rFonts w:ascii="Arial" w:cs="Arial" w:eastAsia="Arial" w:hAnsi="Arial"/>
          <w:sz w:val="17"/>
          <w:szCs w:val="17"/>
          <w:color w:val="auto"/>
        </w:rPr>
      </w:pPr>
    </w:p>
    <w:p>
      <w:pPr>
        <w:ind w:left="800" w:right="100" w:hanging="454"/>
        <w:spacing w:after="0" w:line="238"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6" w:lineRule="exact"/>
        <w:rPr>
          <w:rFonts w:ascii="Arial" w:cs="Arial" w:eastAsia="Arial" w:hAnsi="Arial"/>
          <w:sz w:val="17"/>
          <w:szCs w:val="17"/>
          <w:color w:val="auto"/>
        </w:rPr>
      </w:pPr>
    </w:p>
    <w:p>
      <w:pPr>
        <w:ind w:left="800" w:right="640" w:hanging="454"/>
        <w:spacing w:after="0" w:line="243"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2" w:lineRule="exact"/>
        <w:rPr>
          <w:rFonts w:ascii="Arial" w:cs="Arial" w:eastAsia="Arial" w:hAnsi="Arial"/>
          <w:sz w:val="17"/>
          <w:szCs w:val="17"/>
          <w:color w:val="auto"/>
        </w:rPr>
      </w:pPr>
    </w:p>
    <w:p>
      <w:pPr>
        <w:ind w:left="800" w:right="380" w:hanging="454"/>
        <w:spacing w:after="0" w:line="238"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6" w:lineRule="exact"/>
        <w:rPr>
          <w:rFonts w:ascii="Arial" w:cs="Arial" w:eastAsia="Arial" w:hAnsi="Arial"/>
          <w:sz w:val="17"/>
          <w:szCs w:val="17"/>
          <w:color w:val="auto"/>
        </w:rPr>
      </w:pPr>
    </w:p>
    <w:p>
      <w:pPr>
        <w:ind w:left="800" w:right="520" w:hanging="454"/>
        <w:spacing w:after="0" w:line="243"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products may not commit sufficient resources to the marketing and distribution of such product or products;</w:t>
      </w:r>
    </w:p>
    <w:p>
      <w:pPr>
        <w:spacing w:after="0" w:line="22"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22" w:lineRule="exact"/>
        <w:rPr>
          <w:rFonts w:ascii="Arial" w:cs="Arial" w:eastAsia="Arial" w:hAnsi="Arial"/>
          <w:sz w:val="17"/>
          <w:szCs w:val="17"/>
          <w:color w:val="auto"/>
        </w:rPr>
      </w:pPr>
    </w:p>
    <w:p>
      <w:pPr>
        <w:ind w:left="800" w:right="60" w:hanging="454"/>
        <w:spacing w:after="0" w:line="238"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26" w:lineRule="exact"/>
        <w:rPr>
          <w:rFonts w:ascii="Arial" w:cs="Arial" w:eastAsia="Arial" w:hAnsi="Arial"/>
          <w:sz w:val="17"/>
          <w:szCs w:val="17"/>
          <w:color w:val="auto"/>
        </w:rPr>
      </w:pPr>
    </w:p>
    <w:p>
      <w:pPr>
        <w:ind w:left="800" w:right="1000" w:hanging="454"/>
        <w:spacing w:after="0" w:line="243"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144"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Further, if a present or future collaborator of ours were to be involved in a business combination, the continued pursuit and emphasis on our product development or commercialization program could be delayed, diminished or terminated.</w:t>
      </w:r>
    </w:p>
    <w:p>
      <w:pPr>
        <w:spacing w:after="0" w:line="47"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some aspects of our compound formulation, research and preclinical studies, and those third parties may not perform satisfactorily, including failing to meet deadlines for the completion of such formulation, research or testing.</w:t>
      </w:r>
    </w:p>
    <w:p>
      <w:pPr>
        <w:spacing w:after="0" w:line="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do not independently conduct all aspects of our drug discovery activities, compound formulation research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IND-enabling studies and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46" w:lineRule="exact"/>
        <w:rPr>
          <w:sz w:val="20"/>
          <w:szCs w:val="20"/>
          <w:color w:val="auto"/>
        </w:rPr>
      </w:pPr>
    </w:p>
    <w:p>
      <w:pPr>
        <w:ind w:right="920"/>
        <w:spacing w:after="0" w:line="261" w:lineRule="auto"/>
        <w:rPr>
          <w:sz w:val="20"/>
          <w:szCs w:val="20"/>
          <w:color w:val="auto"/>
        </w:rPr>
      </w:pPr>
      <w:r>
        <w:rPr>
          <w:rFonts w:ascii="Arial" w:cs="Arial" w:eastAsia="Arial" w:hAnsi="Arial"/>
          <w:sz w:val="17"/>
          <w:szCs w:val="17"/>
          <w:b w:val="1"/>
          <w:bCs w:val="1"/>
          <w:i w:val="1"/>
          <w:iCs w:val="1"/>
          <w:color w:val="auto"/>
        </w:rPr>
        <w:t>If any of our research collaborators terminates or fails to perform its obligations under agreements with us, the development and commercialization of our product candidates could be delayed or terminated.</w:t>
      </w:r>
    </w:p>
    <w:p>
      <w:pPr>
        <w:ind w:right="140"/>
        <w:spacing w:after="0" w:line="238" w:lineRule="auto"/>
        <w:rPr>
          <w:sz w:val="20"/>
          <w:szCs w:val="20"/>
          <w:color w:val="auto"/>
        </w:rPr>
      </w:pPr>
      <w:r>
        <w:rPr>
          <w:rFonts w:ascii="Arial" w:cs="Arial" w:eastAsia="Arial" w:hAnsi="Arial"/>
          <w:sz w:val="17"/>
          <w:szCs w:val="17"/>
          <w:color w:val="auto"/>
        </w:rPr>
        <w:t>We are party to research collaboration agreements with certain academic partners. Our dependence on these research collaborators for select research capabilities means that our business could be adversely affected if any collaborator terminates its collaboration agreement with us or fails to perform its obligations under that agreement.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current or future research collaborations, if any, may not be scientifically successful. Disputes may arise in the future with respect to the ownership of rights to technology or products developed with collaborators, which could have an adverse effect on our ability to develop and commercialize any affected product candidate.</w:t>
      </w:r>
    </w:p>
    <w:p>
      <w:pPr>
        <w:spacing w:after="0" w:line="67"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Our current research collaborations allow, and we expect that any future research collaborations will allow, either party to terminate the collaboration for a material breach by the other party. In addition, our collaborators may have additional termination rights for convenience under certain circumstances. If we were to lose a collaborator, we would have to attract a new collaborator or develop internal research capabilities, which would require us to invest significant amounts of financial and management resources.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if we have a dispute with a collaborator over the ownership of technology or other matters, or if a collaborator terminates its collaboration with us, for breach or otherwise, or determines not to pursue the research that is the subject of the collaboration, it could delay or prevent the development of our product candidates, result in the need for additional company resources to develop product candidates, make it more difficult for us to attract new collaborators and could adversely affect how we are perceived in the business and financial communities.</w:t>
      </w:r>
    </w:p>
    <w:p>
      <w:pPr>
        <w:spacing w:after="0" w:line="48"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b w:val="1"/>
          <w:bCs w:val="1"/>
          <w:i w:val="1"/>
          <w:iCs w:val="1"/>
          <w:color w:val="auto"/>
        </w:rPr>
        <w:t>We intend to rely on third parties to design, conduct, supervise and monitor our preclinical studies and clinical trials, and if those third parties perform in an unsatisfactory manner, it may harm our business.</w:t>
      </w:r>
    </w:p>
    <w:p>
      <w:pPr>
        <w:ind w:right="100"/>
        <w:spacing w:after="0" w:line="234" w:lineRule="auto"/>
        <w:rPr>
          <w:sz w:val="20"/>
          <w:szCs w:val="20"/>
          <w:color w:val="auto"/>
        </w:rPr>
      </w:pPr>
      <w:r>
        <w:rPr>
          <w:rFonts w:ascii="Arial" w:cs="Arial" w:eastAsia="Arial" w:hAnsi="Arial"/>
          <w:sz w:val="17"/>
          <w:szCs w:val="17"/>
          <w:color w:val="auto"/>
        </w:rPr>
        <w:t>We rely on third party clinical investigators, contract research organizations, or CROs, clinical data management organizations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requires clinical trials to be conducted in accordance with good clinical practices, including for conducting, recording and reporting the results of preclinical studies and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and the FDA may require us to perform additional clinical trials. Our reliance on third parties that we do not control does not relieve us of these responsibilities and requirements. Any such event could adversely affect our business, financial condition, results of operations and prospects.</w:t>
      </w:r>
    </w:p>
    <w:p>
      <w:pPr>
        <w:spacing w:after="0" w:line="4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We rely on third-party supply and manufacturing partners for drug supplies for our research and development and preclinical activities and may do the same for any clinical and commercial supplies of our product candidates.</w:t>
      </w:r>
    </w:p>
    <w:p>
      <w:pPr>
        <w:spacing w:after="0" w:line="235" w:lineRule="auto"/>
        <w:rPr>
          <w:sz w:val="20"/>
          <w:szCs w:val="20"/>
          <w:color w:val="auto"/>
        </w:rPr>
      </w:pPr>
      <w:r>
        <w:rPr>
          <w:rFonts w:ascii="Arial" w:cs="Arial" w:eastAsia="Arial" w:hAnsi="Arial"/>
          <w:sz w:val="17"/>
          <w:szCs w:val="17"/>
          <w:color w:val="auto"/>
        </w:rPr>
        <w:t>We rely on third-party supply and manufacturing partners to supply the materials and components for, and manufacture, a portion of our research and development and preclinical study drug supplies and may do the same for any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drug product formulation manufacturer we may engage could require significant effort and expertise because there may be a limited number of qualified replacements.</w:t>
      </w:r>
    </w:p>
    <w:p>
      <w:pPr>
        <w:spacing w:after="0" w:line="14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or cGMPs. In the event that any of our suppliers or manufacturers fails to</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4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in a number of ways, including:</w:t>
      </w:r>
    </w:p>
    <w:p>
      <w:pPr>
        <w:spacing w:after="0" w:line="189"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inability to initiate or continue clinical trials of product candidates under development;</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loss of the cooperation of a collaborator;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subjecting our product candidates to additional inspections by regulatory authorities;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68"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would be adversely affected.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233" w:lineRule="auto"/>
        <w:rPr>
          <w:sz w:val="20"/>
          <w:szCs w:val="20"/>
          <w:color w:val="auto"/>
        </w:rPr>
      </w:pPr>
      <w:r>
        <w:rPr>
          <w:rFonts w:ascii="Arial" w:cs="Arial" w:eastAsia="Arial" w:hAnsi="Arial"/>
          <w:sz w:val="17"/>
          <w:szCs w:val="17"/>
          <w:color w:val="auto"/>
        </w:rPr>
        <w:t>We are highly dependent upon our senior management and our scientific, clinical and medical staff and advisors. The loss of the service of any of the members of our senior management, including Paul B. Bolno, M.D., our Chief Executive Officer, and Chandra Vargeese, Ph.D., our Senior Vice President, Head of Drug Discovery, could delay our research and development programs and materially harm our business, financial condition, results of operations and prospects.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additional highly qualified scientific, technical and management personnel, as well as personnel with expertise in preclinical and clinical testing, manufacturing, governmental regulation and commercialization. We face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52"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As we continue with our preclinical studies and advance to any clinical trials, we may experience difficulties in managing our growth and expanding our operations.</w:t>
      </w:r>
    </w:p>
    <w:p>
      <w:pPr>
        <w:ind w:right="240"/>
        <w:spacing w:after="0" w:line="234" w:lineRule="auto"/>
        <w:rPr>
          <w:sz w:val="20"/>
          <w:szCs w:val="20"/>
          <w:color w:val="auto"/>
        </w:rPr>
      </w:pPr>
      <w:r>
        <w:rPr>
          <w:rFonts w:ascii="Arial" w:cs="Arial" w:eastAsia="Arial" w:hAnsi="Arial"/>
          <w:sz w:val="17"/>
          <w:szCs w:val="17"/>
          <w:color w:val="auto"/>
        </w:rPr>
        <w:t>We have limited experience in drug development and have not begun clinical trials for any of our product candidates. As we advance product candidates through preclinical studies and any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our future growth may require significant capital expenditures and may divert financial resources from other projects, such as the development of our product candidates. If we are unable to effectively manage our future growth, our expenses may increase and our ability to generate revenue could be reduced.</w:t>
      </w:r>
    </w:p>
    <w:p>
      <w:pPr>
        <w:spacing w:after="0" w:line="47" w:lineRule="exact"/>
        <w:rPr>
          <w:sz w:val="20"/>
          <w:szCs w:val="20"/>
          <w:color w:val="auto"/>
        </w:rPr>
      </w:pPr>
    </w:p>
    <w:p>
      <w:pPr>
        <w:ind w:right="600"/>
        <w:spacing w:after="0" w:line="261" w:lineRule="auto"/>
        <w:rPr>
          <w:sz w:val="20"/>
          <w:szCs w:val="20"/>
          <w:color w:val="auto"/>
        </w:rPr>
      </w:pPr>
      <w:r>
        <w:rPr>
          <w:rFonts w:ascii="Arial" w:cs="Arial" w:eastAsia="Arial" w:hAnsi="Arial"/>
          <w:sz w:val="17"/>
          <w:szCs w:val="17"/>
          <w:b w:val="1"/>
          <w:bCs w:val="1"/>
          <w:i w:val="1"/>
          <w:iCs w:val="1"/>
          <w:color w:val="auto"/>
        </w:rPr>
        <w:t>Our employees, consultants and collaborators may engage in misconduct or other improper activities, including noncompliance with regulatory standards and requirements.</w:t>
      </w:r>
    </w:p>
    <w:p>
      <w:pPr>
        <w:ind w:right="20"/>
        <w:spacing w:after="0" w:line="233" w:lineRule="auto"/>
        <w:rPr>
          <w:sz w:val="20"/>
          <w:szCs w:val="20"/>
          <w:color w:val="auto"/>
        </w:rPr>
      </w:pPr>
      <w:r>
        <w:rPr>
          <w:rFonts w:ascii="Arial" w:cs="Arial" w:eastAsia="Arial" w:hAnsi="Arial"/>
          <w:sz w:val="17"/>
          <w:szCs w:val="17"/>
          <w:color w:val="auto"/>
        </w:rPr>
        <w:t>We are exposed to the risk of fraud or other misconduct by our employees, consultants and collaborators. Such misconduct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could suffer in the event of system failures.</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contractors and consultants are vulnerable to damage from computer viruses, unauthorized access, natural disasters, terrorism, war, and telecommunication and electrical failures. Such events could cause interruption of our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rates may adversely affect our results.</w:t>
      </w:r>
    </w:p>
    <w:p>
      <w:pPr>
        <w:spacing w:after="0" w:line="5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exposed to the effects of changes in foreign currency exchange rates, and we have not historically hedged our foreign currency exposure. Our Japanese subsidiary conducts its business in Japanese yen. As of December 31, 2014 and June 30, 2015, 35.4% and 7.2% of our assets, respectively, were located in Japan, and 17.7% and 8.2% of our general and administrative and research and development expenses were transacted in Japanese yen through the year ended December 31, 2014 and the six months ended June 30, 2015, respectively. Therefore, when the U.S. dollar strengthens relative to the yen, as it has in recent periods, our U.S. dollar reported revenue from non-U.S. dollar denominated income will decrease. Conversely, when the U.S. dollar weakens relative to the yen, our U.S. dollar reported expenses from non-U.S. dollar denominated operating costs will increase. Changes in the relative values of currencies occur regularly and, in some instances, could materially adversely affect our business, results of operations, financial condition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0"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2"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Our success depends in part on our ability to obtain and maintain patents and other forms of intellectual property rights, including in-licenses of intellectual property rights of others, for our product candidates and platform,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may not be able to apply for patents on certain aspects of our product candidates or our platform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our platform technologies, or any methods relating to them, or to provide meaningful protection from our competitors. Moreover, the patent position of biotechnology and pharmaceutical companies can be highly uncertain and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15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Additionally, in some countries, applicants are not able to protect methods of treating human beings or medical treatment processes. Countries such as India, Mexico, China, Europe and elsewhere have enacted various rules and laws precluding issuance of patents encompassing any methods a doctor may practice on a human being or any other animal to treat a disease or condition. Further, many countries have enacted laws and regulatory regimes that do not provide patent protection for methods of use of known compounds. Particularly given that some of our products may represent stereopure versions of previously described oligonucleotides, it may be difficult or impossible to obtain patent protection for them in relevant jurisdictions. Thus, in some countries and jurisdictions, it may not be possible to patent some of our products at all. In some countries and jurisdictions, only product claims may be obtained, and only when those products are new or novel. Also, patents issued on product claims cannot always be enforced to protect methods of using those products to treat or diagnose diseases or medical conditions. In such</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countries or jurisdictions, enforcement of patents to protect our products or their uses may be difficult or impossible. Lack of patent protection in such cases may have a materially adverse effect on our business and financial condition.</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owned and licensed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14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U.S. Patent and Trademark Office, or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or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proprietary products and technology. While we will endeavor to try to protect our product candidates and platform with intellectual property rights such as patents, as appropriate, the process of obtaining patents is time-consuming, expensive and sometimes unpredictable.</w:t>
      </w:r>
    </w:p>
    <w:p>
      <w:pPr>
        <w:spacing w:after="0" w:line="147"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 xml:space="preserve">In addition, there are numerous recent changes to the patent laws and proposed changes to the rules of the USPTO which may have a significant impact on our ability to protect our technology and enforce our intellectual property rights. For example, the America Invents Act, enacted within the last several years, involves significant changes in patent legislation. The U.S. Supreme Court has ruled on several patent cases in recent years, some of which cases either narrow the scope of patent protection available in certain circumstances or weaken the rights of patent owners in certain situations. The recent decision by the U.S. Supreme Court in Association for </w:t>
      </w:r>
      <w:r>
        <w:rPr>
          <w:rFonts w:ascii="Arial" w:cs="Arial" w:eastAsia="Arial" w:hAnsi="Arial"/>
          <w:sz w:val="17"/>
          <w:szCs w:val="17"/>
          <w:i w:val="1"/>
          <w:iCs w:val="1"/>
          <w:color w:val="auto"/>
        </w:rPr>
        <w:t>Molecular Pathology v. Myriad Genetics, Inc.</w:t>
      </w:r>
      <w:r>
        <w:rPr>
          <w:rFonts w:ascii="Arial" w:cs="Arial" w:eastAsia="Arial" w:hAnsi="Arial"/>
          <w:sz w:val="17"/>
          <w:szCs w:val="17"/>
          <w:color w:val="auto"/>
        </w:rPr>
        <w:t xml:space="preserve"> precludes a claim to a nucleic acid having a stated nucleotide sequence which is identical to a sequence found in nature and unmodified. We currently are not aware of an immediate impact of this decision on our patents or patent applications because we are developing nucleic acid products which contain modifications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35" w:lineRule="exact"/>
        <w:rPr>
          <w:sz w:val="20"/>
          <w:szCs w:val="20"/>
          <w:color w:val="auto"/>
        </w:rPr>
      </w:pPr>
    </w:p>
    <w:p>
      <w:pPr>
        <w:ind w:right="40"/>
        <w:spacing w:after="0"/>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189" w:lineRule="exact"/>
        <w:rPr>
          <w:sz w:val="20"/>
          <w:szCs w:val="20"/>
          <w:color w:val="auto"/>
        </w:rPr>
      </w:pPr>
    </w:p>
    <w:p>
      <w:pPr>
        <w:ind w:left="800" w:right="100" w:hanging="454"/>
        <w:spacing w:after="0" w:line="243"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Others will not or may not be able to make, use or sell compounds that are the same as or similar to our product candidates but that are not covered by the claims of the patents that we own or license.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60" w:hanging="454"/>
        <w:spacing w:after="0" w:line="243"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licensors, collaborators or any future collaborators are the first to make the inventions covered by each of our issued patents and pending patent applications that we own or license.</w:t>
      </w:r>
    </w:p>
    <w:p>
      <w:pPr>
        <w:spacing w:after="0" w:line="22" w:lineRule="exact"/>
        <w:rPr>
          <w:rFonts w:ascii="Arial" w:cs="Arial" w:eastAsia="Arial" w:hAnsi="Arial"/>
          <w:sz w:val="17"/>
          <w:szCs w:val="17"/>
          <w:color w:val="auto"/>
        </w:rPr>
      </w:pPr>
    </w:p>
    <w:p>
      <w:pPr>
        <w:ind w:left="800" w:right="780" w:hanging="454"/>
        <w:spacing w:after="0" w:line="243"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licensors, collaborators or any future collaborators are the first to file patent applications covering certain aspects of our inventions.</w:t>
      </w:r>
    </w:p>
    <w:p>
      <w:pPr>
        <w:spacing w:after="0" w:line="22" w:lineRule="exact"/>
        <w:rPr>
          <w:rFonts w:ascii="Arial" w:cs="Arial" w:eastAsia="Arial" w:hAnsi="Arial"/>
          <w:sz w:val="17"/>
          <w:szCs w:val="17"/>
          <w:color w:val="auto"/>
        </w:rPr>
      </w:pPr>
    </w:p>
    <w:p>
      <w:pPr>
        <w:ind w:left="800" w:right="780" w:hanging="454"/>
        <w:spacing w:after="0" w:line="243"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Others will not independently develop similar or alternative technologies or duplicate any of our technologies without infringing our intellectual property rights.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may not hold that our patents are valid, enforceable and infringed.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issued patents that we own or have licensed will provide us with any competitive advantages, or will not be challenged by third parties.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develop additional proprietary technologies that are patentable.</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patents of others will not have an adverse effect on our business.</w:t>
      </w:r>
    </w:p>
    <w:p>
      <w:pPr>
        <w:spacing w:after="0" w:line="47"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4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b w:val="1"/>
          <w:bCs w:val="1"/>
          <w:i w:val="1"/>
          <w:iCs w:val="1"/>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do, and will continue to, rely on intellectual property rights licensed from third parties to protect certain aspects of our technology and programs. Specifically, we are a party to a license agreement with Max-Planck-Innovation GmbH, or Max Planck, pursuant to which Max Planck has licensed to us certain patent rights that provide intellectual property for research and development of single-stranded RNAi oligonucleotides. Under this agreement, we have a worldwide co-exclusive license from Max Planck for the exploitation of key intellectual property rights in this respect, and Max Planck retains ownership of the patents and patent applications to which we are licensed under the agreement. See “Business—Licensing Arrangements and Research Collaborations—Our Technology Licenses—Max-Planck—Innovation GmbH.” We also intend to license additional third-party intellectual property in the future.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licensed to us. Even if patents issue or are granted, our licensors may fail to maintain these patents, may determine not to pursue litigation against other companies that are infringing these patents, or may pursue litigation less aggressively than we would. Further, we may not obtain exclusive rights, which would allow for third parties to develop competing products. Without protection for, or exclusive right to, the intellectual property we license, other companies might be able to offer substantially identical products for sale, which could adversely affect our competitive business position and harm our business prospects. In addition, we may sublicense our rights under our third-party licenses to current or future collaborators or any future strategic partners. Any impairment of these sublicensed rights could result in reduced revenue under our any future collaboration agreements we may enter into or result in termination of an agreement by one or more of our collaborators or any future strategic partners.</w:t>
      </w:r>
    </w:p>
    <w:p>
      <w:pPr>
        <w:spacing w:after="0" w:line="50" w:lineRule="exact"/>
        <w:rPr>
          <w:sz w:val="20"/>
          <w:szCs w:val="20"/>
          <w:color w:val="auto"/>
        </w:rPr>
      </w:pPr>
    </w:p>
    <w:p>
      <w:pPr>
        <w:ind w:right="420"/>
        <w:spacing w:after="0" w:line="261" w:lineRule="auto"/>
        <w:rPr>
          <w:sz w:val="20"/>
          <w:szCs w:val="20"/>
          <w:color w:val="auto"/>
        </w:rPr>
      </w:pPr>
      <w:r>
        <w:rPr>
          <w:rFonts w:ascii="Arial" w:cs="Arial" w:eastAsia="Arial" w:hAnsi="Arial"/>
          <w:sz w:val="17"/>
          <w:szCs w:val="17"/>
          <w:b w:val="1"/>
          <w:bCs w:val="1"/>
          <w:i w:val="1"/>
          <w:iCs w:val="1"/>
          <w:color w:val="auto"/>
        </w:rPr>
        <w:t>Certain third parties have rights in the patents related to single-stranded oligonucleotides included in the license granted to us by Max Planck, which could allow them to develop, market and sell product candidates in competition with ours.</w:t>
      </w:r>
    </w:p>
    <w:p>
      <w:pPr>
        <w:spacing w:after="0" w:line="234" w:lineRule="auto"/>
        <w:rPr>
          <w:sz w:val="20"/>
          <w:szCs w:val="20"/>
          <w:color w:val="auto"/>
        </w:rPr>
      </w:pPr>
      <w:r>
        <w:rPr>
          <w:rFonts w:ascii="Arial" w:cs="Arial" w:eastAsia="Arial" w:hAnsi="Arial"/>
          <w:sz w:val="17"/>
          <w:szCs w:val="17"/>
          <w:color w:val="auto"/>
        </w:rPr>
        <w:t>Our license from Max Planck is one of two maximum allowable co-exclusive licenses for the patents that are the subject of the license, the other of which is currently held by Isis Pharmaceuticals, Inc., or Isis. We therefore do not have rights under this license to prevent Isis from developing product candidates in competition with ours. In addition, the German and U.S. governments have certain rights to the inventions covered by the patent rights and Max Planck, as an academic research and medical center, has the right to practice the licensed patent rights for educational, research and clinical uses. If a third party develops, manufactures, markets and sells any product covered by the same patent rights and technologies that compete with ours, it could significantly undercut the value of any of our product candidates, which would materially adversely affect our revenue, financial condition and results of operations.</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660"/>
        <w:spacing w:after="0" w:line="268" w:lineRule="auto"/>
        <w:rPr>
          <w:sz w:val="20"/>
          <w:szCs w:val="20"/>
          <w:color w:val="auto"/>
        </w:rPr>
      </w:pPr>
      <w:r>
        <w:rPr>
          <w:rFonts w:ascii="Arial" w:cs="Arial" w:eastAsia="Arial" w:hAnsi="Arial"/>
          <w:sz w:val="17"/>
          <w:szCs w:val="17"/>
          <w:b w:val="1"/>
          <w:bCs w:val="1"/>
          <w:i w:val="1"/>
          <w:iCs w:val="1"/>
          <w:color w:val="auto"/>
        </w:rPr>
        <w:t>Other companies or organizations may challenge our or our licensors’ patent rights or may assert patent rights that prevent us from developing and commercializing our products.</w:t>
      </w:r>
    </w:p>
    <w:p>
      <w:pPr>
        <w:spacing w:after="0" w:line="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Nucleic acid therapeutics is a relatively new scientific field, the commercial exploitation of which has resulted in many different patents and patent applications from organizations and individuals seeking to obtain patent protection in the field. We have obtained grants and issuances of patents in this field, and also have licensed from Max Planck certain such patents on a co-exclusive basis. The issued patents and pending patent applications in the U.S. and in key markets around the world that we own or license claim certain methods, compositions and processes relating to the discovery, development, manufacture and/or commercialization of nucleic acid therapeutics and/or our platform.</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As the field of nucleic acid therapeutics matures, patent applications are being processed by national patent offices around the world. There is uncertainty about which patents will issue, and, if they do, as to when, to whom, and with what claims. It is likely that there will be significant litigation in the courts and other proceedings, such as interference, reexamination and opposition proceedings, in various patent offices relating to patent rights in the nucleic acid therapeutics field. In many cases, the possibility of appeal or opposition exists for either us or our opponents, and it may be years before final, unappealable rulings are made with respect to these patents in certain jurisdictions. The timing and outcome of these and other proceedings is uncertain and may adversely affect our business, particularly if we are not successful in defending the patentability and scope of our pending and issued patent claims or if third parties are successful in obtaining claims that cover our any of our product candidates or our platform.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adversely affect our business and our ability to successfully compete in the field of nucleic acid therapeutics.</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are many issued patents and/or pending patent applications that claim aspects of oligonucleotide chemistry and/or modifications that we may want or need to apply to our product candidates. There are also many issued patents and/or pending patent applications that claim targeted genes or portions of genes that may be relevant for nucleic acid drugs we wish to develop. Thus, it is possible that one or more organizations will hold patent rights to which we will need or want a license. If those organizations refuse to grant us a license to such patent rights on reasonable terms, we may not be able to market products or perform research and development or other activities covered by these patents.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generally file a provisional patent application first (a priority filing) at the USPTO. A Patent Cooperation Treaty, or PCT, application is usually filed within twelve months after the priority filing. Regional and/or national patent applications may be pursued outside of the United States, either based on a PCT application or as a direct filing, in some cases claiming priority to a prior U.S. or PCT filing. Some of our cases have been filed in, for example, in Australia, Brazil, Canada, Chile, China, Europe, Indonesia, Israel, India, Japan, South Korean, Mexico, Russia, Singapore and South Africa. We also commonly enter the national stage in the United States through a PCT filing. We have so far not filed for patent protection in all national and regional jurisdictions where such protection may be available. In addition, we may decide to abandon national and regional patent applications before grant. Finally,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or biosimilar drug manufacturers or other competitors may challenge the scope, validity or enforceability of our or our licensors’ or collaborators’ patents, requiring us or our licensors or collaborators to engage in complex, lengthy and costly litigation or other proceedings. Generic or biosimilar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or collaborators may have limited remedies if patents are infringed or if we or our licensors or collaborators are compelled to grant a license to a third party, which could materially diminish the value of those patents. This could limit our potential revenue opportunities. Accordingly, our and our licensors’ and collaborators’ efforts to enforce intellectual property rights around the world may be inadequate to obtain a significant commercial advantage from the intellectual property that we own or license.</w:t>
      </w:r>
    </w:p>
    <w:p>
      <w:pPr>
        <w:spacing w:after="0" w:line="5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b w:val="1"/>
          <w:bCs w:val="1"/>
          <w:i w:val="1"/>
          <w:iCs w:val="1"/>
          <w:color w:val="auto"/>
        </w:rPr>
        <w:t>We or our licensors, collaborators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or our licensors, collaborators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collaborators or any future strategic partners are found to infringe a third party patent or other intellectual property rights, we could be required to pay damages, potentially including treble damages, if we are found to have willfully infringed. In addition, we or our licensors,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 or any future collaborator,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53"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Because the nucleic acid therapeutics intellectual property landscape is still evolving, it is difficult to conclusively assess our freedom to operate without infringing third party rights. There are numerous companies that have pending patent applications and issued patents directed to certain aspects of nucleic acid therapeutics. Our competitive position may suffer if patents issued to third parties or other third party intellectual property rights cover our products or elements thereof, or our manufacture or uses relevant to our development plans. In such cases, we may not be in a position to develop or commercialize products or product candidates unless we successfully pursue litigation to nullify or invalidate the third party intellectual property right concerned, or enter into a license agreement with the intellectual property right holder, if available on commercially reasonable terms.</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It is also possible that we have failed to identify relevant third party patents or applications.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spacing w:after="0" w:line="52" w:lineRule="exact"/>
        <w:rPr>
          <w:sz w:val="20"/>
          <w:szCs w:val="20"/>
          <w:color w:val="auto"/>
        </w:rPr>
      </w:pPr>
    </w:p>
    <w:p>
      <w:pPr>
        <w:jc w:val="both"/>
        <w:ind w:right="420"/>
        <w:spacing w:after="0" w:line="250" w:lineRule="auto"/>
        <w:rPr>
          <w:sz w:val="20"/>
          <w:szCs w:val="20"/>
          <w:color w:val="auto"/>
        </w:rPr>
      </w:pPr>
      <w:r>
        <w:rPr>
          <w:rFonts w:ascii="Arial" w:cs="Arial" w:eastAsia="Arial" w:hAnsi="Arial"/>
          <w:sz w:val="17"/>
          <w:szCs w:val="17"/>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current license with Max Planck imposes, and any future licenses we enter into are likely to impose, various development, commercialization, funding, milestone, royalty, diligence, sublicensing, insurance, patent prosecution and enforcement, and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5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50"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ind w:right="140"/>
        <w:spacing w:after="0" w:line="236"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Being a Singapore Company</w:t>
      </w:r>
    </w:p>
    <w:p>
      <w:pPr>
        <w:spacing w:after="0" w:line="73"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b w:val="1"/>
          <w:bCs w:val="1"/>
          <w:i w:val="1"/>
          <w:iCs w:val="1"/>
          <w:color w:val="auto"/>
        </w:rPr>
        <w:t>We are a Singapore incorporated company and it may be difficult to enforce a judgment of U.S. courts for civil liabilities under U.S. federal securities laws against us, our directors or officers in Singapore.</w:t>
      </w:r>
    </w:p>
    <w:p>
      <w:pPr>
        <w:ind w:right="120"/>
        <w:spacing w:after="0" w:line="235" w:lineRule="auto"/>
        <w:rPr>
          <w:sz w:val="20"/>
          <w:szCs w:val="20"/>
          <w:color w:val="auto"/>
        </w:rPr>
      </w:pPr>
      <w:r>
        <w:rPr>
          <w:rFonts w:ascii="Arial" w:cs="Arial" w:eastAsia="Arial" w:hAnsi="Arial"/>
          <w:sz w:val="17"/>
          <w:szCs w:val="17"/>
          <w:color w:val="auto"/>
        </w:rPr>
        <w:t>We are incorporated under the laws of the Republic of Singapore, and certain of our officers and directors are residents outside the United States. Moreover, a majority of our consolidated assets are located outside the United States. Although we are incorporated outside the United States, we have agreed to accept service of process in the United States through our agent designated for that purpose. Nevertheless, because a majority of the consolidated assets owned by us are located outside the United States, any judgment obtained in the United States against us may not be collectible within the United States.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us or our directors and officers who reside in Singapore in a suit brought in the Singapore courts against us or such persons with respect to a violation solely of the federal securities laws of the United States. In addition, holders of book-entry interests in our shares will be required to be registered shareholders as reflected in our shareholder register in order to have standing to bring a shareholder action and, if successful, to enforce a foreign judgment against us, our directors or our executive officers in the Singapore courts. The administrative process of becoming a registered holder could result in delays prejudicial to any legal proceedings or enforcement action. Consequently, it may be difficult for investors to enforce against us, our directors or our officers in Singapore judgments obtained in the United States which are predicated upon the civil liability provisions of the federal securities laws of the United States. See “Enforcement of Civil Liabilities Under United States Federal Securities Laws.”</w:t>
      </w:r>
    </w:p>
    <w:p>
      <w:pPr>
        <w:spacing w:after="0" w:line="186" w:lineRule="exact"/>
        <w:rPr>
          <w:sz w:val="20"/>
          <w:szCs w:val="20"/>
          <w:color w:val="auto"/>
        </w:rPr>
      </w:pPr>
    </w:p>
    <w:p>
      <w:pPr>
        <w:ind w:right="980"/>
        <w:spacing w:after="0" w:line="261" w:lineRule="auto"/>
        <w:rPr>
          <w:sz w:val="20"/>
          <w:szCs w:val="20"/>
          <w:color w:val="auto"/>
        </w:rPr>
      </w:pPr>
      <w:r>
        <w:rPr>
          <w:rFonts w:ascii="Arial" w:cs="Arial" w:eastAsia="Arial" w:hAnsi="Arial"/>
          <w:sz w:val="17"/>
          <w:szCs w:val="17"/>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235" w:lineRule="auto"/>
        <w:rPr>
          <w:sz w:val="20"/>
          <w:szCs w:val="20"/>
          <w:color w:val="auto"/>
        </w:rPr>
      </w:pPr>
      <w:r>
        <w:rPr>
          <w:rFonts w:ascii="Arial" w:cs="Arial" w:eastAsia="Arial" w:hAnsi="Arial"/>
          <w:sz w:val="17"/>
          <w:szCs w:val="17"/>
          <w:color w:val="auto"/>
        </w:rPr>
        <w:t>Our corporate affairs are governed by our memorandum and articles of association and by the laws governing corporations incorporated in Singapore. The rights of our shareholders and the responsibilities of the members of our board of directors under Singapore law are different from those applicable to a corporation incorporated in the United States. Principal shareholders of Singapore companies do not owe fiduciary duties to minority shareholders, as compared, for example, to controlling shareholders in corporations incorporated in Delaware. Our public shareholders may have more difficulty in protecting their interests in connection with actions taken by our management, members of our board of directors or our principal shareholders than they would as shareholders of a corporation incorporated in the United States.</w:t>
      </w:r>
    </w:p>
    <w:p>
      <w:pPr>
        <w:spacing w:after="0" w:line="14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In addition, only persons who are registered as shareholders in our shareholder register are recognized under Singapore law as shareholders of our company. Only registered shareholders have legal standing to institute shareholder actions against us or otherwise seek to enforce their rights as shareholders. Investors in our shares who are not specifically registered as shareholders in our shareholder register (for example, where such shareholders hold shares indirectly through the Depository Trust Company) are required to become registered as shareholders in our shareholder register in order to institute or enforce any legal proceedings or claims against us, our directors or our executive officers relating to shareholder rights. Holders of book-entry interests in our shares may become registered shareholders by exchanging their book-entry interests in our shares for certificated shares and being registered in our shareholder register. See “Comparison of Shareholder Rights” in this prospectus for a discussion of differences between Singapore and Delaware corporation law.</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the laws of Singapore, which differ in certain material respects from the laws of the United States.</w:t>
      </w:r>
    </w:p>
    <w:p>
      <w:pPr>
        <w:spacing w:after="0" w:line="41"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As a company incorporated under the laws of the Republic of Singapore, we are required to comply with the laws of Singapore, certain of which are capable of extra-territorial application, as well as our memorandum and articles of association. In particular, we are required to comply with certain provisions of the Securities and Futures Act of Singapore (Cap 289), or the SFA, which prohibit certain forms of market conduct and information disclosures, and impose criminal and civil penalties on corporations, directors and officers in respect of any breach of such provisions. We are also required to comply with the Singapore Code on Take-Overs and Mergers, or the Singapore Takeover Code, which specifies, among other things, certain circumstances in which a general offer is to be made upon a change in effective control, and further specifies the manner and price at which voluntary and mandatory general offers are to be made.</w:t>
      </w:r>
    </w:p>
    <w:p>
      <w:pPr>
        <w:spacing w:after="0" w:line="15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laws of Singapore and of the United States differ in certain significant respects. The rights of our shareholders and the obligations of our directors and officers under Singapore law are different from those applicable to a company incorporated in the State of Delaware in material respects, and our shareholders may have more difficulty and less clarity in protecting their interests in connection with actions taken by our management, members of our board of directors or our controlling shareholders than would otherwise apply to a company incorporated in the State of Delaware. See “Comparison of Shareholder Rights” in this prospectus for a discussion of differences between Singapore and Delaware corporation law.</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addition, the application of Singapore law, in particular, the Companies Act of Singapore (Cap 50), or the Singapore Companies Act, may in certain circumstances impose more restrictions on us and our shareholders, directors and officers than would otherwise be applicable to a company incorporated in the State of Delaware. For example, the Singapore Companies Act requires directors to act with a reasonable degree of diligence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carrying the right of voting in general meetings may require the convening of an extraordinary general meeting of shareholders by our directors. If our directors fail to comply with such request within 21 days of the receipt thereof, shareholders holding more than 50% of the voting rights represented by the original requisitioning shareholders may proceed to convene such meeting, and we will be liable for the reasonable expenses incurred by such requisitioning shareholders. We are also required by the Singapore Companies Act to deduct corresponding amounts from fees or other remuneration payable by us to such non-complying directors.</w:t>
      </w:r>
    </w:p>
    <w:p>
      <w:pPr>
        <w:spacing w:after="0" w:line="4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We are subject to the Singapore Takeover Code, which requires a person acquiring 30% or more of our voting shares to conduct a takeover offer for all of our voting shares. This could have the effect of discouraging, delaying or preventing a merger or acquisition and limit the market price of our ordinary shares.</w:t>
      </w:r>
    </w:p>
    <w:p>
      <w:pPr>
        <w:spacing w:after="0" w:line="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subject to the Singapore Takeover Code. The Singapore Takeover Code contains provisions that may delay, deter or prevent a future takeover or change in control of our company and limit the market price of our ordinary shares for so long as we remain a public company with more than 50 shareholders and net tangible assets of S$5 million or more. For example, under the Singapore Takeover Code, any person acquiring, whether by a series of transactions over a period of time or not, either on his own or together with parties acting in concert with him, 30% or more of our voting shares, or if such person holds, either on his own or together with parties acting in concert with him, between 30% and 50% (both inclusive) of our voting shares, and if he (or parties acting in concert with him) acquires additional voting shares representing more than 1% of our voting shares in any six-month period, must, except with the consent of Securities Industry Council in Singapore, extend a takeover offer for our remaining voting shares in accordance with the Singapore Takeover Code. Therefore, any investor seeking to acquire a significant stake in our company may be deterred from doing so if, as a result, such investor would be required to conduct a takeover offer for all of our voting shares.</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These same provisions could discourage potential investors from acquiring a stake or making a significant investment in our company and may substantially impede the ability of our shareholders to benefit from a change of effective control and, as a result, may adversely affect the market price of our ordinary shares and the ability to realize any benefits from a potential change of control.</w:t>
      </w:r>
    </w:p>
    <w:p>
      <w:pPr>
        <w:spacing w:after="0" w:line="42"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b w:val="1"/>
          <w:bCs w:val="1"/>
          <w:i w:val="1"/>
          <w:iCs w:val="1"/>
          <w:color w:val="auto"/>
        </w:rPr>
        <w:t>For a limited period of time, our directors have general authority to allot and issue new shares on terms and conditions and with any preferences, rights or restrictions as may be determined by our board of directors in its sole discretion.</w:t>
      </w:r>
    </w:p>
    <w:p>
      <w:pPr>
        <w:spacing w:after="0" w:line="234" w:lineRule="auto"/>
        <w:rPr>
          <w:sz w:val="20"/>
          <w:szCs w:val="20"/>
          <w:color w:val="auto"/>
        </w:rPr>
      </w:pPr>
      <w:r>
        <w:rPr>
          <w:rFonts w:ascii="Arial" w:cs="Arial" w:eastAsia="Arial" w:hAnsi="Arial"/>
          <w:sz w:val="17"/>
          <w:szCs w:val="17"/>
          <w:color w:val="auto"/>
        </w:rPr>
        <w:t>Under Singapore law, we may only allot and issue new shares with the prior approval of our shareholders in a general meeting. We expect that prior to the completion of this offering our shareholders will provide our directors with a general authority to allot and issue any number of new shares (whether as ordinary shares or preferred shares) until the earliest of (i) the conclusion of our 2015 annual general meeting of shareholders, (ii) the expiration of the period within which the next annual general meeting is required to be held (i.e., within 15 months from the conclusion of the last general meeting) and (iii) the subsequent revocation or modification of such general authority by our shareholders acting at an extraordinary general meeting duly convened for such purpose. Subject to the general requirements of the Singapore Companies Act and our memorandum and articles of association, the general authority given to our directors by our shareholders to allot and issue shares may be exercised by our directors to allot and issue shares on such terms and conditions as they deem fit to impose. Any additional issuances of new shares by our directors may dilute your interest in our ordinary shares and/or adversely impact the market price of our ordinary shares. See “Description of Share Capital—New Shares.”</w:t>
      </w:r>
    </w:p>
    <w:p>
      <w:pPr>
        <w:spacing w:after="0" w:line="47" w:lineRule="exact"/>
        <w:rPr>
          <w:sz w:val="20"/>
          <w:szCs w:val="20"/>
          <w:color w:val="auto"/>
        </w:rPr>
      </w:pPr>
    </w:p>
    <w:p>
      <w:pPr>
        <w:ind w:right="1140"/>
        <w:spacing w:after="0" w:line="261" w:lineRule="auto"/>
        <w:rPr>
          <w:sz w:val="20"/>
          <w:szCs w:val="20"/>
          <w:color w:val="auto"/>
        </w:rPr>
      </w:pPr>
      <w:r>
        <w:rPr>
          <w:rFonts w:ascii="Arial" w:cs="Arial" w:eastAsia="Arial" w:hAnsi="Arial"/>
          <w:sz w:val="17"/>
          <w:szCs w:val="17"/>
          <w:b w:val="1"/>
          <w:bCs w:val="1"/>
          <w:i w:val="1"/>
          <w:iCs w:val="1"/>
          <w:color w:val="auto"/>
        </w:rPr>
        <w:t>We may be or become a passive foreign investment company, or a PFIC, which could result in adverse U.S. federal income tax consequences to U.S. Holders.</w:t>
      </w:r>
    </w:p>
    <w:p>
      <w:pPr>
        <w:ind w:right="100"/>
        <w:spacing w:after="0" w:line="238" w:lineRule="auto"/>
        <w:rPr>
          <w:sz w:val="20"/>
          <w:szCs w:val="20"/>
          <w:color w:val="auto"/>
        </w:rPr>
      </w:pPr>
      <w:r>
        <w:rPr>
          <w:rFonts w:ascii="Arial" w:cs="Arial" w:eastAsia="Arial" w:hAnsi="Arial"/>
          <w:sz w:val="17"/>
          <w:szCs w:val="17"/>
          <w:color w:val="auto"/>
        </w:rPr>
        <w:t>The rules governing passive foreign investment companies, or PFICs, can have adverse effects for U.S. federal income tax purposes. The tests for determining PFIC status for a taxable year depend upon the relative values of certain categories of assets and the relative amounts of certain kinds of income. The determination of whether we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are a PFIC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relate, in part, to (a) the market price of our ordinary shares and (b) the composition of our income and assets, which will be affected by how, and how quickly, we spend any cash that is raised in any financing transaction, including this offering. Moreover, our ability to earn specific types of income that we currently treat as non-passive for purposes of the PFIC rules is uncertain with respect to future years. Based on the current and anticipated value of our assets and the composition of our income and assets, we do not expect to be treated as a PFIC for our current taxable year ending December 31, 2015; however, there can be no assurance that we will not be considered a PFIC for any taxable year.</w:t>
      </w:r>
    </w:p>
    <w:p>
      <w:pPr>
        <w:spacing w:after="0" w:line="15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we are a PFIC, a U.S. Holder (as defined in the section titled “Material Tax Considerations”)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A U.S. Holder may in certain circumstances mitigate adverse tax consequences of the PFIC rules by filing an election to treat the PFIC as a qualified electing fund, or QEF, or, if shares of the PFIC are “marketable stock” for purposes of the PFIC rules, by making a mark-to-market election with respect to the shares of the PFIC. We do not intend to comply with the reporting requirements necessary to permit U.S. Holders to elect to treat us as a QEF. If a U.S. Holder makes a mark-to-market election with respect to its ordinary shares, the U.S. Holder is required to include annually in its U.S. federal taxable income an amount reflecting any year end increase in the value of its ordinary shares.</w:t>
      </w:r>
    </w:p>
    <w:p>
      <w:pPr>
        <w:spacing w:after="0" w:line="150"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Investors should consult their own tax advisors regarding all aspects of the application of the PFIC rules to the ordinary shares. For more information related to classification as a PFIC and the elections available to a U.S. Holder, see “Material Tax Considerations—Material U.S. Federal Income Tax Considerations—Passive Foreign Investment Company.”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 taxes may differ from the tax laws of other jurisdictions.</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Prospective investors should consult their tax advisers concerning the overall tax consequences of purchasing, owning and disposing of our shares. Singapore tax law may differ from the tax laws of other jurisdictions, including the United States. See “Material Tax Considerations—Material Singapore Tax Considerations.”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unanticipated tax liabilities.</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are incorporated under the laws of Singapore. We may, however, become subject to income, withholding or other taxes in certain jurisdictions by reason of our activities and operations, and it is also possible that taxing authorities in any such jurisdictions could assert that we are subject to greater taxation than we currently anticipate. Any such non-Singaporean tax liability could materially adversely affect our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Taxing authorities could reallocate our taxable income among our subsidiaries, which could increase our overall tax liability.</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are organized in Singapore, and we currently have a subsidiary in the United States and Japan.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are revising our transfer pricing policies to come into compliance with applicable transfer pricing laws, we may not amend returns for prior years, and even our new transfer pricing procedures are not binding on applicable tax authorities.</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Ordinary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ordinary shares.</w:t>
      </w:r>
    </w:p>
    <w:p>
      <w:pPr>
        <w:spacing w:after="0" w:line="4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If you purchase ordinary shares in this offering, you will incur an immediate and substantial dilution of $ per share after giving effect to the sale by us of ordinary shares offered in this offering, based an assumed public offering price of $ per share, which is the midpoint of the price range</w:t>
      </w:r>
    </w:p>
    <w:p>
      <w:pPr>
        <w:ind w:right="120"/>
        <w:spacing w:after="0" w:line="236" w:lineRule="auto"/>
        <w:rPr>
          <w:sz w:val="20"/>
          <w:szCs w:val="20"/>
          <w:color w:val="auto"/>
        </w:rPr>
      </w:pPr>
      <w:r>
        <w:rPr>
          <w:rFonts w:ascii="Arial" w:cs="Arial" w:eastAsia="Arial" w:hAnsi="Arial"/>
          <w:sz w:val="17"/>
          <w:szCs w:val="17"/>
          <w:color w:val="auto"/>
        </w:rPr>
        <w:t>set forth on the cover page of this prospectus, and after deducting underwriting discounts and commissions for shares sold in the public offering and estimated offering expenses payable by us. See “Dilution.” In the past, we have issued options to acquire ordinary shares at prices significantly below this offering price. To the extent these outstanding options are ultimately exercised, you will incur additional dilution. Furthermore, if the underwriters exercise their option to purchase additional ordinary shares, you will also incur additional dilution.</w:t>
      </w:r>
    </w:p>
    <w:p>
      <w:pPr>
        <w:spacing w:after="0" w:line="4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No public market for our ordinary shares currently exists, and we do not know whether a market will develop or what the market price of our ordinary shares will be. As a result, it may be difficult for you to sell your ordinary shares.</w:t>
      </w:r>
    </w:p>
    <w:p>
      <w:pPr>
        <w:ind w:right="60"/>
        <w:spacing w:after="0" w:line="234" w:lineRule="auto"/>
        <w:rPr>
          <w:sz w:val="20"/>
          <w:szCs w:val="20"/>
          <w:color w:val="auto"/>
        </w:rPr>
      </w:pPr>
      <w:r>
        <w:rPr>
          <w:rFonts w:ascii="Arial" w:cs="Arial" w:eastAsia="Arial" w:hAnsi="Arial"/>
          <w:sz w:val="17"/>
          <w:szCs w:val="17"/>
          <w:color w:val="auto"/>
        </w:rPr>
        <w:t>Prior to this offering, there has been no public market for our ordinary shares. Although we intend to apply to list our ordinary shares on the NASDAQ Global Market, an active trading market for our shares may never develop or be sustained following this offering. If an active market for our ordinary shares does not develop, it may be difficult for you to sell shares you purchase in this offering without depressing the market price for the shares, or at all. The initial public offering price for our ordinary shares will be determined through negotiations with the underwriters and the negotiated price may not be indicative of the market price of our ordinary shares after this offering. As a result of these and other factors, you may not be able to sell your ordinary shares at or above the initial public offering price, or at all. Further, an inactive market may also impair our ability to raise capital by selling our ordinary shares and may impair our ability to enter into strategic partnerships or acquire companies or products by using our ordinary shares as consideration.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ordinary shares is likely to be highly volatile, and you may lose some or all of your investment.</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market price of our ordinary shares following this offering is likely to be highly volatile, including in response to factors that are beyond our control. The stock market in general has recently experienced extreme price and volume fluctuations. In particular, the market prices of securities of pharmaceutical and biotechnology companies have been extremely volatile, and have experienced fluctuations that often have been unrelated or disproportionate to the operating performance of these companies. These broad market fluctuations could result in extreme fluctuations in the price of our ordinary shares, regardless of our operating performance. The market price of our ordinary shares may decline below the initial public offering price, and you may lose some or all of your investment.</w:t>
      </w:r>
    </w:p>
    <w:p>
      <w:pPr>
        <w:spacing w:after="0" w:line="4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233"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We will be subject to the reporting and other requirements of the Securities Exchange Act of 1934, as amended, or the Exchange Act, the Sarbanes-Oxley Act of 2002, or the Sarbanes-Oxley Act, and the Dodd-Frank Wall Street Reform and Protection Act, as well as rules subsequently adopted by the SEC and the NASDAQ Stock Market. These rules and regulations will require, among other things, that we file annual, quarterly and current reports with respect to our business and financial condition and establish and maintain effective disclosure and financial controls and corporate governance practices. We expect these rules and regulations to substantially increase our legal and financial compliance costs and to make some activities more time-consuming and costly, particularly after we are no longer an “emerging growth company,” as defined in the recently enacted Jumpstart Our Business Startups Act of 2012, or the JOBS Act. Our management and other personnel will need to devote a substantial amount of time to these compliance initiatives. For example, we expect that these rules and regulations may make it more difficult and more expensive for us to obtain director and officer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i w:val="1"/>
          <w:iCs w:val="1"/>
          <w:color w:val="auto"/>
        </w:rPr>
        <w:t>We may take advantage of specified reduced disclosure requirements applicable to an “emerging growth company” under the JOBS Act, and the information that we provide to shareholders may be different than they might receive from other public companies.</w:t>
      </w:r>
    </w:p>
    <w:p>
      <w:pPr>
        <w:spacing w:after="0" w:line="2"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We are an “emerging growth company,” as defined under the JOBS Act. As an emerging growth company, we may take advantage of specified reduced disclosure and other requirements that are otherwise applicable generally to public companies. These provisions include:</w:t>
      </w:r>
    </w:p>
    <w:p>
      <w:pPr>
        <w:spacing w:after="0" w:line="185" w:lineRule="exact"/>
        <w:rPr>
          <w:sz w:val="20"/>
          <w:szCs w:val="20"/>
          <w:color w:val="auto"/>
        </w:rPr>
      </w:pPr>
    </w:p>
    <w:p>
      <w:pPr>
        <w:ind w:left="800" w:right="580" w:hanging="454"/>
        <w:spacing w:after="0" w:line="243"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 non-binding advisory votes on executive compensation or golden parachute arrangements.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in the assessment of our internal control over financial reporting.</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intend to take advantage of certain of the exemptions provided under the JOBS Act. We may continue to take advantage of exemptions under the JOBS Act for up to five years or such earlier time that we are no longer an emerging growth company. We would cease to be an emerging growth company if we have more than $1 billion in annual revenues, we have more than $700 million in market value of our shares held by non-affiliates, or we issue more than $1 billion of non-convertible debt over a three-year period. We may choose to take advantage of some but not all of these reduced burdens. We have taken advantage of these reduced reporting burdens in this prospectus, and may continue to do so in future filings. Therefore, the information that we provide shareholders may be different than you might get from other public companies in which you hold stock. Further, if some investors find our ordinary shares less attractive as result, there may be a less active trading market for our ordinary shares and the market price of our ordinary shares may be more volatile.</w:t>
      </w:r>
    </w:p>
    <w:p>
      <w:pPr>
        <w:spacing w:after="0" w:line="35"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net proceeds from this offering, you may not agree with how we use the proceeds and the proceeds may not be used effectively.</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management will have broad discretion as to the use of the net proceeds from any offering by us and could use them for purposes other than those contemplated at the time of this offering. Accordingly, you may be relying on the judgment of our management with regard to the use of these net proceeds, and you will not have the opportunity, as part of your investment decision, to assess whether the proceeds are being used appropriately. It is possible that the proceeds will be invested in a way that does not yield a favorable, or any, return for our company.</w:t>
      </w:r>
    </w:p>
    <w:p>
      <w:pPr>
        <w:spacing w:after="0" w:line="35"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Prior to this offering, we were a private company and had limited accounting and financial reporting personnel and other resources with which to address our internal controls and procedures. In connection with the audit of our consolidated financial statements for the years ended December 31, 2013 and 2014, we and our independent registered public accounting firm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lack of adequate accounting personnel has resulted in the identification of a material weakness in our internal controls over financial reporting. Specifically, we did not appropriately design and implement controls over the review and approval of manual journal entries and the related supporting journal entry calculations.</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To address this material weakness, we plan to hire additional accounting personnel and implement management review controls. While we intend to implement a plan to remediate this material weakness, we cannot predict the success of such plan or the outcome of our assessment of these plans at this time. We can give no assurance that this implementation will remediate this deficiency in internal control or that additional material weaknesses or significant deficiencies in our internal control over financial reporting will not be identified in the future. Our failure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to implement and maintain effective internal control over financial reporting could result in errors in our financial statements that could result in a restatement of our financial statements, cause us to fail to meet our reporting obligations.</w:t>
      </w:r>
    </w:p>
    <w:p>
      <w:pPr>
        <w:spacing w:after="0" w:line="43" w:lineRule="exact"/>
        <w:rPr>
          <w:sz w:val="20"/>
          <w:szCs w:val="20"/>
          <w:color w:val="auto"/>
        </w:rPr>
      </w:pPr>
    </w:p>
    <w:p>
      <w:pPr>
        <w:jc w:val="both"/>
        <w:ind w:right="80"/>
        <w:spacing w:after="0" w:line="250" w:lineRule="auto"/>
        <w:rPr>
          <w:sz w:val="20"/>
          <w:szCs w:val="20"/>
          <w:color w:val="auto"/>
        </w:rPr>
      </w:pPr>
      <w:r>
        <w:rPr>
          <w:rFonts w:ascii="Arial" w:cs="Arial" w:eastAsia="Arial" w:hAnsi="Arial"/>
          <w:sz w:val="17"/>
          <w:szCs w:val="17"/>
          <w:b w:val="1"/>
          <w:bCs w:val="1"/>
          <w:i w:val="1"/>
          <w:iCs w:val="1"/>
          <w:color w:val="auto"/>
        </w:rPr>
        <w:t>As a result of becoming a public company, we will be obligated to develop and maintain proper and effective internal controls over financial reporting and any failure to maintain the adequacy of these internal controls may adversely affect investor confidence in our company and, as a result, the value of our ordinary shares.</w:t>
      </w:r>
    </w:p>
    <w:p>
      <w:pPr>
        <w:spacing w:after="0" w:line="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will be required, pursuant to Section 404 of the Sarbanes-Oxley Act, or Section 404, to furnish a report by management on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At such time as we are required to obtain auditor attestation, if we then have a material weakness, we would receive an adverse opinion regarding our internal control over financial reporting from our independent registered accounting firm.</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are beginning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During our evaluation of our internal control,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ordinary shares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4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233" w:lineRule="auto"/>
        <w:rPr>
          <w:sz w:val="20"/>
          <w:szCs w:val="20"/>
          <w:color w:val="auto"/>
        </w:rPr>
      </w:pPr>
      <w:r>
        <w:rPr>
          <w:rFonts w:ascii="Arial" w:cs="Arial" w:eastAsia="Arial" w:hAnsi="Arial"/>
          <w:sz w:val="17"/>
          <w:szCs w:val="17"/>
          <w:color w:val="auto"/>
        </w:rPr>
        <w:t>Based on the beneficial ownership of our ordinary shares as of June 30, 2015, after this offering, our executive officers and directors, together with holders of 5% or more of our outstanding ordinary shares before this offering (assuming the conversion of all of our outstanding preferred shares into ordinary shares) and their respective affiliates, will beneficially own approximately % of our outstanding ordinary shares (assuming no exercise of the underwriters’ option to purchase additional ordinary shares). After giving effect to purchases by certain of our existing shareholders, including certain affiliates of our directors, in this offering, our directors, executive officers and principal shareholders, together with their affiliates, will beneficially own, in the aggregate, approximately % of our outstanding ordinary shares, or % of our outstanding ordinary shares if the underwriters exercise their option to purchase additional ordinary shares in full, upon the completion of this offering, based on our ordinary shares outstanding as of June 30, 2015. As a result, these shareholders, if acting together, will continue to have significant influence over the outcome of corporate actions requiring shareholder approval, including the election of directors, any merger, consolidation or sale of all or substantially all of our assets and any other significant corporate transaction. The interests of these shareholders may not be the same as or may even conflict with your interests. For example, these shareholders could delay or prevent a change of control of our company, even if such a change of control would benefit our other shareholders, which could deprive shareholders of an opportunity to receive a</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premium for their ordinary shares as part of a sale of our company or our assets and might affect the prevailing market price of our ordinary shares. The significant concentration of share ownership may adversely affect the trading price of our ordinary shares due to investors’ perception that conflicts of interest may exist or arise.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anticipate paying any cash dividends on our ordinary shares in the foreseeable future.</w:t>
      </w:r>
    </w:p>
    <w:p>
      <w:pPr>
        <w:spacing w:after="0" w:line="41"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 As a result, capital appreciation, if any, of our ordinary shares will be your sole source of gain for the foreseeable future.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costs from class action litigation due to share volatility.</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pharmaceutical and biotechnology companies. Holders of stock which has experienced significant price and trading volatility have occasionally brought securities class action litigation against the companies that issued the stocks. If any of our shareholders were to bring a lawsuit of this type against us, even if the lawsuit is without merit, we could incur substantial costs defending the lawsuit. The lawsuit could also divert the time and attention of our management, which could harm our business.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additional ordinary shares could cause the price of our ordinary shares to decline.</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Sales of substantial amounts of our ordinary shares in the public market, or the availability of such shares for sale, by us or others, including the issuance of ordinary shares upon exercise of outstanding options, could adversely affect the price of our ordinary shares. In connection with this offering, we, our directors and officers and certain of our existing shareholders have entered into lock-up agreements for a period of 180 days following this offering. We, our directors, officers or our shareholders may be released from lock-up prior to the expiration of the lock-up period at the sole discretion of Jefferies LLC and Leerink Partners LLC. See “Underwriting.” Upon expiration or earlier release of the lock-up, we, our directors, officers or our shareholders may sell shares into the market, which could adversely affect the market price of our ordinary shares.</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After this offering, certain of our shareholders will have the right to require us to register the sales of their shares under the Securities Act of 1933, as amended, under agreements between us and such shareholders. See “Description of Share Capital—Registration Rights” for a more detailed description of these rights.</w:t>
      </w:r>
    </w:p>
    <w:p>
      <w:pPr>
        <w:spacing w:after="0" w:line="4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ind w:right="160"/>
        <w:spacing w:after="0" w:line="235" w:lineRule="auto"/>
        <w:rPr>
          <w:sz w:val="20"/>
          <w:szCs w:val="20"/>
          <w:color w:val="auto"/>
        </w:rPr>
      </w:pPr>
      <w:r>
        <w:rPr>
          <w:rFonts w:ascii="Arial" w:cs="Arial" w:eastAsia="Arial" w:hAnsi="Arial"/>
          <w:sz w:val="17"/>
          <w:szCs w:val="17"/>
          <w:color w:val="auto"/>
        </w:rPr>
        <w:t>The trading market for our ordinary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ordinary shares would likely be negatively impacted. In the event securities or industry analysts initiate coverage, if one or more of the analysts who cover us downgrade our ordinary shares or publish inaccurate or unfavorable research about our business, our share price would likely decline. If one or more of these analysts cease coverage of our company or fail to publish reports on us regularly, demand for our ordinary shares could decrease, which might cause our share price and trading volume to decline.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ENFORCEMENT OF CIVIL LIABILITIES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 UNITED STATES FEDERAL SECURITIES LAWS</w:t>
      </w:r>
    </w:p>
    <w:p>
      <w:pPr>
        <w:spacing w:after="0" w:line="31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are incorporated under the laws of the Republic of Singapore, and certain of our officers and directors are residents outside the United States. Moreover, a majority of our consolidated assets are located outside the United States. Although we are incorporated outside the United States, we have agreed to accept service of process in the United States through our agent designated for that purpose. Nevertheless, since a majority of the consolidated assets owned by us are located outside the United States, any judgment obtained in the United States against us may not be collectible within the United States. 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It is not clear whether a Singapore court may impose civil liability on us or our directors and officers who reside in Singapore in a suit brought in the Singapore courts against us or such persons with respect to a violation solely of the federal securities laws of the United States. In making a determination as to enforceability of a foreign judgment, the Singapore courts would have regard to whether the judgment was final and conclusive, given by a court of competent jurisdiction, and was expressed to be for a fixed sum of money. In general, a foreign judgment would be enforceable in Singapore unless procured by fraud, or the proceedings in which such judgments were obtained were not conducted in accordance with principles of natural justice, or the enforcement thereof would be contrary to public policy,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5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Accordingly, there can be no assurance that the Singapore courts would enforce against us, our directors or our officers resident in Singapore judgments obtained in the United States which are predicated upon the civil liability provisions of the federal securities laws of the United States. In addition, holders of book-entry interests in our shares will be required to exchange such interests for certificated shares and to be registered as shareholders in our shareholder register in order to have standing to bring a shareholder suit and, if successful, to enforce a foreign judgment against us, our directors or our executive officers in the Singapore courts.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 holder of book-entry interests in our shares may become a registered shareholder of our company by exchanging such holder’s interest in our shares for certificated shares and being registered in our shareholder register. The administrative process of becoming a registered shareholder could result in delays prejudicial to any legal proceeding or enforcement action.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and “Business,” but are also contained elsewhere in this prospectus. In some cases, you can identify forward-looking statements by the words “anticipate,” “believe,” “continue,” “could,” “estimate,” “expect,” “future,” “goals,” “intend,” “likely,” “may,” “might,” “ongoing,” “objective,” “plan,” “potential,” “predict,” “project,” “seek,” “should,” “strategy,”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statements about:</w:t>
      </w:r>
    </w:p>
    <w:p>
      <w:pPr>
        <w:spacing w:after="0" w:line="187" w:lineRule="exact"/>
        <w:rPr>
          <w:sz w:val="20"/>
          <w:szCs w:val="20"/>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fund our working capital requirements;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success, cost and timing of our product development activities and future clinical trials;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any of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identify and develop new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use of proceeds from this offering;</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develop sales and marketing capabilities;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estimates regarding future expenses and needs for additional financing;</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identify, recruit and retain key personnel;</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financial performance;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in the industry.</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You should refer to the “Risk Factors” section of this prospectus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of 1933, as amended, do not protect any forward-looking statements that we make in connection with this offering.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INDUSTRY AND MARKET DATA</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Certain industry data and market data included in this prospectus were obtained from independent third-party surveys, market research, publicly available information, reports of governmental agencies and industry publications and surveys. All of management’s estimates presented herein are based upon management’s review of independent third-party surveys and industry publications prepared by a number of sources and other publicly available information. All of the market data used in this prospectus involves a number of assumptions and limitations, and you are cautioned not to give undue weight to such estimates. We believe that the information from these industry publications and surveys that is included in this prospectus is reliable.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330" w:lineRule="exact"/>
        <w:rPr>
          <w:sz w:val="20"/>
          <w:szCs w:val="20"/>
          <w:color w:val="auto"/>
        </w:rPr>
      </w:pPr>
    </w:p>
    <w:p>
      <w:pPr>
        <w:spacing w:after="0"/>
        <w:tabs>
          <w:tab w:leader="none" w:pos="4280" w:val="left"/>
        </w:tabs>
        <w:rPr>
          <w:sz w:val="20"/>
          <w:szCs w:val="20"/>
          <w:color w:val="auto"/>
        </w:rPr>
      </w:pPr>
      <w:r>
        <w:rPr>
          <w:rFonts w:ascii="Arial" w:cs="Arial" w:eastAsia="Arial" w:hAnsi="Arial"/>
          <w:sz w:val="17"/>
          <w:szCs w:val="17"/>
          <w:color w:val="auto"/>
        </w:rPr>
        <w:t>We estimate that we will receive approximately $</w:t>
      </w:r>
      <w:r>
        <w:rPr>
          <w:sz w:val="20"/>
          <w:szCs w:val="20"/>
          <w:color w:val="auto"/>
        </w:rPr>
        <w:tab/>
      </w:r>
      <w:r>
        <w:rPr>
          <w:rFonts w:ascii="Arial" w:cs="Arial" w:eastAsia="Arial" w:hAnsi="Arial"/>
          <w:sz w:val="17"/>
          <w:szCs w:val="17"/>
          <w:color w:val="auto"/>
        </w:rPr>
        <w:t>million in net proceeds from the sale of our ordinary shares in this offering, or approximately</w:t>
      </w:r>
    </w:p>
    <w:p>
      <w:pPr>
        <w:ind w:left="720" w:hanging="712"/>
        <w:spacing w:after="0" w:line="232"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million if the underwriters exercise their option to purchase additional ordinary shares in full, based upon the assumed initial public offering</w:t>
      </w:r>
    </w:p>
    <w:p>
      <w:pPr>
        <w:ind w:right="240"/>
        <w:spacing w:after="0" w:line="232" w:lineRule="auto"/>
        <w:rPr>
          <w:sz w:val="20"/>
          <w:szCs w:val="20"/>
          <w:color w:val="auto"/>
        </w:rPr>
      </w:pPr>
      <w:r>
        <w:rPr>
          <w:rFonts w:ascii="Arial" w:cs="Arial" w:eastAsia="Arial" w:hAnsi="Arial"/>
          <w:sz w:val="17"/>
          <w:szCs w:val="17"/>
          <w:color w:val="auto"/>
        </w:rPr>
        <w:t>price of $ per share, the midpoint of the range set forth on the cover page of this prospectus, and after deducting underwriting discounts and commissions and estimated offering expenses payable by us. Each $1.00 increase (decrease) in the assumed initial public offering price of $</w:t>
      </w:r>
    </w:p>
    <w:p>
      <w:pPr>
        <w:spacing w:after="0" w:line="232" w:lineRule="auto"/>
        <w:rPr>
          <w:sz w:val="20"/>
          <w:szCs w:val="20"/>
          <w:color w:val="auto"/>
        </w:rPr>
      </w:pPr>
      <w:r>
        <w:rPr>
          <w:rFonts w:ascii="Arial" w:cs="Arial" w:eastAsia="Arial" w:hAnsi="Arial"/>
          <w:sz w:val="17"/>
          <w:szCs w:val="17"/>
          <w:color w:val="auto"/>
        </w:rPr>
        <w:t>per share, the midpoint of the price range set forth on the cover page of this prospectus, would increase (decrease) the net proceeds to us from this</w:t>
      </w:r>
    </w:p>
    <w:p>
      <w:pPr>
        <w:ind w:right="100"/>
        <w:spacing w:after="0" w:line="309" w:lineRule="auto"/>
        <w:rPr>
          <w:sz w:val="20"/>
          <w:szCs w:val="20"/>
          <w:color w:val="auto"/>
        </w:rPr>
      </w:pPr>
      <w:r>
        <w:rPr>
          <w:rFonts w:ascii="Arial" w:cs="Arial" w:eastAsia="Arial" w:hAnsi="Arial"/>
          <w:sz w:val="17"/>
          <w:szCs w:val="17"/>
          <w:color w:val="auto"/>
        </w:rPr>
        <w:t>offering by approximately $ million, or approximately $ million if the underwriters exercise their option to purchase additional ordinary shares in full, assuming that the number of shares offered by us remains the same and after deducting underwriting discounts and commissions. Similarly, each increase (decrease) of 1,000,000 shares in the number of shares offered by us would increase (decrease) the net proceeds to us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this offering by approximately $ million, assuming the assumed initial public offering price remains the same and after deducting underwriting discounts and commissions.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currently anticipate that we will use the net proceeds from this offering as follows:</w:t>
      </w:r>
    </w:p>
    <w:p>
      <w:pPr>
        <w:spacing w:after="0" w:line="196" w:lineRule="exact"/>
        <w:rPr>
          <w:sz w:val="20"/>
          <w:szCs w:val="20"/>
          <w:color w:val="auto"/>
        </w:rPr>
      </w:pPr>
    </w:p>
    <w:p>
      <w:pPr>
        <w:ind w:left="800" w:hanging="454"/>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approximately $million to fund our ongoing HD HTT SNP-1 program, including to select a lead product candidate in such program;</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approximately $million to fund our ongoing HD HTT SNP-2 program, including to select a lead product candidate in such program;</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approximately $million to fund our ongoing DMD Exon 51 program, including to select a lead product candidate in such program;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approximately $million to fund our ongoing IBD SMAD7 program, including to select a lead product candidate in such program.</w:t>
      </w:r>
    </w:p>
    <w:p>
      <w:pPr>
        <w:spacing w:after="0" w:line="16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remainder of the net proceeds will be used to advance our discovery programs, to expand our pipeline further, for working capital and for other general corporate purposes. We may also use a portion of the net proceeds to acquire, license and invest in complementary products, technologies or businesses; however, we currently have no agreements or commitments to do so.</w:t>
      </w:r>
    </w:p>
    <w:p>
      <w:pPr>
        <w:spacing w:after="0" w:line="148"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As of the date of this prospectus, we cannot specify with certainty all of the particular uses for the net proceeds to be received upon the completion of this offering. The amount and timing of our actual expenditures may vary significantly depending upon numerous factors, including those described in the “Risk Factors” section of this prospectus. We may find it necessary or advisable to use the net proceeds for other purposes, and our management will retain broad discretion in the allocation of our net proceeds from this offering.</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activities, feedback from regulatory authorities, the status of and results from clinical trials, as well as any collaborations that we may enter into with third parties for our current and future product candidates, and any unforeseen cash needs. As a result, our management will retain broad discretion over the allocation of the net proceeds from this offering.</w:t>
      </w:r>
    </w:p>
    <w:p>
      <w:pPr>
        <w:spacing w:after="0" w:line="150"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As of June 30, 2015, we had cash of $7.8 million. We believe that the net proceeds from this offering, together with the approximately $62.5 million in net proceeds raised from the sale and issuance of our Series B preferred shares in August 2015, and our cash and related interest we earn on these balances, will be sufficient to meet our anticipated cash requirements through at least 2017. We will need to raise substantial additional funds before we can expect to commercialize any products. We may satisfy our future cash needs through the sale of equity securities, debt financings, working capital lines of credit, corporate collaborations or license agreements, grant funding, through interest income earned on cash balances or a combination of one or more of these sources.</w:t>
      </w:r>
    </w:p>
    <w:p>
      <w:pPr>
        <w:spacing w:after="0" w:line="148" w:lineRule="exact"/>
        <w:rPr>
          <w:sz w:val="20"/>
          <w:szCs w:val="20"/>
          <w:color w:val="auto"/>
        </w:rPr>
      </w:pPr>
    </w:p>
    <w:p>
      <w:pPr>
        <w:ind w:right="860"/>
        <w:spacing w:after="0" w:line="243" w:lineRule="auto"/>
        <w:rPr>
          <w:sz w:val="20"/>
          <w:szCs w:val="20"/>
          <w:color w:val="auto"/>
        </w:rPr>
      </w:pPr>
      <w:r>
        <w:rPr>
          <w:rFonts w:ascii="Arial" w:cs="Arial" w:eastAsia="Arial" w:hAnsi="Arial"/>
          <w:sz w:val="17"/>
          <w:szCs w:val="17"/>
          <w:color w:val="auto"/>
        </w:rPr>
        <w:t>Pending use of our net proceeds from this offering, we plan to invest the proceeds in a variety of capital preservation investments, including investment-grade, interest-bearing instruments. We cannot predict whether the net proceeds will yield a favorable return.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never declared or paid any dividends on our ordinary shares. We currently anticipate that we will retain any future earnings for the operation and expansion of our business. Accordingly, we do not currently anticipate declaring or paying any cash dividends on our ordinary shares for the foreseeable future. Any future determination relating to our dividend policy will be made at the discretion of our board of directors and will depend on then existing conditions, including our financial condition, results of operations, contractual restrictions (including in the agreements governing our credit facilities), capital requirements, business prospects and other factors our board of directors may deem relevant. We may, by ordinary resolution, declare dividends at a general meeting of shareholders, but we are restricted from paying dividends in excess of the amount recommended by our board of directors. In addition, pursuant to Singapore law and our articles of association, no dividends may be paid except out of our profits.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reflects our cash and capitalization as of June 30, 2015:</w:t>
      </w:r>
    </w:p>
    <w:p>
      <w:pPr>
        <w:spacing w:after="0" w:line="196" w:lineRule="exact"/>
        <w:rPr>
          <w:sz w:val="20"/>
          <w:szCs w:val="20"/>
          <w:color w:val="auto"/>
        </w:rPr>
      </w:pPr>
    </w:p>
    <w:p>
      <w:pPr>
        <w:ind w:left="800" w:hanging="45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47" w:lineRule="exact"/>
        <w:rPr>
          <w:rFonts w:ascii="Arial" w:cs="Arial" w:eastAsia="Arial" w:hAnsi="Arial"/>
          <w:sz w:val="17"/>
          <w:szCs w:val="17"/>
          <w:color w:val="auto"/>
        </w:rPr>
      </w:pPr>
    </w:p>
    <w:p>
      <w:pPr>
        <w:ind w:left="800" w:right="40" w:hanging="454"/>
        <w:spacing w:after="0" w:line="236"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 pro forma basis to reflect (i) the sale by us of 1,320,000 Series B preferred shares in August 2015 for net proceeds of approximately $62.5 million; (ii) the conversion of all Series B preferred shares outstanding as of August 15, 2015 into an aggregate of 1,320,000 ordinary shares prior to the closing of this offering; and (iii) the effectiveness of our amended and restated memorandum and articles of association in connection with the closing of this offering; and</w:t>
      </w:r>
    </w:p>
    <w:p>
      <w:pPr>
        <w:sectPr>
          <w:pgSz w:w="11900" w:h="16838" w:orient="portrait"/>
          <w:cols w:equalWidth="0" w:num="1">
            <w:col w:w="11420"/>
          </w:cols>
          <w:pgMar w:left="240" w:top="459" w:right="239" w:bottom="1440" w:gutter="0" w:footer="0" w:header="0"/>
        </w:sectPr>
      </w:pP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on a pro forma basis, as adjusted to further reflect the sale of ordinary shares in this offering at an assumed initial public offering price of $ per share, the midpoint of the price range set forth on the cover page of this prospectus, after deducting underwriting discounts and commissions and estimated offering expenses payable by us.</w:t>
      </w:r>
    </w:p>
    <w:p>
      <w:pPr>
        <w:spacing w:after="0" w:line="148" w:lineRule="exact"/>
        <w:rPr>
          <w:sz w:val="20"/>
          <w:szCs w:val="20"/>
          <w:color w:val="auto"/>
        </w:rPr>
      </w:pPr>
    </w:p>
    <w:p>
      <w:pPr>
        <w:sectPr>
          <w:pgSz w:w="11900" w:h="16838" w:orient="portrait"/>
          <w:cols w:equalWidth="0" w:num="2">
            <w:col w:w="440" w:space="360"/>
            <w:col w:w="10620"/>
          </w:cols>
          <w:pgMar w:left="240" w:top="459" w:right="239" w:bottom="1440" w:gutter="0" w:footer="0" w:header="0"/>
          <w:type w:val="continuous"/>
        </w:sectPr>
      </w:pPr>
    </w:p>
    <w:p>
      <w:pPr>
        <w:ind w:right="160"/>
        <w:spacing w:after="0" w:line="236" w:lineRule="auto"/>
        <w:rPr>
          <w:sz w:val="20"/>
          <w:szCs w:val="20"/>
          <w:color w:val="auto"/>
        </w:rPr>
      </w:pPr>
      <w:r>
        <w:rPr>
          <w:rFonts w:ascii="Arial" w:cs="Arial" w:eastAsia="Arial" w:hAnsi="Arial"/>
          <w:sz w:val="17"/>
          <w:szCs w:val="17"/>
          <w:color w:val="auto"/>
        </w:rPr>
        <w:t>The following information is illustrative only of our capitalization following the closing of this offering and will change based on the actual initial public offering price and other terms of this offering determined at pricing. You should read this table together with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June 30, 2015</w:t>
            </w: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60"/>
              <w:spacing w:after="0" w:line="143" w:lineRule="exact"/>
              <w:rPr>
                <w:sz w:val="20"/>
                <w:szCs w:val="20"/>
                <w:color w:val="auto"/>
              </w:rPr>
            </w:pPr>
            <w:r>
              <w:rPr>
                <w:rFonts w:ascii="Arial" w:cs="Arial" w:eastAsia="Arial" w:hAnsi="Arial"/>
                <w:sz w:val="14"/>
                <w:szCs w:val="14"/>
                <w:b w:val="1"/>
                <w:bCs w:val="1"/>
                <w:color w:val="auto"/>
              </w:rPr>
              <w:t>Pro</w:t>
            </w:r>
          </w:p>
        </w:tc>
        <w:tc>
          <w:tcPr>
            <w:tcW w:w="8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Forma</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(unaudited)</w:t>
            </w: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7"/>
          </w:tcPr>
          <w:p>
            <w:pPr>
              <w:jc w:val="center"/>
              <w:ind w:left="97"/>
              <w:spacing w:after="0"/>
              <w:rPr>
                <w:sz w:val="20"/>
                <w:szCs w:val="20"/>
                <w:color w:val="auto"/>
              </w:rPr>
            </w:pPr>
            <w:r>
              <w:rPr>
                <w:rFonts w:ascii="Arial" w:cs="Arial" w:eastAsia="Arial" w:hAnsi="Arial"/>
                <w:sz w:val="14"/>
                <w:szCs w:val="14"/>
                <w:b w:val="1"/>
                <w:bCs w:val="1"/>
                <w:color w:val="auto"/>
              </w:rPr>
              <w:t>(in thousands, except share data)</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w:t>
            </w:r>
          </w:p>
        </w:tc>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7,779</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70,279</w:t>
            </w:r>
          </w:p>
        </w:tc>
        <w:tc>
          <w:tcPr>
            <w:tcW w:w="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7"/>
                <w:szCs w:val="17"/>
                <w:color w:val="auto"/>
              </w:rPr>
              <w:t>Shareholders’ equity:</w:t>
            </w: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80" w:type="dxa"/>
            <w:vAlign w:val="bottom"/>
            <w:gridSpan w:val="2"/>
            <w:vMerge w:val="continue"/>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gridSpan w:val="2"/>
            <w:shd w:val="clear" w:color="auto" w:fill="CCEEFF"/>
          </w:tcPr>
          <w:p>
            <w:pPr>
              <w:ind w:left="240"/>
              <w:spacing w:after="0" w:line="183" w:lineRule="exact"/>
              <w:rPr>
                <w:sz w:val="20"/>
                <w:szCs w:val="20"/>
                <w:color w:val="auto"/>
              </w:rPr>
            </w:pPr>
            <w:r>
              <w:rPr>
                <w:rFonts w:ascii="Arial" w:cs="Arial" w:eastAsia="Arial" w:hAnsi="Arial"/>
                <w:sz w:val="17"/>
                <w:szCs w:val="17"/>
                <w:color w:val="auto"/>
              </w:rPr>
              <w:t>Series B preferred shares, no par value, no shares issued and outstanding actual, pro forma and</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outstanding pro forma as adjusted</w:t>
            </w:r>
          </w:p>
        </w:tc>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gridSpan w:val="2"/>
          </w:tcPr>
          <w:p>
            <w:pPr>
              <w:ind w:left="240"/>
              <w:spacing w:after="0" w:line="183" w:lineRule="exact"/>
              <w:rPr>
                <w:sz w:val="20"/>
                <w:szCs w:val="20"/>
                <w:color w:val="auto"/>
              </w:rPr>
            </w:pPr>
            <w:r>
              <w:rPr>
                <w:rFonts w:ascii="Arial" w:cs="Arial" w:eastAsia="Arial" w:hAnsi="Arial"/>
                <w:sz w:val="17"/>
                <w:szCs w:val="17"/>
                <w:color w:val="auto"/>
              </w:rPr>
              <w:t>Series A preferred shares, no par value, 965,300 shares issued and outstanding actual, pro forma</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Pr>
          <w:p>
            <w:pPr>
              <w:ind w:left="500"/>
              <w:spacing w:after="0"/>
              <w:rPr>
                <w:sz w:val="20"/>
                <w:szCs w:val="20"/>
                <w:color w:val="auto"/>
              </w:rPr>
            </w:pPr>
            <w:r>
              <w:rPr>
                <w:rFonts w:ascii="Arial" w:cs="Arial" w:eastAsia="Arial" w:hAnsi="Arial"/>
                <w:sz w:val="17"/>
                <w:szCs w:val="17"/>
                <w:color w:val="auto"/>
              </w:rPr>
              <w:t>and pro forma as adjusted</w:t>
            </w: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7,874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7,874</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gridSpan w:val="2"/>
            <w:shd w:val="clear" w:color="auto" w:fill="CCEEFF"/>
          </w:tcPr>
          <w:p>
            <w:pPr>
              <w:ind w:left="240"/>
              <w:spacing w:after="0" w:line="183" w:lineRule="exact"/>
              <w:rPr>
                <w:sz w:val="20"/>
                <w:szCs w:val="20"/>
                <w:color w:val="auto"/>
              </w:rPr>
            </w:pPr>
            <w:r>
              <w:rPr>
                <w:rFonts w:ascii="Arial" w:cs="Arial" w:eastAsia="Arial" w:hAnsi="Arial"/>
                <w:sz w:val="17"/>
                <w:szCs w:val="17"/>
                <w:color w:val="auto"/>
              </w:rPr>
              <w:t>Ordinary shares, no par value, 2,282,123 shares issued and outstanding actual, 3,602,123 shares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issued and outstanding pro forma,</w:t>
            </w:r>
          </w:p>
        </w:tc>
        <w:tc>
          <w:tcPr>
            <w:tcW w:w="47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issued and outstanding pro forma as adjusted</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84,946</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Additional paid-in capital</w:t>
            </w: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1,650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1,650</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other comprehensive income</w:t>
            </w:r>
          </w:p>
        </w:tc>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34</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(23,041)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7"/>
              </w:rPr>
              <w:t>(23,041)</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460" w:type="dxa"/>
            <w:vAlign w:val="bottom"/>
          </w:tcPr>
          <w:p>
            <w:pPr>
              <w:spacing w:after="0"/>
              <w:rPr>
                <w:sz w:val="6"/>
                <w:szCs w:val="6"/>
                <w:color w:val="auto"/>
              </w:rPr>
            </w:pPr>
          </w:p>
        </w:tc>
        <w:tc>
          <w:tcPr>
            <w:tcW w:w="47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8,963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71,463</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80" w:type="dxa"/>
            <w:vAlign w:val="bottom"/>
            <w:gridSpan w:val="2"/>
          </w:tcPr>
          <w:p>
            <w:pPr>
              <w:spacing w:after="0"/>
              <w:rPr>
                <w:sz w:val="20"/>
                <w:szCs w:val="20"/>
                <w:color w:val="auto"/>
              </w:rPr>
            </w:pPr>
            <w:r>
              <w:rPr>
                <w:rFonts w:ascii="Arial" w:cs="Arial" w:eastAsia="Arial" w:hAnsi="Arial"/>
                <w:sz w:val="17"/>
                <w:szCs w:val="17"/>
                <w:color w:val="auto"/>
              </w:rPr>
              <w:t>Total capitalization</w:t>
            </w:r>
          </w:p>
        </w:tc>
        <w:tc>
          <w:tcPr>
            <w:tcW w:w="47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11,596</w:t>
            </w:r>
          </w:p>
        </w:tc>
        <w:tc>
          <w:tcPr>
            <w:tcW w:w="1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74,096</w:t>
            </w: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Each $1.00 increase (decrease) in the assumed initial public offering price of $ per share, the mid-point of the price range set forth on the cover page of this prospectus, would increase (decrease) each of cash, additional paid-in-capital and total shareholders’ equity and total capitalization by</w:t>
      </w:r>
    </w:p>
    <w:p>
      <w:pPr>
        <w:ind w:right="120"/>
        <w:spacing w:after="0" w:line="232" w:lineRule="auto"/>
        <w:rPr>
          <w:sz w:val="20"/>
          <w:szCs w:val="20"/>
          <w:color w:val="auto"/>
        </w:rPr>
      </w:pPr>
      <w:r>
        <w:rPr>
          <w:rFonts w:ascii="Arial" w:cs="Arial" w:eastAsia="Arial" w:hAnsi="Arial"/>
          <w:sz w:val="17"/>
          <w:szCs w:val="17"/>
          <w:color w:val="auto"/>
        </w:rPr>
        <w:t>approximately $ million, assuming that the number of shares offered by us remains the same and after deducting underwriting discounts and commissions. Similarly, each increase (decrease) of 1,000,000 shares in the number of shares offered by us would increase (decrease) each of cash,</w:t>
      </w:r>
    </w:p>
    <w:p>
      <w:pPr>
        <w:ind w:right="20"/>
        <w:spacing w:after="0" w:line="238" w:lineRule="auto"/>
        <w:rPr>
          <w:sz w:val="20"/>
          <w:szCs w:val="20"/>
          <w:color w:val="auto"/>
        </w:rPr>
      </w:pPr>
      <w:r>
        <w:rPr>
          <w:rFonts w:ascii="Arial" w:cs="Arial" w:eastAsia="Arial" w:hAnsi="Arial"/>
          <w:sz w:val="17"/>
          <w:szCs w:val="17"/>
          <w:color w:val="auto"/>
        </w:rPr>
        <w:t>additional paid-in capital and total shareholders’ equity by approximately $ million, assuming the assumed initial public offering price remains the same and after deducting underwriting discounts and commissions. The pro forma as adjusted presentation discussed above is illustrative only and will be adjusted based on the actual initial public offering price and other terms of this offering determined at pricing.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tables and calculations above are based on the number of our ordinary shares outstanding as of June 30, 2015, and exclude:</w:t>
      </w:r>
    </w:p>
    <w:p>
      <w:pPr>
        <w:spacing w:after="0" w:line="196" w:lineRule="exact"/>
        <w:rPr>
          <w:sz w:val="20"/>
          <w:szCs w:val="20"/>
          <w:color w:val="auto"/>
        </w:rPr>
      </w:pPr>
    </w:p>
    <w:p>
      <w:pPr>
        <w:ind w:left="800" w:hanging="454"/>
        <w:spacing w:after="0" w:line="238" w:lineRule="auto"/>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456,449 ordinary shares issuable upon the exercise of options outstanding as of June 30, 2015, with an exercise price of $10.00 per share, plus 24,400 ordinary shares issuable upon the exercise of options granted subsequent to June 30, 2015, with an exercise price of $24.21 per share;</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351,728 ordinary shares reserved for future issuance under our 2014 Plan; and</w:t>
      </w:r>
    </w:p>
    <w:p>
      <w:pPr>
        <w:spacing w:after="0" w:line="47" w:lineRule="exact"/>
        <w:rPr>
          <w:rFonts w:ascii="Arial" w:cs="Arial" w:eastAsia="Arial" w:hAnsi="Arial"/>
          <w:sz w:val="17"/>
          <w:szCs w:val="17"/>
          <w:color w:val="auto"/>
        </w:rPr>
      </w:pPr>
    </w:p>
    <w:p>
      <w:pPr>
        <w:ind w:left="800" w:right="460" w:hanging="454"/>
        <w:spacing w:after="0" w:line="243" w:lineRule="auto"/>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965,300 outstanding Series A preferred shares which can be converted at any time on a one-for-one basis into ordinary shares at the discretion of the holder.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you invest in our ordinary shares, your ownership interest will be diluted to the extent of the difference between the initial public offering price per share of our ordinary shares and the pro forma as adjusted net tangible book value per share of our ordinary shares after this offering. We calculate net tangible book value per share by dividing the net tangible book value, or tangible assets less total liabilities, by the number of outstanding ordinary shares of our share capital. Our historical net tangible book value as of June 30, 2015 was $8.3 million, or $3.63 per ordinary share.</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Pro forma net tangible book value and pro forma net tangible book value per share represents the amount of our total tangible assets less our total liabilities, after giving effect to (i) the issuance and sale by us of 1,320,000 Series B preferred shares in August 2015 for net proceeds of approximately $62.5 million, (ii) the conversion of all of our outstanding Series B preferred shares into 1,320,000 ordinary shares prior to the closing of this offering and (iii) the voluntary conversion of the 965,300 outstanding Series A preferred shares which can be converted at any time on a one-for-one basis into ordinary shares at the sole discretion of the holder. Our pro forma net tangible book value at June 30, 2015 was $70.8 million, or $15.50 per share.</w:t>
      </w:r>
    </w:p>
    <w:p>
      <w:pPr>
        <w:spacing w:after="0" w:line="150" w:lineRule="exact"/>
        <w:rPr>
          <w:sz w:val="20"/>
          <w:szCs w:val="20"/>
          <w:color w:val="auto"/>
        </w:rPr>
      </w:pPr>
    </w:p>
    <w:p>
      <w:pPr>
        <w:ind w:right="460"/>
        <w:spacing w:after="0" w:line="232" w:lineRule="auto"/>
        <w:rPr>
          <w:sz w:val="20"/>
          <w:szCs w:val="20"/>
          <w:color w:val="auto"/>
        </w:rPr>
      </w:pPr>
      <w:r>
        <w:rPr>
          <w:rFonts w:ascii="Arial" w:cs="Arial" w:eastAsia="Arial" w:hAnsi="Arial"/>
          <w:sz w:val="17"/>
          <w:szCs w:val="17"/>
          <w:color w:val="auto"/>
        </w:rPr>
        <w:t>Our pro forma as adjusted net tangible book value represents our pro forma net tangible book value, plus the effect of the sale of ordinary shares by us at an assumed initial public offering price of $ per share (the midpoint of the price range set forth on the cover page of this</w:t>
      </w:r>
    </w:p>
    <w:p>
      <w:pPr>
        <w:spacing w:after="0"/>
        <w:rPr>
          <w:sz w:val="20"/>
          <w:szCs w:val="20"/>
          <w:color w:val="auto"/>
        </w:rPr>
      </w:pPr>
      <w:r>
        <w:rPr>
          <w:rFonts w:ascii="Arial" w:cs="Arial" w:eastAsia="Arial" w:hAnsi="Arial"/>
          <w:sz w:val="17"/>
          <w:szCs w:val="17"/>
          <w:color w:val="auto"/>
        </w:rPr>
        <w:t>prospectus), after deducting underwriting discounts and commissions and estimated offering expenses payable by us. Our pro forma as adjusted net</w:t>
      </w:r>
    </w:p>
    <w:p>
      <w:pPr>
        <w:spacing w:after="0" w:line="385"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tangible book value at June 30, 2015 was $ million, or $ per share. This amount represents an immediate increase in the pro forma as adjusted net tangible book value of $ per share to existing shareholders and an immediate dilution of $ per share to new investors purchasing shares at an assumed initial public offering price of $ per share.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dilution on a per share basis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3180" w:type="dxa"/>
            <w:vAlign w:val="bottom"/>
            <w:gridSpan w:val="4"/>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tcPr>
          <w:p>
            <w:pPr>
              <w:ind w:left="240"/>
              <w:spacing w:after="0" w:line="189" w:lineRule="exact"/>
              <w:rPr>
                <w:sz w:val="20"/>
                <w:szCs w:val="20"/>
                <w:color w:val="auto"/>
              </w:rPr>
            </w:pPr>
            <w:r>
              <w:rPr>
                <w:rFonts w:ascii="Arial" w:cs="Arial" w:eastAsia="Arial" w:hAnsi="Arial"/>
                <w:sz w:val="17"/>
                <w:szCs w:val="17"/>
                <w:color w:val="auto"/>
              </w:rPr>
              <w:t>Pro forma net tangible book value per share as of June 30, 2015</w:t>
            </w:r>
          </w:p>
        </w:tc>
        <w:tc>
          <w:tcPr>
            <w:tcW w:w="2480" w:type="dxa"/>
            <w:vAlign w:val="bottom"/>
            <w:gridSpan w:val="3"/>
          </w:tcPr>
          <w:p>
            <w:pPr>
              <w:jc w:val="right"/>
              <w:ind w:right="440"/>
              <w:spacing w:after="0" w:line="189" w:lineRule="exact"/>
              <w:rPr>
                <w:sz w:val="20"/>
                <w:szCs w:val="20"/>
                <w:color w:val="auto"/>
              </w:rPr>
            </w:pPr>
            <w:r>
              <w:rPr>
                <w:rFonts w:ascii="Arial" w:cs="Arial" w:eastAsia="Arial" w:hAnsi="Arial"/>
                <w:sz w:val="17"/>
                <w:szCs w:val="17"/>
                <w:color w:val="auto"/>
              </w:rPr>
              <w:t>$15.50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pro forma net tangible book value per share attributable to new investors</w:t>
            </w:r>
          </w:p>
        </w:tc>
        <w:tc>
          <w:tcPr>
            <w:tcW w:w="15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40" w:type="dxa"/>
            <w:vAlign w:val="bottom"/>
            <w:gridSpan w:val="2"/>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in pro forma as adjusted net tangible book value per share to new investors</w:t>
            </w:r>
          </w:p>
        </w:tc>
        <w:tc>
          <w:tcPr>
            <w:tcW w:w="3180" w:type="dxa"/>
            <w:vAlign w:val="bottom"/>
            <w:gridSpan w:val="4"/>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dilution information discussed above is illustrative only and will change based on the actual initial public offering price and other terms of this</w:t>
      </w:r>
    </w:p>
    <w:p>
      <w:pPr>
        <w:jc w:val="both"/>
        <w:ind w:right="20"/>
        <w:spacing w:after="0" w:line="232" w:lineRule="auto"/>
        <w:rPr>
          <w:sz w:val="20"/>
          <w:szCs w:val="20"/>
          <w:color w:val="auto"/>
        </w:rPr>
      </w:pPr>
      <w:r>
        <w:rPr>
          <w:rFonts w:ascii="Arial" w:cs="Arial" w:eastAsia="Arial" w:hAnsi="Arial"/>
          <w:sz w:val="17"/>
          <w:szCs w:val="17"/>
          <w:color w:val="auto"/>
        </w:rPr>
        <w:t>offering determined at pricing. Each $1.00 increase (decrease) in the assumed initial public offering price of $ per share, the midpoint of the price range set forth on the cover page of this prospectus, would increase (decrease) our pro forma as adjusted net tangible book value per share after</w:t>
      </w:r>
    </w:p>
    <w:p>
      <w:pPr>
        <w:jc w:val="both"/>
        <w:ind w:right="80"/>
        <w:spacing w:after="0" w:line="232" w:lineRule="auto"/>
        <w:rPr>
          <w:sz w:val="20"/>
          <w:szCs w:val="20"/>
          <w:color w:val="auto"/>
        </w:rPr>
      </w:pPr>
      <w:r>
        <w:rPr>
          <w:rFonts w:ascii="Arial" w:cs="Arial" w:eastAsia="Arial" w:hAnsi="Arial"/>
          <w:sz w:val="17"/>
          <w:szCs w:val="17"/>
          <w:color w:val="auto"/>
        </w:rPr>
        <w:t>this offering by $ , and the dilution in pro forma as adjusted net tangible book value per share to investors by $ , assuming the number of shares offered by us remains the same and after deducting underwriting discounts and commissions. Similarly, each increase (decrease) of 1,000,000 shares in the number of shares offered by us would increase (decrease) our pro forma as adjusted net tangible book value per share after this offering</w:t>
      </w:r>
    </w:p>
    <w:p>
      <w:pPr>
        <w:ind w:right="300"/>
        <w:spacing w:after="0" w:line="243" w:lineRule="auto"/>
        <w:rPr>
          <w:sz w:val="20"/>
          <w:szCs w:val="20"/>
          <w:color w:val="auto"/>
        </w:rPr>
      </w:pPr>
      <w:r>
        <w:rPr>
          <w:rFonts w:ascii="Arial" w:cs="Arial" w:eastAsia="Arial" w:hAnsi="Arial"/>
          <w:sz w:val="17"/>
          <w:szCs w:val="17"/>
          <w:color w:val="auto"/>
        </w:rPr>
        <w:t>by $ , and the dilution in pro forma as adjusted net tangible book value per share to new investors by $ , assuming the assumed initial public offering price remains the same and after deducting underwriting discounts and commissions.</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the underwriters exercise in full their option to purchase additional ordinary shares in this offering, the pro forma as adjusted net tangible book value per share after the offering would be $ per share, the increase in the pro forma as adjusted net tangible book value per share to existing shareholders would be $ per share and the dilution in pro forma as adjusted net tangible book value per share to new investors purchasing ordinary shares in this offering would be $ per share.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32" w:lineRule="auto"/>
        <w:rPr>
          <w:sz w:val="20"/>
          <w:szCs w:val="20"/>
          <w:color w:val="auto"/>
        </w:rPr>
      </w:pPr>
      <w:r>
        <w:rPr>
          <w:rFonts w:ascii="Arial" w:cs="Arial" w:eastAsia="Arial" w:hAnsi="Arial"/>
          <w:sz w:val="17"/>
          <w:szCs w:val="17"/>
          <w:color w:val="auto"/>
        </w:rPr>
        <w:t>The following table summarizes, as of June 30, 2015, on a pro forma as adjusted basis as described above the number of ordinary shares we issued and sold, the total consideration paid and the average price per share paid by new investors purchasing ordinary shares in this offering. The table is</w:t>
      </w:r>
    </w:p>
    <w:p>
      <w:pPr>
        <w:ind w:right="860"/>
        <w:spacing w:after="0" w:line="243" w:lineRule="auto"/>
        <w:rPr>
          <w:sz w:val="20"/>
          <w:szCs w:val="20"/>
          <w:color w:val="auto"/>
        </w:rPr>
      </w:pPr>
      <w:r>
        <w:rPr>
          <w:rFonts w:ascii="Arial" w:cs="Arial" w:eastAsia="Arial" w:hAnsi="Arial"/>
          <w:sz w:val="17"/>
          <w:szCs w:val="17"/>
          <w:color w:val="auto"/>
        </w:rPr>
        <w:t>based upon the assumed initial public offering price of $ per share (the midpoint of the price range set forth on the cover page of this prospectus), before deducting underwriting discounts and commissions and estimated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500" w:type="dxa"/>
            <w:vAlign w:val="bottom"/>
            <w:gridSpan w:val="4"/>
            <w:vMerge w:val="restart"/>
          </w:tcPr>
          <w:p>
            <w:pPr>
              <w:jc w:val="right"/>
              <w:ind w:right="775"/>
              <w:spacing w:after="0"/>
              <w:rPr>
                <w:sz w:val="20"/>
                <w:szCs w:val="20"/>
                <w:color w:val="auto"/>
              </w:rPr>
            </w:pPr>
            <w:r>
              <w:rPr>
                <w:rFonts w:ascii="Arial" w:cs="Arial" w:eastAsia="Arial" w:hAnsi="Arial"/>
                <w:sz w:val="14"/>
                <w:szCs w:val="14"/>
                <w:b w:val="1"/>
                <w:bCs w:val="1"/>
                <w:color w:val="auto"/>
              </w:rPr>
              <w:t>Shares Purchased</w:t>
            </w:r>
          </w:p>
        </w:tc>
        <w:tc>
          <w:tcPr>
            <w:tcW w:w="2360" w:type="dxa"/>
            <w:vAlign w:val="bottom"/>
            <w:gridSpan w:val="4"/>
            <w:vMerge w:val="restart"/>
          </w:tcPr>
          <w:p>
            <w:pPr>
              <w:jc w:val="right"/>
              <w:ind w:right="675"/>
              <w:spacing w:after="0"/>
              <w:rPr>
                <w:sz w:val="20"/>
                <w:szCs w:val="20"/>
                <w:color w:val="auto"/>
              </w:rPr>
            </w:pPr>
            <w:r>
              <w:rPr>
                <w:rFonts w:ascii="Arial" w:cs="Arial" w:eastAsia="Arial" w:hAnsi="Arial"/>
                <w:sz w:val="14"/>
                <w:szCs w:val="14"/>
                <w:b w:val="1"/>
                <w:bCs w:val="1"/>
                <w:color w:val="auto"/>
              </w:rPr>
              <w:t>Total Consideration</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2360" w:type="dxa"/>
            <w:vAlign w:val="bottom"/>
            <w:gridSpan w:val="4"/>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124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Number</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Percentage</w:t>
            </w:r>
          </w:p>
        </w:tc>
        <w:tc>
          <w:tcPr>
            <w:tcW w:w="48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480" w:type="dxa"/>
            <w:vAlign w:val="bottom"/>
          </w:tcPr>
          <w:p>
            <w:pPr>
              <w:spacing w:after="0"/>
              <w:rPr>
                <w:sz w:val="13"/>
                <w:szCs w:val="13"/>
                <w:color w:val="auto"/>
              </w:rPr>
            </w:pPr>
          </w:p>
        </w:tc>
        <w:tc>
          <w:tcPr>
            <w:tcW w:w="80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3"/>
        </w:trPr>
        <w:tc>
          <w:tcPr>
            <w:tcW w:w="5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Existing shareholders</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4,567,423</w:t>
            </w:r>
          </w:p>
        </w:tc>
        <w:tc>
          <w:tcPr>
            <w:tcW w:w="4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w w:val="79"/>
              </w:rPr>
              <w:t>%</w:t>
            </w:r>
          </w:p>
        </w:tc>
        <w:tc>
          <w:tcPr>
            <w:tcW w:w="680" w:type="dxa"/>
            <w:vAlign w:val="bottom"/>
            <w:tcBorders>
              <w:top w:val="single" w:sz="8" w:color="auto"/>
            </w:tcBorders>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w w:val="79"/>
              </w:rPr>
              <w:t>%</w:t>
            </w:r>
          </w:p>
        </w:tc>
        <w:tc>
          <w:tcPr>
            <w:tcW w:w="700" w:type="dxa"/>
            <w:vAlign w:val="bottom"/>
            <w:tcBorders>
              <w:top w:val="single" w:sz="8" w:color="auto"/>
            </w:tcBorders>
            <w:shd w:val="clear" w:color="auto" w:fill="CCEEFF"/>
          </w:tcPr>
          <w:p>
            <w:pPr>
              <w:jc w:val="right"/>
              <w:ind w:right="525"/>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7"/>
                <w:szCs w:val="17"/>
                <w:color w:val="auto"/>
              </w:rPr>
              <w:t>New investors participating in this offering</w:t>
            </w:r>
          </w:p>
        </w:tc>
        <w:tc>
          <w:tcPr>
            <w:tcW w:w="8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7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100.0%</w:t>
            </w:r>
          </w:p>
        </w:tc>
        <w:tc>
          <w:tcPr>
            <w:tcW w:w="680" w:type="dxa"/>
            <w:vAlign w:val="bottom"/>
            <w:shd w:val="clear" w:color="auto" w:fill="CCEEFF"/>
          </w:tcPr>
          <w:p>
            <w:pPr>
              <w:jc w:val="right"/>
              <w:ind w:right="501"/>
              <w:spacing w:after="0" w:line="189" w:lineRule="exact"/>
              <w:rPr>
                <w:sz w:val="20"/>
                <w:szCs w:val="20"/>
                <w:color w:val="auto"/>
              </w:rPr>
            </w:pPr>
            <w:r>
              <w:rPr>
                <w:rFonts w:ascii="Arial" w:cs="Arial" w:eastAsia="Arial" w:hAnsi="Arial"/>
                <w:sz w:val="17"/>
                <w:szCs w:val="17"/>
                <w:color w:val="auto"/>
                <w:w w:val="84"/>
              </w:rPr>
              <w:t>$</w:t>
            </w:r>
          </w:p>
        </w:tc>
        <w:tc>
          <w:tcPr>
            <w:tcW w:w="1680" w:type="dxa"/>
            <w:vAlign w:val="bottom"/>
            <w:gridSpan w:val="3"/>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100.0%</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Except as otherwise indicated, the discussion and tables above assume no exercise of the underwriters’ option to purchase additional shares. If the underwriters’ option to purchase additional shares is exercised in full, our new investors would own approximately % of the total number of our ordinary shares outstanding after this offering.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discussed above excludes:</w:t>
      </w:r>
    </w:p>
    <w:p>
      <w:pPr>
        <w:spacing w:after="0" w:line="196" w:lineRule="exact"/>
        <w:rPr>
          <w:sz w:val="20"/>
          <w:szCs w:val="20"/>
          <w:color w:val="auto"/>
        </w:rPr>
      </w:pPr>
    </w:p>
    <w:p>
      <w:pPr>
        <w:ind w:left="800" w:right="120" w:hanging="454"/>
        <w:spacing w:after="0" w:line="238"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456,449 ordinary shares issuable upon the exercise of options outstanding as of June 30, 2015, with an exercise price of $10.00 per share, plus 24,400 ordinary shares issuable upon the exercise of options granted subsequent to June 30, 2015, with an exercise price of $24.21 per share; and</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351,728 ordinary shares reserved for future issuance under our 2014 Plan.</w:t>
      </w:r>
    </w:p>
    <w:p>
      <w:pPr>
        <w:spacing w:after="0" w:line="16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To the extent that any options or other equity incentive grants are issued in the future or we issue additional ordinary shares in the future, with an exercise price or purchase price below the initial public offering price, new investors will experience further dilution. In addition, we may choose to raise additional capital because of market considerations or strategic considerations, even if we believe that we have sufficient funds for our current or future operating plans. If we raise additional capital through the sale of equity or convertible securities, the issuance of these securities could result in further dilution to our shareholders.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included elsewhere in this prospectus and the “Management’s Discussion and Analysis of Financial Condition and Results of Operations” section of this prospectus. We have derived the selected consolidated statements of operations data for the years ended December 31, 2013 and 2014 and the selected consolidated balance sheet data as of December 31, 2013 and 2014 from our audited consolidated financial statements appearing elsewhere in this prospectus. The selected consolidated statements of operations data for the six months ended June 30, 2014 and 2015 and the selected consolidated balance sheet data as of June 30, 2015 have been derived from our unaudited consolidated financial statements appearing elsewhere in this prospectus and have been prepared on the same basis as our audited consolidated financial statements. In the opinion of management, the unaudited data reflects all adjustments, consisting only of normal recurring adjustments, necessary for a fair presentation of the consolidated financial information in those statements. Our consolidated historical results are not necessarily indicative of the results that should be expected in the future, and our consolidated results for the six months ended June 30, 2015 are not necessarily indicative of the results that should be expected for the full 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15"/>
              <w:spacing w:after="0" w:line="143"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20" w:type="dxa"/>
            <w:vAlign w:val="bottom"/>
            <w:gridSpan w:val="12"/>
          </w:tcPr>
          <w:p>
            <w:pPr>
              <w:jc w:val="right"/>
              <w:ind w:right="6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Statements of Operations Data:</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line="189" w:lineRule="exact"/>
              <w:rPr>
                <w:sz w:val="20"/>
                <w:szCs w:val="20"/>
                <w:color w:val="auto"/>
              </w:rPr>
            </w:pPr>
            <w:r>
              <w:rPr>
                <w:rFonts w:ascii="Arial" w:cs="Arial" w:eastAsia="Arial" w:hAnsi="Arial"/>
                <w:sz w:val="17"/>
                <w:szCs w:val="17"/>
                <w:color w:val="auto"/>
              </w:rPr>
              <w:t>Revenue</w:t>
            </w:r>
          </w:p>
        </w:tc>
        <w:tc>
          <w:tcPr>
            <w:tcW w:w="3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1,920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2,395</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1,087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1,654</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2,999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1,173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8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3,574</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7"/>
                <w:szCs w:val="17"/>
                <w:color w:val="auto"/>
              </w:rPr>
              <w:t>5,394</w:t>
            </w:r>
          </w:p>
        </w:tc>
        <w:tc>
          <w:tcPr>
            <w:tcW w:w="10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2,260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7,246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(3,574)</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(5,394)</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(2,260)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(7,094)</w:t>
            </w:r>
          </w:p>
        </w:tc>
        <w:tc>
          <w:tcPr>
            <w:tcW w:w="0" w:type="dxa"/>
            <w:vAlign w:val="bottom"/>
          </w:tcPr>
          <w:p>
            <w:pPr>
              <w:spacing w:after="0"/>
              <w:rPr>
                <w:sz w:val="1"/>
                <w:szCs w:val="1"/>
                <w:color w:val="auto"/>
              </w:rPr>
            </w:pPr>
          </w:p>
        </w:tc>
      </w:tr>
      <w:tr>
        <w:trPr>
          <w:trHeight w:val="264"/>
        </w:trPr>
        <w:tc>
          <w:tcPr>
            <w:tcW w:w="6780" w:type="dxa"/>
            <w:vAlign w:val="bottom"/>
            <w:gridSpan w:val="2"/>
          </w:tcPr>
          <w:p>
            <w:pPr>
              <w:spacing w:after="0"/>
              <w:rPr>
                <w:sz w:val="20"/>
                <w:szCs w:val="20"/>
                <w:color w:val="auto"/>
              </w:rPr>
            </w:pPr>
            <w:r>
              <w:rPr>
                <w:rFonts w:ascii="Arial" w:cs="Arial" w:eastAsia="Arial" w:hAnsi="Arial"/>
                <w:sz w:val="17"/>
                <w:szCs w:val="17"/>
                <w:color w:val="auto"/>
              </w:rPr>
              <w:t>Other (expense) income:</w:t>
            </w: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ind w:left="240"/>
              <w:spacing w:after="0" w:line="189" w:lineRule="exact"/>
              <w:rPr>
                <w:sz w:val="20"/>
                <w:szCs w:val="20"/>
                <w:color w:val="auto"/>
              </w:rPr>
            </w:pPr>
            <w:r>
              <w:rPr>
                <w:rFonts w:ascii="Arial" w:cs="Arial" w:eastAsia="Arial" w:hAnsi="Arial"/>
                <w:sz w:val="17"/>
                <w:szCs w:val="17"/>
                <w:color w:val="auto"/>
              </w:rPr>
              <w:t>Other, 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261</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215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other (expense) income</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203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80" w:type="dxa"/>
            <w:vAlign w:val="bottom"/>
            <w:gridSpan w:val="2"/>
          </w:tcPr>
          <w:p>
            <w:pPr>
              <w:spacing w:after="0"/>
              <w:rPr>
                <w:sz w:val="20"/>
                <w:szCs w:val="20"/>
                <w:color w:val="auto"/>
              </w:rPr>
            </w:pPr>
            <w:r>
              <w:rPr>
                <w:rFonts w:ascii="Arial" w:cs="Arial" w:eastAsia="Arial" w:hAnsi="Arial"/>
                <w:sz w:val="17"/>
                <w:szCs w:val="17"/>
                <w:color w:val="auto"/>
              </w:rPr>
              <w:t>Loss before income taxes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(3,648)</w:t>
            </w:r>
          </w:p>
        </w:tc>
        <w:tc>
          <w:tcPr>
            <w:tcW w:w="100" w:type="dxa"/>
            <w:vAlign w:val="bottom"/>
          </w:tcPr>
          <w:p>
            <w:pPr>
              <w:spacing w:after="0"/>
              <w:rPr>
                <w:sz w:val="22"/>
                <w:szCs w:val="22"/>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(5,145)</w:t>
            </w:r>
          </w:p>
        </w:tc>
        <w:tc>
          <w:tcPr>
            <w:tcW w:w="1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(2,057)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8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(3,318)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(5,229)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(2,117)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 xml:space="preserve">basic and diluted </w:t>
            </w:r>
            <w:r>
              <w:rPr>
                <w:rFonts w:ascii="Arial" w:cs="Arial" w:eastAsia="Arial" w:hAnsi="Arial"/>
                <w:sz w:val="14"/>
                <w:szCs w:val="14"/>
                <w:color w:val="auto"/>
              </w:rPr>
              <w:t>(1)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color w:val="auto"/>
              </w:rPr>
              <w:t>Weighted-average ordinary shares used in computing net loss per share attributable to</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ind w:left="240"/>
              <w:spacing w:after="0"/>
              <w:rPr>
                <w:sz w:val="20"/>
                <w:szCs w:val="20"/>
                <w:color w:val="auto"/>
              </w:rPr>
            </w:pPr>
            <w:r>
              <w:rPr>
                <w:rFonts w:ascii="Arial" w:cs="Arial" w:eastAsia="Arial" w:hAnsi="Arial"/>
                <w:sz w:val="17"/>
                <w:szCs w:val="17"/>
                <w:color w:val="auto"/>
              </w:rPr>
              <w:t xml:space="preserve">ordinary shareholders—basic and diluted </w:t>
            </w: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431,270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7"/>
                <w:szCs w:val="17"/>
                <w:color w:val="auto"/>
                <w:w w:val="97"/>
              </w:rPr>
              <w:t>967,894</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879,265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2,159,811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340" w:right="80" w:hanging="305"/>
        <w:spacing w:after="0" w:line="183" w:lineRule="auto"/>
        <w:tabs>
          <w:tab w:leader="none" w:pos="34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See Note 10 to our consolidated financial statements appearing elsewhere in this prospectus for further details on the calculation of net loss per share attributable to ordinary shareholders, basic and diluted.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61"/>
        </w:trPr>
        <w:tc>
          <w:tcPr>
            <w:tcW w:w="4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8"/>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Cash</w:t>
            </w:r>
          </w:p>
        </w:tc>
        <w:tc>
          <w:tcPr>
            <w:tcW w:w="3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439</w:t>
            </w:r>
          </w:p>
        </w:tc>
        <w:tc>
          <w:tcPr>
            <w:tcW w:w="162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  1,048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   7,779</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(deficit) capital</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(9,270)</w:t>
            </w:r>
          </w:p>
        </w:tc>
        <w:tc>
          <w:tcPr>
            <w:tcW w:w="16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605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6,134</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2,323</w:t>
            </w:r>
          </w:p>
        </w:tc>
        <w:tc>
          <w:tcPr>
            <w:tcW w:w="162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2,938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11,596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10,085</w:t>
            </w:r>
          </w:p>
        </w:tc>
        <w:tc>
          <w:tcPr>
            <w:tcW w:w="16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911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2,633</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7"/>
              </w:rPr>
              <w:t>(10,647)</w:t>
            </w:r>
          </w:p>
        </w:tc>
        <w:tc>
          <w:tcPr>
            <w:tcW w:w="1620" w:type="dxa"/>
            <w:vAlign w:val="bottom"/>
            <w:gridSpan w:val="3"/>
          </w:tcPr>
          <w:p>
            <w:pPr>
              <w:jc w:val="right"/>
              <w:ind w:right="560"/>
              <w:spacing w:after="0" w:line="189" w:lineRule="exact"/>
              <w:rPr>
                <w:sz w:val="20"/>
                <w:szCs w:val="20"/>
                <w:color w:val="auto"/>
              </w:rPr>
            </w:pPr>
            <w:r>
              <w:rPr>
                <w:rFonts w:ascii="Arial" w:cs="Arial" w:eastAsia="Arial" w:hAnsi="Arial"/>
                <w:sz w:val="17"/>
                <w:szCs w:val="17"/>
                <w:color w:val="auto"/>
              </w:rPr>
              <w:t>(15,876)</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(23,041)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(deficit) equity</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(7,762)</w:t>
            </w:r>
          </w:p>
        </w:tc>
        <w:tc>
          <w:tcPr>
            <w:tcW w:w="16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2,027</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4200" w:type="dxa"/>
            <w:vAlign w:val="bottom"/>
          </w:tcPr>
          <w:p>
            <w:pPr>
              <w:spacing w:after="0"/>
              <w:rPr>
                <w:sz w:val="24"/>
                <w:szCs w:val="24"/>
                <w:color w:val="auto"/>
              </w:rPr>
            </w:pPr>
          </w:p>
        </w:tc>
        <w:tc>
          <w:tcPr>
            <w:tcW w:w="3700" w:type="dxa"/>
            <w:vAlign w:val="bottom"/>
          </w:tcPr>
          <w:p>
            <w:pPr>
              <w:jc w:val="right"/>
              <w:ind w:right="2017"/>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i w:val="1"/>
          <w:iCs w:val="1"/>
          <w:color w:val="auto"/>
        </w:rPr>
        <w:t>You should read the following discussion and analysis of financial condition and results of operations together with the section titled “Selected Consolidated Financial Data” and our consolidated financial statements and related notes included elsewhere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prospectus. All references in this “Management’s Discussion and Analysis of Financial Condition and Results of Operations” to 2013 and 2014 are references our fiscal years ended December 31, 2013 and 2014,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 preclinical biopharmaceutical company with an innovative and proprietary synthetic chemistry drug development platform that we are using to design, develop and commercialize a broad pipeline of first-in-class or best-in-class nucleic acid therapeutic candidates. Nucleic acid therapeutics have the potential to address diseases that have been difficult to treat with small molecule drugs or biologics and have emerged as a large and promising class of drugs. We are initially developing nucleic acid therapeutics that target genetic defects to either reduce the expression of disease-promoting proteins or transform the production of dysfunctional mutant proteins into the production of functional proteins. Our platform is driven by our innovative and proprietary stereochemistry technology, enabling us to rationally design, optimize and manufacture stereopure nucleic acid therapeutics, which we believe possess drug properties that are superior to the stereoisomer mixtures of oligonucleotides currently on the market or in development by others. Building upon the innovative work of our scientific founders, Gregory L. Verdine, Ph.D. and Takeshi Wada, Ph.D., we have demonstrated the benefits of our stereopure nucleic acid therapeutics in preclinical studies. Our platform can be used to design therapies that utilize any of the major molecular mechanisms employed by nucleic acid therapeutics, including antisense, ribonucleic acid interference, or RNAi, exon skipping and others.</w:t>
      </w:r>
    </w:p>
    <w:p>
      <w:pPr>
        <w:spacing w:after="0" w:line="14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most advanced therapeutic programs are in Huntington’s disease, Duchenne muscular dystrophy, or DMD, and inflammatory bowel disease, or IBD. In Huntington’s disease, we have programs targeting HTT SNP-1 and HTT SNP-2; in DMD, we are targeting Exon 51; and in IBD, we are targeting SMAD7. Upon selecting a lead candidate within each of these programs, we expect to file investigational new drug applications, or INDs, with the U.S Food and Drug Administration, or FDA, for such candidates in 2016 and early 2017. We have late-stage discovery programs in epidermolysis bullosa simplex, in which we are targeting KRT14 SNP-1 and KRT14 SNP-2, and in DMD, in which we are focused on an additional DMD target, AcRIIb. We expect to identify lead candidates for these programs in 2016. We believe that, based on our initial selection criteria of novel and fast-follower opportunities, our platform can potentially be used in the near-term to design treatments for approximately 25 other potential target indications, mostly consisting of orphan indications, with an initial focus on orphan neuromuscular and central nervous system disease targets.</w:t>
      </w:r>
    </w:p>
    <w:p>
      <w:pPr>
        <w:spacing w:after="0" w:line="150"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Since our inception in 2012, we have devoted substantially all of our resources to developing an innovative and proprietary synthetic chemistry drug development platform that we are using to design, develop and commercialize nucleic acid therapeutic candidates, building our intellectual property portfolio, developing our supply chain, business planning, raising capital and providing general and administrative support for these operations. To date, we have not generated any product revenue and we have primarily financed our operations through sales of our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We have never been profitable, and since our inception, we have incurred significant operating losses. Our net loss was $3.3 million in 2013, $5.2</w:t>
      </w:r>
    </w:p>
    <w:p>
      <w:pPr>
        <w:spacing w:after="0" w:line="232" w:lineRule="auto"/>
        <w:rPr>
          <w:sz w:val="20"/>
          <w:szCs w:val="20"/>
          <w:color w:val="auto"/>
        </w:rPr>
      </w:pPr>
      <w:r>
        <w:rPr>
          <w:rFonts w:ascii="Arial" w:cs="Arial" w:eastAsia="Arial" w:hAnsi="Arial"/>
          <w:sz w:val="17"/>
          <w:szCs w:val="17"/>
          <w:color w:val="auto"/>
        </w:rPr>
        <w:t>million in 2014, and $2.1 million and $7.2 million in the six months ended June 30, 2014 and 2015, respectively. As of December 31, 2014 and</w:t>
      </w:r>
    </w:p>
    <w:p>
      <w:pPr>
        <w:spacing w:after="0" w:line="232" w:lineRule="auto"/>
        <w:rPr>
          <w:sz w:val="20"/>
          <w:szCs w:val="20"/>
          <w:color w:val="auto"/>
        </w:rPr>
      </w:pPr>
      <w:r>
        <w:rPr>
          <w:rFonts w:ascii="Arial" w:cs="Arial" w:eastAsia="Arial" w:hAnsi="Arial"/>
          <w:sz w:val="17"/>
          <w:szCs w:val="17"/>
          <w:color w:val="auto"/>
        </w:rPr>
        <w:t>June 30, 2015, we had an accumulated deficit of $15.9 million and $23.0 million, respectively. We expect to incur significant expenses and increasing</w:t>
      </w:r>
    </w:p>
    <w:p>
      <w:pPr>
        <w:spacing w:after="0"/>
        <w:rPr>
          <w:sz w:val="20"/>
          <w:szCs w:val="20"/>
          <w:color w:val="auto"/>
        </w:rPr>
      </w:pPr>
      <w:r>
        <w:rPr>
          <w:rFonts w:ascii="Arial" w:cs="Arial" w:eastAsia="Arial" w:hAnsi="Arial"/>
          <w:sz w:val="17"/>
          <w:szCs w:val="17"/>
          <w:color w:val="auto"/>
        </w:rPr>
        <w:t>operating losses for the foreseeable future.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41"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have not generated any product revenue since our inception and do not expect to generate any revenue from the sale of products in the near future. Our revenue during the six months ended June 30, 2015 consisted of a payment received for research and development services under an agreement that was terminated in May 2015. We are not a party to any other license or collaboration agreements that have generated revenue as of June 30, 2015.</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primarily of research and development costs and general and administrative costs.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41" w:lineRule="exact"/>
        <w:rPr>
          <w:sz w:val="20"/>
          <w:szCs w:val="20"/>
          <w:color w:val="auto"/>
        </w:rPr>
      </w:pPr>
    </w:p>
    <w:p>
      <w:pPr>
        <w:ind w:right="100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discovery efforts, and the development of our product candidates, which include:</w:t>
      </w:r>
    </w:p>
    <w:p>
      <w:pPr>
        <w:spacing w:after="0" w:line="185" w:lineRule="exact"/>
        <w:rPr>
          <w:sz w:val="20"/>
          <w:szCs w:val="20"/>
          <w:color w:val="auto"/>
        </w:rPr>
      </w:pPr>
    </w:p>
    <w:p>
      <w:pPr>
        <w:ind w:left="800" w:right="140" w:hanging="454"/>
        <w:spacing w:after="0" w:line="238"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contract research organizations, or CROs, that conduct research and preclinical activities on our behalf, as well as contract manufacturing organizations, or CMOs, that manufacture drug products for use in our preclinical trials;</w:t>
      </w:r>
    </w:p>
    <w:p>
      <w:pPr>
        <w:spacing w:after="0" w:line="26" w:lineRule="exact"/>
        <w:rPr>
          <w:rFonts w:ascii="Arial" w:cs="Arial" w:eastAsia="Arial" w:hAnsi="Arial"/>
          <w:sz w:val="17"/>
          <w:szCs w:val="17"/>
          <w:color w:val="auto"/>
        </w:rPr>
      </w:pPr>
    </w:p>
    <w:p>
      <w:pPr>
        <w:ind w:left="800" w:right="580" w:hanging="454"/>
        <w:spacing w:after="0" w:line="243"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employee salaries, benefits and other related costs, including share-based compensation expense, for personnel in our research and development organization;</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costs of third-party consultants, including fees, share-based compensation and related travel expenses;</w:t>
      </w:r>
    </w:p>
    <w:p>
      <w:pPr>
        <w:spacing w:after="0" w:line="47"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cost of sponsored research, which includes laboratory supplies and facility-related expenses, including rent, maintenance and other operating costs; and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costs related to compliance with regulatory requirements.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recognize research and development costs as incurred and are reflected in our financial statements as prepaid or accrued research and development expenses.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w:t>
      </w:r>
    </w:p>
    <w:p>
      <w:pPr>
        <w:spacing w:after="0" w:line="14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Our primary research and development focus since inception has been the development of our innovative and proprietary synthetic chemistry drug development platform. We are using our platform to design, develop and commercialize a broad pipeline of nucleic acid therapeutic candidates.</w:t>
      </w:r>
    </w:p>
    <w:p>
      <w:pPr>
        <w:spacing w:after="0" w:line="14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direct research and development expenses are tracked on a program-by-program basis and consist primarily of certain external costs, consultants and CROs in connection with our preclinical studies and regulatory fees. We do not allocate the cost of sponsored research, which includes laboratory supplies and facility-related expenses, including rent, maintenance and other operating costs, because these costs are deployed across multiple product programs under development and, as such, are classified as costs of our research.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research and development expenses incurred on our platform and by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Six Months</w:t>
            </w: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Ended June 30,</w:t>
            </w:r>
          </w:p>
        </w:tc>
      </w:tr>
      <w:tr>
        <w:trPr>
          <w:trHeight w:val="156"/>
        </w:trPr>
        <w:tc>
          <w:tcPr>
            <w:tcW w:w="8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0"/>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3"/>
                <w:szCs w:val="13"/>
                <w:color w:val="auto"/>
              </w:rPr>
            </w:pPr>
          </w:p>
        </w:tc>
      </w:tr>
      <w:tr>
        <w:trPr>
          <w:trHeight w:val="142"/>
        </w:trPr>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16"/>
              <w:spacing w:after="0" w:line="143"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HD HTT SNP-1 and HD HTT SNP-2 programs </w:t>
            </w: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w:t>
            </w:r>
          </w:p>
        </w:tc>
      </w:tr>
      <w:tr>
        <w:trPr>
          <w:trHeight w:val="203"/>
        </w:trPr>
        <w:tc>
          <w:tcPr>
            <w:tcW w:w="8180" w:type="dxa"/>
            <w:vAlign w:val="bottom"/>
          </w:tcPr>
          <w:p>
            <w:pPr>
              <w:spacing w:after="0"/>
              <w:rPr>
                <w:sz w:val="20"/>
                <w:szCs w:val="20"/>
                <w:color w:val="auto"/>
              </w:rPr>
            </w:pPr>
            <w:r>
              <w:rPr>
                <w:rFonts w:ascii="Arial" w:cs="Arial" w:eastAsia="Arial" w:hAnsi="Arial"/>
                <w:sz w:val="17"/>
                <w:szCs w:val="17"/>
                <w:color w:val="auto"/>
              </w:rPr>
              <w:t>DMD Exon 51 program</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188</w:t>
            </w: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IBD SMAD7 program</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7"/>
                <w:szCs w:val="17"/>
                <w:color w:val="auto"/>
              </w:rPr>
              <w:t>Discovery programs</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203</w:t>
            </w:r>
          </w:p>
        </w:tc>
      </w:t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Platform development and identification of potential drug discovery candidates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1,920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8"/>
              </w:rPr>
              <w:t>2,395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1,087</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2,702</w:t>
            </w:r>
          </w:p>
        </w:tc>
      </w:tr>
      <w:tr>
        <w:trPr>
          <w:trHeight w:val="20"/>
        </w:trPr>
        <w:tc>
          <w:tcPr>
            <w:tcW w:w="8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180" w:type="dxa"/>
            <w:vAlign w:val="bottom"/>
          </w:tcPr>
          <w:p>
            <w:pPr>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1,920</w:t>
            </w:r>
          </w:p>
        </w:tc>
        <w:tc>
          <w:tcPr>
            <w:tcW w:w="3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2,395</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w w:val="98"/>
              </w:rPr>
              <w:t>1,087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3,457</w:t>
            </w: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340" w:right="340" w:hanging="305"/>
        <w:spacing w:after="0" w:line="199" w:lineRule="auto"/>
        <w:tabs>
          <w:tab w:leader="none" w:pos="3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Given the nature of program development for these programs, the costs incurred in such programs have been common to both programs and therefore are not subject to separability. We expect that upon the filing of an IND with respect to the lead product candidate in each such program and the initiation of clinical studies for each such candidate, the costs incurred for each such candidate will be separate and distinct.</w:t>
      </w:r>
    </w:p>
    <w:p>
      <w:pPr>
        <w:spacing w:after="0" w:line="14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initiate clinical trials for certain product candidates, continue to discover and develop additional product candidates, and pursue later stages of clinical development of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General and administrative expenses consist primarily of salaries, bonus and other related costs, including share-based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rent and maintenance of our corporate offices; and other operating costs.</w:t>
      </w:r>
    </w:p>
    <w:p>
      <w:pPr>
        <w:spacing w:after="0" w:line="1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anticipate that our general and administrative expenses will increase in the future, in the form of additional compensation, including salaries, benefits, incentive arrangements and share-based compensation awards, as we increase our headcount to support the expected growth in our research and development activities and the potential commercialization of our product candidates. Additionally, we expect our rent costs to increase as we move our U.S. operations to a new and expanded facility in the fourth quarter of 2015. We expect our rental costs to increase to $1.0 million for the year ended December 31, 2016.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We expect our general and administrative costs to increase as we attract and retain additional personnel.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5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Other income (expense) consists of reimbursement of research and development costs extent under a research and development grant awarded by the Ministry of Economy, Trade and Industry, or METI, interest expense associated with notes payable that were converted in 2014, and interest income on cash.</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54"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We are a multi-national company subject to taxation in the United States, Japan and Singapore. In 2013 and 2014, our benefit from (or provision for) income taxes was $0.3 million and $(0.1) million, respectively, on pre-tax loss of $3.6 million and $5.1 million, respectively. As of December 31, 2014, we had federal and state net operating loss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carryforwards of $2.1 million and $2.4 million, respectively, both of which begin to expire in 2030. As of December 31, 2014, we also had federal and</w:t>
      </w:r>
    </w:p>
    <w:p>
      <w:pPr>
        <w:spacing w:after="0" w:line="232" w:lineRule="auto"/>
        <w:rPr>
          <w:sz w:val="20"/>
          <w:szCs w:val="20"/>
          <w:color w:val="auto"/>
        </w:rPr>
      </w:pPr>
      <w:r>
        <w:rPr>
          <w:rFonts w:ascii="Arial" w:cs="Arial" w:eastAsia="Arial" w:hAnsi="Arial"/>
          <w:sz w:val="17"/>
          <w:szCs w:val="17"/>
          <w:color w:val="auto"/>
        </w:rPr>
        <w:t>state research and development tax credit carryforwards of $0.4 million and $0.2 million, respectively, which begin to expire in 2025. As of</w:t>
      </w:r>
    </w:p>
    <w:p>
      <w:pPr>
        <w:spacing w:after="0" w:line="232" w:lineRule="auto"/>
        <w:rPr>
          <w:sz w:val="20"/>
          <w:szCs w:val="20"/>
          <w:color w:val="auto"/>
        </w:rPr>
      </w:pPr>
      <w:r>
        <w:rPr>
          <w:rFonts w:ascii="Arial" w:cs="Arial" w:eastAsia="Arial" w:hAnsi="Arial"/>
          <w:sz w:val="17"/>
          <w:szCs w:val="17"/>
          <w:color w:val="auto"/>
        </w:rPr>
        <w:t>December 31, 2014, we had net operating loss carryforwards in Japan of $3.5 million, which may be available to offset future income tax liabilities and</w:t>
      </w:r>
    </w:p>
    <w:p>
      <w:pPr>
        <w:spacing w:after="0"/>
        <w:rPr>
          <w:sz w:val="20"/>
          <w:szCs w:val="20"/>
          <w:color w:val="auto"/>
        </w:rPr>
      </w:pPr>
      <w:r>
        <w:rPr>
          <w:rFonts w:ascii="Arial" w:cs="Arial" w:eastAsia="Arial" w:hAnsi="Arial"/>
          <w:sz w:val="17"/>
          <w:szCs w:val="17"/>
          <w:color w:val="auto"/>
        </w:rPr>
        <w:t>begin to expire in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Six Months Ended June 30, 2014 and 2015 (unaudited)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six months ended June 30, 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152</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1,087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3,457</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1,173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3,789</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2,616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2,260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7,246</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4,986</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(2,260)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(7,094)</w:t>
            </w:r>
          </w:p>
        </w:tc>
        <w:tc>
          <w:tcPr>
            <w:tcW w:w="1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(4,834)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28</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0"/>
        </w:trPr>
        <w:tc>
          <w:tcPr>
            <w:tcW w:w="8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40" w:type="dxa"/>
            <w:vAlign w:val="bottom"/>
            <w:gridSpan w:val="2"/>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(2,057)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(7,066)</w:t>
            </w:r>
          </w:p>
        </w:tc>
        <w:tc>
          <w:tcPr>
            <w:tcW w:w="18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(5,009)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(99)</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8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4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(2,117)</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(7,165)</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52"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Revenue was $0 for the six months ended June 30, 2014 compared to $0.2 million for the six months ended June 30, 2015 due to revenue earned for research and development performed under our collaboration agreement which we entered into in 2014 and terminated in May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research and development expenses incurred on our platform and by program for the six months ended June 30,</w:t>
      </w:r>
    </w:p>
    <w:p>
      <w:pPr>
        <w:spacing w:after="0"/>
        <w:rPr>
          <w:sz w:val="20"/>
          <w:szCs w:val="20"/>
          <w:color w:val="auto"/>
        </w:rPr>
      </w:pPr>
      <w:r>
        <w:rPr>
          <w:rFonts w:ascii="Arial" w:cs="Arial" w:eastAsia="Arial" w:hAnsi="Arial"/>
          <w:sz w:val="17"/>
          <w:szCs w:val="17"/>
          <w:color w:val="auto"/>
        </w:rPr>
        <w:t>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8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w w:val="96"/>
              </w:rPr>
              <w:t>2014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8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HD HTT SNP-1 and HD HTT SNP-2 programs </w:t>
            </w:r>
            <w:r>
              <w:rPr>
                <w:rFonts w:ascii="Arial" w:cs="Arial" w:eastAsia="Arial" w:hAnsi="Arial"/>
                <w:sz w:val="14"/>
                <w:szCs w:val="14"/>
                <w:color w:val="auto"/>
              </w:rPr>
              <w:t>(1)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215</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w:t>
            </w: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7"/>
                <w:szCs w:val="17"/>
                <w:color w:val="auto"/>
              </w:rPr>
              <w:t>DMD Exon 51 program</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188</w:t>
            </w:r>
          </w:p>
        </w:tc>
        <w:tc>
          <w:tcPr>
            <w:tcW w:w="22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188</w:t>
            </w: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IBD SMAD7 program</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149</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149</w:t>
            </w: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7"/>
                <w:szCs w:val="17"/>
                <w:color w:val="auto"/>
              </w:rPr>
              <w:t>Discovery programs</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203</w:t>
            </w:r>
          </w:p>
        </w:tc>
        <w:tc>
          <w:tcPr>
            <w:tcW w:w="22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203</w:t>
            </w: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Platform development and identification of potential drug discovery candidates</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1,087</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w w:val="98"/>
              </w:rPr>
              <w:t>2,702</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1,615</w:t>
            </w:r>
          </w:p>
        </w:tc>
      </w:tr>
      <w:tr>
        <w:trPr>
          <w:trHeight w:val="20"/>
        </w:trPr>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600" w:type="dxa"/>
            <w:vAlign w:val="bottom"/>
          </w:tcPr>
          <w:p>
            <w:pPr>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1,087</w:t>
            </w:r>
          </w:p>
        </w:tc>
        <w:tc>
          <w:tcPr>
            <w:tcW w:w="4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w w:val="98"/>
              </w:rPr>
              <w:t>3,457</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2,370</w:t>
            </w: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340" w:right="340" w:hanging="305"/>
        <w:spacing w:after="0" w:line="199" w:lineRule="auto"/>
        <w:tabs>
          <w:tab w:leader="none" w:pos="34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Given the nature of program development for these programs, the costs incurred in such programs have been common to both programs and therefore are not subject to separability. We expect that upon the filing of an IND with respect to the lead product candidate in each such program and the initiation of clinical studies for each such candidate, the costs incurred for each such candidate will be separate and distinct.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were $1.1 million for the six months ended June 30, 2014, compared to $3.5 million for the six months ended</w:t>
      </w:r>
    </w:p>
    <w:p>
      <w:pPr>
        <w:spacing w:after="0"/>
        <w:rPr>
          <w:sz w:val="20"/>
          <w:szCs w:val="20"/>
          <w:color w:val="auto"/>
        </w:rPr>
      </w:pPr>
      <w:r>
        <w:rPr>
          <w:rFonts w:ascii="Arial" w:cs="Arial" w:eastAsia="Arial" w:hAnsi="Arial"/>
          <w:sz w:val="17"/>
          <w:szCs w:val="17"/>
          <w:color w:val="auto"/>
        </w:rPr>
        <w:t>June 30, 2015. The increase of $2.4 million was due, in part, to the following:</w:t>
      </w:r>
    </w:p>
    <w:p>
      <w:pPr>
        <w:spacing w:after="0" w:line="196" w:lineRule="exact"/>
        <w:rPr>
          <w:sz w:val="20"/>
          <w:szCs w:val="20"/>
          <w:color w:val="auto"/>
        </w:rPr>
      </w:pPr>
    </w:p>
    <w:p>
      <w:pPr>
        <w:ind w:left="800" w:right="600" w:hanging="454"/>
        <w:spacing w:after="0" w:line="243" w:lineRule="auto"/>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$0.2 million in research expenses related to our HD HTT SNP-1 and HD HTT SNP-2 programs for collaborations with Children’s Hospital of Philadelphia for preclinical research studies;</w:t>
      </w:r>
    </w:p>
    <w:p>
      <w:pPr>
        <w:spacing w:after="0" w:line="22"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$0.2 million in research expenses related to our DMD Exon 51 program for collaborations with the University of Oxford for preclinical research studies;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$0.1 million in research expenses related to our IBD SMAD7 program for preclinical research studies; and</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$0.2 million in drug discovery candidate expenses due to research related to our DMD AcRIIb, EBS KRT14 SNP-1 and EBS KRT14 SNP-2 programs and three potential other targets.</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Platform development and identification of potential drug discovery candidates includes salary and related benefits costs, as well as costs associated with overall research directed at the identification of additional potential drug candidates. These expenses increased $1.6 million as a result of higher salary and related benefits costs of $1.8 million, including $1.2 million of share-based compensation, due to an increase in employee headcount, offset by costs redirected to product and drug discovery candidates.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39"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General and administrative expenses were $1.2 million for the six months ended June 30, 2014 compared to $3.8 million for the six months ended June 20, 2015. The increase of $2.6 million was due to an increase in share-based compensation expense of $1.3 million as well as an increase in employee headcount, which resulted in an increase in salary and related benefits costs of $0.2 million. Our professional fees increased $0.9 million in the six months ended June 30, 2015 due to higher legal fees and accounting fees as we prepared for our potential initial public offering.</w:t>
      </w:r>
    </w:p>
    <w:p>
      <w:pPr>
        <w:spacing w:after="0" w:line="14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Research and development and general and administrative expenses incurred at our Japan facility in the six months ended June 30, 2014 and 2015 represented 21.6% and 8.2% of the related consolidated expenses for the six months ended June 30, 2014 and 2015, respectively. The impact of changes in foreign currency did not have a significant impact on changes in our consolidated research and development and general and administrative expenses from the six months ended June 30, 2014 to the six months ended June 30, 2015.</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w:t>
      </w:r>
    </w:p>
    <w:p>
      <w:pPr>
        <w:spacing w:after="0" w:line="39"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Other (expense) income for the six months ended June 30, 2014 decreased from $0.2 million to less than $0.1 million for the six months ended June 30, 2015 due to fewer government grant reimbursements for research and development in Japan during the six months ended June 30, 2015.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 (Provision)</w:t>
      </w:r>
    </w:p>
    <w:p>
      <w:pPr>
        <w:spacing w:after="0" w:line="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During both the six months ended June 30, 2014 and 2015, we recorded a tax provision of $0.1 million, which is a result of income taxed in the United States due to income under a contract research arrangement between our U.S. and Singapore entities. During the six months ended June 30, 2014 and 2015, we recorded no income tax benefits for the net operating losses incurred in Japan and Singapore, due to uncertainty regarding future taxable income in these jurisdictions.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 Ended December 31, 2013 to the Year Ended December 31, 2014</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1,920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2,395</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1,654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2,999</w:t>
            </w:r>
          </w:p>
        </w:tc>
        <w:tc>
          <w:tcPr>
            <w:tcW w:w="18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1,345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3,574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5,394</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1,820</w:t>
            </w:r>
          </w:p>
        </w:tc>
        <w:tc>
          <w:tcPr>
            <w:tcW w:w="0" w:type="dxa"/>
            <w:vAlign w:val="bottom"/>
          </w:tcPr>
          <w:p>
            <w:pPr>
              <w:spacing w:after="0"/>
              <w:rPr>
                <w:sz w:val="1"/>
                <w:szCs w:val="1"/>
                <w:color w:val="auto"/>
              </w:rPr>
            </w:pPr>
          </w:p>
        </w:tc>
      </w:tr>
      <w:tr>
        <w:trPr>
          <w:trHeight w:val="20"/>
        </w:trPr>
        <w:tc>
          <w:tcPr>
            <w:tcW w:w="8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4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(3,574)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(5,394)</w:t>
            </w:r>
          </w:p>
        </w:tc>
        <w:tc>
          <w:tcPr>
            <w:tcW w:w="18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(1,820)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income</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249</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0"/>
        </w:trPr>
        <w:tc>
          <w:tcPr>
            <w:tcW w:w="8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40" w:type="dxa"/>
            <w:vAlign w:val="bottom"/>
            <w:gridSpan w:val="2"/>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(3,648)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(5,145)</w:t>
            </w:r>
          </w:p>
        </w:tc>
        <w:tc>
          <w:tcPr>
            <w:tcW w:w="18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(1,497)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330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(84)</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0"/>
        </w:trPr>
        <w:tc>
          <w:tcPr>
            <w:tcW w:w="8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4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(3,318)</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(5,229)</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There was no revenue for the years ended December 31, 2013 and 2014.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our research and development expenses incurred on our platform and by program for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8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3"/>
                <w:szCs w:val="13"/>
                <w:color w:val="auto"/>
              </w:rPr>
            </w:pPr>
          </w:p>
        </w:tc>
        <w:tc>
          <w:tcPr>
            <w:tcW w:w="8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r>
      <w:tr>
        <w:trPr>
          <w:trHeight w:val="156"/>
        </w:trPr>
        <w:tc>
          <w:tcPr>
            <w:tcW w:w="8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ind w:left="320"/>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HD HTT SNP-1 and HD HTT SNP-2 programs </w:t>
            </w:r>
            <w:r>
              <w:rPr>
                <w:rFonts w:ascii="Arial" w:cs="Arial" w:eastAsia="Arial" w:hAnsi="Arial"/>
                <w:sz w:val="14"/>
                <w:szCs w:val="14"/>
                <w:color w:val="auto"/>
              </w:rPr>
              <w:t>(1)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7"/>
                <w:szCs w:val="17"/>
                <w:color w:val="auto"/>
              </w:rPr>
              <w:t>DMD Exon 51 program</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5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IBD SMAD7 program</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tcPr>
          <w:p>
            <w:pPr>
              <w:spacing w:after="0" w:line="189" w:lineRule="exact"/>
              <w:rPr>
                <w:sz w:val="20"/>
                <w:szCs w:val="20"/>
                <w:color w:val="auto"/>
              </w:rPr>
            </w:pPr>
            <w:r>
              <w:rPr>
                <w:rFonts w:ascii="Arial" w:cs="Arial" w:eastAsia="Arial" w:hAnsi="Arial"/>
                <w:sz w:val="17"/>
                <w:szCs w:val="17"/>
                <w:color w:val="auto"/>
              </w:rPr>
              <w:t>Discovery programs</w:t>
            </w: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5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Platform development and identification of potential drug discovery candidates</w:t>
            </w: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1,920</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2,395</w:t>
            </w:r>
          </w:p>
        </w:tc>
        <w:tc>
          <w:tcPr>
            <w:tcW w:w="4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475</w:t>
            </w:r>
          </w:p>
        </w:tc>
        <w:tc>
          <w:tcPr>
            <w:tcW w:w="100" w:type="dxa"/>
            <w:vAlign w:val="bottom"/>
            <w:shd w:val="clear" w:color="auto" w:fill="CCEEFF"/>
          </w:tcPr>
          <w:p>
            <w:pPr>
              <w:spacing w:after="0"/>
              <w:rPr>
                <w:sz w:val="16"/>
                <w:szCs w:val="16"/>
                <w:color w:val="auto"/>
              </w:rPr>
            </w:pPr>
          </w:p>
        </w:tc>
      </w:tr>
      <w:tr>
        <w:trPr>
          <w:trHeight w:val="264"/>
        </w:trPr>
        <w:tc>
          <w:tcPr>
            <w:tcW w:w="8620" w:type="dxa"/>
            <w:vAlign w:val="bottom"/>
          </w:tcPr>
          <w:p>
            <w:pPr>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1,920</w:t>
            </w:r>
          </w:p>
        </w:tc>
        <w:tc>
          <w:tcPr>
            <w:tcW w:w="5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7"/>
                <w:szCs w:val="17"/>
                <w:color w:val="auto"/>
                <w:w w:val="98"/>
              </w:rPr>
              <w:t>2,395</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475</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340" w:right="340" w:hanging="305"/>
        <w:spacing w:after="0" w:line="199" w:lineRule="auto"/>
        <w:tabs>
          <w:tab w:leader="none" w:pos="34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Given the nature of program development for these programs, the costs incurred in such programs have been common to both programs and therefore are not subject to separability. We expect that upon the filing of an IND with respect to the lead product candidate in each such program and the initiation of clinical studies for each such candidate, the costs incurred for each such candidate will be separate and distinct.</w:t>
      </w:r>
    </w:p>
    <w:p>
      <w:pPr>
        <w:spacing w:after="0" w:line="14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Research and development expenses were $1.9 million in 2013, compared to $2.4 million in 2014. The increase of $0.5 million was a result of higher salary and related benefits costs due to an increase in employee headcount, as we increased our research for potential drug candidates.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General and administrative expenses were $1.7 million in 2013 compared to $3.0 million in 2014. The increase of $1.3 million was a result of salary and related benefits costs due to an increase in employee headcount, which resulted in higher salary and related benefits costs of $1.0 million, as well as an increase in our professional fees of $0.3 million from 2013 to 2014 due to higher legal fees.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Research and development and general and administrative expenses incurred at our Japan facility in 2013 and 2014 represented 23.0% and 17.7% of the related consolidated expenses for 2013 and 2014, respectively. The impact of changes in foreign currency did not have a significant impact on changes in our consolidated research and development and general and administrative expenses from 2013 to 2014.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w:t>
      </w:r>
    </w:p>
    <w:p>
      <w:pPr>
        <w:spacing w:after="0" w:line="52"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Other (expense) income in 2013 increased from an expense of less than $0.1 million to income of $0.3 million in 2014 due additional government grants received in Japan for reimbursement of certain research and development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0"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Since our inception, we have not generated any product revenue and have incurred recurring net losses. From our inception through June 30, 2015, we have financed our operations through private placements of promissory notes and the proceeds from the issuance of ordinary shares. Through December 31, 2014 and June 30, 2015, we had received net proceeds of approximately $15.2 million and $26.8 million, respectively, from such transactions. In August 2015, we completed a private placement of Series B preferred shares and received net proceeds of approximately $62.5 million.</w:t>
      </w:r>
    </w:p>
    <w:p>
      <w:pPr>
        <w:spacing w:after="0" w:line="150"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As of December 31, 2014, we had cash totaling $1.0 million and an accumulated deficit of $15.9 million. As of June 30, 2015, we had cash totaling $7.8 million and an accumulated deficit of $23.0 million and restricted cash of $1.0 million related to a letter of credit for our new office and laboratory space in Cambridge, Massachusetts.</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 cash resources we have on hand at June 30, 2015 along with the net proceeds of $62.5 million raised from the private placement of Series B preferred shares on August 14, 2015 are expected to allow us to fund our operations and meet our working capital obligations through at least 2016. We expect that our existing cash together with anticipated net proceeds from this offering will enable us to fund our operating expenses and capital expenditure requirements through at least 2017. We have based this estimate on assumptions that may prove to be wrong, and we may use our available capital resources sooner than we currently expect.</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Until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79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42"/>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used in operating activities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(3,551)</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(4,426)</w:t>
            </w:r>
          </w:p>
        </w:tc>
        <w:tc>
          <w:tcPr>
            <w:tcW w:w="106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(3,011)</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7"/>
                <w:szCs w:val="17"/>
                <w:color w:val="auto"/>
              </w:rPr>
              <w:t>Cash used in investing activities</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(257)</w:t>
            </w:r>
          </w:p>
        </w:tc>
        <w:tc>
          <w:tcPr>
            <w:tcW w:w="106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(205)</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(1,430)</w:t>
            </w:r>
          </w:p>
        </w:tc>
      </w:tr>
      <w:tr>
        <w:trPr>
          <w:trHeight w:val="189"/>
        </w:trPr>
        <w:tc>
          <w:tcPr>
            <w:tcW w:w="7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provided by financing activities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3,672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5,619</w:t>
            </w:r>
          </w:p>
        </w:tc>
        <w:tc>
          <w:tcPr>
            <w:tcW w:w="10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5,619</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11,646</w:t>
            </w:r>
          </w:p>
        </w:tc>
      </w:tr>
      <w:tr>
        <w:trPr>
          <w:trHeight w:val="189"/>
        </w:trPr>
        <w:tc>
          <w:tcPr>
            <w:tcW w:w="7920" w:type="dxa"/>
            <w:vAlign w:val="bottom"/>
          </w:tcPr>
          <w:p>
            <w:pPr>
              <w:spacing w:after="0" w:line="189" w:lineRule="exact"/>
              <w:rPr>
                <w:sz w:val="20"/>
                <w:szCs w:val="20"/>
                <w:color w:val="auto"/>
              </w:rPr>
            </w:pPr>
            <w:r>
              <w:rPr>
                <w:rFonts w:ascii="Arial" w:cs="Arial" w:eastAsia="Arial" w:hAnsi="Arial"/>
                <w:sz w:val="17"/>
                <w:szCs w:val="17"/>
                <w:color w:val="auto"/>
              </w:rPr>
              <w:t>Effect of foreign exchange rates of cash</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(327)</w:t>
            </w:r>
          </w:p>
        </w:tc>
        <w:tc>
          <w:tcPr>
            <w:tcW w:w="106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(474)</w:t>
            </w:r>
          </w:p>
        </w:tc>
      </w:tr>
      <w:tr>
        <w:trPr>
          <w:trHeight w:val="75"/>
        </w:trPr>
        <w:tc>
          <w:tcPr>
            <w:tcW w:w="79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89"/>
        </w:trPr>
        <w:tc>
          <w:tcPr>
            <w:tcW w:w="7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increase in cash</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60</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609</w:t>
            </w:r>
          </w:p>
        </w:tc>
        <w:tc>
          <w:tcPr>
            <w:tcW w:w="10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$ 3,310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6,731</w:t>
            </w:r>
          </w:p>
        </w:tc>
      </w:tr>
      <w:tr>
        <w:trPr>
          <w:trHeight w:val="20"/>
        </w:trPr>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5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During the six months ended June 30, 2015, operating activities used $3.0 million of cash, primarily resulting from our net loss of $7.2 million offset by non-cash charges of $2.8 million and by cash provided by changes in our operating assets and liabilities of $1.4 million. The non-cash charges for the six months ended June 30, 2015 related primarily to an increase in share-based compensation of $2.5 million. Net cash provided by changes in our operating assets and liabilities during the six months ended June 30, 2015 was due primarily to an increase in accounts payable due to higher research and development costs, as well as the timing of payments.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During the six months ended June 30, 2014, operating activities used $2.0 million of cash, resulting from our net loss of $2.1 million offset by non-cash charges of $0.1 million due primarily to depreciation and amortization associated with our property and equipment. There was little change in our operating assets and liabilities during the six months ended June 30, 2014.</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During 2014, operating activities used $4.4 million of cash, primarily resulting from our net loss of $5.2 million offset by non-cash charges of $0.4 million and by cash provided by changes in our operating assets and liabilities of $0.4 million. The non-cash charges for 2014 related primarily to $0.3 million of depreciation and amortization associated with our property and equipment. Net cash provided by changes in our operating assets and liabilities during 2014 consisted primarily of a $0.4 million increase in accrued expenses due to higher accruals for research and development costs.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During 2013, operating activities used $3.6 million of cash, resulting from our net loss of $3.3 million and cash used in changes in our operating assets and liabilities of $0.3 million, which consisted of a $0.2 million decrease in accounts payable and accrued expenses due to the timing of vendor invoicing and payments and a $0.1 million increase in accounts receivable.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3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During the six months ended June 30, 2015, investing activities used $1.4 million of cash, consisting of restricted cash of $1.0 million primarily placed in favor of a letter of credit for our new office and laboratory space in Cambridge, Massachusetts along with purchases of property and equipment of $0.4 million.</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the six months ended June 30, 2014, investing activities used $0.2 million of cash, primarily consisting of purchases of property and equipment of $0.5 million offset by reimbursements of $0.3 million from METI.</w:t>
      </w:r>
    </w:p>
    <w:p>
      <w:pPr>
        <w:spacing w:after="0" w:line="144"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During 2014, investing activities used $0.3 million of cash, primarily consisting of purchases of property and equipment of $0.6 million offset by reimbursements of $0.3 million from METI.</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During 2013, investing activities used less than $0.1 million of cash for purchases of property and equipment.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3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the six months ended June 30, 2015, net cash provided by financing activities was $11.6 million, primarily from the issuance of ordinary shares to a third-party investor for $11.6 million.</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During the six months ended June 30, 2014, net cash provided by financing activities was $5.6 million, primarily from the issuance of ordinary shares to investors.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During 2014, net cash provided by financing activities was $5.6 million, primarily from the issuance of ordinary shares to investors.</w:t>
      </w:r>
    </w:p>
    <w:p>
      <w:pPr>
        <w:spacing w:after="0" w:line="15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2013, net cash provided by financing activities was $3.7 million due to proceeds under notes payable to a related party of $6.2 million, offset by repayments in the amount of $2.5 million.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Foreign Exchange Rates on Cash</w:t>
      </w:r>
    </w:p>
    <w:p>
      <w:pPr>
        <w:spacing w:after="0" w:line="3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During the six months ended June 30, 2015, the effect of changes in foreign exchange rates on cash was $0.5 million due to changes in the Japanese yen related primarily to the translation of intercompany accounts denominated in Japanese yen from December 31, 2014 to June 30, 2015.</w:t>
      </w:r>
    </w:p>
    <w:p>
      <w:pPr>
        <w:spacing w:after="0" w:line="144"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During the six months ended June 30, 2014, net cash provided by financing activities was $0.1 million due to minimal changes in the Japanese yen from December 31, 2013 to June 30, 2014.</w:t>
      </w:r>
    </w:p>
    <w:p>
      <w:pPr>
        <w:spacing w:after="0" w:line="144"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During 2014, the effect of changes in foreign exchange rates on cash was $0.3 million due to changes in the Japanese yen related primarily to the translation of intercompany accounts denominated in Japanese yen from December 31, 2013 to December 31, 2014.</w:t>
      </w:r>
    </w:p>
    <w:p>
      <w:pPr>
        <w:spacing w:after="0" w:line="14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During 2013, the effect of changes in foreign exchange rates on cash were minimal due to the low level of cash balances on hand during the year.</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In addition, upon the closing of this offering, we expect to incur additional costs associated with operating as a public company. We anticipate that our expenses will increase substantially if and as we:</w:t>
      </w:r>
    </w:p>
    <w:p>
      <w:pPr>
        <w:spacing w:after="0" w:line="188" w:lineRule="exact"/>
        <w:rPr>
          <w:sz w:val="20"/>
          <w:szCs w:val="20"/>
          <w:color w:val="auto"/>
        </w:rPr>
      </w:pPr>
    </w:p>
    <w:p>
      <w:pPr>
        <w:ind w:left="800" w:hanging="454"/>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file INDs and initiate clinical studies for our programs in Huntington’s disease, DMD and IBD;</w:t>
      </w:r>
    </w:p>
    <w:p>
      <w:pPr>
        <w:spacing w:after="0" w:line="47" w:lineRule="exact"/>
        <w:rPr>
          <w:rFonts w:ascii="Arial" w:cs="Arial" w:eastAsia="Arial" w:hAnsi="Arial"/>
          <w:sz w:val="17"/>
          <w:szCs w:val="17"/>
          <w:color w:val="auto"/>
        </w:rPr>
      </w:pPr>
    </w:p>
    <w:p>
      <w:pPr>
        <w:ind w:left="800" w:right="300" w:hanging="454"/>
        <w:spacing w:after="0" w:line="243" w:lineRule="auto"/>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the discovery targets such as AcRIIb and K14, as well as other future potential pipeline candidates;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make strategic investments in manufacturing processes and formulations;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 manufacturing capabilities through outsourcing and potentially build a scalable manufacturing facility;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maintain our intellectual property portfolio and consider the acquisition of complementary intellectual property;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seek regulatory approvals for our product candidates.</w:t>
      </w:r>
    </w:p>
    <w:p>
      <w:pPr>
        <w:spacing w:after="0" w:line="16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may experience delays or encounter issues with any of the above, including but not limited to failed studies, complex results, safety issues or other regulatory challenges.</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expect that our existing cash together with anticipated net proceeds from this offering will enable us to fund our operating expenses and capital expenditure requirements through at least 2017. We have based this estimate on assumptions that may prove to be wrong, and we may use our available capital resources sooner than we currently expect. Because of the numerous risks and uncertainties associated with the development of drug candidates or follow-on programs and because the extent to which we may enter into collaborations with third parties for development of product candidates is unknown, we are unable to estimate the amounts of increased capital outlays and operating expenses associated with completing the research and development for our therapeutic programs. Our future capital requirements for our therapeutic programs will depend on many factors, including:</w:t>
      </w:r>
    </w:p>
    <w:p>
      <w:pPr>
        <w:spacing w:after="0" w:line="192" w:lineRule="exact"/>
        <w:rPr>
          <w:sz w:val="20"/>
          <w:szCs w:val="20"/>
          <w:color w:val="auto"/>
        </w:rPr>
      </w:pPr>
    </w:p>
    <w:p>
      <w:pPr>
        <w:ind w:left="800" w:right="140" w:hanging="454"/>
        <w:spacing w:after="0" w:line="243" w:lineRule="auto"/>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progress and results of conducting research and continued preclinical development within our therapeutic programs and with respect to future potential pipeline candidates;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cost of manufacturing clinical supplies of our product candidates;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47" w:lineRule="exact"/>
        <w:rPr>
          <w:rFonts w:ascii="Arial" w:cs="Arial" w:eastAsia="Arial" w:hAnsi="Arial"/>
          <w:sz w:val="17"/>
          <w:szCs w:val="17"/>
          <w:color w:val="auto"/>
        </w:rPr>
      </w:pPr>
    </w:p>
    <w:p>
      <w:pPr>
        <w:ind w:left="800" w:right="140" w:hanging="454"/>
        <w:spacing w:after="0" w:line="243" w:lineRule="auto"/>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manufacturing, marketing, sales and distribution, for any of our product candidates for which we receive marketing approval;</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product candidates for which we receive marketing approval;</w:t>
      </w:r>
    </w:p>
    <w:p>
      <w:pPr>
        <w:spacing w:after="0" w:line="47" w:lineRule="exact"/>
        <w:rPr>
          <w:rFonts w:ascii="Arial" w:cs="Arial" w:eastAsia="Arial" w:hAnsi="Arial"/>
          <w:sz w:val="17"/>
          <w:szCs w:val="17"/>
          <w:color w:val="auto"/>
        </w:rPr>
      </w:pPr>
    </w:p>
    <w:p>
      <w:pPr>
        <w:ind w:left="800" w:right="300" w:hanging="454"/>
        <w:spacing w:after="0" w:line="243" w:lineRule="auto"/>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 and</w:t>
      </w:r>
    </w:p>
    <w:p>
      <w:pPr>
        <w:spacing w:after="0" w:line="47" w:lineRule="exact"/>
        <w:rPr>
          <w:rFonts w:ascii="Arial" w:cs="Arial" w:eastAsia="Arial" w:hAnsi="Arial"/>
          <w:sz w:val="17"/>
          <w:szCs w:val="17"/>
          <w:color w:val="auto"/>
        </w:rPr>
      </w:pPr>
    </w:p>
    <w:p>
      <w:pPr>
        <w:ind w:left="800" w:right="560" w:hanging="454"/>
        <w:spacing w:after="0" w:line="243" w:lineRule="auto"/>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 although we currently have no commitments or agreements to complete any such transactions.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sales of products that we do not expect to be commercially available for many years, if ever. Accordingly, we will need to obtain substantial additional funds to achieve our business objectives.</w:t>
      </w:r>
    </w:p>
    <w:p>
      <w:pPr>
        <w:spacing w:after="0" w:line="15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ordinary shares. Additional debt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following table summarizes our contractual obligations at December 31, 2014 and the effect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1-3</w:t>
            </w:r>
          </w:p>
        </w:tc>
        <w:tc>
          <w:tcPr>
            <w:tcW w:w="42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r>
      <w:tr>
        <w:trPr>
          <w:trHeight w:val="175"/>
        </w:trPr>
        <w:tc>
          <w:tcPr>
            <w:tcW w:w="648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Years</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Years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56"/>
        </w:trPr>
        <w:tc>
          <w:tcPr>
            <w:tcW w:w="64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Operating lease commitments </w:t>
            </w:r>
            <w:r>
              <w:rPr>
                <w:rFonts w:ascii="Arial" w:cs="Arial" w:eastAsia="Arial" w:hAnsi="Arial"/>
                <w:sz w:val="14"/>
                <w:szCs w:val="14"/>
                <w:color w:val="auto"/>
              </w:rPr>
              <w:t>(1)</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$11,505</w:t>
            </w:r>
          </w:p>
        </w:tc>
        <w:tc>
          <w:tcPr>
            <w:tcW w:w="5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457</w:t>
            </w:r>
          </w:p>
        </w:tc>
        <w:tc>
          <w:tcPr>
            <w:tcW w:w="130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$2,302</w:t>
            </w: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9"/>
              </w:rPr>
              <w:t>$3,038</w:t>
            </w:r>
          </w:p>
        </w:tc>
        <w:tc>
          <w:tcPr>
            <w:tcW w:w="3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5,708</w:t>
            </w: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 xml:space="preserve">Capital lease obligations </w:t>
            </w:r>
            <w:r>
              <w:rPr>
                <w:rFonts w:ascii="Arial" w:cs="Arial" w:eastAsia="Arial" w:hAnsi="Arial"/>
                <w:sz w:val="14"/>
                <w:szCs w:val="14"/>
                <w:color w:val="auto"/>
              </w:rPr>
              <w:t>(1)</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203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1300" w:type="dxa"/>
            <w:vAlign w:val="bottom"/>
            <w:gridSpan w:val="3"/>
          </w:tcPr>
          <w:p>
            <w:pPr>
              <w:jc w:val="right"/>
              <w:ind w:right="420"/>
              <w:spacing w:after="0" w:line="189" w:lineRule="exact"/>
              <w:rPr>
                <w:sz w:val="20"/>
                <w:szCs w:val="20"/>
                <w:color w:val="auto"/>
              </w:rPr>
            </w:pPr>
            <w:r>
              <w:rPr>
                <w:rFonts w:ascii="Arial" w:cs="Arial" w:eastAsia="Arial" w:hAnsi="Arial"/>
                <w:sz w:val="17"/>
                <w:szCs w:val="17"/>
                <w:color w:val="auto"/>
              </w:rPr>
              <w:t>135</w:t>
            </w:r>
          </w:p>
        </w:tc>
        <w:tc>
          <w:tcPr>
            <w:tcW w:w="7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License and collaboration agreements </w:t>
            </w:r>
            <w:r>
              <w:rPr>
                <w:rFonts w:ascii="Arial" w:cs="Arial" w:eastAsia="Arial" w:hAnsi="Arial"/>
                <w:sz w:val="14"/>
                <w:szCs w:val="14"/>
                <w:color w:val="auto"/>
              </w:rPr>
              <w:t>(2)</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714</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319</w:t>
            </w:r>
          </w:p>
        </w:tc>
        <w:tc>
          <w:tcPr>
            <w:tcW w:w="130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365</w:t>
            </w:r>
          </w:p>
        </w:tc>
        <w:tc>
          <w:tcPr>
            <w:tcW w:w="7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20"/>
        </w:trPr>
        <w:tc>
          <w:tcPr>
            <w:tcW w:w="6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480" w:type="dxa"/>
            <w:vAlign w:val="bottom"/>
          </w:tcPr>
          <w:p>
            <w:pPr>
              <w:ind w:left="520"/>
              <w:spacing w:after="0"/>
              <w:rPr>
                <w:sz w:val="20"/>
                <w:szCs w:val="20"/>
                <w:color w:val="auto"/>
              </w:rPr>
            </w:pPr>
            <w:r>
              <w:rPr>
                <w:rFonts w:ascii="Arial" w:cs="Arial" w:eastAsia="Arial" w:hAnsi="Arial"/>
                <w:sz w:val="17"/>
                <w:szCs w:val="17"/>
                <w:color w:val="auto"/>
              </w:rPr>
              <w:t>Total</w:t>
            </w: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 xml:space="preserve"> 12,422</w:t>
            </w:r>
          </w:p>
        </w:tc>
        <w:tc>
          <w:tcPr>
            <w:tcW w:w="5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827</w:t>
            </w:r>
          </w:p>
        </w:tc>
        <w:tc>
          <w:tcPr>
            <w:tcW w:w="1300" w:type="dxa"/>
            <w:vAlign w:val="bottom"/>
            <w:gridSpan w:val="3"/>
          </w:tcPr>
          <w:p>
            <w:pPr>
              <w:jc w:val="right"/>
              <w:ind w:right="4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2,802</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 xml:space="preserve"> 3,085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5,708</w:t>
            </w:r>
          </w:p>
        </w:tc>
      </w:tr>
      <w:tr>
        <w:trPr>
          <w:trHeight w:val="20"/>
        </w:trPr>
        <w:tc>
          <w:tcPr>
            <w:tcW w:w="6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340" w:right="120" w:hanging="305"/>
        <w:spacing w:after="0" w:line="208" w:lineRule="auto"/>
        <w:tabs>
          <w:tab w:leader="none" w:pos="3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Includes the following leases entered into subsequent to December 31, 2014: (i) office and laboratory space in Okinawa, Japan under an annually renewable lease, which was renewed in April 2015 and expires in March 2016; (ii) in April 2015, we entered into a lease agreement for an office and laboratory facility in Cambridge, Massachusetts; the lease term is expected to commence in October 2015 and has a term of 7.5 years; and (iii) in April 2015, we entered into a three-year lease to acquire laboratory equipment in the amount of $0.3 million, which has been accounted for as a capital lease.</w:t>
      </w:r>
    </w:p>
    <w:p>
      <w:pPr>
        <w:spacing w:after="0" w:line="31" w:lineRule="exact"/>
        <w:rPr>
          <w:rFonts w:ascii="Arial" w:cs="Arial" w:eastAsia="Arial" w:hAnsi="Arial"/>
          <w:sz w:val="24"/>
          <w:szCs w:val="24"/>
          <w:color w:val="auto"/>
          <w:vertAlign w:val="superscript"/>
        </w:rPr>
      </w:pPr>
    </w:p>
    <w:p>
      <w:pPr>
        <w:ind w:left="340" w:right="100" w:hanging="265"/>
        <w:spacing w:after="0" w:line="214" w:lineRule="auto"/>
        <w:tabs>
          <w:tab w:leader="none" w:pos="340" w:val="left"/>
        </w:tabs>
        <w:numPr>
          <w:ilvl w:val="1"/>
          <w:numId w:val="43"/>
        </w:numPr>
        <w:rPr>
          <w:rFonts w:ascii="Arial" w:cs="Arial" w:eastAsia="Arial" w:hAnsi="Arial"/>
          <w:sz w:val="24"/>
          <w:szCs w:val="24"/>
          <w:color w:val="auto"/>
          <w:vertAlign w:val="superscript"/>
        </w:rPr>
      </w:pPr>
      <w:r>
        <w:rPr>
          <w:rFonts w:ascii="Arial" w:cs="Arial" w:eastAsia="Arial" w:hAnsi="Arial"/>
          <w:sz w:val="14"/>
          <w:szCs w:val="14"/>
          <w:color w:val="auto"/>
        </w:rPr>
        <w:t>We have also entered into certain license and research and collaboration agreements subsequent to December 31, 2014. See “Business—Licensing Arrangements and Research Collaborations.” Our known commitments under those agreements are included in the table above under “License and collaboration agreements.” In addition, we may be obligated to make future payments to third parties under certain of these license and research and collaboration agreements, including sublicense fees, royalties and payments that become due and payable on the achievement of certain development and regulatory milestones. As the amount and timing of sublicense fees and the achievement and timing of these milestones are not probable and estimable, such commitments have not been included on our balance sheet or in the table above.</w:t>
      </w:r>
    </w:p>
    <w:p>
      <w:pPr>
        <w:spacing w:after="0" w:line="14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0" w:lineRule="exact"/>
        <w:rPr>
          <w:sz w:val="20"/>
          <w:szCs w:val="20"/>
          <w:color w:val="auto"/>
        </w:rPr>
      </w:pPr>
    </w:p>
    <w:p>
      <w:pPr>
        <w:ind w:right="740"/>
        <w:spacing w:after="0" w:line="243"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5"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In July 2013, the Financial Accounting Standards Board, or FASB, issued Accounting Standards Update 2013-11, or ASU 2013-11, </w:t>
      </w:r>
      <w:r>
        <w:rPr>
          <w:rFonts w:ascii="Arial" w:cs="Arial" w:eastAsia="Arial" w:hAnsi="Arial"/>
          <w:sz w:val="17"/>
          <w:szCs w:val="17"/>
          <w:i w:val="1"/>
          <w:iCs w:val="1"/>
          <w:color w:val="auto"/>
        </w:rPr>
        <w:t>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Unrecognized Tax Benefit When a Net Operating Loss Carryforward, a Similar Tax Loss, or a Tax Credit Carryforward Exists</w:t>
      </w:r>
      <w:r>
        <w:rPr>
          <w:rFonts w:ascii="Arial" w:cs="Arial" w:eastAsia="Arial" w:hAnsi="Arial"/>
          <w:sz w:val="17"/>
          <w:szCs w:val="17"/>
          <w:color w:val="auto"/>
        </w:rPr>
        <w:t>, which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unrecognized tax benefits to be presented as a decrease in a net operating loss, similar tax loss or tax credit carryforward if certain criteria are met. The guidance was effective for fiscal years and interim periods within those years beginning after December 15, 2013 for public entities with early adoption permitted in 2013. Previously provide explicit guidance on the financial statement presentation of an unrecognized tax benefit when a net operating loss carryforward, a similar tax loss or a tax credit carryforward exists. We elected to early adopt ASU 2013-11 in 2013.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 xml:space="preserve">In June 2014, the FASB issued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U.S. GAAP, in the financial statements of development stage companies. The amendments are effective for annual reporting periods beginning after December 15, 2014 and interim reporting periods beginning after December 15, 2015. Early adoption is permitted for any annual reporting period or interim period for which the entity’s financial statements have not yet been issued (public business entities) or made available for issuance (other entities). We elected to early adopt this guidance and, therefore, have not presented inception-to-date disclosures in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supersedes most of the existing guidance on revenue recognition in ASC Topic 605, Revenue Recognition. The core principle of the revenue model is that an entity recognizes revenue to depict the transfer of promised goods or services to customers in an amount that reflects the consideration to which the entity expects to be entitled in exchange for those goods and services. In applying the revenue model to contracts within its scope, an entity will need to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 July 9, 2015, the FASB extended the effective date of adoption of the standard to interim reporting periods within annual reporting periods beginning after December 15, 2017 (that is, beginning in the first interim period within the year of adoption). Early adoption of the standard is permitted for all entities for interim and annual periods beginning after December 15, 2016. We do not expect the impact of adopting ASU 2014-09 will be material to our consolidated financial statements.</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We do not expect the adoption of this guidance to have material impact on our consolidated financial statements.</w:t>
      </w:r>
    </w:p>
    <w:p>
      <w:pPr>
        <w:spacing w:after="0" w:line="130"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Consolidation (Topic 810)</w:t>
      </w:r>
      <w:r>
        <w:rPr>
          <w:rFonts w:ascii="Arial" w:cs="Arial" w:eastAsia="Arial" w:hAnsi="Arial"/>
          <w:sz w:val="17"/>
          <w:szCs w:val="17"/>
          <w:color w:val="auto"/>
        </w:rPr>
        <w:t>, to address financial reporting considerations for the evaluation as to the requirement to consolidate certain legal entities. ASU 2015-02 is effective for fiscal years and for interim periods within those fiscal years beginning after December 15, 2015. We are evaluating the impact of ASU 2015-02 and if early adoption is appropriate in future reporting periods.</w:t>
      </w:r>
    </w:p>
    <w:p>
      <w:pPr>
        <w:spacing w:after="0" w:line="123"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Interest—Imputation of Interest (Subtopic 835-30)</w:t>
      </w:r>
      <w:r>
        <w:rPr>
          <w:rFonts w:ascii="Arial" w:cs="Arial" w:eastAsia="Arial" w:hAnsi="Arial"/>
          <w:sz w:val="17"/>
          <w:szCs w:val="17"/>
          <w:color w:val="auto"/>
        </w:rPr>
        <w:t>, as part of the initiative to reduce complexity in accounting standards. The update requires that debt issuance costs related to a recognized debt liability be presented in the balance sheet as a direct deduction from the carrying amount of that debt liability, consistent with debt discounts. ASU 2015-03 is effective for annual periods beginning after December 15, 2015 and for interim periods within those fiscal years. We do not expect the impact of ASU 2015-03 to be material to our consolidated financial statements.</w:t>
      </w:r>
    </w:p>
    <w:p>
      <w:pPr>
        <w:spacing w:after="0" w:line="14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3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interest rate risk in the ordinary course of our business. Our cash is held in readily available checking accounts.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54"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are exposed to market risk related to changes in the value of the Japanese yen, which is the currency our Japanese subsidiary conducts its business in. As of June 30, 2015, 7.2% of our assets were located in Japan, and 8.2% of our general and administrative and research and development expenditures were transacted in Japanese yen through the six months ended June 30, 2015. Our foreign currency sensitivity is affected by changes in the Japanese yen, which is impacted by economic factors both locally in Japan and worldwide. A hypothetical 10% change in foreign currency rates would not have a material impact on our historical financial position or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in the last two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financial statements are prepared in accordance with generally accepted accounting principles, or GAAP, in the United States of America. The preparation of our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We are a multi-national company subject to taxation in the United States, Japan and Singapore.</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account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we provide a valuation allowance to the extent that it is more likely than not that it will generate sufficient taxable income in future periods to realize the benefit of its deferred tax assets.</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account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41"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We measure options to purchase our ordinary shares and other share-based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have issued options to purchase shares and share awards and record the expense for these awards using the straight-line method.</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measure share-based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ordinary shares and updated assumption inputs in the Black-Scholes option-pricing model.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fair value of each share option grant was determined using the methods and assumptions discussed below. Each of these inputs is subjective and generally requires significant judgment and estimation by management.</w:t>
      </w:r>
    </w:p>
    <w:p>
      <w:pPr>
        <w:spacing w:after="0" w:line="86" w:lineRule="exact"/>
        <w:rPr>
          <w:sz w:val="20"/>
          <w:szCs w:val="20"/>
          <w:color w:val="auto"/>
        </w:rPr>
      </w:pPr>
    </w:p>
    <w:p>
      <w:pPr>
        <w:ind w:left="1260" w:right="180" w:hanging="455"/>
        <w:spacing w:after="0"/>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Ordinary Shares. </w:t>
      </w:r>
      <w:r>
        <w:rPr>
          <w:rFonts w:ascii="Arial" w:cs="Arial" w:eastAsia="Arial" w:hAnsi="Arial"/>
          <w:sz w:val="17"/>
          <w:szCs w:val="17"/>
          <w:color w:val="auto"/>
        </w:rPr>
        <w:t>As discussed below, the fair value of our ordinary shares underlying our share options has historically</w:t>
      </w:r>
      <w:r>
        <w:rPr>
          <w:rFonts w:ascii="Arial" w:cs="Arial" w:eastAsia="Arial" w:hAnsi="Arial"/>
          <w:sz w:val="17"/>
          <w:szCs w:val="17"/>
          <w:i w:val="1"/>
          <w:iCs w:val="1"/>
          <w:color w:val="auto"/>
        </w:rPr>
        <w:t xml:space="preserve"> </w:t>
      </w:r>
      <w:r>
        <w:rPr>
          <w:rFonts w:ascii="Arial" w:cs="Arial" w:eastAsia="Arial" w:hAnsi="Arial"/>
          <w:sz w:val="17"/>
          <w:szCs w:val="17"/>
          <w:color w:val="auto"/>
        </w:rPr>
        <w:t>been determined by our board of directors. Because there has been no public market for our ordinary shares, our board of directors has determined the fair value of our ordinary shares at the time of grant of the option by considering a number of objective and subjective factors, including valuations of comparable companies, sales of our shares to unrelated third parties, our operating and financial performance and general and industry specific economic outlook.</w:t>
      </w:r>
    </w:p>
    <w:p>
      <w:pPr>
        <w:spacing w:after="0" w:line="8" w:lineRule="exact"/>
        <w:rPr>
          <w:rFonts w:ascii="Arial" w:cs="Arial" w:eastAsia="Arial" w:hAnsi="Arial"/>
          <w:sz w:val="17"/>
          <w:szCs w:val="17"/>
          <w:color w:val="auto"/>
        </w:rPr>
      </w:pPr>
    </w:p>
    <w:p>
      <w:pPr>
        <w:jc w:val="both"/>
        <w:ind w:left="1260" w:right="220" w:hanging="455"/>
        <w:spacing w:after="0" w:line="248"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share options represents the weighted-average period that the share options are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remain outstanding. We estimated the expected term using the simplified method, which is an average of the contractual term of the option and the vesting period.</w:t>
      </w:r>
    </w:p>
    <w:p>
      <w:pPr>
        <w:spacing w:after="0" w:line="1" w:lineRule="exact"/>
        <w:rPr>
          <w:rFonts w:ascii="Arial" w:cs="Arial" w:eastAsia="Arial" w:hAnsi="Arial"/>
          <w:sz w:val="17"/>
          <w:szCs w:val="17"/>
          <w:color w:val="auto"/>
        </w:rPr>
      </w:pPr>
    </w:p>
    <w:p>
      <w:pPr>
        <w:ind w:left="1260" w:right="100" w:hanging="455"/>
        <w:spacing w:after="0" w:line="248"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there has been no public market for our ordinary shares and lack of company-specific historical volatility,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determined the share price volatility for options granted based on an analysis of the volatility used by a peer group of publicly traded companies. In evaluating similarity, we consider factors such as industry, stage of life cycle and size.</w:t>
      </w:r>
    </w:p>
    <w:p>
      <w:pPr>
        <w:spacing w:after="0" w:line="1" w:lineRule="exact"/>
        <w:rPr>
          <w:rFonts w:ascii="Arial" w:cs="Arial" w:eastAsia="Arial" w:hAnsi="Arial"/>
          <w:sz w:val="17"/>
          <w:szCs w:val="17"/>
          <w:color w:val="auto"/>
        </w:rPr>
      </w:pPr>
    </w:p>
    <w:p>
      <w:pPr>
        <w:ind w:left="1260" w:right="120" w:hanging="455"/>
        <w:spacing w:after="0" w:line="257"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the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notes with remaining terms similar to the expected term of the options.</w:t>
      </w:r>
    </w:p>
    <w:p>
      <w:pPr>
        <w:ind w:left="1260" w:hanging="455"/>
        <w:spacing w:after="0"/>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was assumed to be zero as we have never paid dividends and have no current plans to do so.</w:t>
      </w:r>
    </w:p>
    <w:p>
      <w:pPr>
        <w:spacing w:after="0" w:line="47" w:lineRule="exact"/>
        <w:rPr>
          <w:rFonts w:ascii="Arial" w:cs="Arial" w:eastAsia="Arial" w:hAnsi="Arial"/>
          <w:sz w:val="17"/>
          <w:szCs w:val="17"/>
          <w:color w:val="auto"/>
        </w:rPr>
      </w:pPr>
    </w:p>
    <w:p>
      <w:pPr>
        <w:ind w:left="1260" w:right="340" w:hanging="455"/>
        <w:spacing w:after="0" w:line="243"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Expected Forfeiture Rate. </w:t>
      </w:r>
      <w:r>
        <w:rPr>
          <w:rFonts w:ascii="Arial" w:cs="Arial" w:eastAsia="Arial" w:hAnsi="Arial"/>
          <w:sz w:val="17"/>
          <w:szCs w:val="17"/>
          <w:color w:val="auto"/>
        </w:rPr>
        <w:t>We are required to estimate forfeitures at the time of grant, and revise those estimates in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if actual forfeitures differ from those estimates. We use historical data to estimate pre-vesting option forfeitures and record share-based compensation expense only for those awards that are expected to vest. To the extent actual forfeitures differ from the estimates, the difference will be recorded as a cumulative adjustment in the period that the estimates are revised.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did not issue any share options or share awards in 2013 and 2014.</w:t>
      </w:r>
    </w:p>
    <w:p>
      <w:pPr>
        <w:spacing w:after="0" w:line="15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estimated grant-date fair value of our share-based awards granted to our employees and directors was calculated using the Black-Scholes option-pricing model, based on the following assumptions for the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10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10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126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1.78%</w:t>
            </w:r>
          </w:p>
        </w:tc>
      </w:tr>
      <w:tr>
        <w:trPr>
          <w:trHeight w:val="189"/>
        </w:trPr>
        <w:tc>
          <w:tcPr>
            <w:tcW w:w="101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1260" w:type="dxa"/>
            <w:vAlign w:val="bottom"/>
          </w:tcPr>
          <w:p>
            <w:pPr>
              <w:jc w:val="center"/>
              <w:spacing w:after="0" w:line="189" w:lineRule="exact"/>
              <w:rPr>
                <w:sz w:val="20"/>
                <w:szCs w:val="20"/>
                <w:color w:val="auto"/>
              </w:rPr>
            </w:pPr>
            <w:r>
              <w:rPr>
                <w:rFonts w:ascii="Arial" w:cs="Arial" w:eastAsia="Arial" w:hAnsi="Arial"/>
                <w:sz w:val="17"/>
                <w:szCs w:val="17"/>
                <w:color w:val="auto"/>
              </w:rPr>
              <w:t>5.52 – 6.08</w:t>
            </w:r>
          </w:p>
        </w:tc>
      </w:tr>
      <w:tr>
        <w:trPr>
          <w:trHeight w:val="189"/>
        </w:trPr>
        <w:tc>
          <w:tcPr>
            <w:tcW w:w="10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2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71.02%</w:t>
            </w:r>
          </w:p>
        </w:tc>
      </w:tr>
      <w:tr>
        <w:trPr>
          <w:trHeight w:val="189"/>
        </w:trPr>
        <w:tc>
          <w:tcPr>
            <w:tcW w:w="101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260" w:type="dxa"/>
            <w:vAlign w:val="bottom"/>
          </w:tcPr>
          <w:p>
            <w:pPr>
              <w:jc w:val="center"/>
              <w:spacing w:after="0" w:line="189" w:lineRule="exact"/>
              <w:rPr>
                <w:sz w:val="20"/>
                <w:szCs w:val="20"/>
                <w:color w:val="auto"/>
              </w:rPr>
            </w:pPr>
            <w:r>
              <w:rPr>
                <w:rFonts w:ascii="Arial" w:cs="Arial" w:eastAsia="Arial" w:hAnsi="Arial"/>
                <w:sz w:val="17"/>
                <w:szCs w:val="17"/>
                <w:color w:val="auto"/>
              </w:rPr>
              <w:t>0%</w:t>
            </w:r>
          </w:p>
        </w:tc>
      </w:tr>
      <w:tr>
        <w:trPr>
          <w:trHeight w:val="189"/>
        </w:trPr>
        <w:tc>
          <w:tcPr>
            <w:tcW w:w="10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12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9"/>
              </w:rPr>
              <w:t>$10.00</w:t>
            </w:r>
          </w:p>
        </w:tc>
      </w:tr>
      <w:tr>
        <w:trPr>
          <w:trHeight w:val="205"/>
        </w:trPr>
        <w:tc>
          <w:tcPr>
            <w:tcW w:w="101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1260" w:type="dxa"/>
            <w:vAlign w:val="bottom"/>
          </w:tcPr>
          <w:p>
            <w:pPr>
              <w:jc w:val="center"/>
              <w:spacing w:after="0"/>
              <w:rPr>
                <w:sz w:val="20"/>
                <w:szCs w:val="20"/>
                <w:color w:val="auto"/>
              </w:rPr>
            </w:pPr>
            <w:r>
              <w:rPr>
                <w:rFonts w:ascii="Arial" w:cs="Arial" w:eastAsia="Arial" w:hAnsi="Arial"/>
                <w:sz w:val="17"/>
                <w:szCs w:val="17"/>
                <w:color w:val="auto"/>
                <w:w w:val="99"/>
              </w:rPr>
              <w:t>$17.83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 fair value of our share-based awards granted to our non-employees was calculated using the Black-Scholes option-pricing model, based on the following assumptions for the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860" w:type="dxa"/>
            <w:vAlign w:val="bottom"/>
            <w:tcBorders>
              <w:bottom w:val="single" w:sz="8" w:color="CCEEFF"/>
            </w:tcBorders>
          </w:tcPr>
          <w:p>
            <w:pPr>
              <w:spacing w:after="0"/>
              <w:rPr>
                <w:sz w:val="15"/>
                <w:szCs w:val="15"/>
                <w:color w:val="auto"/>
              </w:rPr>
            </w:pPr>
          </w:p>
        </w:tc>
        <w:tc>
          <w:tcPr>
            <w:tcW w:w="58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3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584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2.14% – 2.35%</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584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7"/>
                <w:szCs w:val="17"/>
                <w:color w:val="auto"/>
              </w:rPr>
              <w:t>9.69 – 10.00</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584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69.16% – 69.80%</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7560" w:type="dxa"/>
            <w:vAlign w:val="bottom"/>
            <w:gridSpan w:val="2"/>
          </w:tcPr>
          <w:p>
            <w:pPr>
              <w:jc w:val="center"/>
              <w:ind w:left="5756"/>
              <w:spacing w:after="0" w:line="189" w:lineRule="exact"/>
              <w:rPr>
                <w:sz w:val="20"/>
                <w:szCs w:val="20"/>
                <w:color w:val="auto"/>
              </w:rPr>
            </w:pPr>
            <w:r>
              <w:rPr>
                <w:rFonts w:ascii="Arial" w:cs="Arial" w:eastAsia="Arial" w:hAnsi="Arial"/>
                <w:sz w:val="17"/>
                <w:szCs w:val="17"/>
                <w:color w:val="auto"/>
                <w:w w:val="97"/>
              </w:rPr>
              <w:t>0%</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7560" w:type="dxa"/>
            <w:vAlign w:val="bottom"/>
            <w:gridSpan w:val="2"/>
            <w:shd w:val="clear" w:color="auto" w:fill="CCEEFF"/>
          </w:tcPr>
          <w:p>
            <w:pPr>
              <w:jc w:val="center"/>
              <w:ind w:left="5756"/>
              <w:spacing w:after="0" w:line="189" w:lineRule="exact"/>
              <w:rPr>
                <w:sz w:val="20"/>
                <w:szCs w:val="20"/>
                <w:color w:val="auto"/>
              </w:rPr>
            </w:pPr>
            <w:r>
              <w:rPr>
                <w:rFonts w:ascii="Arial" w:cs="Arial" w:eastAsia="Arial" w:hAnsi="Arial"/>
                <w:sz w:val="17"/>
                <w:szCs w:val="17"/>
                <w:color w:val="auto"/>
                <w:w w:val="99"/>
              </w:rPr>
              <w:t>$10.00</w:t>
            </w:r>
          </w:p>
        </w:tc>
      </w:tr>
      <w:tr>
        <w:trPr>
          <w:trHeight w:val="205"/>
        </w:trPr>
        <w:tc>
          <w:tcPr>
            <w:tcW w:w="38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58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rPr>
              <w:t>$17.83 – 35.56</w:t>
            </w:r>
          </w:p>
        </w:tc>
      </w:tr>
      <w:tr>
        <w:trPr>
          <w:trHeight w:val="200"/>
        </w:trPr>
        <w:tc>
          <w:tcPr>
            <w:tcW w:w="3860" w:type="dxa"/>
            <w:vAlign w:val="bottom"/>
            <w:tcBorders>
              <w:bottom w:val="single" w:sz="8" w:color="auto"/>
            </w:tcBorders>
          </w:tcPr>
          <w:p>
            <w:pPr>
              <w:spacing w:after="0"/>
              <w:rPr>
                <w:sz w:val="17"/>
                <w:szCs w:val="17"/>
                <w:color w:val="auto"/>
              </w:rPr>
            </w:pPr>
          </w:p>
        </w:tc>
        <w:tc>
          <w:tcPr>
            <w:tcW w:w="58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366"/>
        </w:trPr>
        <w:tc>
          <w:tcPr>
            <w:tcW w:w="3860" w:type="dxa"/>
            <w:vAlign w:val="bottom"/>
          </w:tcPr>
          <w:p>
            <w:pPr>
              <w:spacing w:after="0"/>
              <w:rPr>
                <w:sz w:val="24"/>
                <w:szCs w:val="24"/>
                <w:color w:val="auto"/>
              </w:rPr>
            </w:pPr>
          </w:p>
        </w:tc>
        <w:tc>
          <w:tcPr>
            <w:tcW w:w="5840" w:type="dxa"/>
            <w:vAlign w:val="bottom"/>
          </w:tcPr>
          <w:p>
            <w:pPr>
              <w:jc w:val="right"/>
              <w:ind w:right="3816"/>
              <w:spacing w:after="0"/>
              <w:rPr>
                <w:sz w:val="20"/>
                <w:szCs w:val="20"/>
                <w:color w:val="auto"/>
              </w:rPr>
            </w:pPr>
            <w:r>
              <w:rPr>
                <w:rFonts w:ascii="Arial" w:cs="Arial" w:eastAsia="Arial" w:hAnsi="Arial"/>
                <w:sz w:val="16"/>
                <w:szCs w:val="16"/>
                <w:color w:val="auto"/>
              </w:rPr>
              <w:t>67</w:t>
            </w:r>
          </w:p>
        </w:tc>
        <w:tc>
          <w:tcPr>
            <w:tcW w:w="1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These assumptions represented our best estimates, but the estimates involve inherent uncertainties and the application of our judgment.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classification of our share-based compensation expense recognized in our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expenses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4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 expense</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Determination of the Fair Value of Ordinary Shares</w:t>
      </w:r>
    </w:p>
    <w:p>
      <w:pPr>
        <w:spacing w:after="0" w:line="5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a privately held company with no active public market for our ordinary shares. Therefore, our board of directors has estimated the fair value of our ordinary shares at various dates, with input from management, considering our most recently available third-party valuations of ordinary shares and our board of directors’ assessment of additional objective and subjective factors that it believed were relevant and which may have changed from the date of the most recent valuation through the date of the grant.</w:t>
      </w:r>
    </w:p>
    <w:p>
      <w:pPr>
        <w:spacing w:after="0" w:line="14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 xml:space="preserve">The board determined the estimated per share fair value of our ordinary shares at various dates considering contemporaneous and retrospective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Privately-Held Company Equity Securities Issued as Compensation</w:t>
      </w:r>
      <w:r>
        <w:rPr>
          <w:rFonts w:ascii="Arial" w:cs="Arial" w:eastAsia="Arial" w:hAnsi="Arial"/>
          <w:sz w:val="17"/>
          <w:szCs w:val="17"/>
          <w:color w:val="auto"/>
        </w:rPr>
        <w:t>, or the Practice Aid. Following the consummation of this offering,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ordinary shares will be determined based on the quoted market price of our ordinary shares. In conducting the valuations, the third-party considered all objective and subjective factors that it believed to be relevant for each valuation conducted in accordance with the Practice Aid, including our best estimate of our business condition, prospects and operating performance at each valuation date. Other significant factors included:</w:t>
      </w:r>
    </w:p>
    <w:p>
      <w:pPr>
        <w:spacing w:after="0" w:line="189" w:lineRule="exact"/>
        <w:rPr>
          <w:sz w:val="20"/>
          <w:szCs w:val="20"/>
          <w:color w:val="auto"/>
        </w:rPr>
      </w:pPr>
    </w:p>
    <w:p>
      <w:pPr>
        <w:ind w:left="800" w:hanging="454"/>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prices at which we sold shares to unrelated third parties;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of preclinical studies within our therapeutic programs;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stage of development and commercialization and our business strategy;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external market conditions affecting the biopharmaceutical industry;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trends within the biopharmaceutical industry;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lack of an active public market for our ordinary shares and our preferred shares;</w:t>
      </w:r>
    </w:p>
    <w:p>
      <w:pPr>
        <w:spacing w:after="0" w:line="47" w:lineRule="exact"/>
        <w:rPr>
          <w:rFonts w:ascii="Arial" w:cs="Arial" w:eastAsia="Arial" w:hAnsi="Arial"/>
          <w:sz w:val="17"/>
          <w:szCs w:val="17"/>
          <w:color w:val="auto"/>
        </w:rPr>
      </w:pPr>
    </w:p>
    <w:p>
      <w:pPr>
        <w:ind w:left="800" w:right="240" w:hanging="454"/>
        <w:spacing w:after="0" w:line="243" w:lineRule="auto"/>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sale of our company in light of prevailing market conditions; and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analysis of initial public offerings and the market performance of similar companies in the biopharmaceutical industry.</w:t>
      </w:r>
    </w:p>
    <w:p>
      <w:pPr>
        <w:spacing w:after="0" w:line="16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There are significant judgments and estimates inherent in these valuations. These judgments and estimates include assumptions regarding our future operating performance, the stage of development of our product candidates, the timing of a potential initial public offering or other liquidity event and the determination of the appropriate valuation methodology at each valuation date. If we had made different assumptions, our share-based compensation expense, net loss attributable to ordinary share and net loss per share attributable to ordinary shareholders could have been significantly different.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Once a public trading market for our ordinary shares has been established in connection with the closing of this offering, it will no longer be necessary for our board of directors to estimate the fair value of our ordinary shares in connection with our accounting for granted share options and share awards, as the fair value of our ordinary shares will be its trading price on The NASDAQ Global Select Market.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Methodologies</w:t>
      </w:r>
    </w:p>
    <w:p>
      <w:pPr>
        <w:spacing w:after="0" w:line="39" w:lineRule="exact"/>
        <w:rPr>
          <w:sz w:val="20"/>
          <w:szCs w:val="20"/>
          <w:color w:val="auto"/>
        </w:rPr>
      </w:pPr>
    </w:p>
    <w:p>
      <w:pPr>
        <w:jc w:val="both"/>
        <w:ind w:right="400"/>
        <w:spacing w:after="0" w:line="238" w:lineRule="auto"/>
        <w:rPr>
          <w:sz w:val="20"/>
          <w:szCs w:val="20"/>
          <w:color w:val="auto"/>
        </w:rPr>
      </w:pPr>
      <w:r>
        <w:rPr>
          <w:rFonts w:ascii="Arial" w:cs="Arial" w:eastAsia="Arial" w:hAnsi="Arial"/>
          <w:sz w:val="17"/>
          <w:szCs w:val="17"/>
          <w:color w:val="auto"/>
        </w:rPr>
        <w:t>The valuations were prepared in accordance with the guidelines in the Practice Aid, which prescribes several valuation approaches for setting the value of an enterprise, such as the cost, market and income approaches, and various methodologies for allocating the value of an enterprise to its ordinary shares.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considered several types of approaches in the preparation of our valuations as follows:</w:t>
      </w:r>
    </w:p>
    <w:p>
      <w:pPr>
        <w:spacing w:after="0" w:line="178" w:lineRule="exact"/>
        <w:rPr>
          <w:sz w:val="20"/>
          <w:szCs w:val="20"/>
          <w:color w:val="auto"/>
        </w:rPr>
      </w:pPr>
    </w:p>
    <w:p>
      <w:pPr>
        <w:ind w:left="800" w:right="20" w:hanging="454"/>
        <w:spacing w:after="0"/>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Market Approach. </w:t>
      </w:r>
      <w:r>
        <w:rPr>
          <w:rFonts w:ascii="Arial" w:cs="Arial" w:eastAsia="Arial" w:hAnsi="Arial"/>
          <w:sz w:val="17"/>
          <w:szCs w:val="17"/>
          <w:color w:val="auto"/>
        </w:rPr>
        <w:t>The market approach values a business by reference to guideline companies, for which enterprise values are known. This</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has two principal methodologies. The guideline public company methodology derives valuation multiples from the operating data and share prices of similar publicly-traded companies. The guideline acquisition methodology focuses on comparisons between the subject company and guideline acquired public or private companies. A derivative of the guideline public company method is the guideline initial public offering method, which compares the enterprise values of newly public enterprises in our industry.</w:t>
      </w:r>
    </w:p>
    <w:p>
      <w:pPr>
        <w:spacing w:after="0" w:line="8" w:lineRule="exact"/>
        <w:rPr>
          <w:rFonts w:ascii="Arial" w:cs="Arial" w:eastAsia="Arial" w:hAnsi="Arial"/>
          <w:sz w:val="17"/>
          <w:szCs w:val="17"/>
          <w:color w:val="auto"/>
        </w:rPr>
      </w:pPr>
    </w:p>
    <w:p>
      <w:pPr>
        <w:ind w:left="800" w:right="100" w:hanging="454"/>
        <w:spacing w:after="0" w:line="257" w:lineRule="auto"/>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Discounted Cash Flow Method, or DCF. </w:t>
      </w:r>
      <w:r>
        <w:rPr>
          <w:rFonts w:ascii="Arial" w:cs="Arial" w:eastAsia="Arial" w:hAnsi="Arial"/>
          <w:sz w:val="17"/>
          <w:szCs w:val="17"/>
          <w:color w:val="auto"/>
        </w:rPr>
        <w:t>The discounted cash flow method estimates the value of the business by discounting the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future cash flows available for distribution after funding internal needs to present value.</w:t>
      </w:r>
    </w:p>
    <w:p>
      <w:pPr>
        <w:ind w:left="800" w:right="220" w:hanging="454"/>
        <w:spacing w:after="0" w:line="265" w:lineRule="auto"/>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Option-Pricing Method Backsolve, or OPM Backsolve. </w:t>
      </w:r>
      <w:r>
        <w:rPr>
          <w:rFonts w:ascii="Arial" w:cs="Arial" w:eastAsia="Arial" w:hAnsi="Arial"/>
          <w:sz w:val="17"/>
          <w:szCs w:val="17"/>
          <w:color w:val="auto"/>
        </w:rPr>
        <w:t>The OPM Backsolve method derives the implied equity value for a company from a</w:t>
      </w:r>
      <w:r>
        <w:rPr>
          <w:rFonts w:ascii="Arial" w:cs="Arial" w:eastAsia="Arial" w:hAnsi="Arial"/>
          <w:sz w:val="17"/>
          <w:szCs w:val="17"/>
          <w:i w:val="1"/>
          <w:iCs w:val="1"/>
          <w:color w:val="auto"/>
        </w:rPr>
        <w:t xml:space="preserve"> </w:t>
      </w:r>
      <w:r>
        <w:rPr>
          <w:rFonts w:ascii="Arial" w:cs="Arial" w:eastAsia="Arial" w:hAnsi="Arial"/>
          <w:sz w:val="17"/>
          <w:szCs w:val="17"/>
          <w:color w:val="auto"/>
        </w:rPr>
        <w:t>recent transaction involving the company’s own securities issued on an arms-length basis.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Methods Used to Allocate Our Enterprise Value to Classes of Securities</w:t>
      </w:r>
    </w:p>
    <w:p>
      <w:pPr>
        <w:spacing w:after="0" w:line="3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accordance with the Practice Aid, we used the probability-weighted expected return method, or PWERM, to allocate the enterprise value across our classes and series of share capital to determine the fair value of our ordinary shares at each valuation date. The PWERM is a scenario-based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149"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The foregoing valuation methodologies are not the only methodologies available and they will not be used to value our ordinary shares once this offering is complete. We cannot make assurances as to any particular valuation for our ordinary shares. Accordingly, investors are cautioned not to place undue reliance on the foregoing valuation methodologies as an indicator of future stock prices.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 Grants</w:t>
      </w:r>
    </w:p>
    <w:p>
      <w:pPr>
        <w:spacing w:after="0" w:line="3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following table summarizes by grant date the number of shares subject to options granted since our inception on July 12, 2012, the per share exercise price of the options, the fair value of ordinary shares underlying the options on date of grant and the per share estimated fair value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Shares per</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Share based</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620" w:type="dxa"/>
            <w:vAlign w:val="bottom"/>
            <w:gridSpan w:val="3"/>
          </w:tcPr>
          <w:p>
            <w:pPr>
              <w:jc w:val="center"/>
              <w:ind w:left="3059"/>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on</w:t>
            </w:r>
          </w:p>
        </w:tc>
        <w:tc>
          <w:tcPr>
            <w:tcW w:w="0" w:type="dxa"/>
            <w:vAlign w:val="bottom"/>
          </w:tcPr>
          <w:p>
            <w:pPr>
              <w:spacing w:after="0"/>
              <w:rPr>
                <w:sz w:val="1"/>
                <w:szCs w:val="1"/>
                <w:color w:val="auto"/>
              </w:rPr>
            </w:pPr>
          </w:p>
        </w:tc>
      </w:tr>
      <w:tr>
        <w:trPr>
          <w:trHeight w:val="15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3360" w:type="dxa"/>
            <w:vAlign w:val="bottom"/>
          </w:tcPr>
          <w:p>
            <w:pPr>
              <w:spacing w:after="0"/>
              <w:rPr>
                <w:sz w:val="13"/>
                <w:szCs w:val="13"/>
                <w:color w:val="auto"/>
              </w:rPr>
            </w:pPr>
          </w:p>
        </w:tc>
        <w:tc>
          <w:tcPr>
            <w:tcW w:w="126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to Options</w:t>
            </w:r>
          </w:p>
        </w:tc>
        <w:tc>
          <w:tcPr>
            <w:tcW w:w="1200" w:type="dxa"/>
            <w:vAlign w:val="bottom"/>
            <w:gridSpan w:val="3"/>
          </w:tcPr>
          <w:p>
            <w:pPr>
              <w:jc w:val="right"/>
              <w:ind w:right="220"/>
              <w:spacing w:after="0" w:line="159" w:lineRule="exact"/>
              <w:rPr>
                <w:sz w:val="20"/>
                <w:szCs w:val="20"/>
                <w:color w:val="auto"/>
              </w:rPr>
            </w:pPr>
            <w:r>
              <w:rPr>
                <w:rFonts w:ascii="Arial" w:cs="Arial" w:eastAsia="Arial" w:hAnsi="Arial"/>
                <w:sz w:val="14"/>
                <w:szCs w:val="14"/>
                <w:b w:val="1"/>
                <w:bCs w:val="1"/>
                <w:color w:val="auto"/>
              </w:rPr>
              <w:t>Exercise Price</w:t>
            </w:r>
          </w:p>
        </w:tc>
        <w:tc>
          <w:tcPr>
            <w:tcW w:w="1060" w:type="dxa"/>
            <w:vAlign w:val="bottom"/>
            <w:gridSpan w:val="3"/>
          </w:tcPr>
          <w:p>
            <w:pPr>
              <w:jc w:val="center"/>
              <w:ind w:right="120"/>
              <w:spacing w:after="0" w:line="159" w:lineRule="exact"/>
              <w:rPr>
                <w:sz w:val="20"/>
                <w:szCs w:val="20"/>
                <w:color w:val="auto"/>
              </w:rPr>
            </w:pPr>
            <w:r>
              <w:rPr>
                <w:rFonts w:ascii="Arial" w:cs="Arial" w:eastAsia="Arial" w:hAnsi="Arial"/>
                <w:sz w:val="14"/>
                <w:szCs w:val="14"/>
                <w:b w:val="1"/>
                <w:bCs w:val="1"/>
                <w:color w:val="auto"/>
              </w:rPr>
              <w:t>Retrospective</w:t>
            </w:r>
          </w:p>
        </w:tc>
        <w:tc>
          <w:tcPr>
            <w:tcW w:w="0" w:type="dxa"/>
            <w:vAlign w:val="bottom"/>
          </w:tcPr>
          <w:p>
            <w:pPr>
              <w:spacing w:after="0"/>
              <w:rPr>
                <w:sz w:val="1"/>
                <w:szCs w:val="1"/>
                <w:color w:val="auto"/>
              </w:rPr>
            </w:pPr>
          </w:p>
        </w:tc>
      </w:tr>
      <w:tr>
        <w:trPr>
          <w:trHeight w:val="165"/>
        </w:trPr>
        <w:tc>
          <w:tcPr>
            <w:tcW w:w="4540" w:type="dxa"/>
            <w:vAlign w:val="bottom"/>
            <w:gridSpan w:val="2"/>
            <w:vMerge w:val="continue"/>
          </w:tcPr>
          <w:p>
            <w:pPr>
              <w:spacing w:after="0"/>
              <w:rPr>
                <w:sz w:val="14"/>
                <w:szCs w:val="14"/>
                <w:color w:val="auto"/>
              </w:rPr>
            </w:pPr>
          </w:p>
        </w:tc>
        <w:tc>
          <w:tcPr>
            <w:tcW w:w="336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Granted</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Options</w:t>
            </w:r>
          </w:p>
        </w:tc>
        <w:tc>
          <w:tcPr>
            <w:tcW w:w="1060" w:type="dxa"/>
            <w:vAlign w:val="bottom"/>
            <w:gridSpan w:val="3"/>
          </w:tcPr>
          <w:p>
            <w:pPr>
              <w:jc w:val="center"/>
              <w:ind w:right="120"/>
              <w:spacing w:after="0" w:line="165" w:lineRule="exact"/>
              <w:rPr>
                <w:sz w:val="20"/>
                <w:szCs w:val="20"/>
                <w:color w:val="auto"/>
              </w:rPr>
            </w:pPr>
            <w:r>
              <w:rPr>
                <w:rFonts w:ascii="Arial" w:cs="Arial" w:eastAsia="Arial" w:hAnsi="Arial"/>
                <w:sz w:val="12"/>
                <w:szCs w:val="12"/>
                <w:b w:val="1"/>
                <w:bCs w:val="1"/>
                <w:color w:val="auto"/>
              </w:rPr>
              <w:t xml:space="preserve">Valuation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gridSpan w:val="2"/>
            <w:shd w:val="clear" w:color="auto" w:fill="CCEEFF"/>
          </w:tcPr>
          <w:p>
            <w:pPr>
              <w:spacing w:after="0" w:line="157" w:lineRule="exact"/>
              <w:rPr>
                <w:sz w:val="20"/>
                <w:szCs w:val="20"/>
                <w:color w:val="auto"/>
              </w:rPr>
            </w:pPr>
            <w:r>
              <w:rPr>
                <w:rFonts w:ascii="Arial" w:cs="Arial" w:eastAsia="Arial" w:hAnsi="Arial"/>
                <w:sz w:val="17"/>
                <w:szCs w:val="17"/>
                <w:color w:val="auto"/>
              </w:rPr>
              <w:t>March 10, 2015</w:t>
            </w:r>
          </w:p>
        </w:tc>
        <w:tc>
          <w:tcPr>
            <w:tcW w:w="3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426,449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10.00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17.83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March 22, 2015</w:t>
            </w:r>
          </w:p>
        </w:tc>
        <w:tc>
          <w:tcPr>
            <w:tcW w:w="46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30,000</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17.83</w:t>
            </w:r>
          </w:p>
        </w:tc>
        <w:tc>
          <w:tcPr>
            <w:tcW w:w="0" w:type="dxa"/>
            <w:vAlign w:val="bottom"/>
          </w:tcPr>
          <w:p>
            <w:pPr>
              <w:spacing w:after="0"/>
              <w:rPr>
                <w:sz w:val="1"/>
                <w:szCs w:val="1"/>
                <w:color w:val="auto"/>
              </w:rPr>
            </w:pPr>
          </w:p>
        </w:tc>
      </w:tr>
      <w:tr>
        <w:trPr>
          <w:trHeight w:val="222"/>
        </w:trPr>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9, 2015</w:t>
            </w:r>
          </w:p>
        </w:tc>
        <w:tc>
          <w:tcPr>
            <w:tcW w:w="4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24,400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24.21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340" w:right="600" w:hanging="265"/>
        <w:spacing w:after="0" w:line="183"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In the third quarter of 2015, we undertook retrospective valuations of the fair value of our ordinary shares as of the grant dates and the values reflected in this column represent our estimated fair value per ordinary share in accordance with such retrospective valuations.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Based upon assumed initial public offering price of $ per share (the midpoint of the price range set forth on the cover of this prospectus), the aggregate intrinsic value of options outstanding as of June 30, 2015 was approximately $ million, of which approximately $ million related to vested options and approximately $ million related to unvested options.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00"/>
          </w:cols>
          <w:pgMar w:left="24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 preclinical biopharmaceutical company with an innovative and proprietary synthetic chemistry drug development platform that we are using to design, develop and commercialize a broad pipeline of first-in-class or best-in-class nucleic acid therapeutic candidates. Nucleic acid therapeutics have the potential to address diseases that have been difficult to treat with small molecule drugs or biologics and have emerged as a large and promising class of drugs. We are initially developing nucleic acid therapeutics that target genetic defects to either reduce the expression of disease-promoting proteins or transform the production of dysfunctional mutant proteins into the production of functional proteins. Our platform is driven by our innovative and proprietary stereochemistry technology, enabling us to rationally design, optimize and manufacture stereopure nucleic acid therapeutics, which we believe possess drug properties that are superior to the stereoisomer mixtures of oligonucleotides currently on the market or in development by others. Building upon the innovative work of our scientific founders, Gregory L. Verdine, Ph.D. and Takeshi Wada, Ph.D., we have demonstrated the benefits of our stereopure nucleic acid therapeutics in preclinical studies. Our platform can be used to design therapies that utilize any of the major molecular mechanisms employed by nucleic acid therapeutics, including antisense, ribonucleic acid interference, or RNAi, exon skipping and others.</w:t>
      </w:r>
    </w:p>
    <w:p>
      <w:pPr>
        <w:spacing w:after="0" w:line="147"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goal is to develop disease-modifying drugs for indications with a high degree of unmet medical need, in both orphan and broad diseases. We are initially focused on designing single-stranded nucleic acid therapeutics that can distribute broadly within the human body, allowing us to target diseases across multiple organ systems and tissues, through both systemic and local administration. Our most advanced therapeutic programs are in Huntington’s disease, Duchenne muscular dystrophy, or DMD, and inflammatory bowel disease, or IBD. In Huntington’s disease, we have programs targeting HTT SNP-1 and HTT SNP-2; in DMD, we are targeting Exon 51; and in IBD, we are targeting SMAD7. Upon selecting a lead candidate within each of these programs, we expect to file investigational new drug applications, or INDs, with the U.S Food and Drug Administration, or FDA, for such candidates in 2016 and early 2017. We have late-stage discovery programs in epidermolysis bullosa simplex, in which we are targeting KRT14 SNP-1 and KRT14 SNP-2, and in DMD, in which we are focused on an additional DMD target, AcRIIb. We expect to identify lead candidates for these programs in 2016. We believe that, based on our initial selection criteria of novel and fast-follower opportunities, our platform can potentially be used in the near-term to design treatments for approximately 25 other potential target indications, mostly consisting of orphan indications, with an initial focus on orphan neuromuscular and central nervous system disease targets.</w:t>
      </w:r>
    </w:p>
    <w:p>
      <w:pPr>
        <w:spacing w:after="0" w:line="154"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We believe that we have a strong intellectual property position relating to the development and commercialization of our stereopure nucleic acid therapeutics.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Our portfolio also includes filings on both methods and reagents that are designed to protect various features of the chemical methodologies that enable production of such stereopure oligonucleotide compositions. Our portfolio also includes filings designed to protect methods of using stereopure oligonucleotide compositions and filings designed to protect particular stereopure oligonucleotide products, such as those having a particular sequence, pattern of nucleoside or backbone modification, or both, pattern of backbone linkages and pattern of backbone chiral centers.</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believe that our technology provides us with a unique position in the therapeutic oligonucleotide marketplace. Due to prior or expected patent expirations and patent invalidations, we believe that a variety of useful and effective oligonucleotide chemistries, such as certain backbone and sugar modifications, that have been developed in the industry will be available to the public prior to when we expect our drugs will be commercialized. Therefore, we believe that we can readily incorporate these chemistries or other chemistries into our stereopure drugs. Moreover, our strategy does not require or rely on a particular chemistry or any particular nucleotide sequence, thus permitting us to navigate the intellectual property landscape in the field while developing our novel and proprietary oligonucleotide drugs.</w:t>
      </w:r>
    </w:p>
    <w:p>
      <w:pPr>
        <w:spacing w:after="0" w:line="14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Our founders and members of our management team are leaders in the field of nucleic acid therapeutics, including world renowned scientists, leading researchers in the field and executives with a proven track record in drug discovery development and commercialization of innovative therapeutics.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Nucleic Acid Therapeutics</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 majority of traditional therapeutics modalities, such as small molecule drugs and biologics, work by interacting with proteins that contribute to the disease. However, there are thought to be a limited number of “druggable” proteins; it is currently estimated that approximately 80% of human protein targets cannot be addressed by these conventional approaches. In contrast, directing medicines “upstream” of protein production to the ribonucleic acid, or RNA, has the potential to significantly increase the number of druggable targets.</w:t>
      </w:r>
    </w:p>
    <w:p>
      <w:pPr>
        <w:spacing w:after="0" w:line="149"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Nucleic acid therapeutics is a large and innovative class of drugs that can modulate the function of target RNAs to ultimately affect the production of disease-associated proteins. Nucleic acid therapeutics employ a number of different molecular mechanisms to regulate protein production. These mechanisms can be broadly categorized as those that promote degradation of the target RNA, including antisense and RNAi, and those that involve binding to the target RNA and modulating its function by promoting exon skipping, splice-correction and RNA-guided gene editing.</w:t>
      </w:r>
    </w:p>
    <w:p>
      <w:pPr>
        <w:spacing w:after="0" w:line="149"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The unique capability of nucleic acid therapeutics to address a wide range of genomic targets across multiple therapeutic areas has the potential to create potentially significant market opportunities to develop drugs to treat a broad spectrum of human diseases, including diseases where no medicines currently exist or for which existing treatments are suboptimal.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Design of Nucleic Acid Therapeutics</w:t>
      </w:r>
    </w:p>
    <w:p>
      <w:pPr>
        <w:spacing w:after="0" w:line="5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A large subset of nucleic acid therapeutics are comprised of chemically modified, short-length RNA or deoxyribonucleic acid, or DNA, strands, commonly known as oligonucleotides. Oligonucleotides are comprised of a sequence of nucleotides—the building blocks of RNA and DNA—that are linked together by a backbone of chemical bonds.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 nucleic acid molecules that have not been modified for therapeutic use, the nucleotides are linked by phosphodiester bonds,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Such unmodified nucleic acid molecules are unsuitable for use as therapeutics because they are rapidly degraded by enzymes called nucleases that are widely present in the human body, are rapidly cleared by the kidneys and have poor uptake into targeted cells. The industry has employed chemical modifications of the nucleotides and phosphodiester bonds to improve the stability, biodistribution and cellular uptake of nucleic acid therapeutics.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Phosphorothioate, or PS, modification was one of the earliest and remains one of the most common backbone modifications used in nucleic acid therapeutics. In PS modification, one of the nonbridging oxygen (O) atoms bonded to a phosphorus (P) atom is replaced with a sulfur (S) atom. PS modification has been shown to improve the stability of oligonucleotides by making them less susceptible to enzymatic degradation. Further, PS bond-containing oligonucleotides increase binding to plasma proteins, which improves biodistribution by preventing rapid renal excretion of these molecules.</w:t>
      </w:r>
    </w:p>
    <w:p>
      <w:pPr>
        <w:spacing w:after="0" w:line="14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PS modification is accepted as state-of-the-art in the nucleic acid therapeutics field. The two nucleic acid therapeutics that have received regulatory approval, mipomersen and fomiversen, as well as a large majority of nucleic acid therapeutics currently in development, employ PS modification. We believe that PS modification will remain a critical component of this class of therapeutics.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PS Modification Results in Complex Drug Mixtures</w:t>
      </w:r>
    </w:p>
    <w:p>
      <w:pPr>
        <w:spacing w:after="0" w:line="5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A consequence of using PS modification in oligonucleotide synthesis is that it creates a chiral center at each phosphorus, each of which is designated as either an “Sp” or “Rp” configuration. This chirality creates stereoisomers, which, as shown below, have identical chemical composition but different three-dimensional arrangement of their atoms and consequently different chemical and biological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123190</wp:posOffset>
            </wp:positionV>
            <wp:extent cx="3790315" cy="14490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9031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configuration of each PS modification occurs randomly during conventional nucleic acid synthesis. Because oligonucleotides are comprised of numerous nucleotides and associated PS modifications—with each PS modification having a random chiral configuration—the synthesis process generates an exponentially large number of stereoisomers of the synthesized oligonucleotide. Specifically, each linkage of an additional nucleotide residue doubles the number of stereoisomers of the product, so that a conventional preparation of a PS-containing oligonucleotide is in fact a highly heterogeneous mixtures of 2</w:t>
      </w:r>
      <w:r>
        <w:rPr>
          <w:rFonts w:ascii="Arial" w:cs="Arial" w:eastAsia="Arial" w:hAnsi="Arial"/>
          <w:sz w:val="14"/>
          <w:szCs w:val="14"/>
          <w:color w:val="auto"/>
        </w:rPr>
        <w:t>N</w:t>
      </w:r>
      <w:r>
        <w:rPr>
          <w:rFonts w:ascii="Arial" w:cs="Arial" w:eastAsia="Arial" w:hAnsi="Arial"/>
          <w:sz w:val="17"/>
          <w:szCs w:val="17"/>
          <w:color w:val="auto"/>
        </w:rPr>
        <w:t xml:space="preserve"> stereoisomers, where N represents the number of PS modifications. For instance, as shown below, a conventional fully PS-modified oligonucleotide (20 nucleotides in length, 19 PS modifications) in fact is a mixture of over 500,000 stereoisomers, each having the same nucleotide sequence but differing in the stereochemistry along their backbones.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125730</wp:posOffset>
            </wp:positionV>
            <wp:extent cx="2915920" cy="15690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1592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Stereoisomers often possess different chemical and pharmacologic properties. For example, certain stereoisomers can drive the therapeutic effects of a drug while others can be less beneficial or can even contribute to undesirable side effects. The greater the variation among a drug’s constituent stereoisomers, the greater the potential to diminish the drug’s efficacy and safety.</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Up until now, it has not been possible to create stereopure PS-modified nucleic acid therapeutics—meaning drugs comprised entirely of the same stereoisomer—because of an inability to specifically control the configuration of each chiral PS linkage during chemical synthesis. Moreover, because of the sheer number of stereoisomers present in a mixture, it would be impractical, if not impossible, to physically isolate the most therapeutically optimal stereoisomer from within a mixture. For these reasons, all of the PS-modified nucleic acid therapeutics currently on the market and in development by others are mixtures of many stereoisomers, which we believe are not optimized for stability, catalytic activity, efficacy or toxicity.</w:t>
      </w:r>
    </w:p>
    <w:p>
      <w:pPr>
        <w:spacing w:after="0" w:line="150" w:lineRule="exact"/>
        <w:rPr>
          <w:sz w:val="20"/>
          <w:szCs w:val="20"/>
          <w:color w:val="auto"/>
        </w:rPr>
      </w:pPr>
    </w:p>
    <w:p>
      <w:pPr>
        <w:ind w:right="720"/>
        <w:spacing w:after="0" w:line="243" w:lineRule="auto"/>
        <w:rPr>
          <w:sz w:val="20"/>
          <w:szCs w:val="20"/>
          <w:color w:val="auto"/>
        </w:rPr>
      </w:pPr>
      <w:r>
        <w:rPr>
          <w:rFonts w:ascii="Arial" w:cs="Arial" w:eastAsia="Arial" w:hAnsi="Arial"/>
          <w:sz w:val="17"/>
          <w:szCs w:val="17"/>
          <w:color w:val="auto"/>
        </w:rPr>
        <w:t>In small molecule therapeutics, U.S. regulators have long sought to eliminate the risks potentially posed by drug mixtures containing multiple stereoisomers. Since 1992, the FDA has recommended full molecular characterization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of stereoisomers within small molecule drug mixtures. Historically, it has not been possible to achieve such characterization of nucleic acid therapeutic drug mixtures, which can contain tens of thousands to millions of distinct pharmacologic entities. We believe that our demonstrated ability to design and synthesize stereopure PS-modified nucleic acid therapeutics will set a new industry standard for the molecular characterization of complex nucleic acid therapeutic drug mixtures.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Controlling Stereochemistry in Nucleic Acid Therapeutics</w:t>
      </w:r>
    </w:p>
    <w:p>
      <w:pPr>
        <w:spacing w:after="0" w:line="9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have developed proprietary technology that, for the first time, enables the development of PS-modified nucleic acid therapeutics in which stereochemistry is precisely controlled. This degree of control enables us to both rationally design and synthesize therapeutically optimized stereopure nucleic acid therapeutics.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have discovered and continue to identify fundamental relationships between oligonucleotide stereochemistry and pharmacology, including stability, catalytic activity, efficacy, durability of effect, specificity, safety and immunogenicity. We have designed and synthesized stereopure PS-modified drugs that, when compared with their respective parent drug mixtures, possess superior stability or potency, or both, resulting in increased durability of effect, as well as specificity and decreased immune activity. Therefore, we expect them to have improved safety profiles and to be dosed at lower concentrations or less frequently, or both, compared with mixture-based nucleic acid therapeutics. We are using these discoveries to guide our drug development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Our Approach</w:t>
      </w:r>
    </w:p>
    <w:p>
      <w:pPr>
        <w:spacing w:after="0" w:line="80"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We believe that our innovative and proprietary synthetic chemistry drug development platform is a significant advance in the development of nucleic acid therapeutics. The advantages of our approach include:</w:t>
      </w:r>
    </w:p>
    <w:p>
      <w:pPr>
        <w:spacing w:after="0" w:line="165" w:lineRule="exact"/>
        <w:rPr>
          <w:sz w:val="20"/>
          <w:szCs w:val="20"/>
          <w:color w:val="auto"/>
        </w:rPr>
      </w:pPr>
    </w:p>
    <w:p>
      <w:pPr>
        <w:ind w:left="800" w:right="660" w:hanging="454"/>
        <w:spacing w:after="0" w:line="244"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design drugs rationally with optimized pharmacological properties</w:t>
      </w:r>
      <w:r>
        <w:rPr>
          <w:rFonts w:ascii="Arial" w:cs="Arial" w:eastAsia="Arial" w:hAnsi="Arial"/>
          <w:sz w:val="17"/>
          <w:szCs w:val="17"/>
          <w:color w:val="auto"/>
        </w:rPr>
        <w:t>. Our platform reduces susceptibility to enzymatic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degradation and renal clearance and optimizes interactions with proteins that mediate activity as well as those that affect safety and tolerability. Our ability to improve pharmacologic stability and reduce clearance can enhance the biodistribution of single-stranded oligonucleotides to multiple tissues following systemic administration without the need for additional delivery technology.</w:t>
      </w:r>
    </w:p>
    <w:p>
      <w:pPr>
        <w:spacing w:after="0" w:line="1" w:lineRule="exact"/>
        <w:rPr>
          <w:rFonts w:ascii="Arial" w:cs="Arial" w:eastAsia="Arial" w:hAnsi="Arial"/>
          <w:sz w:val="17"/>
          <w:szCs w:val="17"/>
          <w:color w:val="auto"/>
        </w:rPr>
      </w:pPr>
    </w:p>
    <w:p>
      <w:pPr>
        <w:ind w:left="800" w:right="420" w:hanging="454"/>
        <w:spacing w:after="0" w:line="257"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Broad applicability</w:t>
      </w:r>
      <w:r>
        <w:rPr>
          <w:rFonts w:ascii="Arial" w:cs="Arial" w:eastAsia="Arial" w:hAnsi="Arial"/>
          <w:sz w:val="17"/>
          <w:szCs w:val="17"/>
          <w:color w:val="auto"/>
        </w:rPr>
        <w:t>. Our platform is applicable to multiple RNA-targeting approaches, including antisense, RNAi, exon-skipping, RNA-guided gene editing, microRNA and others, and is compatible with a broad range of chemical modifications and targeting moieties.</w:t>
      </w:r>
    </w:p>
    <w:p>
      <w:pPr>
        <w:ind w:left="800" w:right="280" w:hanging="454"/>
        <w:spacing w:after="0" w:line="250"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manufacturing of stereopure nucleic acid therapeutics</w:t>
      </w:r>
      <w:r>
        <w:rPr>
          <w:rFonts w:ascii="Arial" w:cs="Arial" w:eastAsia="Arial" w:hAnsi="Arial"/>
          <w:sz w:val="17"/>
          <w:szCs w:val="17"/>
          <w:color w:val="auto"/>
        </w:rPr>
        <w:t>. We are a leader in the manufacturing of PS-modified stereopure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nucleic acid therapeutics, and we have the intellectual property position and know-how necessary to protect, advance and scale our manufacturing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Proof of Concept of Our Technology</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have demonstrated in preclinical models, predictive of human biology, that direct relationships exist between stereochemistry and pharmacology, and that these relationships can be used to rationally design and construct nucleic acid therapeutics. In proof-of-concept studies, we examined diverse sets of oligonucleotides designed and synthesized using our platform, which allowed us to characterize and compare the behavior of various stereoisomers. These studies have shown that by controlling stereochemistry, we can optimize multiple aspects of pharmacology, including stability, catalytic activity, efficacy, durability of effect, specificity, safety and immunogenicity.</w:t>
      </w:r>
    </w:p>
    <w:p>
      <w:pPr>
        <w:spacing w:after="0" w:line="150"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To assess the relationship between stereochemistry and pharmacology, we conducted studies of mipomersen using a diverse set of stereoisomers alongside the parent mixture. We chose to study mipomersen because it is the only systematically administered nucleic acid therapeutic approved for commercialization and because of the public availability of documents from the regulatory bodies that have evaluated mipomersen for marketing approval. Mipomersen, which is marketed by Genzyme Corporation, a Sanofi Company under the brand name KYNAMRO, is approved for the treatment of homozygous familial hypercholesterolemia and is designed to silence production of apolipoprotein B, or ApoB. While mipomersen received marketing authorization in the United States, concerns about the drug’s tolerability and liver and cardio-vascular safety led the European Medicines Agency, or the EMA, in 2012 to refuse to grant marketing authorization for mipomersen in the European Union. One of the EMA’s central concerns about mipomersen was that a high proportion of patients stopped taking the drug within two years, mainly due to</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side effects such as flu-like symptoms, injection site reactions and liver toxicity. The EMA considered these side effects important because mipomersen is intended for long-term treatment in order to maintain its cholesterol-lowering effect.</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Mipomersen is an oligonucleotide that contains 20 nucleotides and 19 PS modifications. The chirality of each PS modification has the effect of doubling the number of stereoisomers at each phosphorus and, therefore, mipomersen is actually a mixture of over 500,000 different stereoisomers (2</w:t>
      </w:r>
      <w:r>
        <w:rPr>
          <w:rFonts w:ascii="Arial" w:cs="Arial" w:eastAsia="Arial" w:hAnsi="Arial"/>
          <w:sz w:val="14"/>
          <w:szCs w:val="14"/>
          <w:color w:val="auto"/>
        </w:rPr>
        <w:t>19</w:t>
      </w:r>
      <w:r>
        <w:rPr>
          <w:rFonts w:ascii="Arial" w:cs="Arial" w:eastAsia="Arial" w:hAnsi="Arial"/>
          <w:sz w:val="17"/>
          <w:szCs w:val="17"/>
          <w:color w:val="auto"/>
        </w:rPr>
        <w:t xml:space="preserve"> = 524,288), or a stereomixture. We rationally designed and synthesized individual stereoisomers of mipomersen, each having specific and different stereochemistry, and conducted studies comparing the stereoisomers with the mipomersen stereomixture.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Stability</w:t>
      </w:r>
    </w:p>
    <w:p>
      <w:pPr>
        <w:spacing w:after="0" w:line="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investigated the relationship between stereochemistry and stability by exposing our panel of individual mipomersen stereoisomers and the mipomersen stereomixture to metabolic enzymes, including nucleases, in homogenate rat liver and rat serum. Each stereoisomer and the mipomersen stereomixture were incubated separately in rat whole-liver homogenate for five days at physiological temperature and the percentage of each full-length stereoisomer and the mipomersen stereomixture remaining was measured daily.</w:t>
      </w:r>
    </w:p>
    <w:p>
      <w:pPr>
        <w:spacing w:after="0" w:line="149"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As shown in the graph below, by day five, less than 15% of the stereomixture remained. In contrast, at day five, over 50% of our stereopure isomers 1 and 2 remained, indicating that these individual stereoisomers have greater stability than the stereomixture. However, the mipomersen stereomixture was more stable than stereoisomers 5, 6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123190</wp:posOffset>
            </wp:positionV>
            <wp:extent cx="3850640" cy="1706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5064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900"/>
        <w:spacing w:after="0" w:line="298" w:lineRule="auto"/>
        <w:rPr>
          <w:sz w:val="20"/>
          <w:szCs w:val="20"/>
          <w:color w:val="auto"/>
        </w:rPr>
      </w:pPr>
      <w:r>
        <w:rPr>
          <w:rFonts w:ascii="Arial" w:cs="Arial" w:eastAsia="Arial" w:hAnsi="Arial"/>
          <w:sz w:val="17"/>
          <w:szCs w:val="17"/>
          <w:color w:val="auto"/>
        </w:rPr>
        <w:t xml:space="preserve">Similar results were observed when the stability of the stereomixture and selected stereoisomers were compared in rat serum. </w:t>
      </w:r>
      <w:r>
        <w:rPr>
          <w:rFonts w:ascii="Arial" w:cs="Arial" w:eastAsia="Arial" w:hAnsi="Arial"/>
          <w:sz w:val="17"/>
          <w:szCs w:val="17"/>
          <w:i w:val="1"/>
          <w:iCs w:val="1"/>
          <w:color w:val="auto"/>
        </w:rPr>
        <w:t>Catalytic Activity</w:t>
      </w:r>
    </w:p>
    <w:p>
      <w:pPr>
        <w:spacing w:after="0" w:line="1"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We investigated the relationship between stereochemistry and catalytic activity, which, in the case of antisense, is a measure of the efficiency with which the drug can knockdown the target. Efficient catalytic activity is critical for optimized pharmacology of drugs like mipomersen.</w:t>
      </w:r>
    </w:p>
    <w:p>
      <w:pPr>
        <w:spacing w:after="0" w:line="12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In the body, mipomersen uses a cellular enzyme called RNase H to degrade or knockdown ApoB mRNA. Using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of human RNase H, we evaluated the catalytic activity of the same panel of stereoisomers described above compared with the stereomixture.</w:t>
      </w:r>
    </w:p>
    <w:p>
      <w:pPr>
        <w:spacing w:after="0" w:line="127"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Stereoisomers or stereomixtures were bound to target ApoB mRNA and incubated with human RNase H to initiate the catalytic reaction. The reaction was stopped at various time-points and the amount of full-length target ApoB mRNA remaining was measured.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As shown below, stereoisomers and the stereomixture exhibited large differences in their catalytic activity, as demonstrated by their efficiency in reducing the amount of the full-length target remaining over time. Certain stereoisomers, most notably stereoisomer 2, demonstrated catalytic activity at levels far superior to that of the stereomixture. Also, importantly, we identified stereoisomers that exhibited lower efficiency levels, most notably isomer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124460</wp:posOffset>
            </wp:positionV>
            <wp:extent cx="4339590" cy="18865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3959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Based on these and other data, we have established key design principles relating stereochemistry and catalytic efficiency using RNase H-mediated antisense. These principles can be applied across antisense therapeutics and are compatible with a broad range of chemical modifications to the drug molecule.</w:t>
      </w:r>
    </w:p>
    <w:p>
      <w:pPr>
        <w:spacing w:after="0" w:line="148"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We believe that, based on these studies and others we have conducted, it is possible to synthesize stereopure nucleic acid therapies possessing increased stability and catalytic activity for any PS-modified nucleic acid therapeutic independent of nucleotide sequence composition.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Efficacy</w:t>
      </w:r>
    </w:p>
    <w:p>
      <w:pPr>
        <w:spacing w:after="0" w:line="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We assessed whether improved stability and catalytic activity of our stereoiosomers will translate into greater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We administered our panel of stereoisomers and the stereomixture to transgenic mice that express human ApoB. This validated animal model was included in the preclinical package used for the regulatory approval of mipomersen in the United States.</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 xml:space="preserve">Mice were injected twice weekly with 10 milligrams per kilogram of our stereoisomer 2, our stereoisomer 5 or the stereomixture over a four-week period. ApoB protein levels in the mice’s serum were measured on a weekly basis. This treatment protocol and study design replicates the preclinical </w:t>
      </w:r>
      <w:r>
        <w:rPr>
          <w:rFonts w:ascii="Arial" w:cs="Arial" w:eastAsia="Arial" w:hAnsi="Arial"/>
          <w:sz w:val="17"/>
          <w:szCs w:val="17"/>
          <w:i w:val="1"/>
          <w:iCs w:val="1"/>
          <w:color w:val="auto"/>
        </w:rPr>
        <w:t xml:space="preserve">in vivo </w:t>
      </w:r>
      <w:r>
        <w:rPr>
          <w:rFonts w:ascii="Arial" w:cs="Arial" w:eastAsia="Arial" w:hAnsi="Arial"/>
          <w:sz w:val="17"/>
          <w:szCs w:val="17"/>
          <w:color w:val="auto"/>
        </w:rPr>
        <w:t>pharmacology study for mipomersen included in the regulatory submission for mipomersen.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As shown in the graph below, during the treatment period (up to day 28), stereoisomers 2 and 5, which as described above demonstrated increased catalytic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compared with the stereomixture, also achieved greater reduction in serum ApoB compared with the stereomixture. In the graph below, levels of ApoB in serum are expressed as a percentage of ApoB at baseline, which was 100%. Knockdown of ApoB by the stereomixture decreased dramatically following final dose. This effect was also observed for stereoisomer 5, which had increased catalytic activity compared with the stereomixture but lowered stability. In comparison, stereoisomer 2, which had superior catalytic activity and stability, demonstrated durable knockdown of serum ApoB for over two weeks after the final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123825</wp:posOffset>
            </wp:positionV>
            <wp:extent cx="4288155" cy="19037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8815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 xml:space="preserve">These results confirm our ability to rationally design PS-modified nucleic acid therapeutics with greater stability, catalytic activity, efficacy and durability. </w:t>
      </w:r>
      <w:r>
        <w:rPr>
          <w:rFonts w:ascii="Arial" w:cs="Arial" w:eastAsia="Arial" w:hAnsi="Arial"/>
          <w:sz w:val="17"/>
          <w:szCs w:val="17"/>
          <w:b w:val="1"/>
          <w:bCs w:val="1"/>
          <w:i w:val="1"/>
          <w:iCs w:val="1"/>
          <w:color w:val="auto"/>
        </w:rPr>
        <w:t>Specificity</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By controlling stereochemistry, we have discovered that the pattern of cleavage caused by PS-modified antisense, within the target RNA, can be changed, including directing cleavage toward specific sites within the target. This unique capability enables the cleavage of target RNA to be sensitive to small differences between similar targets, where cleavage may be undesirable or potentially unsafe.</w:t>
      </w:r>
    </w:p>
    <w:p>
      <w:pPr>
        <w:spacing w:after="0" w:line="13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 xml:space="preserve">For example, Huntington’s disease is caused by mutations in one allele of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resulting in the production of a disease-causing protein, while the other allele encodes a healthy protein. By optimizing stereochemistry, we are able to direct cleavage towards single-nucleotide differences between these alleles and silence the disease-causing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while leaving the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intact.</w:t>
      </w:r>
    </w:p>
    <w:p>
      <w:pPr>
        <w:spacing w:after="0" w:line="12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 xml:space="preserve">Stereoisomers or stereomixtures were bound to mutant and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and incubated with human RNase H to initiate the catalytic reaction. The reaction was stopped at various time-points and the amount of full-length mutant and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remaining was measured.</w:t>
      </w:r>
    </w:p>
    <w:p>
      <w:pPr>
        <w:spacing w:after="0" w:line="109"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 xml:space="preserve">Using these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of human RNase H, we observed that the stereomixture (left figure) caused substantial reductions in both the mutant and healthy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while the optimized stereoisomers (right figure) preferentially cleaved mutant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RNA while sparing the healthy </w:t>
      </w:r>
      <w:r>
        <w:rPr>
          <w:rFonts w:ascii="Arial" w:cs="Arial" w:eastAsia="Arial" w:hAnsi="Arial"/>
          <w:sz w:val="17"/>
          <w:szCs w:val="17"/>
          <w:i w:val="1"/>
          <w:iCs w:val="1"/>
          <w:color w:val="auto"/>
        </w:rPr>
        <w:t xml:space="preserve">huntingtin </w:t>
      </w:r>
      <w:r>
        <w:rPr>
          <w:rFonts w:ascii="Arial" w:cs="Arial" w:eastAsia="Arial" w:hAnsi="Arial"/>
          <w:sz w:val="17"/>
          <w:szCs w:val="17"/>
          <w:color w:val="auto"/>
        </w:rPr>
        <w:t>RNA.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We believe our unique ability to change the cleavage pattern of PS-modified nucleic acid therapies with stereochemistry will create opportunities to mitigate unwanted cleavage and also open allele-specific specific targeting involving causative or associated non-causative genetic variations.</w:t>
      </w:r>
    </w:p>
    <w:p>
      <w:pPr>
        <w:spacing w:after="0" w:line="14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Through these studies, we have demonstrated an ability to use stereochemistry to control cleavage and reduce off-target cleavage. We believe these findings can be applied in the design of nucleic acid therapies that target a range of variation-specific disease targets.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Immunogenicity</w:t>
      </w:r>
    </w:p>
    <w:p>
      <w:pPr>
        <w:spacing w:after="0" w:line="41"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We investigated the relationship between stereochemistry and immunogenicity, which is the ability of a substance to activate an immune response. Immune activation has been observed with PS modified oligonucleotides in preclinical toxicology studies, and flu-like symptoms and injection-site reactions in clinical studies are believed to be immune mediated.</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Using non-human primate serum we analyzed the activation of the complement system following exposure to our panel of individual stereoisomers and the parent stereomixtures. Each isomer and parent stereomixture were incubated at physiological temperature in non-human primate serum from three individual animals. Samples were removed at the indicated times and complement activation was measured by measuring the increase in C3a levels using enzyme-linked immunosorbent assay (ELISA) analytical method according to the information provided in the assay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124460</wp:posOffset>
            </wp:positionV>
            <wp:extent cx="2573020" cy="1946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302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As shown above, equal concentrations of stereoisomers (dotted lines) and the stereomixture (solid line) exhibited differences in the levels of C3a. Gray triangles represent activation using a control solution of water. Certain stereoisomers showed greater than twice the reduction in C3a compared to the stereomixture. We believe that, based on these studies, it is possible to modulate complement activation and potentially reduce immunogenicity of PS-modified oligonucleotides by controlling stereochemistry.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We are leveraging our innovative platform to design, develop and commercialize optimized nucleic acid therapeutics that address important unmet medical needs. The key components of our strategy are as follows:</w:t>
      </w:r>
    </w:p>
    <w:p>
      <w:pPr>
        <w:spacing w:after="0" w:line="165" w:lineRule="exact"/>
        <w:rPr>
          <w:sz w:val="20"/>
          <w:szCs w:val="20"/>
          <w:color w:val="auto"/>
        </w:rPr>
      </w:pPr>
    </w:p>
    <w:p>
      <w:pPr>
        <w:ind w:left="800" w:right="100" w:hanging="454"/>
        <w:spacing w:after="0" w:line="238" w:lineRule="auto"/>
        <w:tabs>
          <w:tab w:leader="none" w:pos="80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advance product candidates. </w:t>
      </w:r>
      <w:r>
        <w:rPr>
          <w:rFonts w:ascii="Arial" w:cs="Arial" w:eastAsia="Arial" w:hAnsi="Arial"/>
          <w:sz w:val="17"/>
          <w:szCs w:val="17"/>
          <w:color w:val="auto"/>
        </w:rPr>
        <w:t>We are initially focused on designing single-stranded nucleic acid therapeutics that can distribute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broadly within the human body, allowing us to target diseases across multiple organ systems and tissues, through both systemic and local administration. Our most advanced therapeutic programs are in Huntington’s disease, DMD and IBD. In Huntington’s disease, we have programs targeting HTT SNP-1 and HTT SNP-2; in DMD, we are targeting Exon 51; and in IBD, we are targeting SMAD7. Upon selecting a lead candidate within each of these programs, we expect to file INDs with the FDA for such candidates in 2016 and early 2017. We also have late-stage discovery programs in epidermolysis bullosa simplex, in which we are targeting KRT14 SNP-1 and KRT14 SNP-2, and in DMD, in which we are focused on an additional DMD target, AcRIIb. We expect to identify lead candidates for these programs in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800" w:right="40" w:hanging="454"/>
        <w:spacing w:after="0" w:line="241" w:lineRule="auto"/>
        <w:tabs>
          <w:tab w:leader="none" w:pos="8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pipeline in the area of orphan diseases</w:t>
      </w:r>
      <w:r>
        <w:rPr>
          <w:rFonts w:ascii="Arial" w:cs="Arial" w:eastAsia="Arial" w:hAnsi="Arial"/>
          <w:sz w:val="17"/>
          <w:szCs w:val="17"/>
          <w:color w:val="auto"/>
        </w:rPr>
        <w:t>. We intend to continue to expand our pipeline in the area of orphan diseases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multiple opportunities for clinical and commercial success and demonstrate the breadth of our abilities across multiple organ systems and tissues and therapeutic modalities. We believe that, based on our initial selection criteria of novel and fast-follower opportunities, our platform can potentially be used in the near-term to design treatments for approximately 25 other target indications, mostly consisting of orphan indications, with an initial focus on orphan neuromuscular and central nervous system disease targets.</w:t>
      </w:r>
    </w:p>
    <w:p>
      <w:pPr>
        <w:spacing w:after="0" w:line="4" w:lineRule="exact"/>
        <w:rPr>
          <w:rFonts w:ascii="Arial" w:cs="Arial" w:eastAsia="Arial" w:hAnsi="Arial"/>
          <w:sz w:val="17"/>
          <w:szCs w:val="17"/>
          <w:color w:val="auto"/>
        </w:rPr>
      </w:pPr>
    </w:p>
    <w:p>
      <w:pPr>
        <w:ind w:left="800" w:right="120" w:hanging="454"/>
        <w:spacing w:after="0" w:line="244" w:lineRule="auto"/>
        <w:tabs>
          <w:tab w:leader="none" w:pos="8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Establish opportunistic strategic partnerships</w:t>
      </w:r>
      <w:r>
        <w:rPr>
          <w:rFonts w:ascii="Arial" w:cs="Arial" w:eastAsia="Arial" w:hAnsi="Arial"/>
          <w:sz w:val="17"/>
          <w:szCs w:val="17"/>
          <w:color w:val="auto"/>
        </w:rPr>
        <w:t>. We intend to collaborate selectively and opportunistically with pharmaceutical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companies in the development and commercialization of nucleic acid therapeutics targeting certain orphan and broad indications. We expect to pursue such partnerships primarily when we believe they will significantly accelerate and enhance the clinical and commercial potential of a given development program.</w:t>
      </w:r>
    </w:p>
    <w:p>
      <w:pPr>
        <w:spacing w:after="0" w:line="1" w:lineRule="exact"/>
        <w:rPr>
          <w:rFonts w:ascii="Arial" w:cs="Arial" w:eastAsia="Arial" w:hAnsi="Arial"/>
          <w:sz w:val="17"/>
          <w:szCs w:val="17"/>
          <w:color w:val="auto"/>
        </w:rPr>
      </w:pPr>
    </w:p>
    <w:p>
      <w:pPr>
        <w:ind w:left="800" w:hanging="454"/>
        <w:spacing w:after="0" w:line="250" w:lineRule="auto"/>
        <w:tabs>
          <w:tab w:leader="none" w:pos="8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Leverage and expand our intellectual property portfolio</w:t>
      </w:r>
      <w:r>
        <w:rPr>
          <w:rFonts w:ascii="Arial" w:cs="Arial" w:eastAsia="Arial" w:hAnsi="Arial"/>
          <w:sz w:val="17"/>
          <w:szCs w:val="17"/>
          <w:color w:val="auto"/>
        </w:rPr>
        <w:t>. We believe we have a strong intellectual property position relating to the design,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of stereopure nucleic acid therapeutics. We intend to file new patent applications and take other steps to leverage, expand and enforce our intellectual property position.</w:t>
      </w:r>
    </w:p>
    <w:p>
      <w:pPr>
        <w:spacing w:after="0" w:line="77" w:lineRule="exact"/>
        <w:rPr>
          <w:rFonts w:ascii="Arial" w:cs="Arial" w:eastAsia="Arial" w:hAnsi="Arial"/>
          <w:sz w:val="17"/>
          <w:szCs w:val="17"/>
          <w:color w:val="auto"/>
        </w:rPr>
      </w:pPr>
    </w:p>
    <w:p>
      <w:pPr>
        <w:ind w:left="800" w:right="380" w:hanging="454"/>
        <w:spacing w:after="0" w:line="268" w:lineRule="auto"/>
        <w:tabs>
          <w:tab w:leader="none" w:pos="80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and extend our leadership in oligonucleotide stereochemistry</w:t>
      </w:r>
      <w:r>
        <w:rPr>
          <w:rFonts w:ascii="Arial" w:cs="Arial" w:eastAsia="Arial" w:hAnsi="Arial"/>
          <w:sz w:val="17"/>
          <w:szCs w:val="17"/>
          <w:color w:val="auto"/>
        </w:rPr>
        <w:t>. We plan to establish a dominant position in the field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oligonucleotide stereochemistry, advancing basic research and pharmacology across multiple therapeutic modalities and target classes.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are developing nucleic acid therapeutics that are capable of targeting diseases in a wide range of organ systems and tissues. Based on our design principles, we have the ability to rapidly design and select lead therapeutic candidates with optimized pharmacological properties.</w:t>
      </w:r>
    </w:p>
    <w:p>
      <w:pPr>
        <w:spacing w:after="0" w:line="14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most advanced therapeutic programs are in Huntington’s disease, DMD and IBD. In Huntington’s disease, we have programs targeting HTT SNP-1 and HTT SNP-2; in DMD, we are targeting Exon 51; and in IBD, we are targeting SMAD7. Upon selecting a lead candidate within each of these programs, we expect to file INDs with the FDA for such candidates in 2016 and early 2017, as reflected in the table below. See “—Our Initial Therapeutic Candidates” for more information about these targets.</w:t>
      </w:r>
    </w:p>
    <w:p>
      <w:pPr>
        <w:spacing w:after="0" w:line="149"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We have late-stage discovery programs in epidermolysis bullosa simplex, in which we are targeting KRT14 SNP-1 and KRT14 SNP-2, and in DMD, in which we are focused on an additional DMD target, AcRIIb. We expect to identify lead candidates for these programs in 2016. See “—Our Late-Stage Discovery Programs” for more information about these targets.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believe that, based on our initial selection criteria of novel and fast-follower opportunities, our platform can potentially be used in the near-term to design treatments for a number other target indications, as illustrated in the table below, mostly consisting of orphan indications, with an initial focus on orphan neuromuscular and central nervous system disease targets.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Initial Therapeutic Candidates</w:t>
      </w:r>
    </w:p>
    <w:p>
      <w:pPr>
        <w:spacing w:after="0" w:line="93"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We are currently focused on developing nucleic acid therapies for Huntington’s disease, Duchenne muscular dystrophy and inflammatory bowel disease.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Huntington’s Disease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5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Huntington’s disease is an orphan hereditary neurodegenerative disease that is fatal and for which there is no cure. Huntington’s disease results from the accumulation of the defective gene product huntingtin, which promotes the degeneration of neurons, and can lead to neuronal cell death, causing motor, cognitive and psychiatric disability. Symptoms typically appear between the ages of 35 and 44 and worsen over the next 10 to 20 years. Many describe the symptoms of Huntington’s disease as having amyotrophic lateral sclerosis, or ALS, Parkinson’s disease and Alzheimer’s disease simultaneously. Patients experience a gradual reduction in motor function and psychological disturbances. Ultimately, the affected individual succumbs to pneumonia, heart failure or other fatal complications. Life expectancy after symptom onset is approximately 20 years. We estimate that approximately 43,000 people in the United States have Huntington’s disease.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5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Currently, there are no approved treatments that can reverse or slow down the course of Huntington’s disease. Some of the symptoms of Huntington’s disease can be managed with medication and therapies. Antipsychotics and other drugs affecting the dopamine pathways are used for symptom control. Lowering the levels of mutant huntingtin protein has demonstrated therapeutic effects in animal models. Roche and Isis Pharmaceuticals have antisense oligonucleotides to silence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in Phase 1/2a clinical development, with human trials having commenced in July 2015.</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3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We are advancing multiple therapeutic candidates targeting single nucleotide polymorphisms, or SNPs, associated with the mutant alleles of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Our lead targets are HTT SNP-1 and HTT SNP-2. The precise targeting of such alleles by stereochemically controlled, or stereopure, oligonucleotides should allow discrimination and selective silencing of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alleles associated with manifestations of the disease while leaving functional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alleles intact. Each SNP has a particular demographic distribution, and defines a subpopulation of patients suited for allele-specific interventions. Approximately 80% of the total patient population is affected by one of the three most common SNPs. Therefore, we are attempting to develop oligonucleotides targeting these three SNPs, as they represent the largest unmet need.</w:t>
      </w:r>
    </w:p>
    <w:p>
      <w:pPr>
        <w:spacing w:after="0" w:line="147"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intend to advance our first programs into non-human primate studies to establish the safety and distribution of our stereopure antisense oligonucleotides in the central nervous system. Upon the completion of a rigorous toxicology program in non-human primates, we intend to file an IND and conduct early-stage clinical trials to establish the safety and tolerability, pharmacokinetics and surrogate evidence of therapeutic benefits in patients with manifest Huntington’s disease. Route of administration will be intrathecal, by simple spinal tap or by the insertion of a spinal catheter, depending on the frequency of administration. We expect to dose on a monthly basis or potentially less frequently. Single ascending doses will be rapidly escalated to establish the maximum tolerated dose and guide our selection of doses for potential multiple dose studies. We believe that our recently demonstrated ability to distinguish the mutant and the wild-type huntingtin protein in the cerebral spinal fluid will enable us to rapidly demonstrate clinical proof-of-concept for target engagement and allele selectivity.</w:t>
      </w:r>
    </w:p>
    <w:p>
      <w:pPr>
        <w:spacing w:after="0" w:line="7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 xml:space="preserve">As shown below, preparations of stereoisomers (circles) or stereomixture (triangles) drugs were bound to healthy and mutant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mRNA and incubated with human RNase H (left figure). Catalysis mediated by the stereopure drug increased the degree of knockdown while also discriminating between healthy versus mutant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compared with the stereomixture. These characteristics were also observed in cellular reporters (right figure) containing either the healthy or the mutant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allele.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-6350</wp:posOffset>
            </wp:positionV>
            <wp:extent cx="3893185" cy="14833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9318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expect to file an IND for our therapeutic candidate targeting HTT SNP-1 in late 2016 and our therapeutic candidate targeting HTT SNP-2 in early 2017.</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Duchenne Muscular Dystrophy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27"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 xml:space="preserve">DMD is a genetic disorder caused by mutations in the </w:t>
      </w:r>
      <w:r>
        <w:rPr>
          <w:rFonts w:ascii="Arial" w:cs="Arial" w:eastAsia="Arial" w:hAnsi="Arial"/>
          <w:sz w:val="17"/>
          <w:szCs w:val="17"/>
          <w:i w:val="1"/>
          <w:iCs w:val="1"/>
          <w:color w:val="auto"/>
        </w:rPr>
        <w:t>dystrophin</w:t>
      </w:r>
      <w:r>
        <w:rPr>
          <w:rFonts w:ascii="Arial" w:cs="Arial" w:eastAsia="Arial" w:hAnsi="Arial"/>
          <w:sz w:val="17"/>
          <w:szCs w:val="17"/>
          <w:color w:val="auto"/>
        </w:rPr>
        <w:t xml:space="preserve"> gene on the X chromosome that affects approximately one in 3,500 newborn boys around the world. In skeletal and cardiac muscles, the dystrophin protein is part of a protein complex called the dystrophin-associated protein complex that acts as an anchor, connecting each muscle cell’s structural framework with the lattice of proteins and other molecules outside the cell through the muscle cell membrane. The dystrophin-associated protein complex protects the muscle from injury during contraction and relaxation. DMD patients typically develop muscle weakness in the early years of life and become wheelchair-bound in their early teens. As the disease progresses, DMD patients typically develop respiratory, orthopedic and cardiac complications. Cardiomyopathy and breathing difficulties usually begin by the age of 20 and patients typically die from respiratory failure or lung disorders by age 25.</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Currently, there are no approved treatments that can reverse or slow down the progression of DMD. Corticosteroids and physical and respiratory therapy are used in DMD patients to slow the decline in muscle strength and to prolong ambulation and respiratory function. One disease-modifying strategy in DMD is exon skipping. Exon skipping allows for the production of internally deleted, but functional, dystrophin protein instead of a dysfunctional, truncated one. In Europe, conditional market authorization has been granted to PTC Therapeutics’ Ataluren (TRANSLARNA) for the treatment of nonsense mutation DMD for ambulatory patients who are 5 years or older. In addition, there are two exon skipping nucleic acid therapeutic candidates currently undergoing regulatory review in the United States: BioMarin Pharmaceutical’s DRISAPERSEN and Sarepta Therapeutics’s ETEPLIRSEN.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5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We are developing stereochemically optimized oligonucleotides that we believe have superior pharmacology attributes as compared to stereomixtures. Using a variety of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in combination with experimental studies in transgenic animal models of DMD, we expect to select our lead therapeutic candidate targeting Exon 51, which affects 13% of the DMD patient population, by the end of 2015. Our lead therapeutic candidate for the treatment of DMD will be selected, in part, based on its ability to demonstrate a widespread distribution to muscle and its efficient restoration of the production of functionally active dystrophin. We believe that the use of a stereopure compound (in contrast with a stereomixture) will reduce adverse events noted with stereomixtures, such as injection site reactions, renal toxicity and thrombocytopenia. Following the filing of an IND in the United States or a Clinical Trial Authorization in Europe, we intend to conduct early-stage clinical trials to establish safety, tolerability, pharmacokinetics and efficient exon skipping. The efficiency of exon skipping will be measured by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production of internally deleted, but functional, dystrophin in muscle biopsies as the basis for any improvement of muscle strength, which is an anticipated clinical endpoint of later clinical studies.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expect to file an IND for our first therapeutic candidate in DMD in late 2016.</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Inflammatory Bowel Disease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3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Inflammatory bowel disease involves chronic inflammation of all or part of the digestive tract, which may be caused by a dysregulated immune response to host bacteria present in the intestine. There are two primary types of IBD: ulcerative colitis, or UC, and Crohn’s disease, or CD. According to the Centers for Disease Control and Prevention, or the CDC, approximately 1.3 million people in the United States have IBD. Based on data from the CDC, we estimate that approximately 600,000 of these individuals have CD and 700,000 have UC. Patients with IBD are typically diagnosed by the age of 30, and symptoms are highly variable in frequency and intensity.</w:t>
      </w:r>
    </w:p>
    <w:p>
      <w:pPr>
        <w:spacing w:after="0" w:line="150"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CD is a chronic inflammatory disease of the digestive tract that primarily affects the terminal ileum and right colon, but may affect any region of the gastrointestinal tract. CD-related inflammation is segmental and transmural, leading to various degrees of tissue damage. At disease onset, most patients have inflammatory lesions, which become predominantly strictures or penetrating lesions over time.</w:t>
      </w:r>
    </w:p>
    <w:p>
      <w:pPr>
        <w:spacing w:after="0" w:line="148"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UC is a chronic inflammatory disease of the innermost lining of the colon and rectum, together known as the large intestine, in which the lining becomes inflamed and develops tiny open sores, or ulcers, that produce pus and mucous. The combination of inflammation and ulceration can cause abdominal discomfort and frequent emptying of the colon. UC is believed to be the result of an abnormal response by the body’s immune system, which sends white blood cells into the lining of the large intestine, where they produce chronic inflammation and ulcerations.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3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goal of current treatments for IBD is to reduce inflammation that triggers signs and symptoms, which may lead to symptom relief, long-term remission and a reduced risk of complications. Mucosal healing can be promoted with the use of immunosuppressive drugs and anti–tumor necrosis factor a, or TNF-a, antibodies; however, more than one third of patients do not have a response to these therapies. The efficacy of these therapies may also diminish over time, and they can increase a patient’s risk of opportunistic infections and cancer. While UC can be cured by colectomy, currently there is no known cure for CD.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Recently reported clinical results related to the use of a first-generation, stereorandom antisense oligonucleotide (MONGERSEN) targeting SMAD7, a protein of the SMAD family involved in the signal transduction pathway of TGF-B and its receptors, which is present in abundant concentration in inflamed intestinal tissues, have been encouraging. In a 160-patient, Phase 2 trial, mongersen induced pronounced and sustained relief of the inflammation and related symptoms of CD. Celgene Corporation is currently developing MONGERSEN, for the treatment of terminal ileitis, the most frequent form of CD. Idera Pharmaceuticals is currently conducting a Phase 1 clinical trial in healthy volunteers for a Toll-Like Receptor antagonist (IMO-9200), which an oligonucleotide-based therapy. Idera Pharmaceuticals intends to initiate further development of IMO-9200 in a selected autoimmune disease indication in the future.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 xml:space="preserve">We are developing stereochemically optimized antisense oligonucleotides against SMAD7, which should result in superior activity and durability over stereomixtures. Our initial goal is to screen different stereochemistries for optimal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and select our lead therapeutic candidate based on its performance on an efficacy model of IBD. We also plan to collaborate with a third-party contract manufacturing organization to produce oral, gastro-resistant, solid formulations (tablets or capsules) that are able to deliver the stereopure oligonucleotides at the desired site of gastrointestinal inflammation, which we refer to as encapsulated oligonucleotides. Our selected lead therapeutic candidate would undergo the customary Chemistry and Manufacturing Controls, or CMC, and toxicology programs in preparation for the filing of an IND. Following our filing of an IND, we would expect to conduct clinical trials leveraging the availability of endoscopic and mucosal healing endpoints as early evidences of therapeutic potential, and as short-term surrogates for the clinical endpoints we would expect to use in late-stage and registration studies.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expect to file an IND for our therapeutic candidate in IBD in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Late-Stage Discovery Programs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Duchenne Muscular Dystrophy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5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to our previously described program relating to the development of exon skipping nucleic acid therapeutic candidates for the treatment of DMD, we are investigating other novel approaches to treat DMD, especially in the advanced stages of the disease. Restoration of dystrophin using exon skipping approaches alone may be less effective in situations where disease has progressed to a state of advanced muscle damage. To promote skeletal muscle growth, we are investigating antisense-mediated myostatin pathway inhibitors at the ligand and receptor level, by targeting AcRIIb. We will investigate these inhibitors alone and in combination with our exon skipping therapeutic candidates.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Epidermolysis Bullosa Simplex</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 and Market Opportunity</w:t>
      </w:r>
    </w:p>
    <w:p>
      <w:pPr>
        <w:spacing w:after="0" w:line="52"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Epidermolysis bullosa simplex is an autosomal dominant genetic condition that causes the skin to become very fragile and blister easily. Blisters and areas of skin loss occur in response to minor injury or friction, such as rubbing or scratching. The signs and symptoms of this condition vary widely among affected individuals. Blistering primarily affects the hands and feet in mild cases, and the blisters usually heal without leaving scars. Severe cases of this condition involve widespread blistering that can lead to infections, dehydration, and other medical problems. Severe cases may be life-threatening in infancy. Researchers have identified four major types of epidermolysis bullosa simplex. Although the types differ in severity, their features overlap significantly, and they are caused by mutations in the same genes. We estimate that approximately 6,300 people in the United States have epidermolysis bullosa simplex.</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Treatments</w:t>
      </w:r>
    </w:p>
    <w:p>
      <w:pPr>
        <w:spacing w:after="0" w:line="5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Epidermolysis bullosa simplex has no known cure, though mild forms may improve with age. Treatment focuses on addressing the symptoms, such as infection and itching, and preventing pain and wounds. Severe forms may cause serious complications and can be fatal.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w:t>
      </w:r>
    </w:p>
    <w:p>
      <w:pPr>
        <w:spacing w:after="0" w:line="3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 xml:space="preserve">We are investigating allele-selective antisense oligonucleotides against SNPs widely associated with causative mutations in </w:t>
      </w:r>
      <w:r>
        <w:rPr>
          <w:rFonts w:ascii="Arial" w:cs="Arial" w:eastAsia="Arial" w:hAnsi="Arial"/>
          <w:sz w:val="17"/>
          <w:szCs w:val="17"/>
          <w:i w:val="1"/>
          <w:iCs w:val="1"/>
          <w:color w:val="auto"/>
        </w:rPr>
        <w:t>KRT14</w:t>
      </w:r>
      <w:r>
        <w:rPr>
          <w:rFonts w:ascii="Arial" w:cs="Arial" w:eastAsia="Arial" w:hAnsi="Arial"/>
          <w:sz w:val="17"/>
          <w:szCs w:val="17"/>
          <w:color w:val="auto"/>
        </w:rPr>
        <w:t xml:space="preserve"> and </w:t>
      </w:r>
      <w:r>
        <w:rPr>
          <w:rFonts w:ascii="Arial" w:cs="Arial" w:eastAsia="Arial" w:hAnsi="Arial"/>
          <w:sz w:val="17"/>
          <w:szCs w:val="17"/>
          <w:i w:val="1"/>
          <w:iCs w:val="1"/>
          <w:color w:val="auto"/>
        </w:rPr>
        <w:t>KRT5</w:t>
      </w:r>
      <w:r>
        <w:rPr>
          <w:rFonts w:ascii="Arial" w:cs="Arial" w:eastAsia="Arial" w:hAnsi="Arial"/>
          <w:sz w:val="17"/>
          <w:szCs w:val="17"/>
          <w:color w:val="auto"/>
        </w:rPr>
        <w:t xml:space="preserve"> genes, which produce the Keratin 14 and 5 proteins. In EBS preclinical models, it has been shown that allele-specific reduction in expression of the mutant keratin genes can prevent the skin-blistering phenotype. Due to the absence of appropriate transgenic SNP models, we will be advancing topical formulation development efforts alongside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optimization of allele-specific targeting agents. Additionally, we are working with leading clinicians and translational scientists in the United Kingdom to establish well-controlled experimental medicine studies in patients with EBS.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expect investigator-sponsored studies of our therapeutic candidates for EBS to be initiated in early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Arrangements and Research Collaborations</w:t>
      </w:r>
    </w:p>
    <w:p>
      <w:pPr>
        <w:spacing w:after="0" w:line="80"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Our business strategy is to develop and commercialize a broad pipeline of nucleic acid therapies. As part of this strategy, we have entered into, and expect to enter into additional, license and research collaboration agreements as a means of advancing our own investigational nucleic acid therapeutic programs and leveraging our synthetic chemistry drug development platform to optimize the therapies being developed by our partners.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Licenses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Max-Planck-Innovation GmbH</w:t>
      </w:r>
    </w:p>
    <w:p>
      <w:pPr>
        <w:spacing w:after="0" w:line="5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June 2015, we entered into an agreement with Max-Planck-Innovation GmbH, or MI, pursuant to which we obtained a co-exclusive royalty-bearing, worldwide license, with the right to sublicense, to research, develop, manufacture and commercialize products in all fields of use under certain patent rights owned by Max-Planck-Gesellschaft, or MPG, and patent rights owned by University of Massachusetts Medical School, or UMMS, which has been granted to us by MI, a wholly-owned subsidiary of MPG, acting as MPG’s technology transfer agency and UMMS’s authorized licensing agency for such patents. MPG and MI are collectively referred to herein as Max-Planck.</w:t>
      </w:r>
    </w:p>
    <w:p>
      <w:pPr>
        <w:spacing w:after="0" w:line="150"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Our patent rights under this license are to patent filings that relate to certain sequence and structural features of single-stranded RNA molecules that mediate target-specific RNA interference, and include both filings that are owned by Max Planck and arose from research conducted by Thomas Tuschl, Ph.D. and his colleagues at the Max-Planck-Institute for Biophysical Chemistry, and also an issued U.S. patent owned by the University of Massachusetts, or UMASS, that prevailed in an interference with one of the Max-Planck filings and was subsequently included, through a separate agreement between Max-Planck and UMASS, within the portfolio that Max-Planck is authorized to license. The Max-Planck licensed patent portfolio includes issued U.S. and Canadian patents, and pending U.S. and European patent applications, each of which has a projected 20 year term that extends into 2023. We intend to develop and commercialize diagnostic and therapeutic products based on our patent rights under this license. Max-Planck retains the right to practice the intellectual property licensed under the agreement for non-commercial purposes.</w:t>
      </w:r>
    </w:p>
    <w:p>
      <w:pPr>
        <w:spacing w:after="0" w:line="15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license is one of two maximum allowable co-exclusive licenses for these patents, the other of which is currently held by Isis Pharmaceuticals, Inc., or Isis. If either we or Isis terminates its respective co-exclusive portion of the license, Max-Planck is obligated to grant the other party an exclusive license on substantially the same terms and conditions previously applicable to the terminated co-exclusive licensee.</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Under certain conditions, we are permitted to sublicense our rights under the license. The license requires that we use commercially reasonable efforts to develop and commercialize products under the agreement, whether solely or through our affiliates and sublicensees. In order to secure the license, we made an upfront payment of approximately $0.1 million to Max-Planck. Additionally, starting on the first anniversary of the agreement, we will be required to pay annual license maintenance fees of less than $0.1 million to Max-Planck which will be credited against any royalties payable for the applicable calendar year. We will be required to make payments based upon regulatory milestones, including the initiation of clinical trials, and product approval milestones totaling up to $1.6 million for each licensed product reaching such clinical stage, provided that such milestone payments will only be payable once per target irrespective of the number of licensed products targeting such target to achieve such milestones. In addition to milestone payments, we will be required to pay royalties of a percentage of cumulative annual net sales of a licensed product commercialized by us, our affiliates and sublicensees. The percentage is in the low single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digits. The royalties payable to Max-Planck are subject to reduction for any third party payments required to be made, with a minimum floor in the low single digits. If we grant a sublicense of our rights under this license, we will be obligated to pay Max-Planck a percentage of specified sublicensing consideration received from such sublicensee attributable to the sublicense granted under the licensed patents, ranging from the mid-single digits to the low thirties depending on the stage of development at the time the sublicense is executed.</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unilaterally terminate the license agreement upon 90 days’ prior written notice and payment of all accrued amounts owing to Max-Planck. Max-Planck may terminate the agreement upon 30 days’ prior written notice if we challenge the validity of its patents, upon 30 days’ prior written notice if we undergo a change of control and cannot demonstrate that we will maintain a development and commercialization program that is substantially similar or greater in scope than the program prior to the change of control event, or in the event of our material breach which remains uncured after 60 days of receiving written notice of such breach (or 45 days in the case of nonpayment). Absent early termination, the agreement will automatically terminate upon the later of the expiration or abandonment of all issued patents and filed patent applications with the patent rights covered by the agreement or April 28, 2019.</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Research Collaborations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of Oxford; Professor Matthew Wood’s Laboratory</w:t>
      </w:r>
    </w:p>
    <w:p>
      <w:pPr>
        <w:spacing w:after="0" w:line="5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April 2015, we entered into a translational research collaboration agreement with The Chancellor, Masters, and Scholars of the University of Oxford, or Oxford. Research under this collaboration is being conducted by Dr. Matthew J.A. Wood, Professor of Neuroscience at the University of Oxford and Co-Director of the Oxford Centre for Neuromuscular Science. Dr. Wood’s research is in the field of degenerative disorders of the nervous system and muscle. His laboratory’s main focus is the investigation of novel therapeutic approaches utilizing short nucleic acids to target messenger RNA, or mRNA. His current work is investigating the potential of single-stranded antisense oligonucleotides for the modification of mRNA splicing, for example in Duchenne muscular dystrophy. In addition, his investigation includes the potential of double-stranded RNA for gene silencing, or RNAi, for the silencing of target genes and mutant alleles both in muscle and in the nervous system.</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research collaboration with Oxford involves characterizing our proprietary isomers in order to improve the pharmacology of oligonucleotides for the treatment of DMD. Under the agreement, both parties are obligated to use reasonable endeavors to carry out the research project in accordance with the agreed upon research plan. Under the agreement, we have agreed to pay Oxford up to $0.4 million to conduct specified research services for our benefit during an initial 18-month term, which may be extended by the parties.</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will own the results of the research conducted under the collaboration, including any potential intellectual property inventions, and we may, at our own expense, elect to register and maintain any protection for the intellectual property included in or arising or derived from the results of the research, including patent applications, without payment of any additional compensation to Oxford. The agreement does not affect the respective ownership rights of any background information, intellectual property, technology, design or know-how owned by the parties that are not results of the research conducted under the collaboration. Oxford retains the right to use the results of the research for purposes of Oxfords’ own internal academic teaching and other scholarly uses undertaken solely for education and academic research.</w:t>
      </w:r>
    </w:p>
    <w:p>
      <w:pPr>
        <w:spacing w:after="0" w:line="14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Either we or Oxford may terminate the research collaboration in the event of the other party’s breach of the agreement if such breach is capable of cure but remains uncured after 60 days of receiving written notice of such breach, or upon the occurrence of certain bankruptcy events.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Children’s Hospital of Philadelphia; Dr. Beverly Davidson’s Laboratory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April 2015, we entered into a master sponsored research agreement with The Children’s Hospital of Philadelphia, or CHOP, which employs</w:t>
      </w:r>
    </w:p>
    <w:p>
      <w:pPr>
        <w:ind w:right="140"/>
        <w:spacing w:after="0" w:line="236" w:lineRule="auto"/>
        <w:rPr>
          <w:sz w:val="20"/>
          <w:szCs w:val="20"/>
          <w:color w:val="auto"/>
        </w:rPr>
      </w:pPr>
      <w:r>
        <w:rPr>
          <w:rFonts w:ascii="Arial" w:cs="Arial" w:eastAsia="Arial" w:hAnsi="Arial"/>
          <w:sz w:val="17"/>
          <w:szCs w:val="17"/>
          <w:color w:val="auto"/>
        </w:rPr>
        <w:t>Dr. Beverly Davidson, who is the principal investigator under the first research project under the agreement. Dr. Davidson is the director of the Center for Cellular and Molecular Therapeutics at CHOP, a Professor at the University of Pennsylvania and a scientific co-founder of and advisor to Spark Therapeutics, Inc. Dr. Davidson and her laboratory team have succeeded in reversing neurological deficits in small and large animal models of disease, and are working to advance this approach to treating human diseases such as Huntington’s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disease. In these studies, she has delivered forms of RNA to the brains of animals to silence the activity of disease-associated genes. Our agreement requires that all research for this first project be conducted in Dr. Davidson’s laboratory at CHOP.</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Our research collaboration with CHOP involves characterization of our proprietary isomers for the treatment of Huntington’s disease. Under the agreement, for this first research project we have agreed to pay CHOP up to approximately $0.2 million to conduct specified research activities, on a project-by-project basis, for our benefit. Additional research projects may be agreed upon by CHOP and the company under the agreement. The term of the research collaboration will end during a term that ends on the later of the five-year anniversary or the date that the last research project is completed.</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Each party shall be the sole owner of any intellectual property resulting from the research collaboration that is created solely by on or behalf of such party pursuant to the performance of research activities under the agreement. Similarly, the parties shall be joint owners of intellectual property created jointly under the agreement. Prior to us exercising an option to license any such intellectual property (as described below), CHOP is responsible for preparing, prosecuting and maintaining all patents related to CHOP intellectual property and joint intellectual property and we are responsible for reimbursing CHOP for the costs associated with the protection of such intellectual property that we request CHOP to protect. In addition, we have a first and exclusive option to negotiate for a revenue-bearing license, exclusive or non-exclusive at our election, under all of CHOP’s interest in and to the CHOP intellectual property and the joint intellectual property resulting from each research project performed under the agreement, provided that we pay all costs for the preparation, filing, prosecution and maintenance of patents or other intellectual property protection in the case of an exclusive license or our pro rata costs in the case of a non-exclusive license. Each such option expires 90 days after CHOP’s disclosure of the intellectual property to us. If we elect to exercise an option for a license, then we have six months to negotiate and enter into such license with CHOP. Furthermore, if certain background or enabling intellectual property is held by CHOP that would be necessary for us to obtain rights to develop and exploit the CHOP or joint intellectual property that we elect to license, then such license rights to such blocking intellectual property will be added to our license for the applicable option exercise.</w:t>
      </w:r>
    </w:p>
    <w:p>
      <w:pPr>
        <w:spacing w:after="0" w:line="15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may terminate the agreement at any time upon 30 days’ prior written notice to CHOP. In addition, we may terminate the agreement with immediate effect if CHOP is unable to perform the requested research, materially breaches the agreement and fails to cure such breach within 30 days after receiving written notice of such breach, if performance of the agreement would violate the law or upon the occurrence of certain CHOP bankruptcy events.</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CHOP may terminate the agreement if we materially breach the agreement and do not cure such breach within 30 days after receiving written notice of such breach from CHOP.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To date, we have manufactured only limited supplies of drug substance for use in IND-enabling toxicology studies in animals at our own facility and have contracted with several third-party contract manufacturing organizations for the supply of drug substance and finished product to meet our testing needs for preclinical toxicology and clinical testing. We may continue to rely on third-party contract manufacturing organizations for the supply of drug substance and certain drug product for our product candidates for the foreseeable future. In the future, we may also develop our own capabilities to manufacture drug substance for human clinical use. Commercial quantities of any drugs that we may seek to develop will have to be manufactured in facilities, and by processes, that comply with FDA regulations and other federal, state and local regulations, as well as comparable foreign regulations.</w:t>
      </w:r>
    </w:p>
    <w:p>
      <w:pPr>
        <w:spacing w:after="0" w:line="14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believe we have sufficient manufacturing capacity through our third-party contract manufacturers and our internal GLP manufacturing facility to meet our current research, clinical and early-stage commercial needs. We believe that the supply capacity we have established externally, together with the internal capacity we developed to support preclinical trials, will be sufficient to meet our anticipated needs for the next several years. We monitor the capacity availability for the manufacture of drug substance and drug product and believe that our supply agreements with our contract manufactures and the lead times for new supply agreements would allow us to access additional capacity to meet our currently anticipated needs. We also believe that our products can be manufactured at a scale and with production and procurement efficiencies that will result in commercially competitive costs.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Since commencing operations, we have dedicated a significant portion of our resources to research and development activities, including our therapeutic programs. We incurred research and development expenses of $1.9 million and $2.4 million during the years ended December 31, 2013 and 2014, respectively, and $1.1 million and $3.5 million during the six months ended June 30, 2014 and 2015, respectively. We anticipate that a significant portion of our operating expenses will continue to be related to research and development as we continue to advance our therapeutic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0"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We own or have rights to worldwide patent filings that protect our proprietary technologies for manufacturing stereochemically pure oligonucleotide compositions, and also protect compositions themselves, as well as methods of using them, including in the treatment of diseases. As of the date of this prospectus, our portfolio included at least three issued U.S. patents, at least four issued foreign patents and pending applications in at least 17 jurisdictions.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Synthetic Methodologies</w:t>
      </w:r>
    </w:p>
    <w:p>
      <w:pPr>
        <w:spacing w:after="0" w:line="5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patent portfolio includes multiple families that protect synthetic methodologies and/or key reagents for generating stereochemically pure oligonucleotide compositions. Certain synthetic methodologies are covered by families licensed from the University of Tokyo which include two issued Japanese patents and have terms that extend into 2022-2025.</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Additional synthetic methodologies are protected by families that we own , including one with issued patents in Japan and Singapore and pending applications in Australia, Brazil, Canada, China, Europe, India, Japan, Russia, Singapore, South Korea and the U.S. that has a 20-year expiration date in December 2029 and one with pending applications in Australia, Brazil, Canada, Chile, China, Europe, India, Indonesia, Israel, Japan, Mexico, Russia, Singapore, South Africa, South Korea and the United States that has a 20-year expiration date in July 2033.</w:t>
      </w:r>
    </w:p>
    <w:p>
      <w:pPr>
        <w:spacing w:after="0" w:line="14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Certain modification methods and reagents are protected by families that we own, that have pending applications in Australia, Brazil, Canada, Chile, China, Europe, India, Indonesia, Israel, Japan, Mexico, Russia, Singapore, South Africa, South Korea and the United States, and have 20-year expiration dates in July 2030 and July 2032, respectively.</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also own or co-own (with either the University of Tokyo or Shin Nippon Biomedical Laboratories, Ltd.) certain filings that are particularly directed to methods and reagents for synthesizing RNA oligonucleotides. These include issued patents in the United States, and pending applications in China, Europe, Japan and the United States; their 20-year expiration dates fall in 2030 and 2031.</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Stereochemically Pure Oligonucleotide Compositions</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Certain of our patent filings protect stereochemically pure compositions, particularly of therapeutically relevant oligonucleotides. Some such filings are directed to compositions whose oligonucleotides are characterized by particular patterns of chemical modifications (including bases, sugars and/or internucleotidic linkages) and/or of internucleotidic linkage stereochemistry. Specific compositions designed for use in the treatment of particular diseases (e.g., Huntington’s disease, etc.), were also described. One such family, owned by us, is pending in Australia, Brazil, Canada, Chile, China, Europe, India, Indonesia, Israel, Japan, Mexico, Russia, Singapore, South Africa and South Korea, and has a 20-year term extending into July 2033; another, also owned by us, is pending in the International Phase (i.e., the PCT), and has a 20-year term extending into January 2035. This latter family includes data demonstrating key valuable attributes of particular stereochemically pure oligonucleotide compositions that act as antisense agents.</w:t>
      </w:r>
    </w:p>
    <w:p>
      <w:pPr>
        <w:spacing w:after="0" w:line="15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also own various patent families that relate to stereochemically pure oligonucleotide adjuvant compositions. These include pending filings in Australia, Brazil, Canada, China, Europe, Japan, India, Israel, Mexico, Russia, Singapore, South Korea, the United Arab Emirates, the United States, and in the International Phase, and have 20-year terms extending into 2033-2035.</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720"/>
        <w:spacing w:after="0" w:line="298" w:lineRule="auto"/>
        <w:rPr>
          <w:sz w:val="20"/>
          <w:szCs w:val="20"/>
          <w:color w:val="auto"/>
        </w:rPr>
      </w:pPr>
      <w:r>
        <w:rPr>
          <w:rFonts w:ascii="Arial" w:cs="Arial" w:eastAsia="Arial" w:hAnsi="Arial"/>
          <w:sz w:val="17"/>
          <w:szCs w:val="17"/>
          <w:color w:val="auto"/>
        </w:rPr>
        <w:t xml:space="preserve">Filings that protect compositions are also directed to methods of using such compositions, for example in the treatment of particular diseases. </w:t>
      </w:r>
      <w:r>
        <w:rPr>
          <w:rFonts w:ascii="Arial" w:cs="Arial" w:eastAsia="Arial" w:hAnsi="Arial"/>
          <w:sz w:val="17"/>
          <w:szCs w:val="17"/>
          <w:b w:val="1"/>
          <w:bCs w:val="1"/>
          <w:i w:val="1"/>
          <w:iCs w:val="1"/>
          <w:color w:val="auto"/>
        </w:rPr>
        <w:t>Future Filings</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maintain a thoughtful and ambitious program for developing and protecting additional intellectual property, including new synthetic methodologies and reagents. We also intend to prepare and submit patent filings specifically directed to protecting individual product candidates and their uses as we finalize leads and collect relevant data, which is expected to include comparison data confirming novel and/or beneficial attributes of our product candidates.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 Intellectual Property Law</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Section 34 of the Singapore Patents Act provides that a person residing in Singapore is required to obtain written authorization from the Singapore Registrar of Patents before filing an application for a patent for an invention outside of Singapore. A violation of Section 34 is criminal offense punishable by a fine not exceeding S$5,000, or imprisonment for a term not exceeding two years, or both. If the Registrar does not issue any direction prohibiting or restricting the publication or communication of information contained in the patent application within two months after the request for authorization is filed, the applicant may file a patent application for that invention in another jurisdiction. If a person unintentionally violates Section 34, the Registrar may grant relief upon payment of a fine not exceeding S$2,000.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pharmaceutical marketplace is characterized by rapidly advancing technologies, intense competition and a strong emphasis on proprietary products. While we believe that our expertise in nucleic acid therapeutics,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Not only must we compete with other companies that are focused on nucleic acid therapeutics, but any product candidates that we successfully develop and commercialize will compete with existing therapies and new therapies that may become available in the future.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Huntington’s Disease</w:t>
      </w:r>
    </w:p>
    <w:p>
      <w:pPr>
        <w:spacing w:after="0" w:line="5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There are no approved available treatments to slow the progression of Huntington’s disease. Companies developing therapies to treat Huntington’s disease include Isis Pharmaceuticals, Roche and Sangamo Biosciences, all of which are developing nucleic acid therapies that target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A number of other companies are developing drugs to treat symptoms associated with Huntington’s disease, including Auspex Pharmaceuticals, Teva Pharmaceutical Industries, Prana Biotechnology, Siena Biotech, Raptor Pharmaceuticals, Omeros Corporation, Pfizer, Ipsen and others.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Duchenne Muscular Dystrophy</w:t>
      </w:r>
    </w:p>
    <w:p>
      <w:pPr>
        <w:spacing w:after="0" w:line="54" w:lineRule="exact"/>
        <w:rPr>
          <w:sz w:val="20"/>
          <w:szCs w:val="20"/>
          <w:color w:val="auto"/>
        </w:rPr>
      </w:pPr>
    </w:p>
    <w:p>
      <w:pPr>
        <w:ind w:right="320"/>
        <w:spacing w:after="0" w:line="236" w:lineRule="auto"/>
        <w:rPr>
          <w:sz w:val="20"/>
          <w:szCs w:val="20"/>
          <w:color w:val="auto"/>
        </w:rPr>
      </w:pPr>
      <w:r>
        <w:rPr>
          <w:rFonts w:ascii="Arial" w:cs="Arial" w:eastAsia="Arial" w:hAnsi="Arial"/>
          <w:sz w:val="17"/>
          <w:szCs w:val="17"/>
          <w:color w:val="auto"/>
        </w:rPr>
        <w:t xml:space="preserve">Currently, there are no therapies approved for the treatment of DMD in the United States. PTC Therapeutics, BioMarin Pharmaceuticals, Sarepta Therapeutics and Prosensa are each developing exon skipping nucleic acid therapies to specifically target the disease-associated exons of the </w:t>
      </w:r>
      <w:r>
        <w:rPr>
          <w:rFonts w:ascii="Arial" w:cs="Arial" w:eastAsia="Arial" w:hAnsi="Arial"/>
          <w:sz w:val="17"/>
          <w:szCs w:val="17"/>
          <w:i w:val="1"/>
          <w:iCs w:val="1"/>
          <w:color w:val="auto"/>
        </w:rPr>
        <w:t xml:space="preserve">dystrophin </w:t>
      </w:r>
      <w:r>
        <w:rPr>
          <w:rFonts w:ascii="Arial" w:cs="Arial" w:eastAsia="Arial" w:hAnsi="Arial"/>
          <w:sz w:val="17"/>
          <w:szCs w:val="17"/>
          <w:color w:val="auto"/>
        </w:rPr>
        <w:t>gene. A number of other companies, including Summit Therapeutics, are developing or have approval to market drugs that can alter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progression of the disease in patients.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Inflammatory Bowel Disease</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There are a limited number of drugs available for the treatment of IBD (either UC or CD) including mesalazine, azathioprine, budesonide and vedoluzimab. Celgene is developing a nucleic acid therapy to target CD. Other companies either are developing or have approval to sell drugs to treat the symptoms of IBD, including Johnson &amp; Johnson, Receptos, Pfizer, Eisai, Mylan, Novartis, Takeda and Valeant Pharmaceuticals and others.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Approval Process</w:t>
      </w:r>
    </w:p>
    <w:p>
      <w:pPr>
        <w:spacing w:after="0" w:line="5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the United States, pharmaceutical products are subject to extensive regulation by the FDA. The Food Drug and Cosmetic Act, or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the FDA’s refusal to approve pending applications, a clinical hold, warning letters, recall or seizure of products, partial or total suspension of production, withdrawal of the product from the market, injunctions, fines, civil penalties or criminal prosecution.</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FDA approval is required before any new drug, such as a new chemical entity, or a new dosage form, new use or new route of administration of a previously approved product, can be marketed in the United States. The process required by the FDA before a new drug product may be marketed in the United States generally involves:</w:t>
      </w:r>
    </w:p>
    <w:p>
      <w:pPr>
        <w:spacing w:after="0" w:line="188" w:lineRule="exact"/>
        <w:rPr>
          <w:sz w:val="20"/>
          <w:szCs w:val="20"/>
          <w:color w:val="auto"/>
        </w:rPr>
      </w:pPr>
    </w:p>
    <w:p>
      <w:pPr>
        <w:ind w:left="800" w:right="360" w:hanging="454"/>
        <w:spacing w:after="0" w:line="243"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completion of preclinical laboratory and animal testing and formulation studies in compliance with the FDA’s good laboratory practice, or GLP, regulation;</w:t>
      </w:r>
    </w:p>
    <w:p>
      <w:pPr>
        <w:spacing w:after="0" w:line="22" w:lineRule="exact"/>
        <w:rPr>
          <w:rFonts w:ascii="Arial" w:cs="Arial" w:eastAsia="Arial" w:hAnsi="Arial"/>
          <w:sz w:val="17"/>
          <w:szCs w:val="17"/>
          <w:color w:val="auto"/>
        </w:rPr>
      </w:pPr>
    </w:p>
    <w:p>
      <w:pPr>
        <w:ind w:left="800" w:right="20" w:hanging="454"/>
        <w:spacing w:after="0" w:line="243"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 in the United States;</w:t>
      </w:r>
    </w:p>
    <w:p>
      <w:pPr>
        <w:spacing w:after="0" w:line="22" w:lineRule="exact"/>
        <w:rPr>
          <w:rFonts w:ascii="Arial" w:cs="Arial" w:eastAsia="Arial" w:hAnsi="Arial"/>
          <w:sz w:val="17"/>
          <w:szCs w:val="17"/>
          <w:color w:val="auto"/>
        </w:rPr>
      </w:pPr>
    </w:p>
    <w:p>
      <w:pPr>
        <w:ind w:left="800" w:right="360" w:hanging="454"/>
        <w:spacing w:after="0" w:line="243"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at each site where a clinical trial will be performed before the trial may be initiated at that site;</w:t>
      </w:r>
    </w:p>
    <w:p>
      <w:pPr>
        <w:spacing w:after="0" w:line="22"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practices, or GCP, to establish the safety and efficacy of the proposed product candidate for each intended use;</w:t>
      </w:r>
    </w:p>
    <w:p>
      <w:pPr>
        <w:spacing w:after="0" w:line="22" w:lineRule="exact"/>
        <w:rPr>
          <w:rFonts w:ascii="Arial" w:cs="Arial" w:eastAsia="Arial" w:hAnsi="Arial"/>
          <w:sz w:val="17"/>
          <w:szCs w:val="17"/>
          <w:color w:val="auto"/>
        </w:rPr>
      </w:pPr>
    </w:p>
    <w:p>
      <w:pPr>
        <w:ind w:left="800" w:right="740" w:hanging="454"/>
        <w:spacing w:after="0" w:line="243"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facility or facilities at which the product is manufactured to assess compliance with the FDA’s cGMP regulations;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submission to the FDA of a new product application, or NDA which must be accepted for filing by the FDA;</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payment of user fees, if applicable;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FDA review and approval of the NDA.</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Preclinical tests include laboratory evaluation of product chemistry, formulation, manufacturing and control procedures and stability, as well as animal studies to assess the toxicity and other safety characteristics of the product. The results of preclinical tests, together with manufacturing information, analytical data and a proposed clinical trial protocol and other information, are submitted as part of an IND to the FDA. Some preclinical testing may continue even after the IND is submitted. The IND automatically becomes effective 30 days after receipt by the FDA, unless the FDA, within the 30-day time period, raises concerns or questions and places the clinical trial on a clinical hold. In such a case, the IND sponsor and the FDA must resolve any outstanding concerns before the clinical trial can begin. As a result, our submission of an IND may not result in FDA authorization to commence a clinical trial. A separate submission to an existing IND must also be made for each successive clinical trial conducted during product development. Even if the IND becomes effective and the trial proceeds without initial FDA objection, the FDA may stop the trial at a later time if it has concerns, such as if unacceptable safety risks arise.</w:t>
      </w:r>
    </w:p>
    <w:p>
      <w:pPr>
        <w:spacing w:after="0" w:line="147"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Further, an independent IRB, covering each site proposing to conduct the clinical trial must review and approve the plan for any clinical trial and informed consent information for subjects before the trial commences at that site and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48"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Clinical trials involve the administration of the investigational new product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 For purposes of an NDA submission and approval, human clinical trials are typically conducted in the following sequential phases, which may overlap or be combined:</w:t>
      </w:r>
    </w:p>
    <w:p>
      <w:pPr>
        <w:spacing w:after="0" w:line="171" w:lineRule="exact"/>
        <w:rPr>
          <w:sz w:val="20"/>
          <w:szCs w:val="20"/>
          <w:color w:val="auto"/>
        </w:rPr>
      </w:pPr>
    </w:p>
    <w:p>
      <w:pPr>
        <w:ind w:left="800" w:right="620" w:hanging="454"/>
        <w:spacing w:after="0" w:line="257"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Phase 1</w:t>
      </w:r>
      <w:r>
        <w:rPr>
          <w:rFonts w:ascii="Arial" w:cs="Arial" w:eastAsia="Arial" w:hAnsi="Arial"/>
          <w:sz w:val="17"/>
          <w:szCs w:val="17"/>
          <w:color w:val="auto"/>
        </w:rPr>
        <w:t>. The product is initially introduced into healthy human subjects or patients and tested for safety, dose tolerance, absorption,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metabolism, distribution and excretion and, if possible, to gain an early indication of its effectiveness.</w:t>
      </w:r>
    </w:p>
    <w:p>
      <w:pPr>
        <w:ind w:left="800" w:right="160" w:hanging="454"/>
        <w:spacing w:after="0" w:line="248"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Phase 2</w:t>
      </w:r>
      <w:r>
        <w:rPr>
          <w:rFonts w:ascii="Arial" w:cs="Arial" w:eastAsia="Arial" w:hAnsi="Arial"/>
          <w:sz w:val="17"/>
          <w:szCs w:val="17"/>
          <w:color w:val="auto"/>
        </w:rPr>
        <w:t>. The product is administered to a limited patient population to identify possible adverse effects and safety risks, to preliminarily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the efficacy of the product for specific targeted indications and to determine dose tolerance and optimal dosage. Multiple Phase 2 clinical trials may be conducted by the sponsor to obtain information prior to beginning larger and more extensive clinical trials.</w:t>
      </w:r>
    </w:p>
    <w:p>
      <w:pPr>
        <w:spacing w:after="0" w:line="1" w:lineRule="exact"/>
        <w:rPr>
          <w:rFonts w:ascii="Arial" w:cs="Arial" w:eastAsia="Arial" w:hAnsi="Arial"/>
          <w:sz w:val="17"/>
          <w:szCs w:val="17"/>
          <w:color w:val="auto"/>
        </w:rPr>
      </w:pPr>
    </w:p>
    <w:p>
      <w:pPr>
        <w:ind w:left="800" w:right="80" w:hanging="454"/>
        <w:spacing w:after="0" w:line="244"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 These are commonly referred to as pivotal studies. When Phase 2 evaluations demonstrate that a dose range of the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appears to be effective and has an acceptable safety profile, trials are undertaken in large patient populations to further evaluate dosage, to obtain additional evidence of clinical efficacy and safety in an expanded patient population at multiple, geographically-dispersed clinical trial sites, to establish the overall risk-benefit relationship of the product and to provide adequate information for the labeling of the product.</w:t>
      </w:r>
    </w:p>
    <w:p>
      <w:pPr>
        <w:spacing w:after="0" w:line="42" w:lineRule="exact"/>
        <w:rPr>
          <w:rFonts w:ascii="Arial" w:cs="Arial" w:eastAsia="Arial" w:hAnsi="Arial"/>
          <w:sz w:val="17"/>
          <w:szCs w:val="17"/>
          <w:color w:val="auto"/>
        </w:rPr>
      </w:pPr>
    </w:p>
    <w:p>
      <w:pPr>
        <w:ind w:left="800" w:right="260" w:hanging="454"/>
        <w:spacing w:after="0" w:line="250"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Phase 4</w:t>
      </w:r>
      <w:r>
        <w:rPr>
          <w:rFonts w:ascii="Arial" w:cs="Arial" w:eastAsia="Arial" w:hAnsi="Arial"/>
          <w:sz w:val="17"/>
          <w:szCs w:val="17"/>
          <w:color w:val="auto"/>
        </w:rPr>
        <w:t>. In some cases, the FDA may condition approval of an NDA for a product candidate on the sponsor’s agreement to conduct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clinical trials to further assess the product’s safety and effectiveness after NDA approval. Such post-approval trials are typically referred to as Phase 4 studies.</w:t>
      </w:r>
    </w:p>
    <w:p>
      <w:pPr>
        <w:spacing w:after="0" w:line="138"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The results of product development, preclinical studies and clinical trials are submitted to the FDA as part of an NDA. NDAs must also contain extensive information relating to the product’s pharmacology, chemistry, manufacturing and controls and proposed labeling, among other things.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For some products, the FDA may require a risk evaluation and mitigation strategy, or REMS, which could include measures imposed by the FDA such as prescribing restrictions, requirements for post-marketing studies or certain restrictions on distribution and use. Under federal law, the submission of most NDAs is additionally subject to a substantial application user fee, and the manufacturer and/or sponsor under an approved NDA are also subject to annual product and establishment user fees. 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w:t>
      </w:r>
    </w:p>
    <w:p>
      <w:pPr>
        <w:spacing w:after="0" w:line="151"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Once the submission has been accepted for filing, the FDA begins an in-depth substantive review. Under the Prescription Drug User Fee Act, or PDUFA, the FDA agrees to specific performance goals for NDA review time through a two-tiered classification system, Standard Review and Priority Review. Standard Review NDAs have a goal of being completed within a ten-month timeframe from FDA filing of the application. A Priority Review designation is given to products that offer major advances in treatment, or provide a treatment where no adequate therapy exists. The goal for completing a Priority Review is six months from filing.</w:t>
      </w:r>
    </w:p>
    <w:p>
      <w:pPr>
        <w:spacing w:after="0" w:line="150"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The review process may be extended by the FDA for three additional months to consider certain information or obtain clarification regarding information already provided in the submission. The FDA may refer applications for novel products or products which present difficult questions of safety or efficacy to an advisory committee for review, evaluation and recommendation as to whether the application should be approved and under what conditions. The FDA is not bound by the recommendation of an advisory committee, but it considers such recommendations carefully when making decisions.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Before approving an NDA, the FDA may inspect the facility or facilities where the product is manufactured. The FDA will not approve an application unless it determines that the manufacturing processes and facilities are in compliance with cGMP.</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After the FDA evaluates the NDA and, in some cases, the related manufacturing facilities, it may issue an approval letter or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product with specific prescribing information for specific indications.</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power to prevent or limit further marketing of a product based on the results of these post-marketing programs. Products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such as a Black Box Warning, which highlights a specific warning (typically life-threatening), or a REMS program. Further, if there are any modifications to the product, including changes in indications, labeling, or manufacturing processes or facilities, a company may be required to submit and obtain FDA approval of a new or supplemental NDA, which may require the company to develop additional data or conduct additional preclinical studies and clinical trials.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Once an NDA is approved, a product will be subject to pervasive and continuing regulation by the FDA, including, among other things, requirements relating to product/device listing, recordkeeping, periodic reporting, product sampling and distribution, advertising and promotion and reporting of adverse experiences with the product.</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148" w:lineRule="exact"/>
        <w:rPr>
          <w:sz w:val="20"/>
          <w:szCs w:val="20"/>
          <w:color w:val="auto"/>
        </w:rPr>
      </w:pPr>
    </w:p>
    <w:p>
      <w:pPr>
        <w:jc w:val="both"/>
        <w:ind w:right="360"/>
        <w:spacing w:after="0" w:line="23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190" w:lineRule="exact"/>
        <w:rPr>
          <w:sz w:val="20"/>
          <w:szCs w:val="20"/>
          <w:color w:val="auto"/>
        </w:rPr>
      </w:pPr>
    </w:p>
    <w:p>
      <w:pPr>
        <w:ind w:left="800" w:hanging="454"/>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trials;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license approvals;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While physicians may prescribe for off label uses, manufacturers may only promote for the approved indications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both at the federal and state levels.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FDA has authority to require a Risk Evaluation and Mitigation Strategy, or REMS, from manufacturers to ensure that the benefits of a drug or biological product outweigh its risks. In determining whether a REMS is necessary, FDA must consider the size of the population likely to use the drug, the seriousness of the disease or condition to be treated, the expected benefit of the drug, the duration of treatment, the seriousness of known or potential adverse events, and whether the drug is a new molecular entity. If the FDA determines a REMS is necessary, the drug sponsor must agree to the REMS plan at the time of approval. A REMS may be required to include various elements, such as a medication guide or patient package insert, a communication plan to educate health care providers of the drug’s risks, limitations on who may prescribe or dispense the drug, or other measures that the FDA deems necessary to assure the safe use of the drug. In addition, the REMS must include a timetable to assess the strategy at 18 months, three years, and seven years after the strategy’s approval. The FDA may also impose a REMS requirement on a drug already on the market if the FDA determines, based on new safety information, that a REMS is necessary to ensure that the drug’s benefits outweigh its risks.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Under the Orphan Drug Act, the FDA may grant orphan drug designation to a drug intended to treat a rare disease or condition which is defined as one affecting fewer than 200,000 individuals in the United States or more than 200,000 individuals where there is no reasonable expectation that the product development cost will be recovered from product sales in the United States. Orphan drug designation must be requested before submitting an NDA and does not convey any advantage in, or shorten the duration of, the regulatory review and approval process.</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If an orphan drug-designated product subsequently receives the first FDA approval for the disease for which it was designed, the product will be entitled to seven years of product exclusivity, which means that the FDA may not approve any other applications to market the same drug for the same indication, except in very limited circumstances, for seven years. If a competitor obtains approval of the same drug, as defined by the FDA, or if our product candidate is determined to be contained within the competitor’s product for the same indication or disease, the competitor’s exclusivity could block the approval of our product candidate in the designated orphan indication for seven years.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 Restoration and Marketing Exclusivity</w:t>
      </w:r>
    </w:p>
    <w:p>
      <w:pPr>
        <w:spacing w:after="0" w:line="5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extension must be made prior to expiration of the patent. The United States Patent and Trademark Office,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Although we currently do not have any products on the market, we may be subject to additional healthcare regulation and enforcement by the federal government and by authorities in the states and other countries in which we conduct our business. Such laws include, without limitation, state and federal anti-kickback, fraud and abuse, false claims, privacy and security and physician sunshine laws and regulations, many of which may become more applicable to us if our product candidates are approved and we begin commercialization.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4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The Patient Protection and Affordable Care Act, or PPACA, has had, and is expected to continue to have, a significant impact on the healthcare industry in the United States. PPACA was designed to expand coverage for the uninsured while at the same time containing overall healthcare costs. With regard to pharmaceutical products, among other things, PPACA expanded and increased industry rebates for drugs covered under Medicaid programs and made changes to the coverage requirements under the Medicare prescription drug benefit. We continue to evaluate the effect that PPACA has on our business. In the coming years, additional legislative and regulatory changes could be made to governmental health programs that could significantly impact pharmaceutical companies and the success of our product candidates. PPACA, as well as other federal, state and foreign healthcare reform measures that have been and may be adopted in the future, could harm our future revenues.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Sales of our products, when and if approved for marketing, will depend, in part, on the extent to which our products will be covered by third-party payors, such as federal, state, and foreign government health 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Limited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Requirements</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and our third-party manufacturers must comply with applicable FDA regulations relating to FDA’s cGMP regulations and, if applicable, quality system regulation requirements for medical devices. The cGMP regulations include requirements relating to, among other things,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to the satisfaction of the FDA pursuant to a pre-approval inspection before we can use them to manufacture our products. We and our third-party manufacturers are also subject to periodic unannounced inspections of facilities by the FDA and other authorities, including procedures and operations used in the testing and manufacture of our products to assess our compliance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with applicable regulations. Failure to comply with statutory and regulatory requirements subjects a manufacturer to possible legal or regulatory action, including, among other things, warning letters, voluntary corrective action, the seizure of products, injunctions, consent decrees placing significant restrictions on or suspending manufacturing operations and civil and criminal penalties.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Regulatory Requirements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powers, including, among other things, the ability to levy fines and civil penalties, suspend or delay issuance of approvals, seize or recall products, and withdraw approvals, any one or more of which could have an adverse effect on our ability to operate our business and generate revenues. Compliance with applicable environmental laws and regulations is expensive, and current or future environmental regulations may impair our research, development and production efforts,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3" w:lineRule="exact"/>
        <w:rPr>
          <w:sz w:val="20"/>
          <w:szCs w:val="20"/>
          <w:color w:val="auto"/>
        </w:rPr>
      </w:pPr>
    </w:p>
    <w:p>
      <w:pPr>
        <w:jc w:val="both"/>
        <w:ind w:right="540"/>
        <w:spacing w:after="0" w:line="243" w:lineRule="auto"/>
        <w:rPr>
          <w:sz w:val="20"/>
          <w:szCs w:val="20"/>
          <w:color w:val="auto"/>
        </w:rPr>
      </w:pPr>
      <w:r>
        <w:rPr>
          <w:rFonts w:ascii="Arial" w:cs="Arial" w:eastAsia="Arial" w:hAnsi="Arial"/>
          <w:sz w:val="17"/>
          <w:szCs w:val="17"/>
          <w:color w:val="auto"/>
        </w:rPr>
        <w:t>As of June 30, 2015, we employed 28 full-time employees. A significant number of our management and professional employees have had prior experience with pharmaceutical, biotechnology or medical product companies. Management considers relations with our employees to be good.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We maintain our corporate offices in Boston, Massachusetts, where we occupy approximately 4,300 square feet of office space under a lease that expires in August 2019, and research and development facilities in Okinawa, Japan and Cambridge, Massachusetts.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may be involved in various legal proceedings, claims, investigations and other legal matters which arise in the ordinary course of business. Although it is not possible to predict the outcome of these matters, we believe that the ultimate outcome of our pending legal proceedings, individually and in the aggregate, will not have a material adverse effect on our business, financial condition or results of operations.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June 30,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Age</w:t>
            </w: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Position/Title</w:t>
            </w:r>
          </w:p>
        </w:tc>
      </w:tr>
      <w:tr>
        <w:trPr>
          <w:trHeight w:val="20"/>
        </w:trPr>
        <w:tc>
          <w:tcPr>
            <w:tcW w:w="3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56"/>
        </w:trPr>
        <w:tc>
          <w:tcPr>
            <w:tcW w:w="5620" w:type="dxa"/>
            <w:vAlign w:val="bottom"/>
            <w:gridSpan w:val="2"/>
          </w:tcPr>
          <w:p>
            <w:pPr>
              <w:spacing w:after="0" w:line="157" w:lineRule="exact"/>
              <w:rPr>
                <w:sz w:val="20"/>
                <w:szCs w:val="20"/>
                <w:color w:val="auto"/>
              </w:rPr>
            </w:pPr>
            <w:r>
              <w:rPr>
                <w:rFonts w:ascii="Arial" w:cs="Arial" w:eastAsia="Arial" w:hAnsi="Arial"/>
                <w:sz w:val="17"/>
                <w:szCs w:val="17"/>
                <w:i w:val="1"/>
                <w:iCs w:val="1"/>
                <w:color w:val="auto"/>
              </w:rPr>
              <w:t>Executive Officers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0" w:type="dxa"/>
            <w:vAlign w:val="bottom"/>
          </w:tcPr>
          <w:p>
            <w:pPr>
              <w:spacing w:after="0"/>
              <w:rPr>
                <w:sz w:val="13"/>
                <w:szCs w:val="13"/>
                <w:color w:val="auto"/>
              </w:rPr>
            </w:pP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Paul B. Bolno, M.D.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41</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Christopher Francis, Ph.D.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37</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Vice President of Business Development</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Roberto Guerciolini, M.D.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61</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w w:val="99"/>
              </w:rPr>
              <w:t>Senior Vice President, Head of Early Development</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Kyle Moran</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44</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Vice President, Head of Finance</w:t>
            </w:r>
          </w:p>
        </w:tc>
      </w:tr>
      <w:tr>
        <w:trPr>
          <w:trHeight w:val="205"/>
        </w:trPr>
        <w:tc>
          <w:tcPr>
            <w:tcW w:w="5620" w:type="dxa"/>
            <w:vAlign w:val="bottom"/>
            <w:gridSpan w:val="2"/>
          </w:tcPr>
          <w:p>
            <w:pPr>
              <w:spacing w:after="0"/>
              <w:rPr>
                <w:sz w:val="20"/>
                <w:szCs w:val="20"/>
                <w:color w:val="auto"/>
              </w:rPr>
            </w:pPr>
            <w:r>
              <w:rPr>
                <w:rFonts w:ascii="Arial" w:cs="Arial" w:eastAsia="Arial" w:hAnsi="Arial"/>
                <w:sz w:val="17"/>
                <w:szCs w:val="17"/>
                <w:color w:val="auto"/>
              </w:rPr>
              <w:t>Chandra Vargeese, Ph.D.</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54</w:t>
            </w:r>
          </w:p>
        </w:tc>
        <w:tc>
          <w:tcPr>
            <w:tcW w:w="3820" w:type="dxa"/>
            <w:vAlign w:val="bottom"/>
            <w:gridSpan w:val="2"/>
          </w:tcPr>
          <w:p>
            <w:pPr>
              <w:spacing w:after="0"/>
              <w:rPr>
                <w:sz w:val="20"/>
                <w:szCs w:val="20"/>
                <w:color w:val="auto"/>
              </w:rPr>
            </w:pPr>
            <w:r>
              <w:rPr>
                <w:rFonts w:ascii="Arial" w:cs="Arial" w:eastAsia="Arial" w:hAnsi="Arial"/>
                <w:sz w:val="17"/>
                <w:szCs w:val="17"/>
                <w:color w:val="auto"/>
              </w:rPr>
              <w:t>Senior Vice President, Head of Drug Discovery</w:t>
            </w:r>
          </w:p>
        </w:tc>
      </w:tr>
      <w:tr>
        <w:trPr>
          <w:trHeight w:val="281"/>
        </w:trPr>
        <w:tc>
          <w:tcPr>
            <w:tcW w:w="562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Gregory L. Verdine, Ph.D.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56</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Chairman of the Board of Directors</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Peter Kolchinsky, Ph.D.</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38</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Koji Miura</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66</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Ken Takanashi</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51</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620" w:type="dxa"/>
            <w:vAlign w:val="bottom"/>
            <w:gridSpan w:val="2"/>
          </w:tcPr>
          <w:p>
            <w:pPr>
              <w:spacing w:after="0" w:line="189" w:lineRule="exact"/>
              <w:rPr>
                <w:sz w:val="20"/>
                <w:szCs w:val="20"/>
                <w:color w:val="auto"/>
              </w:rPr>
            </w:pPr>
            <w:r>
              <w:rPr>
                <w:rFonts w:ascii="Arial" w:cs="Arial" w:eastAsia="Arial" w:hAnsi="Arial"/>
                <w:sz w:val="17"/>
                <w:szCs w:val="17"/>
                <w:color w:val="auto"/>
              </w:rPr>
              <w:t>Masaharu Tanaka</w:t>
            </w:r>
          </w:p>
        </w:tc>
        <w:tc>
          <w:tcPr>
            <w:tcW w:w="6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62</w:t>
            </w:r>
          </w:p>
        </w:tc>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5620" w:type="dxa"/>
            <w:vAlign w:val="bottom"/>
            <w:gridSpan w:val="2"/>
          </w:tcPr>
          <w:p>
            <w:pPr>
              <w:spacing w:after="0"/>
              <w:rPr>
                <w:sz w:val="20"/>
                <w:szCs w:val="20"/>
                <w:color w:val="auto"/>
              </w:rPr>
            </w:pPr>
            <w:r>
              <w:rPr>
                <w:rFonts w:ascii="Arial" w:cs="Arial" w:eastAsia="Arial" w:hAnsi="Arial"/>
                <w:sz w:val="17"/>
                <w:szCs w:val="17"/>
                <w:color w:val="auto"/>
              </w:rPr>
              <w:t>Takeshi Wada, Ph.D.</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53</w:t>
            </w:r>
          </w:p>
        </w:tc>
        <w:tc>
          <w:tcPr>
            <w:tcW w:w="382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 xml:space="preserve">Paul B. Bolno, M.D. </w:t>
      </w:r>
      <w:r>
        <w:rPr>
          <w:rFonts w:ascii="Arial" w:cs="Arial" w:eastAsia="Arial" w:hAnsi="Arial"/>
          <w:sz w:val="17"/>
          <w:szCs w:val="17"/>
          <w:color w:val="auto"/>
        </w:rPr>
        <w:t>has served as our President and Chief Executive Officer and as a director since December 2013. Prior to joining us, he served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GlaxoSmithKline from 2009 to 2013 in various roles, including Vice President, Worldwide Business Development – 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 surgery postdoctoral research fellow at Drexel University College of Medicine. We believe that Dr. Bolno’s experience serving as our President and Chief Executive Officer and a member of our board of directors and his experience leading biopharmaceutical companies qualify him to serve on our board of directors.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 xml:space="preserve">Christopher Francis, Ph.D. </w:t>
      </w:r>
      <w:r>
        <w:rPr>
          <w:rFonts w:ascii="Arial" w:cs="Arial" w:eastAsia="Arial" w:hAnsi="Arial"/>
          <w:sz w:val="17"/>
          <w:szCs w:val="17"/>
          <w:color w:val="auto"/>
        </w:rPr>
        <w:t>has served as our Vice President of Business Development since April 2014. Prior to joining us, Dr. Francis held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operational, strategic and business development roles within GlaxoSmithKline Oncology from 2009 to 2014 and was a member of the team that established GlaxoSmithKline’s Rare Disease Unit. Before GlaxoSmithKline, Dr. Francis was a health care private equity associate at Two River LLC from 2008 to 2009. He began his career in pharmaceutical pricing and reimbursement consulting at IMS Health. Dr. Francis earned undergraduate and graduate degrees in biochemistry and molecular biology from the University of Melbourne and was a doctoral research associate at the University of Cambridge.</w:t>
      </w:r>
    </w:p>
    <w:p>
      <w:pPr>
        <w:spacing w:after="0" w:line="129"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b w:val="1"/>
          <w:bCs w:val="1"/>
          <w:i w:val="1"/>
          <w:iCs w:val="1"/>
          <w:color w:val="auto"/>
        </w:rPr>
        <w:t xml:space="preserve">Roberto Guerciolini, M.D. </w:t>
      </w:r>
      <w:r>
        <w:rPr>
          <w:rFonts w:ascii="Arial" w:cs="Arial" w:eastAsia="Arial" w:hAnsi="Arial"/>
          <w:sz w:val="17"/>
          <w:szCs w:val="17"/>
          <w:color w:val="auto"/>
        </w:rPr>
        <w:t>has served as our Senior Vice President, Head of Early Development since March 2015. Dr. Guerciolini was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Emerging Business Unit at Shire AG from 2011 to 2014. He was Senior Vice President of Pharmaceutical Development at Dicerna Pharmaceuticals, Inc., a company he co-founded, from 2007 to 2011. From 2004 to 2007 he served as Chief Medical Officer of Sirna Therapeutics, which was acquired by Merck &amp; Co. in 2006. Dr. Guerciolini also previously served as Senior Director of Experimental Medicine at Millennium Pharmaceuticals, as well as in clinical development roles at Hoffmann-La Roche and Schering-Plough Inc. Dr. Guerciolini received his medical degree and board certification in Internal Medicine from the University of Perugia Medical School in Italy. He completed a postdoctoral fellowship in Clinical Pharmacology at the Mayo Clinic and is certified by the American Board of Clinical Pharmacology. Dr. Guerciolini additionally earned an executive M.B.A. from the Haas School of Business, University of California, Berkeley.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 xml:space="preserve">Kyle Moran </w:t>
      </w:r>
      <w:r>
        <w:rPr>
          <w:rFonts w:ascii="Arial" w:cs="Arial" w:eastAsia="Arial" w:hAnsi="Arial"/>
          <w:sz w:val="17"/>
          <w:szCs w:val="17"/>
          <w:color w:val="auto"/>
        </w:rPr>
        <w:t>has served as our Vice President, Head of Finance since July 2014. Prior to joining us, Mr. Moran served as Chief Financial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Operating Officer of Veroha, Inc., an information assurance software company focused on electronic notary solutions, from 2010 to 2014. He was also a founding partner of Context Financial Services, LLC, a boutique consulting firm that provided interim CFO-services to start-up and middle market companies undergoing rapid expansion or needing expert financial counsel and worked there from 2006 to 2014. In addition, Mr. Moran held senior operational and financial roles at leading global financial services firms, including Zurich Scudder Investments, JPMorgan Chase and Putnam Investments. Mr. Moran holds a bachelor’s degree in economics from Boston College and attended the Lemberg Master’s Program in international economics and finance at Brandeis University. Mr. Moran is a Chartered Financial Analyst.</w:t>
      </w:r>
    </w:p>
    <w:p>
      <w:pPr>
        <w:spacing w:after="0" w:line="12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b w:val="1"/>
          <w:bCs w:val="1"/>
          <w:i w:val="1"/>
          <w:iCs w:val="1"/>
          <w:color w:val="auto"/>
        </w:rPr>
        <w:t xml:space="preserve">Chandra Vargeese, Ph.D. </w:t>
      </w:r>
      <w:r>
        <w:rPr>
          <w:rFonts w:ascii="Arial" w:cs="Arial" w:eastAsia="Arial" w:hAnsi="Arial"/>
          <w:sz w:val="17"/>
          <w:szCs w:val="17"/>
          <w:color w:val="auto"/>
        </w:rPr>
        <w:t>has served as our Senior Vice President, Head of Drug Discovery since August 2014. Before joining us, Dr. Vargeese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Novartis’ Executive Director and Head of RNA Chemistry and Delivery, a position she held from 2008 to 2014. Prior to joining Novartis, Dr. Vargeese led siRNA delivery in the RNA Therapeutics division at Merck &amp; Co., where she served as Senior Director. Dr. Vargeese joined Merck through its acquisition of Sirna Therapeutics, where she was Vice President of Chemistry. Before Sirna, Dr. Vargeese served as Associate Director of Chemistry at NeXstar Pharmaceuticals and is the co-inventor of Macugen (pegaptanib), an approved therapy for treating wet AMD. Dr. Vargeese earned a Ph.D. in Organic Chemistry at the Indian Institute of Science, Bangalore, India and completed post-doctoral work at the University of Rhode Island.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73"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i w:val="1"/>
          <w:iCs w:val="1"/>
          <w:color w:val="auto"/>
        </w:rPr>
        <w:t>Gregory L. Verdine, Ph.D</w:t>
      </w:r>
      <w:r>
        <w:rPr>
          <w:rFonts w:ascii="Arial" w:cs="Arial" w:eastAsia="Arial" w:hAnsi="Arial"/>
          <w:sz w:val="17"/>
          <w:szCs w:val="17"/>
          <w:b w:val="1"/>
          <w:bCs w:val="1"/>
          <w:color w:val="auto"/>
        </w:rPr>
        <w:t>.</w:t>
      </w:r>
      <w:r>
        <w:rPr>
          <w:rFonts w:ascii="Arial" w:cs="Arial" w:eastAsia="Arial" w:hAnsi="Arial"/>
          <w:sz w:val="17"/>
          <w:szCs w:val="17"/>
          <w:color w:val="auto"/>
        </w:rPr>
        <w:t>, one of our founders, has served on the board of directors since our founding in 2012, and has served as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July 2013. He was our President, Chief Executive Officer and Chief Scientific Officer from our inception through December 2013. Since 1989, he has served as the Erving Professor of Chemistry in the Department of Stem Cell and Regenerative Biology at Harvard University. Dr. Verdine is a director of Gloucester Marine Genomics Institute, which he co-founded in 2013. Since 2011, he has served as the President, Chief Scientific Officer and a co-founder and director of WarpDriveBio. Dr. Verdine founded Enanta Pharmaceuticals and served as a director of the company from 1990 through its successful public offering in 2013. He is a Venture Partner and TRUST Member of Third Rock Ventures, the founder, President and Chief Executive Officer of Verdyne Partners LLC and a Senior Advisor of Shin Nippon Biomedical Laboratories, or SNBL. Dr. Verdine is also the co-founder of Eleven Biotherapeutics, Tokai Therapeutics, Aileron Therapeutics and Gloucester Pharmaceuticals (acquired by Celgene in 2010). He has also served as a director of the Chemical Biology Initiative and the Program in Cancer Chemical Biology at the Dana-Farber Cancer Institute.</w:t>
      </w:r>
    </w:p>
    <w:p>
      <w:pPr>
        <w:spacing w:after="0" w:line="6"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Dr. Verdine received his Ph.D. in Chemistry from Columbia University and completed postdoctoral work in Molecular Biology at the Massachusetts Institute of Technology and Harvard Medical School. We believe he is qualified to serve on our board of directors because of his expertise and deep knowledge of our company, its technology and our industry and his long track record of creating and advising successful biopharmaceuticals companies.</w:t>
      </w:r>
    </w:p>
    <w:p>
      <w:pPr>
        <w:spacing w:after="0" w:line="12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b w:val="1"/>
          <w:bCs w:val="1"/>
          <w:i w:val="1"/>
          <w:iCs w:val="1"/>
          <w:color w:val="auto"/>
        </w:rPr>
        <w:t xml:space="preserve">Peter Kolchinsky, Ph.D. </w:t>
      </w:r>
      <w:r>
        <w:rPr>
          <w:rFonts w:ascii="Arial" w:cs="Arial" w:eastAsia="Arial" w:hAnsi="Arial"/>
          <w:sz w:val="17"/>
          <w:szCs w:val="17"/>
          <w:color w:val="auto"/>
        </w:rPr>
        <w:t>has served on our board of directors since January 2015. Dr. Kolchinsky is a founder, Managing Partner and Portfolio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 of RA Capital Management, LLC, a crossover fund manager which is dedicated to evidence-based investing in healthcare and life science companies, where he has worked since 2001. RA Capital Management, LLC is the general partner of RA Capital Healthcare Fund, L.P. He serves as a member of the board of directors of Dicerna Pharmaceuticals as well as a number of private companies. Dr. Kolchinsky authored “Entrepreneur’s Guide to a Biotech Startup,” serves on the board of the American Fertility Association and served on the Board of Global Science and Technology for the National Academics of Sciences from 2009 to 2012. Dr. Kolchinsky earned his Ph.D. in virology from Harvard University and earned his bachelor’s degree in Biology from Cornell University. We believe Dr. Kolchinsky is qualified to serve on our board of directors because of his business experience including his experience as a venture capitalist and his experience serving on the boards of various healthcare and life science companies.</w:t>
      </w:r>
    </w:p>
    <w:p>
      <w:pPr>
        <w:spacing w:after="0" w:line="130"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b w:val="1"/>
          <w:bCs w:val="1"/>
          <w:i w:val="1"/>
          <w:iCs w:val="1"/>
          <w:color w:val="auto"/>
        </w:rPr>
        <w:t xml:space="preserve">Koji Miura </w:t>
      </w:r>
      <w:r>
        <w:rPr>
          <w:rFonts w:ascii="Arial" w:cs="Arial" w:eastAsia="Arial" w:hAnsi="Arial"/>
          <w:sz w:val="17"/>
          <w:szCs w:val="17"/>
          <w:color w:val="auto"/>
        </w:rPr>
        <w:t>has served on our board of directors since October 2012. Mr. Miura is the Managing Director of Miura &amp; Associates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Consultants Pte. Ltd. Mr. Miura is the Founder and Managing Director of Miura &amp; Associates Management Consultants Pte. Ltd. and serves on the board of directors of Azeus Systems Holdings Ltd., Evolutional Material Pte. Ltd., Marine Tec Tachibana Pte. Ltd., Matsuura Singapore Pte. Ltd., Mercury Investment Holding Pte. Ltd., Richway Intelligence Trading &amp; Technology Pte. Ltd., Sunmoon Pte. Ltd., Triple Farm Singapore Pte. Ltd.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WithArt Pte. Ltd. Mr. Miura holds a bachelor’s degree in Business Administration from the University of Aoyama Gakuin, Tokyo, Japan. We believe he is qualified to serve on our board of directors because of his business experience including his diverse background serving on the board of directors of various companies, both private and publicly-held, across industries.</w:t>
      </w:r>
    </w:p>
    <w:p>
      <w:pPr>
        <w:spacing w:after="0" w:line="12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 xml:space="preserve">Ken Takanashi </w:t>
      </w:r>
      <w:r>
        <w:rPr>
          <w:rFonts w:ascii="Arial" w:cs="Arial" w:eastAsia="Arial" w:hAnsi="Arial"/>
          <w:sz w:val="17"/>
          <w:szCs w:val="17"/>
          <w:color w:val="auto"/>
        </w:rPr>
        <w:t>has served on our board of directors since July 2012. Since 2002, Mr. Takanashi has served in various executive management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roles Shin Nippon Biomedical Laboratories Ltd., or SNBL, and its affiliates and currently serves as its Executive Director of the Board, Overseas Business. Mr. Takanashi was the Chief Financial Officer of SNBL USA, Ltd., a subsidiary of Shin Nippon Biomedical Laboratories, from 2012 to 2014. Mr. Takanashi earned an M.B.A. from the University of Warwick and received his bachelor’s degree from the University of Tokyo and is a Chartered Public Accountant. We believe he is qualified to serve on our board of directors because of his extensive experience leading research and development for biopharmaceutical companies and his business, financial and accounting credentials.</w:t>
      </w:r>
    </w:p>
    <w:p>
      <w:pPr>
        <w:spacing w:after="0" w:line="129" w:lineRule="exact"/>
        <w:rPr>
          <w:sz w:val="20"/>
          <w:szCs w:val="20"/>
          <w:color w:val="auto"/>
        </w:rPr>
      </w:pPr>
    </w:p>
    <w:p>
      <w:pPr>
        <w:jc w:val="both"/>
        <w:ind w:right="280"/>
        <w:spacing w:after="0" w:line="241" w:lineRule="auto"/>
        <w:rPr>
          <w:sz w:val="20"/>
          <w:szCs w:val="20"/>
          <w:color w:val="auto"/>
        </w:rPr>
      </w:pPr>
      <w:r>
        <w:rPr>
          <w:rFonts w:ascii="Arial" w:cs="Arial" w:eastAsia="Arial" w:hAnsi="Arial"/>
          <w:sz w:val="17"/>
          <w:szCs w:val="17"/>
          <w:b w:val="1"/>
          <w:bCs w:val="1"/>
          <w:i w:val="1"/>
          <w:iCs w:val="1"/>
          <w:color w:val="auto"/>
        </w:rPr>
        <w:t xml:space="preserve">Masaharu Tanaka </w:t>
      </w:r>
      <w:r>
        <w:rPr>
          <w:rFonts w:ascii="Arial" w:cs="Arial" w:eastAsia="Arial" w:hAnsi="Arial"/>
          <w:sz w:val="17"/>
          <w:szCs w:val="17"/>
          <w:color w:val="auto"/>
        </w:rPr>
        <w:t>has served on our board of directors since August 2014. Mr. Tanaka is the President of Kagoshima Development Co. Ltd.,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partner of Kagoshima Shinsangyo Sousei Investment Limited Partnership, or KSS. From 2013 to 2014, he was a Managing Director of the Kagoshima Lease Co. Ltd. and from 2007 to 2013, he served as the Auditing Officer of the Kagoshima Bank, Ltd. Mr. Tanaka earned his bachelor’s degree in Commercial Science from Seinan Gakuin University. We believe Mr. Tanaka is qualified to serve on our board of directors because of his broad business and financial experience as a venture capitalist and banker.</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Takeshi Wada, Ph.D.</w:t>
      </w:r>
      <w:r>
        <w:rPr>
          <w:rFonts w:ascii="Arial" w:cs="Arial" w:eastAsia="Arial" w:hAnsi="Arial"/>
          <w:sz w:val="17"/>
          <w:szCs w:val="17"/>
          <w:color w:val="auto"/>
        </w:rPr>
        <w:t>, one of our founders, has served on our board of directors since July 2013. Dr. Wada is a Professor at the Tokyo University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 From 1999 to 2014, Dr. Wada was an Associate Professor in the Graduate School of Frontier Sciences at The University of Tokyo and previously was an Assistant Professor in the Department of Life Science at Tokyo Institute of Technology. Dr. Wada earned his Ph.D. from Tokyo Institute of Technology Interdisciplinary Graduate School of Science and Engineering Department of Life Chemistry. He earned his master’s degree from the Tokyo Institute of Technology and completed his undergraduate studies at Tokyo University of Science Department of Applied Chemistry. We believe he is qualified to serve on our board of directors because of his extensive experience in biopharmaceuticals research.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9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Our board of directors currently consists of seven directors. Pursuant to the terms of a voting agreement that we entered into with our shareholders dated as of August 14, 2015, our shareholders party thereto have agreed to vote their shares to elect the following persons to our board of directors as designated by the following shareholders: (i) RA Capital Healthcare Fund, L.P. has the right to designate one director, and its designee is</w:t>
      </w:r>
    </w:p>
    <w:p>
      <w:pPr>
        <w:spacing w:after="0" w:line="232" w:lineRule="auto"/>
        <w:rPr>
          <w:sz w:val="20"/>
          <w:szCs w:val="20"/>
          <w:color w:val="auto"/>
        </w:rPr>
      </w:pPr>
      <w:r>
        <w:rPr>
          <w:rFonts w:ascii="Arial" w:cs="Arial" w:eastAsia="Arial" w:hAnsi="Arial"/>
          <w:sz w:val="17"/>
          <w:szCs w:val="17"/>
          <w:color w:val="auto"/>
        </w:rPr>
        <w:t>Dr. Kolchinsky, (ii) Kagoshima Shinsangyo Sousei Investment Limited has the right to designate one director, and its designee is Mr. Tanaka and</w:t>
      </w:r>
    </w:p>
    <w:p>
      <w:pPr>
        <w:ind w:firstLine="8"/>
        <w:spacing w:after="0" w:line="234" w:lineRule="auto"/>
        <w:tabs>
          <w:tab w:leader="none" w:pos="27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holders of our ordinary shares and our Series B preferred shares have the right to designate three members to our board of directors, and have designated Dr. Verdine, and Messrs. Miura and Wada. Our shareholders have also agreed to elect the person serving as our chief executive officer, who is currently Dr. Bolno, to our board of directors. The voting agreement will be terminated in connection with this offering and there will be no further contractual agreements regarding the election of our directors. The authorized number of directors may be changed from time to time by resolution of our board of directors. Vacancies on our board of directors can be filled by resolution of our board of directors. Upon completion of this offering, any additional directorships resulting from an increase in the number of directors may only be filled by the directors then in office unless otherwise required by law or by a resolution passed by our board of directors. The term of office for each director will be until his or her successor is elected at our annual general meeting of shareholders or his or her death, resignation or removal, whichever is earliest to occur. Singapore law requires that at least one of our directors be resident in Singapore. Mr. Miura is our resident Singapore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0"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In connection with this offering, we intend to apply to list our ordinary shares on the NASDAQ Global Market. Under the rules of the NASDAQ Stock Market, our board of directors must be comprised of a majority of independent directors within a specified period of the completion of this offering. In addition, the rules of the NASDAQ Stock</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Market require that, subject to specified exceptions, each member of our audit, compensation and nominating and corporate governance committees must be independent. Under the NASDAQ Stock Market rules, a director will only qualify as an “independent director” if, in the opinion of our board of directors, that person does not have a relationship that would interfere with the exercise of independent judgment in carrying out the responsibilities of a director. Additionally, compensation committee members must not have a relationship with us that is material to the director’s ability to be independent from management in connection with the duties of a compensation committee member.</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Securities Exchange Act of 1934, as amended, or the Exchange Act. In order to be considered independent for purposes of Rule 10A-3, members of our audit committee may not, other than in their capacity as members of the audit committee, the board of directors or any other board committee: (i) accept, directly or indirectly, any consulting, advisory or other compensatory fee from us or any of our subsidiaries; or (ii) be an affiliate of us or any of our subsidiaries. We intend to satisfy the audit committee independence requirements of Rule 10A-3 as of the completion of this offering.</w:t>
      </w:r>
    </w:p>
    <w:p>
      <w:pPr>
        <w:spacing w:after="0" w:line="15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Drs. Kolchinsky and Wada and Messrs. Miura, Takanashi and Tanaka, representing five of our seven directors, are “independent directors” as defined under the applicable rules and regulations of the SEC and the listing requirements and rules of the NASDAQ Stock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93"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Upon the completion of this offering, the standing committees of our board of directors will be an Audit Committee, a Compensation Committee and a Nominating and Corporate Governance Committee. Each of the committees will report to our board of directors as they deem appropriate and as our board of directors may request. The expected composition, duties and responsibilities of these committees are set forth below.</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54" w:lineRule="exact"/>
        <w:rPr>
          <w:sz w:val="20"/>
          <w:szCs w:val="20"/>
          <w:color w:val="auto"/>
        </w:rPr>
      </w:pPr>
    </w:p>
    <w:p>
      <w:pPr>
        <w:ind w:right="600"/>
        <w:spacing w:after="0" w:line="236" w:lineRule="auto"/>
        <w:rPr>
          <w:sz w:val="20"/>
          <w:szCs w:val="20"/>
          <w:color w:val="auto"/>
        </w:rPr>
      </w:pPr>
      <w:r>
        <w:rPr>
          <w:rFonts w:ascii="Arial" w:cs="Arial" w:eastAsia="Arial" w:hAnsi="Arial"/>
          <w:sz w:val="17"/>
          <w:szCs w:val="17"/>
          <w:color w:val="auto"/>
        </w:rPr>
        <w:t>The Audit Committee will be responsible for, among other matters: (i) oversight and review of our financial statements and financial reporting processes; (ii) our systems of internal accounting and financial controls and disclosure controls; (iii) the qualifications and independence of our independent auditors; (iv) the performance of our internal audit function and independent auditors; and (v) compliance with legal and regulatory requirements and codes of conduct and ethics programs established by management and our board of directors.</w:t>
      </w:r>
    </w:p>
    <w:p>
      <w:pPr>
        <w:spacing w:after="0" w:line="14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Immediately following this offering, the Audit Committee will consist of , and and will be chaired by . We believe that each of them will qualify as independent directors according to the rules and regulations of the SEC and the NASDAQ Global Market with respect to audit committee membership.</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also believe that qualifies as an “audit committee financial expert,” as such term is defined in Item 401(h) of Regulation S-K. Our board of directors will adopt a written charter for the Audit Committee in connection with this offering that satisfies the applicable rules of the SEC and the listing standards of the NASDAQ Stock Market.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Compensation Committee will be responsible for, among other matters: (i) reviewing and approving all compensation, including incentive compensation and corporate and individual goals and objectives relevant to our chief executive officer and evaluating our chief executive officer’s performance in light of those goals and objectives; (ii) reviewing and approving the base salaries, incentive compensation and equity-based compensation of our other executive officers; (iii) approving all significant compensation or incentive plans for executives, including material changes to all such plans; and (iv) having the sole authority to retain or obtain the advice of any compensation consultant, independent legal counsel or other adviser after taking into account certain factors which address the independence of that consultant, counsel or adviser.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Immediately following the completion of this offering, the members of our Compensation Committee will be , and and will be chaired by . Our board of directors will adopt a written charter for the Compensation Committee in connection with this offering that satisfies the applicable rules of the SEC and the listing standards of the NASDAQ Stock Market.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41" w:lineRule="exact"/>
        <w:rPr>
          <w:sz w:val="20"/>
          <w:szCs w:val="20"/>
          <w:color w:val="auto"/>
        </w:rPr>
      </w:pPr>
    </w:p>
    <w:p>
      <w:pPr>
        <w:jc w:val="both"/>
        <w:ind w:right="100"/>
        <w:spacing w:after="0" w:line="236" w:lineRule="auto"/>
        <w:rPr>
          <w:sz w:val="20"/>
          <w:szCs w:val="20"/>
          <w:color w:val="auto"/>
        </w:rPr>
      </w:pPr>
      <w:r>
        <w:rPr>
          <w:rFonts w:ascii="Arial" w:cs="Arial" w:eastAsia="Arial" w:hAnsi="Arial"/>
          <w:sz w:val="17"/>
          <w:szCs w:val="17"/>
          <w:color w:val="auto"/>
        </w:rPr>
        <w:t>The Nominating and Corporate Governance Committee will be responsible for, among other matters: (i) assisting our board of directors by identifying individuals qualified to become members of our board; (ii) recommending to our board the director nominees to be recommended to shareholders for appointment at each annual general meeting of shareholders or in connection with filling vacancies on our board; (iii) recommending to our board our corporate governance guidelines to be adopted; and (iv) leading our board in its annual review of the performance of our directors.</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Immediately following this offering, the Nominating and Corporate Governance Committee will consist of , and and will be chaired by . Our board of directors will adopt a written charter for the Nominating and Corporate Governance Committee in connection with this offering that satisfies the applicable rules of the SEC and the listing standards of the NASDAQ Stock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3"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No officer or employee has served as a member of our Compensation Committee. None of our executive officers serve as a member of the board of directors or compensation committee of any entity that has one or more executive officers serving on our board of directors or 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board of directors will oversee the risk management activities designed and implemented by our management. Our board of directors will execute its oversight responsibility for risk management both directly and through its committees. The full board of directors will also consider specific risk topics, including risks associated with our strategic plan, business operations and capital structure. In addition, our board of directors will receive detailed regular reports from members of our senior management and other personnel that include assessments and potential mitigation of the risks and exposures involved with their respective areas of responsibility.</w:t>
      </w:r>
    </w:p>
    <w:p>
      <w:pPr>
        <w:spacing w:after="0" w:line="15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Our board of directors will delegate to the Audit Committee oversight of our risk management process. Our other board committees will also consider and address risk as they perform their respective committee responsibilities. All committees will report to the full board of directors as appropriate, including when a matter rises to the level of a material or enterprise level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any of our executive officers and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expect our board of directors to adopt a code of business conduct in connection with the completion of this offering. The code of business conduct will apply to all of our employees, officers and directors. We also expect our board of directors to adopt a supplemental code of conduct applicable to senior financial employees. The full text of our codes of business conduct will be posted on our website at www.wavelifesciences.com. If we make any substantive amendments to these codes or grant any waiver from a provision to our chief executive officer, principal financial officer or principal accounting officer, we will disclose the nature of such amendment or waiver on our website or in a report on Form 8-K. The information contained on our website is not part of this prospectus.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Summary Compensation Table</w:t>
      </w:r>
    </w:p>
    <w:p>
      <w:pPr>
        <w:spacing w:after="0" w:line="9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following table presents summary information regarding the total compensation earned by our principal executive officer and our two most highly compensated executive officers, other than our principal executive officer, for the year ended December 31, 2014. We refer to these individuals collectively as our named executive officers.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Incentive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Plan</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Salary</w:t>
            </w:r>
          </w:p>
        </w:tc>
        <w:tc>
          <w:tcPr>
            <w:tcW w:w="12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Compensation</w:t>
            </w:r>
          </w:p>
        </w:tc>
        <w:tc>
          <w:tcPr>
            <w:tcW w:w="124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Compensation</w:t>
            </w:r>
          </w:p>
        </w:tc>
        <w:tc>
          <w:tcPr>
            <w:tcW w:w="780" w:type="dxa"/>
            <w:vAlign w:val="bottom"/>
            <w:gridSpan w:val="2"/>
          </w:tcPr>
          <w:p>
            <w:pPr>
              <w:ind w:left="16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20" w:type="dxa"/>
            <w:vAlign w:val="bottom"/>
          </w:tcPr>
          <w:p>
            <w:pPr>
              <w:jc w:val="center"/>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 xml:space="preserve"> (1)</w:t>
            </w:r>
          </w:p>
        </w:tc>
        <w:tc>
          <w:tcPr>
            <w:tcW w:w="200" w:type="dxa"/>
            <w:vAlign w:val="bottom"/>
          </w:tcPr>
          <w:p>
            <w:pPr>
              <w:spacing w:after="0"/>
              <w:rPr>
                <w:sz w:val="16"/>
                <w:szCs w:val="16"/>
                <w:color w:val="auto"/>
              </w:rPr>
            </w:pPr>
          </w:p>
        </w:tc>
        <w:tc>
          <w:tcPr>
            <w:tcW w:w="1020" w:type="dxa"/>
            <w:vAlign w:val="bottom"/>
          </w:tcPr>
          <w:p>
            <w:pPr>
              <w:jc w:val="right"/>
              <w:ind w:right="245"/>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 xml:space="preserve"> (2)</w:t>
            </w:r>
          </w:p>
        </w:tc>
        <w:tc>
          <w:tcPr>
            <w:tcW w:w="220" w:type="dxa"/>
            <w:vAlign w:val="bottom"/>
          </w:tcPr>
          <w:p>
            <w:pPr>
              <w:spacing w:after="0"/>
              <w:rPr>
                <w:sz w:val="16"/>
                <w:szCs w:val="16"/>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rPr>
              <w:t>Paul B. Bolno, M.D.</w:t>
            </w:r>
          </w:p>
        </w:tc>
        <w:tc>
          <w:tcPr>
            <w:tcW w:w="45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ind w:left="60"/>
              <w:spacing w:after="0" w:line="152" w:lineRule="exact"/>
              <w:rPr>
                <w:sz w:val="20"/>
                <w:szCs w:val="20"/>
                <w:color w:val="auto"/>
              </w:rPr>
            </w:pPr>
            <w:r>
              <w:rPr>
                <w:rFonts w:ascii="Arial" w:cs="Arial" w:eastAsia="Arial" w:hAnsi="Arial"/>
                <w:sz w:val="17"/>
                <w:szCs w:val="17"/>
                <w:color w:val="auto"/>
                <w:w w:val="95"/>
              </w:rPr>
              <w:t>2014</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ind w:left="60"/>
              <w:spacing w:after="0" w:line="152" w:lineRule="exact"/>
              <w:rPr>
                <w:sz w:val="20"/>
                <w:szCs w:val="20"/>
                <w:color w:val="auto"/>
              </w:rPr>
            </w:pPr>
            <w:r>
              <w:rPr>
                <w:rFonts w:ascii="Arial" w:cs="Arial" w:eastAsia="Arial" w:hAnsi="Arial"/>
                <w:sz w:val="17"/>
                <w:szCs w:val="17"/>
                <w:color w:val="auto"/>
                <w:w w:val="97"/>
              </w:rPr>
              <w:t>450,000</w:t>
            </w:r>
          </w:p>
        </w:tc>
        <w:tc>
          <w:tcPr>
            <w:tcW w:w="3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112,500</w:t>
            </w:r>
          </w:p>
        </w:tc>
        <w:tc>
          <w:tcPr>
            <w:tcW w:w="2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71</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562,571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7"/>
                <w:szCs w:val="17"/>
                <w:i w:val="1"/>
                <w:iCs w:val="1"/>
                <w:color w:val="auto"/>
              </w:rPr>
              <w:t>President and Chief Executive Officer</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60" w:type="dxa"/>
            <w:vAlign w:val="bottom"/>
            <w:gridSpan w:val="2"/>
          </w:tcPr>
          <w:p>
            <w:pPr>
              <w:spacing w:after="0" w:line="165" w:lineRule="exact"/>
              <w:rPr>
                <w:sz w:val="20"/>
                <w:szCs w:val="20"/>
                <w:color w:val="auto"/>
              </w:rPr>
            </w:pPr>
            <w:r>
              <w:rPr>
                <w:rFonts w:ascii="Arial" w:cs="Arial" w:eastAsia="Arial" w:hAnsi="Arial"/>
                <w:sz w:val="17"/>
                <w:szCs w:val="17"/>
                <w:color w:val="auto"/>
              </w:rPr>
              <w:t>Christopher Francis, Ph.D.</w:t>
            </w:r>
          </w:p>
        </w:tc>
        <w:tc>
          <w:tcPr>
            <w:tcW w:w="780" w:type="dxa"/>
            <w:vAlign w:val="bottom"/>
            <w:gridSpan w:val="3"/>
          </w:tcPr>
          <w:p>
            <w:pPr>
              <w:ind w:left="180"/>
              <w:spacing w:after="0" w:line="165" w:lineRule="exact"/>
              <w:rPr>
                <w:sz w:val="20"/>
                <w:szCs w:val="20"/>
                <w:color w:val="auto"/>
              </w:rPr>
            </w:pPr>
            <w:r>
              <w:rPr>
                <w:rFonts w:ascii="Arial" w:cs="Arial" w:eastAsia="Arial" w:hAnsi="Arial"/>
                <w:sz w:val="17"/>
                <w:szCs w:val="17"/>
                <w:color w:val="auto"/>
              </w:rPr>
              <w:t>2014</w:t>
            </w:r>
          </w:p>
        </w:tc>
        <w:tc>
          <w:tcPr>
            <w:tcW w:w="1040" w:type="dxa"/>
            <w:vAlign w:val="bottom"/>
            <w:gridSpan w:val="2"/>
          </w:tcPr>
          <w:p>
            <w:pPr>
              <w:ind w:left="60"/>
              <w:spacing w:after="0" w:line="165" w:lineRule="exact"/>
              <w:rPr>
                <w:sz w:val="20"/>
                <w:szCs w:val="20"/>
                <w:color w:val="auto"/>
              </w:rPr>
            </w:pPr>
            <w:r>
              <w:rPr>
                <w:rFonts w:ascii="Arial" w:cs="Arial" w:eastAsia="Arial" w:hAnsi="Arial"/>
                <w:sz w:val="17"/>
                <w:szCs w:val="17"/>
                <w:color w:val="auto"/>
              </w:rPr>
              <w:t xml:space="preserve">131,042 </w:t>
            </w:r>
            <w:r>
              <w:rPr>
                <w:rFonts w:ascii="Arial" w:cs="Arial" w:eastAsia="Arial" w:hAnsi="Arial"/>
                <w:sz w:val="14"/>
                <w:szCs w:val="14"/>
                <w:color w:val="auto"/>
              </w:rPr>
              <w:t>(3)</w:t>
            </w:r>
          </w:p>
        </w:tc>
        <w:tc>
          <w:tcPr>
            <w:tcW w:w="1220" w:type="dxa"/>
            <w:vAlign w:val="bottom"/>
            <w:gridSpan w:val="2"/>
          </w:tcPr>
          <w:p>
            <w:pPr>
              <w:jc w:val="right"/>
              <w:ind w:right="200"/>
              <w:spacing w:after="0" w:line="165" w:lineRule="exact"/>
              <w:rPr>
                <w:sz w:val="20"/>
                <w:szCs w:val="20"/>
                <w:color w:val="auto"/>
              </w:rPr>
            </w:pPr>
            <w:r>
              <w:rPr>
                <w:rFonts w:ascii="Arial" w:cs="Arial" w:eastAsia="Arial" w:hAnsi="Arial"/>
                <w:sz w:val="17"/>
                <w:szCs w:val="17"/>
                <w:color w:val="auto"/>
              </w:rPr>
              <w:t>29,671</w:t>
            </w:r>
          </w:p>
        </w:tc>
        <w:tc>
          <w:tcPr>
            <w:tcW w:w="1240" w:type="dxa"/>
            <w:vAlign w:val="bottom"/>
            <w:gridSpan w:val="2"/>
          </w:tcPr>
          <w:p>
            <w:pPr>
              <w:jc w:val="right"/>
              <w:ind w:right="220"/>
              <w:spacing w:after="0" w:line="165" w:lineRule="exact"/>
              <w:rPr>
                <w:sz w:val="20"/>
                <w:szCs w:val="20"/>
                <w:color w:val="auto"/>
              </w:rPr>
            </w:pPr>
            <w:r>
              <w:rPr>
                <w:rFonts w:ascii="Arial" w:cs="Arial" w:eastAsia="Arial" w:hAnsi="Arial"/>
                <w:sz w:val="17"/>
                <w:szCs w:val="17"/>
                <w:color w:val="auto"/>
              </w:rPr>
              <w:t>50</w:t>
            </w:r>
          </w:p>
        </w:tc>
        <w:tc>
          <w:tcPr>
            <w:tcW w:w="780" w:type="dxa"/>
            <w:vAlign w:val="bottom"/>
            <w:gridSpan w:val="2"/>
          </w:tcPr>
          <w:p>
            <w:pPr>
              <w:jc w:val="right"/>
              <w:ind w:right="100"/>
              <w:spacing w:after="0" w:line="165" w:lineRule="exact"/>
              <w:rPr>
                <w:sz w:val="20"/>
                <w:szCs w:val="20"/>
                <w:color w:val="auto"/>
              </w:rPr>
            </w:pPr>
            <w:r>
              <w:rPr>
                <w:rFonts w:ascii="Arial" w:cs="Arial" w:eastAsia="Arial" w:hAnsi="Arial"/>
                <w:sz w:val="17"/>
                <w:szCs w:val="17"/>
                <w:color w:val="auto"/>
              </w:rPr>
              <w:t>160,763</w:t>
            </w:r>
          </w:p>
        </w:tc>
        <w:tc>
          <w:tcPr>
            <w:tcW w:w="0" w:type="dxa"/>
            <w:vAlign w:val="bottom"/>
          </w:tcPr>
          <w:p>
            <w:pPr>
              <w:spacing w:after="0"/>
              <w:rPr>
                <w:sz w:val="1"/>
                <w:szCs w:val="1"/>
                <w:color w:val="auto"/>
              </w:rPr>
            </w:pPr>
          </w:p>
        </w:tc>
      </w:tr>
      <w:tr>
        <w:trPr>
          <w:trHeight w:val="213"/>
        </w:trPr>
        <w:tc>
          <w:tcPr>
            <w:tcW w:w="6360" w:type="dxa"/>
            <w:vAlign w:val="bottom"/>
            <w:gridSpan w:val="2"/>
          </w:tcPr>
          <w:p>
            <w:pPr>
              <w:ind w:left="260"/>
              <w:spacing w:after="0"/>
              <w:rPr>
                <w:sz w:val="20"/>
                <w:szCs w:val="20"/>
                <w:color w:val="auto"/>
              </w:rPr>
            </w:pPr>
            <w:r>
              <w:rPr>
                <w:rFonts w:ascii="Arial" w:cs="Arial" w:eastAsia="Arial" w:hAnsi="Arial"/>
                <w:sz w:val="17"/>
                <w:szCs w:val="17"/>
                <w:i w:val="1"/>
                <w:iCs w:val="1"/>
                <w:color w:val="auto"/>
              </w:rPr>
              <w:t>Vice President of Business Development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6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Chandra Vargeese, Ph.D.</w:t>
            </w:r>
          </w:p>
        </w:tc>
        <w:tc>
          <w:tcPr>
            <w:tcW w:w="780" w:type="dxa"/>
            <w:vAlign w:val="bottom"/>
            <w:gridSpan w:val="3"/>
            <w:shd w:val="clear" w:color="auto" w:fill="CCEEFF"/>
          </w:tcPr>
          <w:p>
            <w:pPr>
              <w:ind w:left="180"/>
              <w:spacing w:after="0" w:line="165" w:lineRule="exact"/>
              <w:rPr>
                <w:sz w:val="20"/>
                <w:szCs w:val="20"/>
                <w:color w:val="auto"/>
              </w:rPr>
            </w:pPr>
            <w:r>
              <w:rPr>
                <w:rFonts w:ascii="Arial" w:cs="Arial" w:eastAsia="Arial" w:hAnsi="Arial"/>
                <w:sz w:val="17"/>
                <w:szCs w:val="17"/>
                <w:color w:val="auto"/>
              </w:rPr>
              <w:t>2014</w:t>
            </w:r>
          </w:p>
        </w:tc>
        <w:tc>
          <w:tcPr>
            <w:tcW w:w="1040" w:type="dxa"/>
            <w:vAlign w:val="bottom"/>
            <w:gridSpan w:val="2"/>
            <w:shd w:val="clear" w:color="auto" w:fill="CCEEFF"/>
          </w:tcPr>
          <w:p>
            <w:pPr>
              <w:ind w:left="60"/>
              <w:spacing w:after="0" w:line="165" w:lineRule="exact"/>
              <w:rPr>
                <w:sz w:val="20"/>
                <w:szCs w:val="20"/>
                <w:color w:val="auto"/>
              </w:rPr>
            </w:pPr>
            <w:r>
              <w:rPr>
                <w:rFonts w:ascii="Arial" w:cs="Arial" w:eastAsia="Arial" w:hAnsi="Arial"/>
                <w:sz w:val="17"/>
                <w:szCs w:val="17"/>
                <w:color w:val="auto"/>
              </w:rPr>
              <w:t xml:space="preserve">118,750 </w:t>
            </w:r>
            <w:r>
              <w:rPr>
                <w:rFonts w:ascii="Arial" w:cs="Arial" w:eastAsia="Arial" w:hAnsi="Arial"/>
                <w:sz w:val="14"/>
                <w:szCs w:val="14"/>
                <w:color w:val="auto"/>
              </w:rPr>
              <w:t>(4)</w:t>
            </w:r>
          </w:p>
        </w:tc>
        <w:tc>
          <w:tcPr>
            <w:tcW w:w="1220" w:type="dxa"/>
            <w:vAlign w:val="bottom"/>
            <w:gridSpan w:val="2"/>
            <w:shd w:val="clear" w:color="auto" w:fill="CCEEFF"/>
          </w:tcPr>
          <w:p>
            <w:pPr>
              <w:jc w:val="right"/>
              <w:ind w:right="200"/>
              <w:spacing w:after="0" w:line="165" w:lineRule="exact"/>
              <w:rPr>
                <w:sz w:val="20"/>
                <w:szCs w:val="20"/>
                <w:color w:val="auto"/>
              </w:rPr>
            </w:pPr>
            <w:r>
              <w:rPr>
                <w:rFonts w:ascii="Arial" w:cs="Arial" w:eastAsia="Arial" w:hAnsi="Arial"/>
                <w:sz w:val="17"/>
                <w:szCs w:val="17"/>
                <w:color w:val="auto"/>
              </w:rPr>
              <w:t>32,945</w:t>
            </w:r>
          </w:p>
        </w:tc>
        <w:tc>
          <w:tcPr>
            <w:tcW w:w="1240" w:type="dxa"/>
            <w:vAlign w:val="bottom"/>
            <w:gridSpan w:val="2"/>
            <w:shd w:val="clear" w:color="auto" w:fill="CCEEFF"/>
          </w:tcPr>
          <w:p>
            <w:pPr>
              <w:jc w:val="right"/>
              <w:ind w:right="220"/>
              <w:spacing w:after="0" w:line="165" w:lineRule="exact"/>
              <w:rPr>
                <w:sz w:val="20"/>
                <w:szCs w:val="20"/>
                <w:color w:val="auto"/>
              </w:rPr>
            </w:pPr>
            <w:r>
              <w:rPr>
                <w:rFonts w:ascii="Arial" w:cs="Arial" w:eastAsia="Arial" w:hAnsi="Arial"/>
                <w:sz w:val="17"/>
                <w:szCs w:val="17"/>
                <w:color w:val="auto"/>
              </w:rPr>
              <w:t>29</w:t>
            </w:r>
          </w:p>
        </w:tc>
        <w:tc>
          <w:tcPr>
            <w:tcW w:w="78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7"/>
                <w:szCs w:val="17"/>
                <w:color w:val="auto"/>
              </w:rPr>
              <w:t>151,724</w:t>
            </w:r>
          </w:p>
        </w:tc>
        <w:tc>
          <w:tcPr>
            <w:tcW w:w="0" w:type="dxa"/>
            <w:vAlign w:val="bottom"/>
          </w:tcPr>
          <w:p>
            <w:pPr>
              <w:spacing w:after="0"/>
              <w:rPr>
                <w:sz w:val="1"/>
                <w:szCs w:val="1"/>
                <w:color w:val="auto"/>
              </w:rPr>
            </w:pPr>
          </w:p>
        </w:tc>
      </w:tr>
      <w:tr>
        <w:trPr>
          <w:trHeight w:val="213"/>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7"/>
                <w:szCs w:val="17"/>
                <w:i w:val="1"/>
                <w:iCs w:val="1"/>
                <w:color w:val="auto"/>
              </w:rPr>
              <w:t>Senior Vice President, Head of Drug Discovery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40" w:right="100" w:hanging="265"/>
        <w:spacing w:after="0" w:line="195" w:lineRule="auto"/>
        <w:tabs>
          <w:tab w:leader="none" w:pos="340" w:val="left"/>
        </w:tabs>
        <w:numPr>
          <w:ilvl w:val="1"/>
          <w:numId w:val="55"/>
        </w:numPr>
        <w:rPr>
          <w:rFonts w:ascii="Arial" w:cs="Arial" w:eastAsia="Arial" w:hAnsi="Arial"/>
          <w:sz w:val="24"/>
          <w:szCs w:val="24"/>
          <w:color w:val="auto"/>
          <w:vertAlign w:val="superscript"/>
        </w:rPr>
      </w:pPr>
      <w:r>
        <w:rPr>
          <w:rFonts w:ascii="Arial" w:cs="Arial" w:eastAsia="Arial" w:hAnsi="Arial"/>
          <w:sz w:val="14"/>
          <w:szCs w:val="14"/>
          <w:color w:val="auto"/>
        </w:rPr>
        <w:t>Pursuant to the terms of the named executive officer’s employment agreement or offer letter, each named executive officer is eligible to receive an annual bonus award of up to 25% of the executive officer’s annual base salary, subject to the achievement of annual performance milestones as determined by our board of directors in its sole discretion. Our 2014 goals related to the advancement of biological proof of concept, scalable chemical process and our intellectual property portfolio.</w:t>
      </w:r>
    </w:p>
    <w:p>
      <w:pPr>
        <w:ind w:left="340" w:hanging="305"/>
        <w:spacing w:after="0" w:line="187" w:lineRule="auto"/>
        <w:tabs>
          <w:tab w:leader="none" w:pos="340" w:val="left"/>
        </w:tabs>
        <w:numPr>
          <w:ilvl w:val="0"/>
          <w:numId w:val="56"/>
        </w:numPr>
        <w:rPr>
          <w:rFonts w:ascii="Arial" w:cs="Arial" w:eastAsia="Arial" w:hAnsi="Arial"/>
          <w:sz w:val="18"/>
          <w:szCs w:val="18"/>
          <w:color w:val="auto"/>
          <w:vertAlign w:val="superscript"/>
        </w:rPr>
      </w:pPr>
      <w:r>
        <w:rPr>
          <w:rFonts w:ascii="Arial" w:cs="Arial" w:eastAsia="Arial" w:hAnsi="Arial"/>
          <w:sz w:val="11"/>
          <w:szCs w:val="11"/>
          <w:color w:val="auto"/>
        </w:rPr>
        <w:t>Amount reflects the value of annual premiums paid by us with respect to a life insurance policy for the benefit of the named executive officer.</w:t>
      </w:r>
    </w:p>
    <w:p>
      <w:pPr>
        <w:ind w:left="340" w:hanging="305"/>
        <w:spacing w:after="0" w:line="187" w:lineRule="auto"/>
        <w:tabs>
          <w:tab w:leader="none" w:pos="340" w:val="left"/>
        </w:tabs>
        <w:numPr>
          <w:ilvl w:val="0"/>
          <w:numId w:val="56"/>
        </w:numPr>
        <w:rPr>
          <w:rFonts w:ascii="Arial" w:cs="Arial" w:eastAsia="Arial" w:hAnsi="Arial"/>
          <w:sz w:val="18"/>
          <w:szCs w:val="18"/>
          <w:color w:val="auto"/>
          <w:vertAlign w:val="superscript"/>
        </w:rPr>
      </w:pPr>
      <w:r>
        <w:rPr>
          <w:rFonts w:ascii="Arial" w:cs="Arial" w:eastAsia="Arial" w:hAnsi="Arial"/>
          <w:sz w:val="11"/>
          <w:szCs w:val="11"/>
          <w:color w:val="auto"/>
        </w:rPr>
        <w:t>Amount reflects the prorated amount of Dr. Francis’s annual salary of $185,000. Dr. Francis joined us in April 2014.</w:t>
      </w:r>
    </w:p>
    <w:p>
      <w:pPr>
        <w:ind w:left="340" w:hanging="305"/>
        <w:spacing w:after="0" w:line="189" w:lineRule="auto"/>
        <w:tabs>
          <w:tab w:leader="none" w:pos="340" w:val="left"/>
        </w:tabs>
        <w:numPr>
          <w:ilvl w:val="0"/>
          <w:numId w:val="56"/>
        </w:numPr>
        <w:rPr>
          <w:rFonts w:ascii="Arial" w:cs="Arial" w:eastAsia="Arial" w:hAnsi="Arial"/>
          <w:sz w:val="19"/>
          <w:szCs w:val="19"/>
          <w:color w:val="auto"/>
          <w:vertAlign w:val="superscript"/>
        </w:rPr>
      </w:pPr>
      <w:r>
        <w:rPr>
          <w:rFonts w:ascii="Arial" w:cs="Arial" w:eastAsia="Arial" w:hAnsi="Arial"/>
          <w:sz w:val="12"/>
          <w:szCs w:val="12"/>
          <w:color w:val="auto"/>
        </w:rPr>
        <w:t>Amount reflects the prorated amount of Dr. Vargeese’s annual salary of $285,000. Dr. Vargeese joined us in August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2014</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None of our named executive officers held equity awards at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Equity Awards</w:t>
      </w:r>
    </w:p>
    <w:p>
      <w:pPr>
        <w:spacing w:after="0" w:line="80"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In March 2015, under the 2014 Equity Incentive Plan, our board of directors approved a share issuance to Dr. Bolno of 47,223 ordinary shares, which were fully vested on their date of grant, and approved the following grants of incentive share options to each of the named executive officers: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Grant Amount</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Exercise Price</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85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Paul B. Bolno, M.D.</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134,607</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7"/>
              </w:rPr>
              <w:t>(1)</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1"/>
              <w:spacing w:after="0" w:line="176"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5"/>
                <w:szCs w:val="15"/>
                <w:color w:val="auto"/>
              </w:rPr>
            </w:pPr>
          </w:p>
        </w:tc>
      </w:tr>
      <w:tr>
        <w:trPr>
          <w:trHeight w:val="189"/>
        </w:trPr>
        <w:tc>
          <w:tcPr>
            <w:tcW w:w="8580" w:type="dxa"/>
            <w:vAlign w:val="bottom"/>
            <w:gridSpan w:val="2"/>
          </w:tcPr>
          <w:p>
            <w:pPr>
              <w:spacing w:after="0" w:line="189" w:lineRule="exact"/>
              <w:rPr>
                <w:sz w:val="20"/>
                <w:szCs w:val="20"/>
                <w:color w:val="auto"/>
              </w:rPr>
            </w:pPr>
            <w:r>
              <w:rPr>
                <w:rFonts w:ascii="Arial" w:cs="Arial" w:eastAsia="Arial" w:hAnsi="Arial"/>
                <w:sz w:val="17"/>
                <w:szCs w:val="17"/>
                <w:color w:val="auto"/>
              </w:rPr>
              <w:t>Christopher Francis, Ph.D.</w:t>
            </w:r>
          </w:p>
        </w:tc>
        <w:tc>
          <w:tcPr>
            <w:tcW w:w="9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36,366</w:t>
            </w:r>
          </w:p>
        </w:tc>
        <w:tc>
          <w:tcPr>
            <w:tcW w:w="480" w:type="dxa"/>
            <w:vAlign w:val="bottom"/>
          </w:tcPr>
          <w:p>
            <w:pPr>
              <w:jc w:val="right"/>
              <w:ind w:right="207"/>
              <w:spacing w:after="0"/>
              <w:rPr>
                <w:sz w:val="20"/>
                <w:szCs w:val="20"/>
                <w:color w:val="auto"/>
              </w:rPr>
            </w:pPr>
            <w:r>
              <w:rPr>
                <w:rFonts w:ascii="Arial" w:cs="Arial" w:eastAsia="Arial" w:hAnsi="Arial"/>
                <w:sz w:val="15"/>
                <w:szCs w:val="15"/>
                <w:color w:val="auto"/>
                <w:w w:val="97"/>
              </w:rPr>
              <w:t>(2)</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10.00</w:t>
            </w:r>
          </w:p>
        </w:tc>
      </w:tr>
      <w:tr>
        <w:trPr>
          <w:trHeight w:val="189"/>
        </w:trPr>
        <w:tc>
          <w:tcPr>
            <w:tcW w:w="85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Chandra Vargeese, Ph.D.</w:t>
            </w:r>
          </w:p>
        </w:tc>
        <w:tc>
          <w:tcPr>
            <w:tcW w:w="9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54,549</w:t>
            </w:r>
          </w:p>
        </w:tc>
        <w:tc>
          <w:tcPr>
            <w:tcW w:w="4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7"/>
              </w:rPr>
              <w:t>(3)</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340" w:right="140" w:hanging="305"/>
        <w:spacing w:after="0" w:line="182" w:lineRule="auto"/>
        <w:tabs>
          <w:tab w:leader="none" w:pos="3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The shares underlying the option vest in equal monthly installments over 36 months, commencing on December 12, 2014, subject to such officer’s continued service with us on each such vesting date. All shares underlying these options will become fully vested upon a change of control, as defined in each option grant.</w:t>
      </w:r>
    </w:p>
    <w:p>
      <w:pPr>
        <w:spacing w:after="0" w:line="1" w:lineRule="exact"/>
        <w:rPr>
          <w:rFonts w:ascii="Arial" w:cs="Arial" w:eastAsia="Arial" w:hAnsi="Arial"/>
          <w:sz w:val="23"/>
          <w:szCs w:val="23"/>
          <w:color w:val="auto"/>
          <w:vertAlign w:val="superscript"/>
        </w:rPr>
      </w:pPr>
    </w:p>
    <w:p>
      <w:pPr>
        <w:ind w:left="340" w:right="280" w:hanging="305"/>
        <w:spacing w:after="0" w:line="182" w:lineRule="auto"/>
        <w:tabs>
          <w:tab w:leader="none" w:pos="3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25% of the shares underlying the option vested on April 15, 2014 and the remainder vest in equal monthly installments over 36 months, subject to such officer’s continued service with us on each such vesting date. All shares underlying these options will become fully vested upon a change of control, as defined in each option grant.</w:t>
      </w:r>
    </w:p>
    <w:p>
      <w:pPr>
        <w:spacing w:after="0" w:line="1" w:lineRule="exact"/>
        <w:rPr>
          <w:rFonts w:ascii="Arial" w:cs="Arial" w:eastAsia="Arial" w:hAnsi="Arial"/>
          <w:sz w:val="23"/>
          <w:szCs w:val="23"/>
          <w:color w:val="auto"/>
          <w:vertAlign w:val="superscript"/>
        </w:rPr>
      </w:pPr>
    </w:p>
    <w:p>
      <w:pPr>
        <w:ind w:left="340" w:right="200" w:hanging="305"/>
        <w:spacing w:after="0" w:line="183" w:lineRule="auto"/>
        <w:tabs>
          <w:tab w:leader="none" w:pos="3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25% of the shares underlying the option vested on August 1, 2014 and the remainder vest in equal monthly installments over 36 months, subject to such officer’s continued service with us on each such vesting date. All shares underlying these options will become fully vested upon a change of control, as defined in each option grant.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6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i w:val="1"/>
          <w:iCs w:val="1"/>
          <w:color w:val="auto"/>
        </w:rPr>
        <w:t>Paul Bolno, M.D</w:t>
      </w:r>
      <w:r>
        <w:rPr>
          <w:rFonts w:ascii="Arial" w:cs="Arial" w:eastAsia="Arial" w:hAnsi="Arial"/>
          <w:sz w:val="17"/>
          <w:szCs w:val="17"/>
          <w:color w:val="auto"/>
        </w:rPr>
        <w:t>. In December 2013, we entered into an employment agreement with Dr. Bolno pursuant to which he serves as our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Pursuant to this agreement, Dr. Bolno’s current annual base salary is $450,000 and he has the opportunity to earn an annual performance bonus of up to 25% of his annual base salary, subject to the achievement of annual performance milestones defined by our board of directors in its sole discretion.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Dr. Bolno is also entitled to certain benefits in connection with a termination of his employment or a change of control, which are discussed below under “—Potential Payments upon Termination or Change of Control.”</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 xml:space="preserve">Christopher Francis, Ph.D. </w:t>
      </w:r>
      <w:r>
        <w:rPr>
          <w:rFonts w:ascii="Arial" w:cs="Arial" w:eastAsia="Arial" w:hAnsi="Arial"/>
          <w:sz w:val="17"/>
          <w:szCs w:val="17"/>
          <w:color w:val="auto"/>
        </w:rPr>
        <w:t>In March 2014, we entered into an offer letter agreement with Dr. Francis pursuant to which he serves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Business Development. In accordance with the terms of this agreement, Dr. Francis’s initial annual base salary is $185,000 and he has the opportunity to earn an annual performance bonus of up to 25% of his annual base salary, subject to the achievement of annual performance milestones defined by our board of directors in its sole discretion. In connection with this agreement, Dr. Francis was granted an option to purchase 36,366 of our ordinary shares in March 2015.</w:t>
      </w:r>
    </w:p>
    <w:p>
      <w:pPr>
        <w:spacing w:after="0" w:line="130"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 xml:space="preserve">Chandra Vargeese, Ph.D. </w:t>
      </w:r>
      <w:r>
        <w:rPr>
          <w:rFonts w:ascii="Arial" w:cs="Arial" w:eastAsia="Arial" w:hAnsi="Arial"/>
          <w:sz w:val="17"/>
          <w:szCs w:val="17"/>
          <w:color w:val="auto"/>
        </w:rPr>
        <w:t>In July 2014, we entered into an offer letter agreement with Dr. Vargeese pursuant to which she serves as our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Head of Drug Discovery. In accordance with the terms of this agreement, Dr. Vargeese’s initial annual base salary is $285,000 and she has the opportunity to earn an annual performance bonus of up to 25% of her annual base salary, subject to on the achievement of annual performance milestones defined by our board of directors in its sole discretion. In connection with this agreement, Dr. Vargeese was granted an option to purchase 54,549 of our ordinary shares in March 2015 and received a signing bonus of $15,000 in August 2015.</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a condition of their employment, each of our named executive officers has entered into a non-competition and non-solicitation agreement pursuant to which he or she has agreed not to compete with us for a period of 12 months after the termination of his or her employment. All agreements generally provide for at-will employment and that our named executive officers are eligible to participate in employee benefit plans maintained from time to time by us of general applicability to other senior executives.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participate in the national pension schemes as defined by the laws of the countries in which we operate. As part of our overall compensation program, we provide all full-time U.S.-based employees, including our named executive officers, with the opportunity to participate in a defined contribution 401(k) plan. Our 401(k) plan is intended to qualify under Section 401 of the Internal Revenue Code so that employee contributions and income earned on such contributions are not taxable to employees until withdrawn. Employees may elect to defer up to up to the statutorily prescribed annual limit of their eligible compensation in the form of elective deferral contributions to our 401(k) plan. We have a J401k defined contribution pension plan covering all Japan-based permanent employees. The J401k defined contribution pension plan allows us to make pre-tax contributions up to the maximum allowable amount set by the chief officer of Kyushu Regional Bureau of Health and Welfare and applicable wage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0"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Pursuant to the employment agreement that we entered into with Dr. Bolno, in the event that Dr. Bolno ceases to be employed by, or terminates his employment with us, then all unvested rights to acquire our shares which are held by him will be forfeited and will automatically be transferred and reacquired by us at no cost. In addition, pursuant to the applicable option agreements with each of Drs. Bolno, Francis and Vargeese, all unvested shares underlying outstanding options will become fully vested upon a change of control, as defined in each such option agreement. See “—2015 Equity Awards” described above.</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Additionally, if we terminate Dr. Bolno’s employment without cause (but not including termination due to his death or disability), then he will be entitled to receive as of the date of termination: (i) any earned but unpaid base salary, (ii) reimbursement for all reasonable and necessary expenses incurred by him in connection with the performance of services on our behalf and (iii) continued payment of his base salary for 12 months. If however we terminate Dr. Bolno’s employment for cause, or upon his voluntary resignation, in either case, subject to his execution and delivery of a full and unconditional general release of claims in our favor which becomes effective no later than 60 days following his termination, or upon his death or disability, he will be entitled to receive as of the date of termination: (i) any earned but unpaid base salary and (ii) reimbursement for all reasonable and necessary expenses incurred by him in connection with the performance of services. The definitions of “cause” and “disability” are defined in Dr. Bolno’s employment agreement.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Plan</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December 2014, our board adopted our 2014 Equity Incentive Plan, or the 2014 Plan, and reserved 436,391 ordinary shares for issuance under the 2014 Plan. The 2014 Plan was approved by our shareholders in January 2015. In March 2015, our board and shareholders amended the plan to increase the number of ordinary shares issuable under the 2014 Plan to 618,221 ordinary shares and on August 14, 2015, our board and shareholders further amended the plan to increase the number of ordinary shares issuable under the 2014 Plan to 879,800 shares.</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of August 15, 480,849 ordinary shares are issuable upon the exercise of outstanding options under the 2014 Plan and 351,728 shares are available for issuance under the 2014 Plan.</w:t>
      </w:r>
    </w:p>
    <w:p>
      <w:pPr>
        <w:spacing w:after="0" w:line="12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i w:val="1"/>
          <w:iCs w:val="1"/>
          <w:color w:val="auto"/>
        </w:rPr>
        <w:t>Types of Awards</w:t>
      </w:r>
      <w:r>
        <w:rPr>
          <w:rFonts w:ascii="Arial" w:cs="Arial" w:eastAsia="Arial" w:hAnsi="Arial"/>
          <w:sz w:val="17"/>
          <w:szCs w:val="17"/>
          <w:color w:val="auto"/>
        </w:rPr>
        <w:t>. The 2014 Plan provides for the granting of incentive share options, non-qualified share options, or NQSOs, share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restricted awards.</w:t>
      </w:r>
    </w:p>
    <w:p>
      <w:pPr>
        <w:spacing w:after="0" w:line="149" w:lineRule="exact"/>
        <w:rPr>
          <w:sz w:val="20"/>
          <w:szCs w:val="20"/>
          <w:color w:val="auto"/>
        </w:rPr>
      </w:pPr>
    </w:p>
    <w:p>
      <w:pPr>
        <w:ind w:left="800" w:right="100" w:hanging="454"/>
        <w:spacing w:after="0" w:line="243"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Incentive and Nonqualified Share Options</w:t>
      </w:r>
      <w:r>
        <w:rPr>
          <w:rFonts w:ascii="Arial" w:cs="Arial" w:eastAsia="Arial" w:hAnsi="Arial"/>
          <w:sz w:val="17"/>
          <w:szCs w:val="17"/>
          <w:color w:val="auto"/>
        </w:rPr>
        <w:t>. The plan administrator determines the exercise price of each share option. The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an NQSO may not be less than the fair market value of our ordinary shares on the date of grant. The exercise price of an incentive share option may not be less than the fair market value of our ordinary shares on the date of grant if the recipient holds 10% or less of the combined voting power of our securities, or 110% of the fair market value of a share of our ordinary shares on the date of grant otherwise.</w:t>
      </w:r>
    </w:p>
    <w:p>
      <w:pPr>
        <w:spacing w:after="0" w:line="5" w:lineRule="exact"/>
        <w:rPr>
          <w:rFonts w:ascii="Arial" w:cs="Arial" w:eastAsia="Arial" w:hAnsi="Arial"/>
          <w:sz w:val="17"/>
          <w:szCs w:val="17"/>
          <w:color w:val="auto"/>
        </w:rPr>
      </w:pPr>
    </w:p>
    <w:p>
      <w:pPr>
        <w:ind w:left="800" w:right="140" w:hanging="454"/>
        <w:spacing w:after="0" w:line="248"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Share Grants</w:t>
      </w:r>
      <w:r>
        <w:rPr>
          <w:rFonts w:ascii="Arial" w:cs="Arial" w:eastAsia="Arial" w:hAnsi="Arial"/>
          <w:sz w:val="17"/>
          <w:szCs w:val="17"/>
          <w:color w:val="auto"/>
        </w:rPr>
        <w:t>. The plan administrator may grant or sell shares, including restricted shares. The share grant will be subject to the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restrictions determined by the administrator. The recipient of a share grant shall have the rights of a shareholder with respect to the ordinary shares issued to the holder under the 2014 Plan.</w:t>
      </w:r>
    </w:p>
    <w:p>
      <w:pPr>
        <w:spacing w:after="0" w:line="1" w:lineRule="exact"/>
        <w:rPr>
          <w:rFonts w:ascii="Arial" w:cs="Arial" w:eastAsia="Arial" w:hAnsi="Arial"/>
          <w:sz w:val="17"/>
          <w:szCs w:val="17"/>
          <w:color w:val="auto"/>
        </w:rPr>
      </w:pPr>
    </w:p>
    <w:p>
      <w:pPr>
        <w:ind w:left="800" w:right="260" w:hanging="454"/>
        <w:spacing w:after="0" w:line="248"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Share-Based Awards</w:t>
      </w:r>
      <w:r>
        <w:rPr>
          <w:rFonts w:ascii="Arial" w:cs="Arial" w:eastAsia="Arial" w:hAnsi="Arial"/>
          <w:sz w:val="17"/>
          <w:szCs w:val="17"/>
          <w:color w:val="auto"/>
        </w:rPr>
        <w:t>. The administrator of the 2014 Plan may grant other share-based awards, including share appreciation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RSUs, with terms approved by the administrator, including restrictions related to the awards. The holder of a share-based award shall not have the rights of a shareholder until shares of our share capital are issued pursuant to such award.</w:t>
      </w:r>
    </w:p>
    <w:p>
      <w:pPr>
        <w:spacing w:after="0" w:line="123" w:lineRule="exact"/>
        <w:rPr>
          <w:sz w:val="20"/>
          <w:szCs w:val="20"/>
          <w:color w:val="auto"/>
        </w:rPr>
      </w:pPr>
    </w:p>
    <w:p>
      <w:pPr>
        <w:ind w:right="100"/>
        <w:spacing w:after="0"/>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is the administrator of the 2014 Plan, except to the extent it delegates its authority to a committee, in which case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be the administrator. Our board expects to delegate this authority to our compensation committee following the completion of this offering. The administrator has the authority to determine the terms of awards, including exercise and purchase price, the number of shares subject to awards, the value of our ordinary shares, the vesting schedule applicable to awards, the form of consideration, if any, payable upon exercise or settlement of an award and the terms of award agreements for use under the 2014 Plan.</w:t>
      </w:r>
    </w:p>
    <w:p>
      <w:pPr>
        <w:spacing w:after="0" w:line="130"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Our board will determine the participants in the 2014 Plan from among our employees, directors and consultants. A grant may be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in advance with the effectiveness of the grant contingent and effective upon such person’s commencement of service within a specified period.</w:t>
      </w:r>
    </w:p>
    <w:p>
      <w:pPr>
        <w:spacing w:after="0" w:line="109"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i w:val="1"/>
          <w:iCs w:val="1"/>
          <w:color w:val="auto"/>
        </w:rPr>
        <w:t>Termination of Service</w:t>
      </w:r>
      <w:r>
        <w:rPr>
          <w:rFonts w:ascii="Arial" w:cs="Arial" w:eastAsia="Arial" w:hAnsi="Arial"/>
          <w:sz w:val="17"/>
          <w:szCs w:val="17"/>
          <w:color w:val="auto"/>
        </w:rPr>
        <w:t>. Unless otherwise provided by our board or in an award agreement, upon a termination of a participant’s service, all unvested</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then held by the participant will terminate and all other unvested awards will be forfeited.</w:t>
      </w:r>
    </w:p>
    <w:p>
      <w:pPr>
        <w:spacing w:after="0" w:line="10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Awards of incentive share options under the 2014 Plan may not be transferred except by will or by the laws of descent and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only be exercisable during the lifetime of the option holder by the option holder. Awards of NQSOs may be transferred to a permitted transferee upon the written approval of the administrator to the extent provided in the award agreement or by will or by the laws of descent and distribution and shall only be exercisable during the lifetime of the option holder by the option holder.</w:t>
      </w:r>
    </w:p>
    <w:p>
      <w:pPr>
        <w:spacing w:after="0" w:line="12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i w:val="1"/>
          <w:iCs w:val="1"/>
          <w:color w:val="auto"/>
        </w:rPr>
        <w:t>Adjustment</w:t>
      </w:r>
      <w:r>
        <w:rPr>
          <w:rFonts w:ascii="Arial" w:cs="Arial" w:eastAsia="Arial" w:hAnsi="Arial"/>
          <w:sz w:val="17"/>
          <w:szCs w:val="17"/>
          <w:color w:val="auto"/>
        </w:rPr>
        <w:t>. In the event of a share dividend, split, recapitalization or reorganization or other change in change in capital structure, our board will make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adjustments to the number and kind of shares or securities subject to awards.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rPr>
          <w:sz w:val="20"/>
          <w:szCs w:val="20"/>
          <w:color w:val="auto"/>
        </w:rPr>
      </w:pPr>
      <w:r>
        <w:rPr>
          <w:rFonts w:ascii="Arial" w:cs="Arial" w:eastAsia="Arial" w:hAnsi="Arial"/>
          <w:sz w:val="17"/>
          <w:szCs w:val="17"/>
          <w:i w:val="1"/>
          <w:iCs w:val="1"/>
          <w:color w:val="auto"/>
        </w:rPr>
        <w:t xml:space="preserve">Shares Eligible for Reissuance. </w:t>
      </w:r>
      <w:r>
        <w:rPr>
          <w:rFonts w:ascii="Arial" w:cs="Arial" w:eastAsia="Arial" w:hAnsi="Arial"/>
          <w:sz w:val="17"/>
          <w:szCs w:val="17"/>
          <w:color w:val="auto"/>
        </w:rPr>
        <w:t>Any shares subject to an award that is canceled, forfeited or expires prior to exercise or realization, either in full or in</w:t>
      </w:r>
      <w:r>
        <w:rPr>
          <w:rFonts w:ascii="Arial" w:cs="Arial" w:eastAsia="Arial" w:hAnsi="Arial"/>
          <w:sz w:val="17"/>
          <w:szCs w:val="17"/>
          <w:i w:val="1"/>
          <w:iCs w:val="1"/>
          <w:color w:val="auto"/>
        </w:rPr>
        <w:t xml:space="preserve"> </w:t>
      </w:r>
      <w:r>
        <w:rPr>
          <w:rFonts w:ascii="Arial" w:cs="Arial" w:eastAsia="Arial" w:hAnsi="Arial"/>
          <w:sz w:val="17"/>
          <w:szCs w:val="17"/>
          <w:color w:val="auto"/>
        </w:rPr>
        <w:t>part, will again become available for issuance under the 2014 Plan. However, shares subject to an award under the 2014 Plan will not again be made available for issuance or delivery under the 2014 Plan if such shares are (a) shares tendered in payment of an option; (b) shares delivered or withheld by us to satisfy any tax withholding obligation; or (c) shares covered by a share-settled share appreciation right or other awards that were not issued upon the settlement of the award.</w:t>
      </w:r>
    </w:p>
    <w:p>
      <w:pPr>
        <w:spacing w:after="0" w:line="13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i w:val="1"/>
          <w:iCs w:val="1"/>
          <w:color w:val="auto"/>
        </w:rPr>
        <w:t>Corporate Transaction</w:t>
      </w:r>
      <w:r>
        <w:rPr>
          <w:rFonts w:ascii="Arial" w:cs="Arial" w:eastAsia="Arial" w:hAnsi="Arial"/>
          <w:sz w:val="17"/>
          <w:szCs w:val="17"/>
          <w:color w:val="auto"/>
        </w:rPr>
        <w:t>. If we are acquired, our board of directors (or compensation committee) will with respect to options and share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(i) make appropriate provision for the continuation of the option or share appreciation right by substituting on an equitable basis for the ordinary shares then subject to such option or share appreciation right either the consideration payable with respect to the outstanding ordinary shares in connection with the corporate transaction or securities of any successor or acquiring entity; (ii) cancel or arrange for the cancellation of the options or share appreciation rights, to the extent not vested or exercised prior to the effective time of the transaction, in exchange for a payment in cash or ordinary shares as determined by the board of directors, in an amount equal to the amount by which the then fair market value of the ordinary shares subject to such vested option or share appreciation right exceeds the exercise price; or (iii) after giving holders an opportunity to exercise to the extent vested their outstanding options or share appreciation rights, terminate any or all unexercised options and share appreciation rights at such time as the board deems appropriate. If we are acquired, our board of directors (or compensation committee) with respect to outstanding restricted awards,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transaction or securities of any successor or acquiring entity. In lieu of the foregoing, if we are acquired, the board of directors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then extent then vested.</w:t>
      </w:r>
    </w:p>
    <w:p>
      <w:pPr>
        <w:spacing w:after="0" w:line="13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The 2014 Plan may be amended by our board, except that shareholder approval will be required for any amendment to the 2014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extent such approval is required by law, include the Internal Revenue Code.</w:t>
      </w:r>
    </w:p>
    <w:p>
      <w:pPr>
        <w:spacing w:after="0" w:line="109" w:lineRule="exact"/>
        <w:rPr>
          <w:sz w:val="20"/>
          <w:szCs w:val="20"/>
          <w:color w:val="auto"/>
        </w:rPr>
      </w:pPr>
    </w:p>
    <w:p>
      <w:pPr>
        <w:ind w:right="440"/>
        <w:spacing w:after="0" w:line="248" w:lineRule="auto"/>
        <w:rPr>
          <w:sz w:val="20"/>
          <w:szCs w:val="20"/>
          <w:color w:val="auto"/>
        </w:rPr>
      </w:pPr>
      <w:r>
        <w:rPr>
          <w:rFonts w:ascii="Arial" w:cs="Arial" w:eastAsia="Arial" w:hAnsi="Arial"/>
          <w:sz w:val="17"/>
          <w:szCs w:val="17"/>
          <w:i w:val="1"/>
          <w:iCs w:val="1"/>
          <w:color w:val="auto"/>
        </w:rPr>
        <w:t>Amendment of Outstanding Awards</w:t>
      </w:r>
      <w:r>
        <w:rPr>
          <w:rFonts w:ascii="Arial" w:cs="Arial" w:eastAsia="Arial" w:hAnsi="Arial"/>
          <w:sz w:val="17"/>
          <w:szCs w:val="17"/>
          <w:color w:val="auto"/>
        </w:rPr>
        <w:t>. The administrator may amend any term or condition of any outstanding award including, without limitation,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or increase the exercise price or purchase price, accelerate the vesting schedule or extend the expiration date, provided that no such amendment shall impair the rights of a participant without such participant’s consent.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following table shows the total compensation earned during the year ended December 31, 2014 by each of our non-employee directors except Dr. Kolchinsky, who was not a member of our board of directors in 2014.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Fees earned or paid in</w:t>
            </w:r>
          </w:p>
        </w:tc>
        <w:tc>
          <w:tcPr>
            <w:tcW w:w="84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80" w:type="dxa"/>
            <w:vAlign w:val="bottom"/>
            <w:gridSpan w:val="2"/>
            <w:vMerge w:val="continue"/>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cash ($)</w:t>
            </w:r>
          </w:p>
        </w:tc>
        <w:tc>
          <w:tcPr>
            <w:tcW w:w="8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Gregory L. Verdine, Ph.D.</w:t>
            </w:r>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150,000</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87"/>
              </w:rPr>
              <w:t>(1)</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97"/>
              </w:rPr>
              <w:t>150,000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189"/>
        </w:trPr>
        <w:tc>
          <w:tcPr>
            <w:tcW w:w="80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Hidekazu Yonezawa </w:t>
            </w:r>
            <w:r>
              <w:rPr>
                <w:rFonts w:ascii="Arial" w:cs="Arial" w:eastAsia="Arial" w:hAnsi="Arial"/>
                <w:sz w:val="14"/>
                <w:szCs w:val="14"/>
                <w:color w:val="auto"/>
              </w:rPr>
              <w:t>(2)</w:t>
            </w:r>
          </w:p>
        </w:tc>
        <w:tc>
          <w:tcPr>
            <w:tcW w:w="1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Koji Miura</w:t>
            </w:r>
          </w:p>
        </w:tc>
        <w:tc>
          <w:tcPr>
            <w:tcW w:w="1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2,223</w:t>
            </w:r>
          </w:p>
        </w:tc>
        <w:tc>
          <w:tcPr>
            <w:tcW w:w="8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87"/>
              </w:rPr>
              <w:t>(3)</w:t>
            </w:r>
          </w:p>
        </w:tc>
        <w:tc>
          <w:tcPr>
            <w:tcW w:w="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2,223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189"/>
        </w:trPr>
        <w:tc>
          <w:tcPr>
            <w:tcW w:w="8080" w:type="dxa"/>
            <w:vAlign w:val="bottom"/>
            <w:gridSpan w:val="2"/>
          </w:tcPr>
          <w:p>
            <w:pPr>
              <w:spacing w:after="0" w:line="189" w:lineRule="exact"/>
              <w:rPr>
                <w:sz w:val="20"/>
                <w:szCs w:val="20"/>
                <w:color w:val="auto"/>
              </w:rPr>
            </w:pPr>
            <w:r>
              <w:rPr>
                <w:rFonts w:ascii="Arial" w:cs="Arial" w:eastAsia="Arial" w:hAnsi="Arial"/>
                <w:sz w:val="17"/>
                <w:szCs w:val="17"/>
                <w:color w:val="auto"/>
              </w:rPr>
              <w:t>Ken Takanashi</w:t>
            </w:r>
          </w:p>
        </w:tc>
        <w:tc>
          <w:tcPr>
            <w:tcW w:w="1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Masaharu Tanaka</w:t>
            </w:r>
          </w:p>
        </w:tc>
        <w:tc>
          <w:tcPr>
            <w:tcW w:w="1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80" w:type="dxa"/>
            <w:vAlign w:val="bottom"/>
            <w:gridSpan w:val="2"/>
          </w:tcPr>
          <w:p>
            <w:pPr>
              <w:spacing w:after="0"/>
              <w:rPr>
                <w:sz w:val="20"/>
                <w:szCs w:val="20"/>
                <w:color w:val="auto"/>
              </w:rPr>
            </w:pPr>
            <w:r>
              <w:rPr>
                <w:rFonts w:ascii="Arial" w:cs="Arial" w:eastAsia="Arial" w:hAnsi="Arial"/>
                <w:sz w:val="17"/>
                <w:szCs w:val="17"/>
                <w:color w:val="auto"/>
              </w:rPr>
              <w:t>Takeshi Wada, Ph.D.</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24,505</w:t>
            </w:r>
          </w:p>
        </w:tc>
        <w:tc>
          <w:tcPr>
            <w:tcW w:w="840" w:type="dxa"/>
            <w:vAlign w:val="bottom"/>
          </w:tcPr>
          <w:p>
            <w:pPr>
              <w:jc w:val="right"/>
              <w:ind w:right="587"/>
              <w:spacing w:after="0"/>
              <w:rPr>
                <w:sz w:val="20"/>
                <w:szCs w:val="20"/>
                <w:color w:val="auto"/>
              </w:rPr>
            </w:pPr>
            <w:r>
              <w:rPr>
                <w:rFonts w:ascii="Arial" w:cs="Arial" w:eastAsia="Arial" w:hAnsi="Arial"/>
                <w:sz w:val="15"/>
                <w:szCs w:val="15"/>
                <w:color w:val="auto"/>
                <w:w w:val="87"/>
              </w:rPr>
              <w:t>(4)</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24,505</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ind w:left="340" w:hanging="305"/>
        <w:spacing w:after="0"/>
        <w:tabs>
          <w:tab w:leader="none" w:pos="3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Amount paid pursuant to a consulting agreement between WAVE USA and Dr. Verdine.</w:t>
      </w:r>
    </w:p>
    <w:p>
      <w:pPr>
        <w:ind w:left="340" w:hanging="305"/>
        <w:spacing w:after="0" w:line="187" w:lineRule="auto"/>
        <w:tabs>
          <w:tab w:leader="none" w:pos="340" w:val="left"/>
        </w:tabs>
        <w:numPr>
          <w:ilvl w:val="0"/>
          <w:numId w:val="59"/>
        </w:numPr>
        <w:rPr>
          <w:rFonts w:ascii="Arial" w:cs="Arial" w:eastAsia="Arial" w:hAnsi="Arial"/>
          <w:sz w:val="18"/>
          <w:szCs w:val="18"/>
          <w:color w:val="auto"/>
          <w:vertAlign w:val="superscript"/>
        </w:rPr>
      </w:pPr>
      <w:r>
        <w:rPr>
          <w:rFonts w:ascii="Arial" w:cs="Arial" w:eastAsia="Arial" w:hAnsi="Arial"/>
          <w:sz w:val="11"/>
          <w:szCs w:val="11"/>
          <w:color w:val="auto"/>
        </w:rPr>
        <w:t>Mr. Yonezawa was elected to our board of directors in April 2014 and resigned in August 2014.</w:t>
      </w:r>
    </w:p>
    <w:p>
      <w:pPr>
        <w:ind w:left="340" w:hanging="305"/>
        <w:spacing w:after="0" w:line="182" w:lineRule="auto"/>
        <w:tabs>
          <w:tab w:leader="none" w:pos="34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The amount was paid as a fee for serving on our board of directors pursuant to a nominee director fee agreement between the company and Miura &amp; Associates Management Consultants Pte. Ltd. and reflects the converted value of S$3,000 at a conversion rate of 1.34671 Singapore dollars per U.S. dollar on June 30, 2015.</w:t>
      </w:r>
    </w:p>
    <w:p>
      <w:pPr>
        <w:spacing w:after="0" w:line="1" w:lineRule="exact"/>
        <w:rPr>
          <w:rFonts w:ascii="Arial" w:cs="Arial" w:eastAsia="Arial" w:hAnsi="Arial"/>
          <w:sz w:val="23"/>
          <w:szCs w:val="23"/>
          <w:color w:val="auto"/>
          <w:vertAlign w:val="superscript"/>
        </w:rPr>
      </w:pPr>
    </w:p>
    <w:p>
      <w:pPr>
        <w:ind w:left="340" w:right="280" w:hanging="305"/>
        <w:spacing w:after="0" w:line="183" w:lineRule="auto"/>
        <w:tabs>
          <w:tab w:leader="none" w:pos="3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The amount was paid as a fee for the provision of scientific advisory services to WAVE Japan and reflects the converted to U.S. dollar value of ¥3,000,000 at a conversion rate of 122.4222 yen per U.S. dollar on June 30, 2015.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Upon the completion of this offering we intend to compensate each of the non-employee members of our board of directors in accordance with the following annual retainer and meeting fees (paid on a quarterly basis):</w:t>
      </w:r>
    </w:p>
    <w:p>
      <w:pPr>
        <w:spacing w:after="0" w:line="185" w:lineRule="exact"/>
        <w:rPr>
          <w:sz w:val="20"/>
          <w:szCs w:val="20"/>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Board member annual retainer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Board chair annual additional retainer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Committee chair annual retainer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Committee member annual retainer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Board meeting-in person attendance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Board meeting-telephonic attendance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Committee meeting attendance of $</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Committee meeting-telephonic attendance of $</w:t>
      </w:r>
    </w:p>
    <w:p>
      <w:pPr>
        <w:spacing w:after="0" w:line="169"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In addition to cash compensation, the non-employee members of our board will be awarded an annual share option grant in the amount of our ordinary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articles of association provide that, subject to the provisions of the Singapore Companies Act in effect from time to time, every director, managing director, secretary or other officer of our company or our subsidiaries and affiliates shall be entitled to be indemnified by our company against all costs, charges, losses, expenses and liabilities incurred by him or her in the execution and discharge of his or her duties or in relation thereto and in particular and without prejudice to the generality of the foregoing, no director, managing director, secretary or other officer of our company or our subsidiaries and affiliates shall be liable for the acts, receipts, neglects or defaults of any other director or officer or for joining in any receipt or other act for conformity or for any loss or expense happening to our company through the insufficiency or deficiency of title to any property acquired by order of the directors for or on behalf of our company or for the insufficiency or deficiency of any security in or upon which any of the moneys of our company shall be invested or for any loss or damage arising from the bankruptcy, insolvency or tortious act of any person with whom any moneys, securities or effects shall be deposited or left or for any other loss, damage or misfortune whatever which shall happen in the execution of the duties of his or her office or in relation thereto unless the same happen through his or her own negligence, default, breach of duty or breach of trust.</w:t>
      </w:r>
    </w:p>
    <w:p>
      <w:pPr>
        <w:spacing w:after="0" w:line="147"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entered into deeds of indemnity with all directors and our president and chief executive officer. The deeds of indemnity provide, among other things, that we will indemnify such officer or director, under the circumstances and to the extent provided for therein, for expenses, damages, judgments, fines and settlements he may be required to pay in actions or proceedings which he is or may be made a party by reason of his position as a director, officer or other agent of the Company, subject to and to the fullest extent permitted under the Singapore Companies Act, as amended, and our articles of association. We believe that these provisions and agreements are necessary to attract and retain qualified persons as our directors and executive officers. Furthermore, we have obtained director and officer liability insurance to cover liabilities our directors and officers may incur in connection with their services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80"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our ordinary shares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subject to the lock-up agreement that the director or executive officer has entered into with the underwriters.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36"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following includes a summary of transactions since January 1, 2012 to which we have been a party, in which the amount involved in the transaction exceeded $120,000, and in which any of our directors, executive officers or beneficial owners of more than 5% of our ordinary shares, on an as converted basis,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refer to such transactions as “related party transactions” and such persons as “related parties.” With the approval of our board of directors, we have engaged in the related party transactions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Exchange Creating Our Corporate Structure</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were formed as a result of the combination of companies under the common control of Shin Nippon Biomedical Laboratories, Ltd., or SNBL, which prior to this offering beneficially owns approximately 31% of our ordinary shares, on an as-converted basis, and which is affiliated with our director, Ken Takanashi. SNBL held (i) 80% of WAVE USA (formerly Ontorii, Inc.), with the remaining 20% held by Dr. Gregory L. Verdine, our co-founder and a member of our board of directors, and (ii) 90% of WAVE Japan (formerly Chiralgen., Ltd.), with the remaining 10% held by Dr. Takeshi Wada. In July 2012, SNBL formed WAVE Life Sciences Pte. Ltd. for the purpose of combining these two entities. On September 13, 2012, SNBL entered into the following two share exchange transactions resulting in WAVE USA and WAVE Japan becoming wholly-owned subsidiaries of WAVE Life Sciences Pte. Ltd.:</w:t>
      </w:r>
    </w:p>
    <w:p>
      <w:pPr>
        <w:spacing w:after="0" w:line="174" w:lineRule="exact"/>
        <w:rPr>
          <w:sz w:val="20"/>
          <w:szCs w:val="20"/>
          <w:color w:val="auto"/>
        </w:rPr>
      </w:pPr>
    </w:p>
    <w:p>
      <w:pPr>
        <w:ind w:left="800" w:right="100" w:hanging="454"/>
        <w:spacing w:after="0" w:line="257" w:lineRule="auto"/>
        <w:tabs>
          <w:tab w:leader="none" w:pos="8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Ontorii, Inc. Share Exchange</w:t>
      </w:r>
      <w:r>
        <w:rPr>
          <w:rFonts w:ascii="Arial" w:cs="Arial" w:eastAsia="Arial" w:hAnsi="Arial"/>
          <w:sz w:val="17"/>
          <w:szCs w:val="17"/>
          <w:color w:val="auto"/>
        </w:rPr>
        <w:t>. We issued 50,000 ordinary shares to Dr. Gregory L. Verdine in exchange for his 750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of Ontorii, Inc. and 200,000 ordinary shares to SNBL in exchange for its 3,000 shares of common stock of Ontorii, Inc.</w:t>
      </w:r>
    </w:p>
    <w:p>
      <w:pPr>
        <w:ind w:left="800" w:right="680" w:hanging="454"/>
        <w:spacing w:after="0" w:line="265" w:lineRule="auto"/>
        <w:tabs>
          <w:tab w:leader="none" w:pos="8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Chiralgen., Ltd. Share Exchange</w:t>
      </w:r>
      <w:r>
        <w:rPr>
          <w:rFonts w:ascii="Arial" w:cs="Arial" w:eastAsia="Arial" w:hAnsi="Arial"/>
          <w:sz w:val="17"/>
          <w:szCs w:val="17"/>
          <w:color w:val="auto"/>
        </w:rPr>
        <w:t>. We issued 24,900 ordinary shares to Dr. Takeshi Wada in exchange for his 152 ordinary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Chiralgen., Ltd. and 225,100 ordinary shares to SNBL in exchange for its 1,374 ordinary shares of Chiralgen., Ltd.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of Shares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Series B Preferred Shares in August 2015</w:t>
      </w:r>
    </w:p>
    <w:p>
      <w:pPr>
        <w:spacing w:after="0" w:line="5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In August 2015, we issued an aggregate of 1,320,000 Series B preferred shares at a purchase price of $50.00 per share to 19 accredited investors, including the following related parties, each of whom purchased the number of Series B preferred shares indicated below and beneficially owns more than 5% of our outstanding shares.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 B Preferred Shares</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91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952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Foresite Capital Fund III, L.P.</w:t>
            </w:r>
          </w:p>
        </w:tc>
        <w:tc>
          <w:tcPr>
            <w:tcW w:w="1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330,000</w:t>
            </w:r>
          </w:p>
        </w:tc>
        <w:tc>
          <w:tcPr>
            <w:tcW w:w="100" w:type="dxa"/>
            <w:vAlign w:val="bottom"/>
            <w:shd w:val="clear" w:color="auto" w:fill="CCEEFF"/>
          </w:tcPr>
          <w:p>
            <w:pPr>
              <w:spacing w:after="0"/>
              <w:rPr>
                <w:sz w:val="15"/>
                <w:szCs w:val="15"/>
                <w:color w:val="auto"/>
              </w:rPr>
            </w:pPr>
          </w:p>
        </w:tc>
      </w:tr>
      <w:tr>
        <w:trPr>
          <w:trHeight w:val="189"/>
        </w:trPr>
        <w:tc>
          <w:tcPr>
            <w:tcW w:w="95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FMR LLC </w:t>
            </w:r>
            <w:r>
              <w:rPr>
                <w:rFonts w:ascii="Arial" w:cs="Arial" w:eastAsia="Arial" w:hAnsi="Arial"/>
                <w:sz w:val="14"/>
                <w:szCs w:val="14"/>
                <w:color w:val="auto"/>
              </w:rPr>
              <w:t>(1)</w:t>
            </w:r>
          </w:p>
        </w:tc>
        <w:tc>
          <w:tcPr>
            <w:tcW w:w="1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300,000</w:t>
            </w:r>
          </w:p>
        </w:tc>
      </w:tr>
      <w:tr>
        <w:trPr>
          <w:trHeight w:val="189"/>
        </w:trPr>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Entities affiliated with RA Capital Healthcare Fund, L.P. </w:t>
            </w:r>
            <w:r>
              <w:rPr>
                <w:rFonts w:ascii="Arial" w:cs="Arial" w:eastAsia="Arial" w:hAnsi="Arial"/>
                <w:sz w:val="14"/>
                <w:szCs w:val="14"/>
                <w:color w:val="auto"/>
              </w:rPr>
              <w:t>(2)</w:t>
            </w:r>
          </w:p>
        </w:tc>
        <w:tc>
          <w:tcPr>
            <w:tcW w:w="1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290,000</w:t>
            </w:r>
          </w:p>
        </w:tc>
      </w:tr>
      <w:tr>
        <w:trPr>
          <w:trHeight w:val="189"/>
        </w:trPr>
        <w:tc>
          <w:tcPr>
            <w:tcW w:w="95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Shin Nippon Biomedical Laboratories, Ltd. </w:t>
            </w:r>
            <w:r>
              <w:rPr>
                <w:rFonts w:ascii="Arial" w:cs="Arial" w:eastAsia="Arial" w:hAnsi="Arial"/>
                <w:sz w:val="14"/>
                <w:szCs w:val="14"/>
                <w:color w:val="auto"/>
              </w:rPr>
              <w:t>(3)</w:t>
            </w:r>
          </w:p>
        </w:tc>
        <w:tc>
          <w:tcPr>
            <w:tcW w:w="1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40,000</w:t>
            </w:r>
          </w:p>
        </w:tc>
      </w:tr>
      <w:tr>
        <w:trPr>
          <w:trHeight w:val="189"/>
        </w:trPr>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Kagoshima Shinsangyo Sousei Investment Limited Partnership </w:t>
            </w:r>
            <w:r>
              <w:rPr>
                <w:rFonts w:ascii="Arial" w:cs="Arial" w:eastAsia="Arial" w:hAnsi="Arial"/>
                <w:sz w:val="14"/>
                <w:szCs w:val="14"/>
                <w:color w:val="auto"/>
              </w:rPr>
              <w:t>(4)</w:t>
            </w:r>
          </w:p>
        </w:tc>
        <w:tc>
          <w:tcPr>
            <w:tcW w:w="1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40" w:right="520" w:hanging="305"/>
        <w:spacing w:after="0" w:line="182" w:lineRule="auto"/>
        <w:tabs>
          <w:tab w:leader="none" w:pos="340" w:val="left"/>
        </w:tabs>
        <w:numPr>
          <w:ilvl w:val="0"/>
          <w:numId w:val="62"/>
        </w:numPr>
        <w:rPr>
          <w:rFonts w:ascii="Arial" w:cs="Arial" w:eastAsia="Arial" w:hAnsi="Arial"/>
          <w:sz w:val="23"/>
          <w:szCs w:val="23"/>
          <w:color w:val="auto"/>
          <w:vertAlign w:val="superscript"/>
        </w:rPr>
      </w:pPr>
      <w:r>
        <w:rPr>
          <w:rFonts w:ascii="Arial" w:cs="Arial" w:eastAsia="Arial" w:hAnsi="Arial"/>
          <w:sz w:val="14"/>
          <w:szCs w:val="14"/>
          <w:color w:val="auto"/>
        </w:rPr>
        <w:t>Consists of (a) 243,056 shares purchased by Fidelity Select Portfolios: Biotechnology Portfolio and (b) 56,944 shares purchased by Fidelity Advisor Series VII: Fidelity Biotechnology Fund.</w:t>
      </w:r>
    </w:p>
    <w:p>
      <w:pPr>
        <w:spacing w:after="0" w:line="1" w:lineRule="exact"/>
        <w:rPr>
          <w:rFonts w:ascii="Arial" w:cs="Arial" w:eastAsia="Arial" w:hAnsi="Arial"/>
          <w:sz w:val="23"/>
          <w:szCs w:val="23"/>
          <w:color w:val="auto"/>
          <w:vertAlign w:val="superscript"/>
        </w:rPr>
      </w:pPr>
    </w:p>
    <w:p>
      <w:pPr>
        <w:ind w:left="340" w:right="260" w:hanging="305"/>
        <w:spacing w:after="0" w:line="195" w:lineRule="auto"/>
        <w:tabs>
          <w:tab w:leader="none" w:pos="3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Consists of (a) 240,120 shares purchased by RA Capital Healthcare Fund, L.P., or RA Capital, and (b) 49,880 shares purchased by Blackwell Partners LLC—Series A. RA Capital Management, LLC is the general partner of RA Capital, and the investment adviser for Blackwell Partners LLC—Series A. Dr. Peter Kolchinsky who serves on our board of directors, is a founder, managing partner and portfolio manager of RA Capital Management LLC, the general partner of RA Capital.</w:t>
      </w:r>
    </w:p>
    <w:p>
      <w:pPr>
        <w:ind w:left="340" w:right="560" w:hanging="305"/>
        <w:spacing w:after="0" w:line="182" w:lineRule="auto"/>
        <w:tabs>
          <w:tab w:leader="none" w:pos="340" w:val="left"/>
        </w:tabs>
        <w:numPr>
          <w:ilvl w:val="0"/>
          <w:numId w:val="62"/>
        </w:numPr>
        <w:rPr>
          <w:rFonts w:ascii="Arial" w:cs="Arial" w:eastAsia="Arial" w:hAnsi="Arial"/>
          <w:sz w:val="23"/>
          <w:szCs w:val="23"/>
          <w:color w:val="auto"/>
          <w:vertAlign w:val="superscript"/>
        </w:rPr>
      </w:pPr>
      <w:r>
        <w:rPr>
          <w:rFonts w:ascii="Arial" w:cs="Arial" w:eastAsia="Arial" w:hAnsi="Arial"/>
          <w:sz w:val="14"/>
          <w:szCs w:val="14"/>
          <w:color w:val="auto"/>
        </w:rPr>
        <w:t>Shares purchased by SNBL USA, Ltd., an affiliate of SNBL. Mr. Ken Takanashi, a member of our board of directors, is a director and executive officer of SNBL and its affiliates.</w:t>
      </w:r>
    </w:p>
    <w:p>
      <w:pPr>
        <w:spacing w:after="0" w:line="1" w:lineRule="exact"/>
        <w:rPr>
          <w:rFonts w:ascii="Arial" w:cs="Arial" w:eastAsia="Arial" w:hAnsi="Arial"/>
          <w:sz w:val="23"/>
          <w:szCs w:val="23"/>
          <w:color w:val="auto"/>
          <w:vertAlign w:val="superscript"/>
        </w:rPr>
      </w:pPr>
    </w:p>
    <w:p>
      <w:pPr>
        <w:ind w:left="340" w:right="660" w:hanging="305"/>
        <w:spacing w:after="0" w:line="183" w:lineRule="auto"/>
        <w:tabs>
          <w:tab w:leader="none" w:pos="3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Mr. Masaru Tanaka, a member of our board of directors, is the President of Kagoshima Development Co. Ltd., the general partner of Kagoshima Shinsangyo Sousei Investment Limited Partnership.</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Ordinary Shares in January 2015</w:t>
      </w:r>
    </w:p>
    <w:p>
      <w:pPr>
        <w:spacing w:after="0" w:line="41"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In January 2015, we issued an aggregate of 1,180,000 ordinary shares at a purchase price of $10.00 per share to two accredited investors, both of whom are beneficial owners of more than 5% of our outstanding shares. RA Capital Health Care Fund, L.P., or RA Capital, purchased 1,000,000 ordinary shares in this transaction at an aggregate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purchase price of $10.0 million. Dr. Peter Kolchinsky, who serves on our board of directors, is a founder, managing partner and portfolio manager of RA Capital Management, LLC, the general partner of RA Capital. Kagoshima Shinsangyo Sousei Investment Limited Partnership, or KSS, purchased 180,000 ordinary shares in this transaction at an aggregate purchase price of $1.8 million. Masaharu Tanaka, who serves on our board of directors, is the President of Kagoshima Development Co. Ltd., the general partner of KSS.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Ordinary Shares and Series A Preferred Shares in February 2014</w:t>
      </w:r>
    </w:p>
    <w:p>
      <w:pPr>
        <w:spacing w:after="0" w:line="41"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In February 2014, we entered into a subscription agreement with KSS pursuant to which we issued 560,000 ordinary shares to KSS at a purchase price of $10.00 per share for a total consideration of $5.6 million. Masaharu Tanaka, who serves on our board of directors, is the President of Kagoshima Development Co. Ltd., the general partner of KSS.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February 2014, we issued 585,200 Series A preferred shares and 375,000 ordinary shares to SNBL in exchange for the cancellation of certain debt obligations owed by us to SNBL in the amount of $9.6 million. Ken Takanashi, a member of our board of directors, is a director and executive officer of SNBL and its affiliates. The corresponding debt obligations were issued by SNBL in our favor between November 2012 and November 2013 with original principal amounts ranging from $0.3 million to $4.1 million for an aggregate amount of $9.6 million and at the U.S. federal interest rate applicable at the time of each loan’s 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have entered into deeds of indemnity with each of our directors and our president and chief executive officer. These agreements will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articles of association, agreement, vote of shareholders or disinterested directors or otherwise if he or she is subsequently found to have been negligent or otherwise have breached his or her trust or fiduciary duties or to be in default thereof, or where the Singapore courts have declined to grant relief. See “Description of Share Capital—Limitations of Liability and Indemnification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holders of 3,608,123 ordinary shares and the holders of 965,300 Series A preferred shares have entered into an agreement with us that provides certain registration rights to these holders and future transferees of their securities. See “Description of Share Capital—Registration Rights” for a description of these rights. Such holders include the following related parties: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Ordinary Shares</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9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102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Entities affiliated with Shin Nippon Biomedical Laboratories, Ltd. </w:t>
            </w:r>
            <w:r>
              <w:rPr>
                <w:rFonts w:ascii="Arial" w:cs="Arial" w:eastAsia="Arial" w:hAnsi="Arial"/>
                <w:sz w:val="14"/>
                <w:szCs w:val="14"/>
                <w:color w:val="auto"/>
              </w:rPr>
              <w:t>(1)</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1,425,300</w:t>
            </w:r>
          </w:p>
        </w:tc>
        <w:tc>
          <w:tcPr>
            <w:tcW w:w="100" w:type="dxa"/>
            <w:vAlign w:val="bottom"/>
            <w:shd w:val="clear" w:color="auto" w:fill="CCEEFF"/>
          </w:tcPr>
          <w:p>
            <w:pPr>
              <w:spacing w:after="0"/>
              <w:rPr>
                <w:sz w:val="15"/>
                <w:szCs w:val="15"/>
                <w:color w:val="auto"/>
              </w:rPr>
            </w:pPr>
          </w:p>
        </w:tc>
      </w:tr>
      <w:tr>
        <w:trPr>
          <w:trHeight w:val="189"/>
        </w:trPr>
        <w:tc>
          <w:tcPr>
            <w:tcW w:w="102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RA Capital Healthcare Fund, L.P. </w:t>
            </w:r>
            <w:r>
              <w:rPr>
                <w:rFonts w:ascii="Arial" w:cs="Arial" w:eastAsia="Arial" w:hAnsi="Arial"/>
                <w:sz w:val="14"/>
                <w:szCs w:val="14"/>
                <w:color w:val="auto"/>
              </w:rPr>
              <w:t>(2)</w:t>
            </w:r>
          </w:p>
        </w:tc>
        <w:tc>
          <w:tcPr>
            <w:tcW w:w="12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1,290,000</w:t>
            </w:r>
          </w:p>
        </w:tc>
      </w:tr>
      <w:tr>
        <w:trPr>
          <w:trHeight w:val="189"/>
        </w:trPr>
        <w:tc>
          <w:tcPr>
            <w:tcW w:w="102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Kagoshima Shinsangyo Sousei Investment Limited Partnership</w:t>
            </w:r>
          </w:p>
        </w:tc>
        <w:tc>
          <w:tcPr>
            <w:tcW w:w="12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780,000</w:t>
            </w:r>
          </w:p>
        </w:tc>
      </w:tr>
      <w:tr>
        <w:trPr>
          <w:trHeight w:val="189"/>
        </w:trPr>
        <w:tc>
          <w:tcPr>
            <w:tcW w:w="10200" w:type="dxa"/>
            <w:vAlign w:val="bottom"/>
            <w:gridSpan w:val="2"/>
          </w:tcPr>
          <w:p>
            <w:pPr>
              <w:spacing w:after="0" w:line="189" w:lineRule="exact"/>
              <w:rPr>
                <w:sz w:val="20"/>
                <w:szCs w:val="20"/>
                <w:color w:val="auto"/>
              </w:rPr>
            </w:pPr>
            <w:r>
              <w:rPr>
                <w:rFonts w:ascii="Arial" w:cs="Arial" w:eastAsia="Arial" w:hAnsi="Arial"/>
                <w:sz w:val="17"/>
                <w:szCs w:val="17"/>
                <w:color w:val="auto"/>
              </w:rPr>
              <w:t>Foresite Capital Fund III, L.P.</w:t>
            </w:r>
          </w:p>
        </w:tc>
        <w:tc>
          <w:tcPr>
            <w:tcW w:w="12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330,000</w:t>
            </w:r>
          </w:p>
        </w:tc>
      </w:tr>
      <w:tr>
        <w:trPr>
          <w:trHeight w:val="189"/>
        </w:trPr>
        <w:tc>
          <w:tcPr>
            <w:tcW w:w="102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Entities affiliated with FMR LLC </w:t>
            </w:r>
            <w:r>
              <w:rPr>
                <w:rFonts w:ascii="Arial" w:cs="Arial" w:eastAsia="Arial" w:hAnsi="Arial"/>
                <w:sz w:val="14"/>
                <w:szCs w:val="14"/>
                <w:color w:val="auto"/>
              </w:rPr>
              <w:t>(3)</w:t>
            </w:r>
          </w:p>
        </w:tc>
        <w:tc>
          <w:tcPr>
            <w:tcW w:w="12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300,000</w:t>
            </w:r>
          </w:p>
        </w:tc>
      </w:tr>
      <w:tr>
        <w:trPr>
          <w:trHeight w:val="189"/>
        </w:trPr>
        <w:tc>
          <w:tcPr>
            <w:tcW w:w="10200" w:type="dxa"/>
            <w:vAlign w:val="bottom"/>
            <w:gridSpan w:val="2"/>
          </w:tcPr>
          <w:p>
            <w:pPr>
              <w:spacing w:after="0" w:line="189" w:lineRule="exact"/>
              <w:rPr>
                <w:sz w:val="20"/>
                <w:szCs w:val="20"/>
                <w:color w:val="auto"/>
              </w:rPr>
            </w:pPr>
            <w:r>
              <w:rPr>
                <w:rFonts w:ascii="Arial" w:cs="Arial" w:eastAsia="Arial" w:hAnsi="Arial"/>
                <w:sz w:val="17"/>
                <w:szCs w:val="17"/>
                <w:color w:val="auto"/>
              </w:rPr>
              <w:t>Dr. Gregory L. Verdine</w:t>
            </w:r>
          </w:p>
        </w:tc>
        <w:tc>
          <w:tcPr>
            <w:tcW w:w="12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50,000</w:t>
            </w:r>
          </w:p>
        </w:tc>
      </w:tr>
      <w:tr>
        <w:trPr>
          <w:trHeight w:val="189"/>
        </w:trPr>
        <w:tc>
          <w:tcPr>
            <w:tcW w:w="102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Dr. Paul Bolno</w:t>
            </w:r>
          </w:p>
        </w:tc>
        <w:tc>
          <w:tcPr>
            <w:tcW w:w="12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47,223</w:t>
            </w:r>
          </w:p>
        </w:tc>
      </w:tr>
      <w:tr>
        <w:trPr>
          <w:trHeight w:val="205"/>
        </w:trPr>
        <w:tc>
          <w:tcPr>
            <w:tcW w:w="10200" w:type="dxa"/>
            <w:vAlign w:val="bottom"/>
            <w:gridSpan w:val="2"/>
          </w:tcPr>
          <w:p>
            <w:pPr>
              <w:spacing w:after="0"/>
              <w:rPr>
                <w:sz w:val="20"/>
                <w:szCs w:val="20"/>
                <w:color w:val="auto"/>
              </w:rPr>
            </w:pPr>
            <w:r>
              <w:rPr>
                <w:rFonts w:ascii="Arial" w:cs="Arial" w:eastAsia="Arial" w:hAnsi="Arial"/>
                <w:sz w:val="17"/>
                <w:szCs w:val="17"/>
                <w:color w:val="auto"/>
              </w:rPr>
              <w:t>Dr. Takeshi Wada</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24,900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left="340" w:hanging="305"/>
        <w:spacing w:after="0" w:line="182" w:lineRule="auto"/>
        <w:tabs>
          <w:tab w:leader="none" w:pos="34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Consists of (a) 420,000 ordinary shares and 965,300 Series A preferred shares held by SNBL and (b) 40,000 Series B preferred shares held by SNBL USA, Ltd., an affiliate of SNBL.</w:t>
      </w:r>
    </w:p>
    <w:p>
      <w:pPr>
        <w:spacing w:after="0" w:line="1" w:lineRule="exact"/>
        <w:rPr>
          <w:rFonts w:ascii="Arial" w:cs="Arial" w:eastAsia="Arial" w:hAnsi="Arial"/>
          <w:sz w:val="23"/>
          <w:szCs w:val="23"/>
          <w:color w:val="auto"/>
          <w:vertAlign w:val="superscript"/>
        </w:rPr>
      </w:pPr>
    </w:p>
    <w:p>
      <w:pPr>
        <w:ind w:left="340" w:right="280" w:hanging="305"/>
        <w:spacing w:after="0" w:line="182" w:lineRule="auto"/>
        <w:tabs>
          <w:tab w:leader="none" w:pos="34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Consists of (a) 1,000,000 ordinary shares and 240,120 Series B preferred shares held by RA Capital and (b) 49,880 shares held by Blackwell Partners LLC—Series A, an affiliate of RA Capital.</w:t>
      </w:r>
    </w:p>
    <w:p>
      <w:pPr>
        <w:spacing w:after="0" w:line="1" w:lineRule="exact"/>
        <w:rPr>
          <w:rFonts w:ascii="Arial" w:cs="Arial" w:eastAsia="Arial" w:hAnsi="Arial"/>
          <w:sz w:val="23"/>
          <w:szCs w:val="23"/>
          <w:color w:val="auto"/>
          <w:vertAlign w:val="superscript"/>
        </w:rPr>
      </w:pPr>
    </w:p>
    <w:p>
      <w:pPr>
        <w:ind w:left="340" w:right="520" w:hanging="305"/>
        <w:spacing w:after="0" w:line="183" w:lineRule="auto"/>
        <w:tabs>
          <w:tab w:leader="none" w:pos="34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Consists of (a) 243,056 shares purchased by Fidelity Select Portfolios: Biotechnology Portfolio and (b) 56,944 shares purchased by Fidelity Advisor Series VII: Fidelity Biotechnology Fund. These entities are managed by direct or indirect subsidiaries of FMR LLC.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 with Dr. Gregory L. Verdine</w:t>
      </w:r>
    </w:p>
    <w:p>
      <w:pPr>
        <w:spacing w:after="0" w:line="93"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Dr. Gregory L. Verdine entered into a consulting agreement with WAVE USA, dated as of April 1, 2012, pursuant to which Dr. Verdine serves as a scientific advisor. The consulting agreement does not have a certain term and may be terminated by either party upon 14 days’ prior written notice. WAVE USA pays Dr. Verdine $12,500 per month and reimburses him for all reasonable expenses incurred in connection with the provision of these services. We paid Dr. Verdine $112,500, $150,000, $150,000 and $75,000 in 2012, 2013, 2014 and through June 30, 2015, respectively, under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Dr. Takeshi Wada</w:t>
      </w:r>
    </w:p>
    <w:p>
      <w:pPr>
        <w:spacing w:after="0" w:line="80"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We pay Dr. Takeshi Wada ¥250,000 per month, or approximately $2,042 using a conversion rate of 122.4222 yen per U.S. dollar on June 30, 2015, and reimburse him for all reasonable expenses incurred in connection with the provision of scientific advisory services to WAVE Japan. We do not have a formal agreement with Dr. Wada related to the provisions of these services. We paid Dr. Wada $16,116, $19,928, $28,339 and $12,477 in 2012, 2013, 2014 and through June 30, 2015, respectively under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SNBL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a commercial lease agreement with SNBL USA, Ltd., an affiliate of SNBL, or SNBL USA, which WAVE USA entered into in</w:t>
      </w:r>
    </w:p>
    <w:p>
      <w:pPr>
        <w:spacing w:after="0" w:line="232" w:lineRule="auto"/>
        <w:rPr>
          <w:sz w:val="20"/>
          <w:szCs w:val="20"/>
          <w:color w:val="auto"/>
        </w:rPr>
      </w:pPr>
      <w:r>
        <w:rPr>
          <w:rFonts w:ascii="Arial" w:cs="Arial" w:eastAsia="Arial" w:hAnsi="Arial"/>
          <w:sz w:val="17"/>
          <w:szCs w:val="17"/>
          <w:color w:val="auto"/>
        </w:rPr>
        <w:t>January 2010, WAVE USA pays $5,797 per month to SNBL USA for the sublease of office space in Boston, Massachusetts and is obligated to pay</w:t>
      </w:r>
    </w:p>
    <w:p>
      <w:pPr>
        <w:spacing w:after="0" w:line="232" w:lineRule="auto"/>
        <w:rPr>
          <w:sz w:val="20"/>
          <w:szCs w:val="20"/>
          <w:color w:val="auto"/>
        </w:rPr>
      </w:pPr>
      <w:r>
        <w:rPr>
          <w:rFonts w:ascii="Arial" w:cs="Arial" w:eastAsia="Arial" w:hAnsi="Arial"/>
          <w:sz w:val="17"/>
          <w:szCs w:val="17"/>
          <w:color w:val="auto"/>
        </w:rPr>
        <w:t>$9,029 per month to SNBL USA for 112 months for the cost of improvements to the leased premises. We paid SNBL $213,709 in each of 2012, 2013,</w:t>
      </w:r>
    </w:p>
    <w:p>
      <w:pPr>
        <w:spacing w:after="0" w:line="232" w:lineRule="auto"/>
        <w:rPr>
          <w:sz w:val="20"/>
          <w:szCs w:val="20"/>
          <w:color w:val="auto"/>
        </w:rPr>
      </w:pPr>
      <w:r>
        <w:rPr>
          <w:rFonts w:ascii="Arial" w:cs="Arial" w:eastAsia="Arial" w:hAnsi="Arial"/>
          <w:sz w:val="17"/>
          <w:szCs w:val="17"/>
          <w:color w:val="auto"/>
        </w:rPr>
        <w:t>2014 and $106,855 through June 30, 2015, respectively under this lease. Ken Takanashi, a member of our board of directors, is a director and</w:t>
      </w:r>
    </w:p>
    <w:p>
      <w:pPr>
        <w:spacing w:after="0"/>
        <w:rPr>
          <w:sz w:val="20"/>
          <w:szCs w:val="20"/>
          <w:color w:val="auto"/>
        </w:rPr>
      </w:pPr>
      <w:r>
        <w:rPr>
          <w:rFonts w:ascii="Arial" w:cs="Arial" w:eastAsia="Arial" w:hAnsi="Arial"/>
          <w:sz w:val="17"/>
          <w:szCs w:val="17"/>
          <w:color w:val="auto"/>
        </w:rPr>
        <w:t>executive officer of SNBL and its affiliates.</w:t>
      </w:r>
    </w:p>
    <w:p>
      <w:pPr>
        <w:spacing w:after="0" w:line="21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Pursuant to the terms of a service agreement we previously held with SNBL, we paid SNBL $98,008, $245,412, $70,942 and $1,094 in 2012, 2013, 2014 and through June 30, 2015, respectively, for accounting and administrative services provided to us and our affiliates.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a voting agreement that we entered into with certain holders of our ordinary shares and preferred shares dated as of</w:t>
      </w:r>
    </w:p>
    <w:p>
      <w:pPr>
        <w:spacing w:after="0" w:line="243" w:lineRule="auto"/>
        <w:rPr>
          <w:sz w:val="20"/>
          <w:szCs w:val="20"/>
          <w:color w:val="auto"/>
        </w:rPr>
      </w:pPr>
      <w:r>
        <w:rPr>
          <w:rFonts w:ascii="Arial" w:cs="Arial" w:eastAsia="Arial" w:hAnsi="Arial"/>
          <w:sz w:val="17"/>
          <w:szCs w:val="17"/>
          <w:color w:val="auto"/>
        </w:rPr>
        <w:t>August 14, 2015 and which will terminate upon the completion of this offering, such shareholders had the right to designate members for election to our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8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Prior to the consummation of this offering, our board of directors will adopt a written policy, which we refer to as the “related party transaction approval policy,” which will require our management to identify proposed related party transactions and present information about the proposed related party transaction to our audit committee, or if audit committee approval would be inappropriate, to another independent body of our board of directors, for review and if deemed appropriate, for approval by the committee. In approving or rejecting such proposed related party transaction, the committee will be required to consider relevant facts and circumstances. The committee will approve only those transactions that, in light of known circumstances, are deemed to be in our best interests. In the event that any member of the committee is not a disinterested person with respect to the related party transaction under review, that member will be excluded from the review and approval or rejection of such related party transaction: provided, however, that such committee member may be counted in determining the presence of a quorum at the meeting, of the committee at which such transaction is considered. If we become aware of an existing related party transaction which has not been approved under the policy, the matter will be referred to the committee. The committee will evaluate all options available, including ratification, revision or termination of such transaction. In the event that management determines that it is impractical or undesirable to wait until a meeting of the committee to consummate a related party transaction, the chair of the committee may approve such transaction in accordance with the related person transaction approval policy. Any such approval must be reported to the committee at the next regularly scheduled meeting.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beneficial ownership of our ordinary shares as of August 15, 2015 for</w:t>
      </w:r>
    </w:p>
    <w:p>
      <w:pPr>
        <w:spacing w:after="0" w:line="196" w:lineRule="exact"/>
        <w:rPr>
          <w:sz w:val="20"/>
          <w:szCs w:val="20"/>
          <w:color w:val="auto"/>
        </w:rPr>
      </w:pPr>
    </w:p>
    <w:p>
      <w:pPr>
        <w:ind w:left="800" w:hanging="454"/>
        <w:spacing w:after="0"/>
        <w:tabs>
          <w:tab w:leader="none" w:pos="8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beneficial owner of more than 5% of our ordinary shares and Series A preferred shares;</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named executive officer;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director;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169" w:lineRule="exact"/>
        <w:rPr>
          <w:sz w:val="20"/>
          <w:szCs w:val="20"/>
          <w:color w:val="auto"/>
        </w:rPr>
      </w:pPr>
    </w:p>
    <w:p>
      <w:pPr>
        <w:ind w:right="420"/>
        <w:spacing w:after="0" w:line="232" w:lineRule="auto"/>
        <w:rPr>
          <w:sz w:val="20"/>
          <w:szCs w:val="20"/>
          <w:color w:val="auto"/>
        </w:rPr>
      </w:pPr>
      <w:r>
        <w:rPr>
          <w:rFonts w:ascii="Arial" w:cs="Arial" w:eastAsia="Arial" w:hAnsi="Arial"/>
          <w:sz w:val="17"/>
          <w:szCs w:val="17"/>
          <w:color w:val="auto"/>
        </w:rPr>
        <w:t>Each shareholder’s ordinary share percentage ownership before this offering is based on 3,602,123 ordinary shares outstanding as of August 15, 2015, after giving effect to the conversion of all outstanding Series B preferred shares into 1,320,000 ordinary shares prior to the closing of this</w:t>
      </w:r>
    </w:p>
    <w:p>
      <w:pPr>
        <w:spacing w:after="0" w:line="238" w:lineRule="auto"/>
        <w:rPr>
          <w:sz w:val="20"/>
          <w:szCs w:val="20"/>
          <w:color w:val="auto"/>
        </w:rPr>
      </w:pPr>
      <w:r>
        <w:rPr>
          <w:rFonts w:ascii="Arial" w:cs="Arial" w:eastAsia="Arial" w:hAnsi="Arial"/>
          <w:sz w:val="17"/>
          <w:szCs w:val="17"/>
          <w:color w:val="auto"/>
        </w:rPr>
        <w:t>offering. Each shareholder’s ordinary share percentage ownership after this offering is based on ordinary shares outstanding immediately after the completion of this offering after giving effect to the conversion of all outstanding Series B preferred shares into 1,320,000 ordinary shares prior to the closing of this and assuming no exercise by the underwriters of their option to purchase additional ordinary shares.</w:t>
      </w:r>
    </w:p>
    <w:p>
      <w:pPr>
        <w:spacing w:after="0" w:line="14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Ordinary shares subject to options that are currently exercisable or exercisable within 60 days of August 15, 2015 are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shareholder identified in the table possesses sole voting and investment power over all ordinary shares shown as beneficially owned by the shareholder.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Unless otherwise noted below, the address of each beneficial owner listed in the table is c/o WAVE Life Sciences Pte. Ltd., 8 Cross Street #10-00, PWC Building, Singapore 048424.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8"/>
              </w:rPr>
              <w:t>Beneficial Ownership</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7"/>
          </w:tcPr>
          <w:p>
            <w:pPr>
              <w:jc w:val="center"/>
              <w:ind w:right="220"/>
              <w:spacing w:after="0"/>
              <w:rPr>
                <w:sz w:val="20"/>
                <w:szCs w:val="20"/>
                <w:color w:val="auto"/>
              </w:rPr>
            </w:pPr>
            <w:r>
              <w:rPr>
                <w:rFonts w:ascii="Arial" w:cs="Arial" w:eastAsia="Arial" w:hAnsi="Arial"/>
                <w:sz w:val="12"/>
                <w:szCs w:val="12"/>
                <w:b w:val="1"/>
                <w:bCs w:val="1"/>
                <w:color w:val="auto"/>
                <w:w w:val="98"/>
              </w:rPr>
              <w:t>Beneficial Ownership</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2"/>
                <w:szCs w:val="12"/>
                <w:b w:val="1"/>
                <w:bCs w:val="1"/>
                <w:color w:val="auto"/>
                <w:w w:val="98"/>
              </w:rPr>
              <w:t>Prior to the Offering</w:t>
            </w:r>
          </w:p>
        </w:tc>
        <w:tc>
          <w:tcPr>
            <w:tcW w:w="3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2"/>
                <w:szCs w:val="12"/>
                <w:b w:val="1"/>
                <w:bCs w:val="1"/>
                <w:color w:val="auto"/>
                <w:w w:val="96"/>
              </w:rPr>
              <w:t>After the Offering</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7"/>
              </w:rPr>
              <w:t>% of 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36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rPr>
              <w:t>Ordinary</w:t>
            </w:r>
          </w:p>
        </w:tc>
        <w:tc>
          <w:tcPr>
            <w:tcW w:w="134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rPr>
              <w:t>Series A</w:t>
            </w:r>
          </w:p>
        </w:tc>
        <w:tc>
          <w:tcPr>
            <w:tcW w:w="90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5"/>
              </w:rPr>
              <w:t>Ordinary</w:t>
            </w:r>
          </w:p>
        </w:tc>
        <w:tc>
          <w:tcPr>
            <w:tcW w:w="134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Series A</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Voting</w:t>
            </w:r>
          </w:p>
        </w:tc>
        <w:tc>
          <w:tcPr>
            <w:tcW w:w="0" w:type="dxa"/>
            <w:vAlign w:val="bottom"/>
          </w:tcPr>
          <w:p>
            <w:pPr>
              <w:spacing w:after="0"/>
              <w:rPr>
                <w:sz w:val="1"/>
                <w:szCs w:val="1"/>
                <w:color w:val="auto"/>
              </w:rPr>
            </w:pPr>
          </w:p>
        </w:tc>
      </w:tr>
      <w:tr>
        <w:trPr>
          <w:trHeight w:val="162"/>
        </w:trPr>
        <w:tc>
          <w:tcPr>
            <w:tcW w:w="4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Name</w:t>
            </w:r>
          </w:p>
        </w:tc>
        <w:tc>
          <w:tcPr>
            <w:tcW w:w="1360" w:type="dxa"/>
            <w:vAlign w:val="bottom"/>
            <w:gridSpan w:val="4"/>
          </w:tcPr>
          <w:p>
            <w:pPr>
              <w:jc w:val="right"/>
              <w:ind w:right="660"/>
              <w:spacing w:after="0" w:line="135" w:lineRule="exact"/>
              <w:rPr>
                <w:sz w:val="20"/>
                <w:szCs w:val="20"/>
                <w:color w:val="auto"/>
              </w:rPr>
            </w:pPr>
            <w:r>
              <w:rPr>
                <w:rFonts w:ascii="Arial" w:cs="Arial" w:eastAsia="Arial" w:hAnsi="Arial"/>
                <w:sz w:val="12"/>
                <w:szCs w:val="12"/>
                <w:b w:val="1"/>
                <w:bCs w:val="1"/>
                <w:color w:val="auto"/>
              </w:rPr>
              <w:t>Shares</w:t>
            </w:r>
          </w:p>
        </w:tc>
        <w:tc>
          <w:tcPr>
            <w:tcW w:w="1340" w:type="dxa"/>
            <w:vAlign w:val="bottom"/>
            <w:gridSpan w:val="4"/>
          </w:tcPr>
          <w:p>
            <w:pPr>
              <w:jc w:val="right"/>
              <w:ind w:right="360"/>
              <w:spacing w:after="0" w:line="135" w:lineRule="exact"/>
              <w:rPr>
                <w:sz w:val="20"/>
                <w:szCs w:val="20"/>
                <w:color w:val="auto"/>
              </w:rPr>
            </w:pPr>
            <w:r>
              <w:rPr>
                <w:rFonts w:ascii="Arial" w:cs="Arial" w:eastAsia="Arial" w:hAnsi="Arial"/>
                <w:sz w:val="12"/>
                <w:szCs w:val="12"/>
                <w:b w:val="1"/>
                <w:bCs w:val="1"/>
                <w:color w:val="auto"/>
                <w:w w:val="99"/>
              </w:rPr>
              <w:t>Preferred Shares</w:t>
            </w:r>
          </w:p>
        </w:tc>
        <w:tc>
          <w:tcPr>
            <w:tcW w:w="900" w:type="dxa"/>
            <w:vAlign w:val="bottom"/>
            <w:gridSpan w:val="4"/>
          </w:tcPr>
          <w:p>
            <w:pPr>
              <w:jc w:val="center"/>
              <w:ind w:right="180"/>
              <w:spacing w:after="0" w:line="135" w:lineRule="exact"/>
              <w:rPr>
                <w:sz w:val="20"/>
                <w:szCs w:val="20"/>
                <w:color w:val="auto"/>
              </w:rPr>
            </w:pPr>
            <w:r>
              <w:rPr>
                <w:rFonts w:ascii="Arial" w:cs="Arial" w:eastAsia="Arial" w:hAnsi="Arial"/>
                <w:sz w:val="12"/>
                <w:szCs w:val="12"/>
                <w:b w:val="1"/>
                <w:bCs w:val="1"/>
                <w:color w:val="auto"/>
                <w:w w:val="99"/>
              </w:rPr>
              <w:t>Shares</w:t>
            </w:r>
          </w:p>
        </w:tc>
        <w:tc>
          <w:tcPr>
            <w:tcW w:w="1340" w:type="dxa"/>
            <w:vAlign w:val="bottom"/>
            <w:gridSpan w:val="5"/>
          </w:tcPr>
          <w:p>
            <w:pPr>
              <w:jc w:val="right"/>
              <w:ind w:right="360"/>
              <w:spacing w:after="0" w:line="135" w:lineRule="exact"/>
              <w:rPr>
                <w:sz w:val="20"/>
                <w:szCs w:val="20"/>
                <w:color w:val="auto"/>
              </w:rPr>
            </w:pPr>
            <w:r>
              <w:rPr>
                <w:rFonts w:ascii="Arial" w:cs="Arial" w:eastAsia="Arial" w:hAnsi="Arial"/>
                <w:sz w:val="12"/>
                <w:szCs w:val="12"/>
                <w:b w:val="1"/>
                <w:bCs w:val="1"/>
                <w:color w:val="auto"/>
                <w:w w:val="99"/>
              </w:rPr>
              <w:t>Preferred Shares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Power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454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gridSpan w:val="2"/>
          </w:tcPr>
          <w:p>
            <w:pPr>
              <w:jc w:val="center"/>
              <w:ind w:right="200"/>
              <w:spacing w:after="0" w:line="76" w:lineRule="exact"/>
              <w:rPr>
                <w:sz w:val="20"/>
                <w:szCs w:val="20"/>
                <w:color w:val="auto"/>
              </w:rPr>
            </w:pPr>
            <w:r>
              <w:rPr>
                <w:rFonts w:ascii="Arial" w:cs="Arial" w:eastAsia="Arial" w:hAnsi="Arial"/>
                <w:sz w:val="8"/>
                <w:szCs w:val="8"/>
                <w:b w:val="1"/>
                <w:bCs w:val="1"/>
                <w:color w:val="auto"/>
              </w:rPr>
              <w:t>% of Total</w:t>
            </w:r>
          </w:p>
        </w:tc>
        <w:tc>
          <w:tcPr>
            <w:tcW w:w="680" w:type="dxa"/>
            <w:vAlign w:val="bottom"/>
          </w:tcPr>
          <w:p>
            <w:pPr>
              <w:jc w:val="center"/>
              <w:spacing w:after="0" w:line="76" w:lineRule="exact"/>
              <w:rPr>
                <w:sz w:val="20"/>
                <w:szCs w:val="20"/>
                <w:color w:val="auto"/>
              </w:rPr>
            </w:pPr>
            <w:r>
              <w:rPr>
                <w:rFonts w:ascii="Arial" w:cs="Arial" w:eastAsia="Arial" w:hAnsi="Arial"/>
                <w:sz w:val="8"/>
                <w:szCs w:val="8"/>
                <w:b w:val="1"/>
                <w:bCs w:val="1"/>
                <w:color w:val="auto"/>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b w:val="1"/>
                <w:bCs w:val="1"/>
                <w:color w:val="auto"/>
              </w:rPr>
              <w:t>Shares</w:t>
            </w:r>
          </w:p>
        </w:tc>
        <w:tc>
          <w:tcPr>
            <w:tcW w:w="44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2"/>
                <w:szCs w:val="12"/>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rPr>
              <w:t>Shares   %</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4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Voting Power</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converted)**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i w:val="1"/>
                <w:iCs w:val="1"/>
                <w:color w:val="auto"/>
              </w:rPr>
              <w:t>5% Beneficial Owner</w:t>
            </w: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RA Capital Healthcare Fund, L.P. </w:t>
            </w:r>
            <w:r>
              <w:rPr>
                <w:rFonts w:ascii="Arial" w:cs="Arial" w:eastAsia="Arial" w:hAnsi="Arial"/>
                <w:sz w:val="9"/>
                <w:szCs w:val="9"/>
                <w:color w:val="auto"/>
              </w:rPr>
              <w:t>(1)</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1,290,000</w:t>
            </w:r>
          </w:p>
        </w:tc>
        <w:tc>
          <w:tcPr>
            <w:tcW w:w="78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35.8%</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Kagoshima Sinsangyo Sousei Investment Limited Partnership </w:t>
            </w:r>
            <w:r>
              <w:rPr>
                <w:rFonts w:ascii="Arial" w:cs="Arial" w:eastAsia="Arial" w:hAnsi="Arial"/>
                <w:sz w:val="9"/>
                <w:szCs w:val="9"/>
                <w:color w:val="auto"/>
              </w:rPr>
              <w:t>(2)</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780,000</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Shin Nippon Biomedical Laboratories, Ltd. </w:t>
            </w:r>
            <w:r>
              <w:rPr>
                <w:rFonts w:ascii="Arial" w:cs="Arial" w:eastAsia="Arial" w:hAnsi="Arial"/>
                <w:sz w:val="9"/>
                <w:szCs w:val="9"/>
                <w:color w:val="auto"/>
              </w:rPr>
              <w:t>(3)</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460,000</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12.8</w:t>
            </w:r>
          </w:p>
        </w:tc>
        <w:tc>
          <w:tcPr>
            <w:tcW w:w="34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965,300</w:t>
            </w: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100.0%</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965,300</w:t>
            </w:r>
          </w:p>
        </w:tc>
        <w:tc>
          <w:tcPr>
            <w:tcW w:w="82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Foresite Capital Fund III, L.P. </w:t>
            </w:r>
            <w:r>
              <w:rPr>
                <w:rFonts w:ascii="Arial" w:cs="Arial" w:eastAsia="Arial" w:hAnsi="Arial"/>
                <w:sz w:val="9"/>
                <w:szCs w:val="9"/>
                <w:color w:val="auto"/>
              </w:rPr>
              <w:t>(4)</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330,000</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9.2</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40" w:type="dxa"/>
            <w:vAlign w:val="bottom"/>
            <w:gridSpan w:val="3"/>
          </w:tcPr>
          <w:p>
            <w:pPr>
              <w:spacing w:after="0"/>
              <w:rPr>
                <w:sz w:val="20"/>
                <w:szCs w:val="20"/>
                <w:color w:val="auto"/>
              </w:rPr>
            </w:pPr>
            <w:r>
              <w:rPr>
                <w:rFonts w:ascii="Arial" w:cs="Arial" w:eastAsia="Arial" w:hAnsi="Arial"/>
                <w:sz w:val="12"/>
                <w:szCs w:val="12"/>
                <w:color w:val="auto"/>
              </w:rPr>
              <w:t xml:space="preserve">FMR LLC </w:t>
            </w:r>
            <w:r>
              <w:rPr>
                <w:rFonts w:ascii="Arial" w:cs="Arial" w:eastAsia="Arial" w:hAnsi="Arial"/>
                <w:sz w:val="9"/>
                <w:szCs w:val="9"/>
                <w:color w:val="auto"/>
              </w:rPr>
              <w:t>(5)</w:t>
            </w:r>
          </w:p>
        </w:tc>
        <w:tc>
          <w:tcPr>
            <w:tcW w:w="580" w:type="dxa"/>
            <w:vAlign w:val="bottom"/>
          </w:tcPr>
          <w:p>
            <w:pPr>
              <w:jc w:val="right"/>
              <w:spacing w:after="0"/>
              <w:rPr>
                <w:sz w:val="20"/>
                <w:szCs w:val="20"/>
                <w:color w:val="auto"/>
              </w:rPr>
            </w:pPr>
            <w:r>
              <w:rPr>
                <w:rFonts w:ascii="Arial" w:cs="Arial" w:eastAsia="Arial" w:hAnsi="Arial"/>
                <w:sz w:val="12"/>
                <w:szCs w:val="12"/>
                <w:color w:val="auto"/>
              </w:rPr>
              <w:t>300,000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8.3</w:t>
            </w:r>
          </w:p>
        </w:tc>
        <w:tc>
          <w:tcPr>
            <w:tcW w:w="34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Directors and Named Executive Officers</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Paul B. Bolno, M.D. </w:t>
            </w:r>
            <w:r>
              <w:rPr>
                <w:rFonts w:ascii="Arial" w:cs="Arial" w:eastAsia="Arial" w:hAnsi="Arial"/>
                <w:sz w:val="9"/>
                <w:szCs w:val="9"/>
                <w:color w:val="auto"/>
              </w:rPr>
              <w:t>(6)</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84,613</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w:t>
            </w:r>
          </w:p>
        </w:tc>
        <w:tc>
          <w:tcPr>
            <w:tcW w:w="34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Christopher Francis, Ph.D. </w:t>
            </w:r>
            <w:r>
              <w:rPr>
                <w:rFonts w:ascii="Arial" w:cs="Arial" w:eastAsia="Arial" w:hAnsi="Arial"/>
                <w:sz w:val="9"/>
                <w:szCs w:val="9"/>
                <w:color w:val="auto"/>
              </w:rPr>
              <w:t>(7)</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12,876</w:t>
            </w:r>
          </w:p>
        </w:tc>
        <w:tc>
          <w:tcPr>
            <w:tcW w:w="78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Chandra Vargeese, Ph.D. </w:t>
            </w:r>
            <w:r>
              <w:rPr>
                <w:rFonts w:ascii="Arial" w:cs="Arial" w:eastAsia="Arial" w:hAnsi="Arial"/>
                <w:sz w:val="9"/>
                <w:szCs w:val="9"/>
                <w:color w:val="auto"/>
              </w:rPr>
              <w:t>(8)</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15,909</w:t>
            </w:r>
          </w:p>
        </w:tc>
        <w:tc>
          <w:tcPr>
            <w:tcW w:w="780" w:type="dxa"/>
            <w:vAlign w:val="bottom"/>
            <w:gridSpan w:val="3"/>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Gregory L. Verdine, Ph.D. </w:t>
            </w:r>
            <w:r>
              <w:rPr>
                <w:rFonts w:ascii="Arial" w:cs="Arial" w:eastAsia="Arial" w:hAnsi="Arial"/>
                <w:sz w:val="9"/>
                <w:szCs w:val="9"/>
                <w:color w:val="auto"/>
              </w:rPr>
              <w:t>(9)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112,351</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Peter Kolchinsky, Ph.D. </w:t>
            </w:r>
            <w:r>
              <w:rPr>
                <w:rFonts w:ascii="Arial" w:cs="Arial" w:eastAsia="Arial" w:hAnsi="Arial"/>
                <w:sz w:val="9"/>
                <w:szCs w:val="9"/>
                <w:color w:val="auto"/>
              </w:rPr>
              <w:t>(10)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1,290,000</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35.8</w:t>
            </w:r>
          </w:p>
        </w:tc>
        <w:tc>
          <w:tcPr>
            <w:tcW w:w="34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Koji Miura</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Ken Takanashi </w:t>
            </w:r>
            <w:r>
              <w:rPr>
                <w:rFonts w:ascii="Arial" w:cs="Arial" w:eastAsia="Arial" w:hAnsi="Arial"/>
                <w:sz w:val="9"/>
                <w:szCs w:val="9"/>
                <w:color w:val="auto"/>
              </w:rPr>
              <w:t>(11)</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460,000</w:t>
            </w:r>
          </w:p>
        </w:tc>
        <w:tc>
          <w:tcPr>
            <w:tcW w:w="4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12.8</w:t>
            </w:r>
          </w:p>
        </w:tc>
        <w:tc>
          <w:tcPr>
            <w:tcW w:w="34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965,300</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100.0</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965,300</w:t>
            </w:r>
          </w:p>
        </w:tc>
        <w:tc>
          <w:tcPr>
            <w:tcW w:w="820" w:type="dxa"/>
            <w:vAlign w:val="bottom"/>
            <w:gridSpan w:val="3"/>
          </w:tcPr>
          <w:p>
            <w:pPr>
              <w:jc w:val="right"/>
              <w:ind w:right="340"/>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Masaharu Tanaka </w:t>
            </w:r>
            <w:r>
              <w:rPr>
                <w:rFonts w:ascii="Arial" w:cs="Arial" w:eastAsia="Arial" w:hAnsi="Arial"/>
                <w:sz w:val="9"/>
                <w:szCs w:val="9"/>
                <w:color w:val="auto"/>
              </w:rPr>
              <w:t>(12)</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780,000</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21.7</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3"/>
          </w:tcPr>
          <w:p>
            <w:pPr>
              <w:spacing w:after="0" w:line="135" w:lineRule="exact"/>
              <w:rPr>
                <w:sz w:val="20"/>
                <w:szCs w:val="20"/>
                <w:color w:val="auto"/>
              </w:rPr>
            </w:pPr>
            <w:r>
              <w:rPr>
                <w:rFonts w:ascii="Arial" w:cs="Arial" w:eastAsia="Arial" w:hAnsi="Arial"/>
                <w:sz w:val="12"/>
                <w:szCs w:val="12"/>
                <w:color w:val="auto"/>
              </w:rPr>
              <w:t xml:space="preserve">Dr. Takeshi Wada </w:t>
            </w:r>
            <w:r>
              <w:rPr>
                <w:rFonts w:ascii="Arial" w:cs="Arial" w:eastAsia="Arial" w:hAnsi="Arial"/>
                <w:sz w:val="9"/>
                <w:szCs w:val="9"/>
                <w:color w:val="auto"/>
              </w:rPr>
              <w:t>(13)</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26,573</w:t>
            </w:r>
          </w:p>
        </w:tc>
        <w:tc>
          <w:tcPr>
            <w:tcW w:w="780" w:type="dxa"/>
            <w:vAlign w:val="bottom"/>
            <w:gridSpan w:val="3"/>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All directors and executive officers as a group (11 individuals) </w:t>
            </w:r>
            <w:r>
              <w:rPr>
                <w:rFonts w:ascii="Arial" w:cs="Arial" w:eastAsia="Arial" w:hAnsi="Arial"/>
                <w:sz w:val="9"/>
                <w:szCs w:val="9"/>
                <w:color w:val="auto"/>
              </w:rPr>
              <w:t>(14)</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2,788,004</w:t>
            </w:r>
          </w:p>
        </w:tc>
        <w:tc>
          <w:tcPr>
            <w:tcW w:w="78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74.6%</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965,300</w:t>
            </w: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100.0%</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965,300</w:t>
            </w:r>
          </w:p>
        </w:tc>
        <w:tc>
          <w:tcPr>
            <w:tcW w:w="8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100.0%</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Indicates beneficial ownership of less than 1% of our outstanding ordinary shares.</w:t>
      </w:r>
    </w:p>
    <w:p>
      <w:pPr>
        <w:spacing w:after="0" w:line="1" w:lineRule="exact"/>
        <w:rPr>
          <w:sz w:val="20"/>
          <w:szCs w:val="20"/>
          <w:color w:val="auto"/>
        </w:rPr>
      </w:pPr>
    </w:p>
    <w:p>
      <w:pPr>
        <w:ind w:left="340" w:hanging="228"/>
        <w:spacing w:after="0" w:line="241" w:lineRule="auto"/>
        <w:tabs>
          <w:tab w:leader="none" w:pos="340" w:val="left"/>
        </w:tabs>
        <w:numPr>
          <w:ilvl w:val="1"/>
          <w:numId w:val="65"/>
        </w:numPr>
        <w:rPr>
          <w:rFonts w:ascii="Arial" w:cs="Arial" w:eastAsia="Arial" w:hAnsi="Arial"/>
          <w:sz w:val="14"/>
          <w:szCs w:val="14"/>
          <w:color w:val="auto"/>
        </w:rPr>
      </w:pPr>
      <w:r>
        <w:rPr>
          <w:rFonts w:ascii="Arial" w:cs="Arial" w:eastAsia="Arial" w:hAnsi="Arial"/>
          <w:sz w:val="14"/>
          <w:szCs w:val="14"/>
          <w:color w:val="auto"/>
        </w:rPr>
        <w:t>Represents the voting power with respect to all of our ordinary shares and Class A preferred shares, voting as a single class and on an as-converted to ordinary share basis. Following this offering, each Series A preferred share can be converted at any time on a one-for-one basis into ordinary shares at the discretion of the holder. See “Description of Share Capital” for additional information.</w:t>
      </w:r>
    </w:p>
    <w:p>
      <w:pPr>
        <w:spacing w:after="0" w:line="1" w:lineRule="exact"/>
        <w:rPr>
          <w:rFonts w:ascii="Arial" w:cs="Arial" w:eastAsia="Arial" w:hAnsi="Arial"/>
          <w:sz w:val="14"/>
          <w:szCs w:val="14"/>
          <w:color w:val="auto"/>
        </w:rPr>
      </w:pPr>
    </w:p>
    <w:p>
      <w:pPr>
        <w:ind w:left="340" w:hanging="305"/>
        <w:spacing w:after="0" w:line="204"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Consists of (a) 1,240,120 ordinary shares held by RA Capital Healthcare Fund, L.P., or RA Capital, and (b) 49,880 ordinary shares held by Blackwell Partners LLC – Series A, or Blackwell, an affiliate of RA Capital. Dr. Peter Kolchinsky, a member of our board of directors is the managing member of RA Capital Management, LLC, the general partner of RA Capital and the investment advisor of Blackwell. Dr. Kolchinsky and RA Capital Management, LLC may be deemed to beneficially own the shares held by RA Capital and Blackwell. The address of RA Capital Healthcare Fund, L.P. and Blackwell is 20 Park Plaza, Suite 1200, Boston, MA 02116.</w:t>
      </w:r>
    </w:p>
    <w:p>
      <w:pPr>
        <w:spacing w:after="0" w:line="3" w:lineRule="exact"/>
        <w:rPr>
          <w:rFonts w:ascii="Arial" w:cs="Arial" w:eastAsia="Arial" w:hAnsi="Arial"/>
          <w:sz w:val="24"/>
          <w:szCs w:val="24"/>
          <w:color w:val="auto"/>
          <w:vertAlign w:val="superscript"/>
        </w:rPr>
      </w:pPr>
    </w:p>
    <w:p>
      <w:pPr>
        <w:ind w:left="340" w:right="80" w:hanging="305"/>
        <w:spacing w:after="0" w:line="195"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Mr. Masaharu Tanaka, a member of our board of directors, is the President of Kagoshima Development Co. Ltd., the general partner of Kagoshima Shinsangyo Sousei Investment Limited Partnership, or KSS. Mr. Tanaka has the sole power to vote and dispose of the shares held by KSS and may be deemed to beneficially own these shares. The address of KSS is 6-1-20, Nanei Kagoshima City Kagoshima 891-0122, Japan.</w:t>
      </w:r>
    </w:p>
    <w:p>
      <w:pPr>
        <w:ind w:left="340" w:right="80" w:hanging="305"/>
        <w:spacing w:after="0" w:line="211"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Consists of (a) 460,000 ordinary shares and 965,300 Series A preferred shares held by Shin Nippon Biomedical Laboratories, Ltd., or SNBL, whose address is 2438 Miyanoura-machi, Kagoshima City, Kagoshima 891-1394, Japan and (b) 40,000 ordinary shares held by SNBL USA, Ltd., or SNBL USA, an affiliate of SNBL, whose address is 6605 Merrill Creek Parkway, Everett, WA 98203. The board of directors of SNBL and SNBL USA has the power to vote and dispose of the shares held by their respective entities. Mr. Ken Takanashi, a member of our board of directors, is a director and executive officer of SNBL and its affiliates and in such capacity may be deemed to beneficially own the shares held by SNBL and SNBL USA.</w:t>
      </w:r>
    </w:p>
    <w:p>
      <w:pPr>
        <w:spacing w:after="0" w:line="1" w:lineRule="exact"/>
        <w:rPr>
          <w:rFonts w:ascii="Arial" w:cs="Arial" w:eastAsia="Arial" w:hAnsi="Arial"/>
          <w:sz w:val="24"/>
          <w:szCs w:val="24"/>
          <w:color w:val="auto"/>
          <w:vertAlign w:val="superscript"/>
        </w:rPr>
      </w:pPr>
    </w:p>
    <w:p>
      <w:pPr>
        <w:ind w:left="340" w:right="60" w:hanging="305"/>
        <w:spacing w:after="0" w:line="204"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Foresite Capital Management III, LLC, or Foresite Management III, is the general partner of Foresite Capital Fund III, L.P., or Foresite Fund III, and in its capacity as such, Foresite Management III may be deemed to have sole voting and investment power over the shares held by Foresite Fund III. James Tananbaum is the managing member of Foresite Management III, and in his capacity as such, Mr. Tananbaum may be deemed to have sole voting and investment power over shares held by Foresite Fund III. The address of Mr. Tananbaum, Foresite Management III and Foresite Fund III is 101 California Street, Suite 4100, San Francisco, CA 94111.</w:t>
      </w:r>
    </w:p>
    <w:p>
      <w:pPr>
        <w:spacing w:after="0" w:line="3" w:lineRule="exact"/>
        <w:rPr>
          <w:rFonts w:ascii="Arial" w:cs="Arial" w:eastAsia="Arial" w:hAnsi="Arial"/>
          <w:sz w:val="24"/>
          <w:szCs w:val="24"/>
          <w:color w:val="auto"/>
          <w:vertAlign w:val="superscript"/>
        </w:rPr>
      </w:pPr>
    </w:p>
    <w:p>
      <w:pPr>
        <w:ind w:left="340" w:hanging="305"/>
        <w:spacing w:after="0" w:line="187" w:lineRule="auto"/>
        <w:tabs>
          <w:tab w:leader="none" w:pos="340" w:val="left"/>
        </w:tabs>
        <w:numPr>
          <w:ilvl w:val="0"/>
          <w:numId w:val="65"/>
        </w:numPr>
        <w:rPr>
          <w:rFonts w:ascii="Arial" w:cs="Arial" w:eastAsia="Arial" w:hAnsi="Arial"/>
          <w:sz w:val="18"/>
          <w:szCs w:val="18"/>
          <w:color w:val="auto"/>
          <w:vertAlign w:val="superscript"/>
        </w:rPr>
      </w:pPr>
      <w:r>
        <w:rPr>
          <w:rFonts w:ascii="Arial" w:cs="Arial" w:eastAsia="Arial" w:hAnsi="Arial"/>
          <w:sz w:val="11"/>
          <w:szCs w:val="11"/>
          <w:color w:val="auto"/>
        </w:rPr>
        <w:t>Consists of (a) 243,056 ordinary shares held by Fidelity Select Portfolios: Biotechnology Portfolio whose address is c/o Brown Brothers Harriman &amp; Co., 525 Washington</w:t>
      </w:r>
    </w:p>
    <w:p>
      <w:pPr>
        <w:ind w:left="340"/>
        <w:spacing w:after="0" w:line="243" w:lineRule="auto"/>
        <w:rPr>
          <w:rFonts w:ascii="Arial" w:cs="Arial" w:eastAsia="Arial" w:hAnsi="Arial"/>
          <w:sz w:val="18"/>
          <w:szCs w:val="18"/>
          <w:color w:val="auto"/>
          <w:vertAlign w:val="superscript"/>
        </w:rPr>
      </w:pPr>
      <w:r>
        <w:rPr>
          <w:rFonts w:ascii="Arial" w:cs="Arial" w:eastAsia="Arial" w:hAnsi="Arial"/>
          <w:sz w:val="14"/>
          <w:szCs w:val="14"/>
          <w:color w:val="auto"/>
        </w:rPr>
        <w:t>Blvd., Jersey City, NJ 07310 and (b) 56,944 ordinary shares held by Fidelity Advisor Series VII: Fidelity Advisor Biotechnology Fund, whose address is c/o State Street Bank &amp; Trust, P.O. Box 5756, Boston, MA 02206. These entities are managed by direct or indirect subsidiaries of FMR LLC and are advised by Fidelity Management &amp; Research Company, or FMR Co, a wholly owned subsidiary of FMR LLC. Edward C. Johnson 3d is a director and the Chairman of FMR LLC and Abigail P. Johnson is a director, the Vice Chairman and President of FMR LLC. Members of the family of Edward C. Johnson 3d, including Abigail P. Johnson, collectively, the Johnson Family Group,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 Investment Company Act of 1940, to form a controlling group with respect to FMR LLC.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60" w:right="280"/>
        <w:spacing w:after="0" w:line="237" w:lineRule="auto"/>
        <w:rPr>
          <w:sz w:val="20"/>
          <w:szCs w:val="20"/>
          <w:color w:val="auto"/>
        </w:rPr>
      </w:pPr>
      <w:r>
        <w:rPr>
          <w:rFonts w:ascii="Arial" w:cs="Arial" w:eastAsia="Arial" w:hAnsi="Arial"/>
          <w:sz w:val="14"/>
          <w:szCs w:val="14"/>
          <w:color w:val="auto"/>
        </w:rPr>
        <w:t>None of FMR LLC, Edward C. Johnson 3d or Abigail P. Johnson has the sole power to vote or direct the voting of the shares owned directly by these entities which power resides with the Fidelity Funds’ Boards of Trustees. FMR Co carries out the voting of the shares under written guidelines established by the Fidelity Funds’ Boards of Trustees. The address of FMR LLC is 245 Summer Street, V13H, Boston, MA 02110.</w:t>
      </w:r>
    </w:p>
    <w:p>
      <w:pPr>
        <w:ind w:left="340" w:hanging="305"/>
        <w:spacing w:after="0" w:line="188" w:lineRule="auto"/>
        <w:tabs>
          <w:tab w:leader="none" w:pos="340" w:val="left"/>
        </w:tabs>
        <w:numPr>
          <w:ilvl w:val="0"/>
          <w:numId w:val="66"/>
        </w:numPr>
        <w:rPr>
          <w:rFonts w:ascii="Arial" w:cs="Arial" w:eastAsia="Arial" w:hAnsi="Arial"/>
          <w:sz w:val="19"/>
          <w:szCs w:val="19"/>
          <w:color w:val="auto"/>
          <w:vertAlign w:val="superscript"/>
        </w:rPr>
      </w:pPr>
      <w:r>
        <w:rPr>
          <w:rFonts w:ascii="Arial" w:cs="Arial" w:eastAsia="Arial" w:hAnsi="Arial"/>
          <w:sz w:val="12"/>
          <w:szCs w:val="12"/>
          <w:color w:val="auto"/>
        </w:rPr>
        <w:t>Consists of 47,223 ordinary shares and 37,390 ordinary shares underlying options exercisable within 60 days of August 15, 2015.</w:t>
      </w:r>
    </w:p>
    <w:p>
      <w:pPr>
        <w:ind w:left="340" w:hanging="305"/>
        <w:spacing w:after="0" w:line="187" w:lineRule="auto"/>
        <w:tabs>
          <w:tab w:leader="none" w:pos="340" w:val="left"/>
        </w:tabs>
        <w:numPr>
          <w:ilvl w:val="0"/>
          <w:numId w:val="66"/>
        </w:numPr>
        <w:rPr>
          <w:rFonts w:ascii="Arial" w:cs="Arial" w:eastAsia="Arial" w:hAnsi="Arial"/>
          <w:sz w:val="18"/>
          <w:szCs w:val="18"/>
          <w:color w:val="auto"/>
          <w:vertAlign w:val="superscript"/>
        </w:rPr>
      </w:pPr>
      <w:r>
        <w:rPr>
          <w:rFonts w:ascii="Arial" w:cs="Arial" w:eastAsia="Arial" w:hAnsi="Arial"/>
          <w:sz w:val="11"/>
          <w:szCs w:val="11"/>
          <w:color w:val="auto"/>
        </w:rPr>
        <w:t>Consists of ordinary shares underlying options exercisable within 60 days of August 15, 2015.</w:t>
      </w:r>
    </w:p>
    <w:p>
      <w:pPr>
        <w:ind w:left="340" w:hanging="305"/>
        <w:spacing w:after="0" w:line="187" w:lineRule="auto"/>
        <w:tabs>
          <w:tab w:leader="none" w:pos="340" w:val="left"/>
        </w:tabs>
        <w:numPr>
          <w:ilvl w:val="0"/>
          <w:numId w:val="66"/>
        </w:numPr>
        <w:rPr>
          <w:rFonts w:ascii="Arial" w:cs="Arial" w:eastAsia="Arial" w:hAnsi="Arial"/>
          <w:sz w:val="18"/>
          <w:szCs w:val="18"/>
          <w:color w:val="auto"/>
          <w:vertAlign w:val="superscript"/>
        </w:rPr>
      </w:pPr>
      <w:r>
        <w:rPr>
          <w:rFonts w:ascii="Arial" w:cs="Arial" w:eastAsia="Arial" w:hAnsi="Arial"/>
          <w:sz w:val="11"/>
          <w:szCs w:val="11"/>
          <w:color w:val="auto"/>
        </w:rPr>
        <w:t>Consists of ordinary shares underlying options exercisable within 60 days of August 15, 2015.</w:t>
      </w:r>
    </w:p>
    <w:p>
      <w:pPr>
        <w:ind w:left="340" w:right="180" w:hanging="305"/>
        <w:spacing w:after="0" w:line="188" w:lineRule="auto"/>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3"/>
          <w:szCs w:val="13"/>
          <w:color w:val="auto"/>
        </w:rPr>
        <w:t>Consists of (a) 50,000 ordinary shares held by Dr. Verdine, (b) 60,678 ordinary shares underlying options exercisable within 60 days of August 15, 2015 held by Dr. Verdine and (c) 1,673 ordinary shares underlying options exercisable within 60 days of August 15, 2015, held by Dr. Verdine’s spouse.</w:t>
      </w:r>
    </w:p>
    <w:p>
      <w:pPr>
        <w:spacing w:after="0" w:line="9" w:lineRule="exact"/>
        <w:rPr>
          <w:sz w:val="20"/>
          <w:szCs w:val="20"/>
          <w:color w:val="auto"/>
        </w:rPr>
      </w:pPr>
    </w:p>
    <w:p>
      <w:pPr>
        <w:ind w:left="380" w:right="60" w:hanging="359"/>
        <w:spacing w:after="0" w:line="195" w:lineRule="auto"/>
        <w:tabs>
          <w:tab w:leader="none" w:pos="38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Consists of 1,240,120 ordinary shares held by RA Capital, and 49,880 ordinary shares held by Blackwell, an affiliate of RA Capital. Dr. Kolchinsky is the managing partner of RA Capital Management, LLC, the general partner of RA Capital and the investment advisor of Blackwell and may be deemed to beneficially own the shares held by RA Capital and Blackwell.</w:t>
      </w:r>
    </w:p>
    <w:p>
      <w:pPr>
        <w:ind w:left="380" w:right="40" w:hanging="359"/>
        <w:spacing w:after="0" w:line="195" w:lineRule="auto"/>
        <w:tabs>
          <w:tab w:leader="none" w:pos="38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Consists of (a) 460,000 ordinary shares and 965,300 Series A preferred shares held by SNBL and (b) 40,000 ordinary shares held by SNBL USA. Mr. Takanashi is a director and executive officer of SNBL and its affiliates and in such capacity may be deemed to beneficially own the shares held by SNBL or SNBL USA. The board of directors of SNBL and SNBL USA has the power to vote and dispose of the shares held by their respective entities.</w:t>
      </w:r>
    </w:p>
    <w:p>
      <w:pPr>
        <w:ind w:left="380" w:hanging="359"/>
        <w:spacing w:after="0" w:line="182" w:lineRule="auto"/>
        <w:tabs>
          <w:tab w:leader="none" w:pos="380" w:val="left"/>
        </w:tabs>
        <w:numPr>
          <w:ilvl w:val="0"/>
          <w:numId w:val="67"/>
        </w:numPr>
        <w:rPr>
          <w:rFonts w:ascii="Arial" w:cs="Arial" w:eastAsia="Arial" w:hAnsi="Arial"/>
          <w:sz w:val="23"/>
          <w:szCs w:val="23"/>
          <w:color w:val="auto"/>
          <w:vertAlign w:val="superscript"/>
        </w:rPr>
      </w:pPr>
      <w:r>
        <w:rPr>
          <w:rFonts w:ascii="Arial" w:cs="Arial" w:eastAsia="Arial" w:hAnsi="Arial"/>
          <w:sz w:val="14"/>
          <w:szCs w:val="14"/>
          <w:color w:val="auto"/>
        </w:rPr>
        <w:t>Consists of 780,000 ordinary shares held by Kagoshima Shinsangyo Sousei Investment Limited Partnership, or KSS. Mr. Tanaka is the President of Kagoshima Development Co. Ltd., the general partner of KSS and has the sole power to vote and dispose of these shares. Mr. Tanaka may be deemed to beneficially own the shares held by KSS.</w:t>
      </w:r>
    </w:p>
    <w:p>
      <w:pPr>
        <w:spacing w:after="0" w:line="1" w:lineRule="exact"/>
        <w:rPr>
          <w:rFonts w:ascii="Arial" w:cs="Arial" w:eastAsia="Arial" w:hAnsi="Arial"/>
          <w:sz w:val="23"/>
          <w:szCs w:val="23"/>
          <w:color w:val="auto"/>
          <w:vertAlign w:val="superscript"/>
        </w:rPr>
      </w:pPr>
    </w:p>
    <w:p>
      <w:pPr>
        <w:ind w:left="380" w:hanging="359"/>
        <w:spacing w:after="0" w:line="187" w:lineRule="auto"/>
        <w:tabs>
          <w:tab w:leader="none" w:pos="380" w:val="left"/>
        </w:tabs>
        <w:numPr>
          <w:ilvl w:val="0"/>
          <w:numId w:val="67"/>
        </w:numPr>
        <w:rPr>
          <w:rFonts w:ascii="Arial" w:cs="Arial" w:eastAsia="Arial" w:hAnsi="Arial"/>
          <w:sz w:val="18"/>
          <w:szCs w:val="18"/>
          <w:color w:val="auto"/>
          <w:vertAlign w:val="superscript"/>
        </w:rPr>
      </w:pPr>
      <w:r>
        <w:rPr>
          <w:rFonts w:ascii="Arial" w:cs="Arial" w:eastAsia="Arial" w:hAnsi="Arial"/>
          <w:sz w:val="11"/>
          <w:szCs w:val="11"/>
          <w:color w:val="auto"/>
        </w:rPr>
        <w:t>Consists of 24,900 ordinary shares and 1,674 ordinary shares underlying options exercisable within 60 days of August 15, 2015.</w:t>
      </w:r>
    </w:p>
    <w:p>
      <w:pPr>
        <w:ind w:left="380" w:right="60" w:hanging="359"/>
        <w:spacing w:after="0" w:line="199" w:lineRule="auto"/>
        <w:tabs>
          <w:tab w:leader="none" w:pos="38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Consists of (a) 135,881 ordinary shares underlying options exercisable within 60 days of August 15, 2015, (b) 2,788,004 ordinary shares beneficially held by our directors and executive officers including shares issuable upon conversion of Series B preferred shares held by entities affiliated with certain of our directors and (c) 965,300 Series A preferred shares held by an entity affiliated with one of our directors.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18"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In connection with this offering, we will amend our memorandum and articles of association. Copies of the forms of our memorandum and articles of association are filed as exhibits to the registration statement of which this prospectus forms a part. Material provisions of our memorandum and articles of association and relevant sections of Singapore law are summarized below. The following summary is qualified in its entirety by the provisions of our memorandum and articles of association as amended in connection with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3"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For the purposes of this section, references to “shareholders” mean those shareholders whose names and number of shares are entered in our shareholder register. Only persons who are registered in our shareholder register are recognized under Singapore law as shareholders of our company. As a result, only registered shareholders have legal standing to institute shareholder actions against us or otherwise seek to enforce their rights as shareholders. Holders of book-entry interests in our shares will be required to be registered shareholders as reflected in our shareholder register in order to institute or enforce any legal proceedings or claims against us, our directors or our executive officers relating to shareholder rights. A holder of book-entry securities may become a registered shareholder by exchanging its interest in our shares for certificated shares and being registered in our shareholder register.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2015 there were outstanding:</w:t>
      </w:r>
    </w:p>
    <w:p>
      <w:pPr>
        <w:spacing w:after="0" w:line="196" w:lineRule="exact"/>
        <w:rPr>
          <w:sz w:val="20"/>
          <w:szCs w:val="20"/>
          <w:color w:val="auto"/>
        </w:rPr>
      </w:pPr>
    </w:p>
    <w:p>
      <w:pPr>
        <w:ind w:left="800" w:hanging="454"/>
        <w:spacing w:after="0"/>
        <w:tabs>
          <w:tab w:leader="none" w:pos="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2,282,123 ordinary shares held by six shareholders of record;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965,300 Series A preferred shares held by one shareholder of record;</w:t>
      </w:r>
    </w:p>
    <w:p>
      <w:pPr>
        <w:spacing w:after="0" w:line="47"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1,320,000 Series B preferred shares held by 19 shareholders of record, after giving effect to the issuance of such shares in August 2015; and</w:t>
      </w:r>
    </w:p>
    <w:p>
      <w:pPr>
        <w:spacing w:after="0" w:line="22" w:lineRule="exact"/>
        <w:rPr>
          <w:rFonts w:ascii="Arial" w:cs="Arial" w:eastAsia="Arial" w:hAnsi="Arial"/>
          <w:sz w:val="17"/>
          <w:szCs w:val="17"/>
          <w:color w:val="auto"/>
        </w:rPr>
      </w:pPr>
    </w:p>
    <w:p>
      <w:pPr>
        <w:ind w:left="800" w:right="200" w:hanging="454"/>
        <w:spacing w:after="0" w:line="243" w:lineRule="auto"/>
        <w:tabs>
          <w:tab w:leader="none" w:pos="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480,849 ordinary shares issuable upon the exercise of outstanding share options, after giving effect to the issuance of options exercisable for 24,400 ordinary shares in July 2015.</w:t>
      </w:r>
    </w:p>
    <w:p>
      <w:pPr>
        <w:spacing w:after="0" w:line="144"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following description of our share capital and provisions of our memorandum and articles of association are summaries and are qualified by reference to the memorandum and articles of association that will be in effect on or before the closing of this offering and assumes the conversion of shares of our Series A preferred shares and Series B preferred shares into ordinary shares on a one-for-one basis. Copies of these documents have been filed with the SEC as exhibits to the registration statement of which this prospectus forms a part. The description of the ordinary shares reflects changes to our capital structure that will occur upon the closing of this offering.</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Companies (Amendment) Act 2014 was passed in October 2014 and provides for certain amendments to be made to the Singapore Companies Act. The amendments introduced by way of the Companies (Amendment) Act 2014 are being implemented in two phases. The first phase of amendments to certain provisions of the Singapore Companies Act took effect on July 1, 2015, with the remaining amendments expected to come into effect in the first quarter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of the date of this prospectus, our issued and paid-up share capital consists of ordinary shares. We currently have only one class of issued ordinary shares, which have identical rights in all respects and rank equally with one another. Our ordinary shares have no par value and there is no authorized share capital under Singapore law. There is a provision in our articles of association to enable us in specified circumstances to issue shares with preferential, deferred or other special rights or restrictions (except as to voting rights, which, prior to the second phase of implementation of the Companies (Amendment) Act 2014, are fixed at one vote for each share in a public company) as our directors may determine, subject to the provisions of the Singapore Companies Act and our articles of association. It is expected that the Singapore Companies Act will be amended in the second phase of implementation of the Companies (Amendment) Act 2014 to allow public companies such as our company to issue shares with different voting rights (including special, limited or conditional voting rights), subject to, among others, our shareholders having adopted a special resolution approving such issuance.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All shares presently issued are fully paid and existing shareholders are not subject to any calls on shares. Although Singapore law does not recognize the concept of “non-assessability” with respect to newly-issued shares, we note that any purchaser of our shares who has fully paid up all amounts due with respect to such shares will not be subject under Singapore law to any personal liability to contribute to the assets or liabilities of our company in such purchaser’s capacity solely as a holder of such shares. We believe that this interpretation is substantively consistent with the concept of “non-assessability” under most, if not all, U.S. state corporations laws. All shares are in registered form. We cannot, except in the circumstances permitted by the Singapore Companies Act, grant any financial assistance for the acquisition or proposed acquisition of our own shares. Except as described below under “—Takeovers,” there are no limitations imposed by the laws of Singapore or by our memorandum and articles of association on the right of shareholders not resident in Singapore to hold or vote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Shares</w:t>
      </w:r>
    </w:p>
    <w:p>
      <w:pPr>
        <w:spacing w:after="0" w:line="93"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Under the Singapore Companies Act, new shares may be issued only with the prior approval of our shareholders in a general meeting. General approval may be sought from our shareholders in a general meeting for the issue of shares. Approval, if granted, will lapse at the earlier of:</w:t>
      </w:r>
    </w:p>
    <w:p>
      <w:pPr>
        <w:spacing w:after="0" w:line="185" w:lineRule="exact"/>
        <w:rPr>
          <w:sz w:val="20"/>
          <w:szCs w:val="20"/>
          <w:color w:val="auto"/>
        </w:rPr>
      </w:pPr>
    </w:p>
    <w:p>
      <w:pPr>
        <w:ind w:left="800" w:hanging="454"/>
        <w:spacing w:after="0"/>
        <w:tabs>
          <w:tab w:leader="none" w:pos="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conclusion of the next annual general meeting;</w:t>
      </w:r>
    </w:p>
    <w:p>
      <w:pPr>
        <w:spacing w:after="0" w:line="47" w:lineRule="exact"/>
        <w:rPr>
          <w:rFonts w:ascii="Arial" w:cs="Arial" w:eastAsia="Arial" w:hAnsi="Arial"/>
          <w:sz w:val="17"/>
          <w:szCs w:val="17"/>
          <w:color w:val="auto"/>
        </w:rPr>
      </w:pPr>
    </w:p>
    <w:p>
      <w:pPr>
        <w:ind w:left="800" w:right="280" w:hanging="454"/>
        <w:spacing w:after="0" w:line="243" w:lineRule="auto"/>
        <w:tabs>
          <w:tab w:leader="none" w:pos="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expiration of the period within which the next annual general meeting is required by law to be held (i.e., within 15 months from the last annual general meeting); or</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subsequent revocation or modification of approval by our shareholders acting at a duly noticed and convened meeting.</w:t>
      </w:r>
    </w:p>
    <w:p>
      <w:pPr>
        <w:spacing w:after="0" w:line="169"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Our shareholders have provided such general authority to issue new shares until the conclusion of our 2015 Annual General Meeting. Such approval will lapse in accordance with the preceding paragraph if our shareholders do not grant a new approval at our annual general meeting. Subject to this and the provisions of the Singapore Companies Act and our articles of association, our board of directors may allot and issue or grant options over or otherwise dispose of new shares to such persons on such terms and conditions and with the rights and restrictions as they may think fit to impose.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Preferred Shares</w:t>
      </w:r>
    </w:p>
    <w:p>
      <w:pPr>
        <w:spacing w:after="0" w:line="122"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Our articles of association provide that we may issue shares of a different class with preferential, deferred, qualified or other special rights, privileges or conditions as our board of directors may determine. Under Singapore law, our preferred shareholders will have the right to attend any general meeting and in a poll at such general meeting, to have at least one vote for every preferred share held:</w:t>
      </w:r>
    </w:p>
    <w:p>
      <w:pPr>
        <w:spacing w:after="0" w:line="188" w:lineRule="exact"/>
        <w:rPr>
          <w:sz w:val="20"/>
          <w:szCs w:val="20"/>
          <w:color w:val="auto"/>
        </w:rPr>
      </w:pPr>
    </w:p>
    <w:p>
      <w:pPr>
        <w:ind w:left="800" w:hanging="454"/>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upon any resolution concerning the winding-up of our company;</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upon any resolution which varies the rights attached to such preferred shares;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when the dividends to be paid on our preferred shares are more than twelve months in arrears, for the period they remain unpaid.</w:t>
      </w:r>
    </w:p>
    <w:p>
      <w:pPr>
        <w:spacing w:after="0" w:line="16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may, subject to the prior approval in a general meeting of our shareholders, issue preferred shares which are, or at our option or are to be, subject to redemption provided that such preferred shares may not be redeemed out of capital unless:</w:t>
      </w:r>
    </w:p>
    <w:p>
      <w:pPr>
        <w:spacing w:after="0" w:line="185" w:lineRule="exact"/>
        <w:rPr>
          <w:sz w:val="20"/>
          <w:szCs w:val="20"/>
          <w:color w:val="auto"/>
        </w:rPr>
      </w:pPr>
    </w:p>
    <w:p>
      <w:pPr>
        <w:ind w:left="800" w:hanging="454"/>
        <w:spacing w:after="0"/>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the directors have made a solvency statement in relation to such redemption; and</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have lodged a copy of the statement with the Accounting and Corporate Regulatory Authority of Singapore.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Further, the shares must be fully paid-up before they are redeemed.</w:t>
      </w:r>
    </w:p>
    <w:p>
      <w:pPr>
        <w:spacing w:after="0" w:line="156"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The issue of preferred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our company. At present, we have no plans to issue preferred shares.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Preferred Shares</w:t>
      </w:r>
    </w:p>
    <w:p>
      <w:pPr>
        <w:spacing w:after="0" w:line="10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of closing of this offering, we will have 965,300 shares of Series A preferred shares outstanding. These shares are currently held by our largest shareholder, Shin Nippon Biomedical Laboratories, Ltd. As summarized below, the rights of the Series A preferred shares are identical to our ordinary shares other than their limited voting rights and their right to a non-cumulative dividend if and when declared by our board of directors. As amended on August 14, 2015, the Series A preferred shares are convertible at any time on a one-for-one basis into our ordinary shares at the sole discretion of the holder.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w:t>
      </w:r>
    </w:p>
    <w:p>
      <w:pPr>
        <w:spacing w:after="0" w:line="120"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 Series A preferred shares are not entitled to vote at any general meeting. The only instances in which the Series A preferred shares are able to vote at a general meeting would be if either of the following situations occur:</w:t>
      </w:r>
    </w:p>
    <w:p>
      <w:pPr>
        <w:spacing w:after="0" w:line="185" w:lineRule="exact"/>
        <w:rPr>
          <w:sz w:val="20"/>
          <w:szCs w:val="20"/>
          <w:color w:val="auto"/>
        </w:rPr>
      </w:pPr>
    </w:p>
    <w:p>
      <w:pPr>
        <w:ind w:left="800" w:right="100" w:hanging="454"/>
        <w:spacing w:after="0" w:line="243" w:lineRule="auto"/>
        <w:tabs>
          <w:tab w:leader="none" w:pos="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non-cumulative dividend payable on a Series A preferred share or any part thereof is in arrears and has remained unpaid for at least 12 months after it has been declared; or</w:t>
      </w:r>
    </w:p>
    <w:p>
      <w:pPr>
        <w:spacing w:after="0" w:line="22" w:lineRule="exact"/>
        <w:rPr>
          <w:rFonts w:ascii="Arial" w:cs="Arial" w:eastAsia="Arial" w:hAnsi="Arial"/>
          <w:sz w:val="17"/>
          <w:szCs w:val="17"/>
          <w:color w:val="auto"/>
        </w:rPr>
      </w:pPr>
    </w:p>
    <w:p>
      <w:pPr>
        <w:jc w:val="both"/>
        <w:ind w:left="800" w:right="160" w:hanging="454"/>
        <w:spacing w:after="0" w:line="238" w:lineRule="auto"/>
        <w:tabs>
          <w:tab w:leader="none" w:pos="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the matters to be discussed at the meeting relate to or there is intent to pass resolutions on (i) abrogating or changing the rights attached to the Series A preferred shares; and (ii) for the winding up of the Company, such resolutions would require the unanimous approval of the holders of the Series A preferred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52" w:lineRule="exact"/>
        <w:rPr>
          <w:sz w:val="20"/>
          <w:szCs w:val="20"/>
          <w:color w:val="auto"/>
        </w:rPr>
      </w:pPr>
    </w:p>
    <w:p>
      <w:pPr>
        <w:ind w:left="800" w:hanging="454"/>
        <w:spacing w:after="0" w:line="238" w:lineRule="auto"/>
        <w:tabs>
          <w:tab w:leader="none" w:pos="8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Series A preferred share will carry a fixed non-cumulative preferential dividend at an annual rate of 15% of the issue price of the Series A preferred shares in preference to the ordinary shares, payable out of the distributable profits of the financial year, subject to approval by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w:t>
      </w:r>
    </w:p>
    <w:p>
      <w:pPr>
        <w:spacing w:after="0" w:line="214" w:lineRule="exact"/>
        <w:rPr>
          <w:sz w:val="20"/>
          <w:szCs w:val="20"/>
          <w:color w:val="auto"/>
        </w:rPr>
      </w:pPr>
    </w:p>
    <w:p>
      <w:pPr>
        <w:ind w:left="800" w:right="520" w:hanging="454"/>
        <w:spacing w:after="0" w:line="238" w:lineRule="auto"/>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event of a liquidation, dissolution or winding up of, or a return of capital by the Company, the Series A preferred shares will rank equally with the ordinary shares. Further, the Series A preferred shares rank equally with ordinary shares, in every aspect relating to bankruptcy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Ordinary Shares</w:t>
      </w:r>
    </w:p>
    <w:p>
      <w:pPr>
        <w:spacing w:after="0" w:line="8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Subject to applicable securities laws in relevant jurisdictions and our articles of association, our ordinary shares are freely transferable. Shares may be transferred by a duly signed instrument of transfer in any usual or common form or in a form approved by the directors. The directors may decline to register any transfer unless, among other things, evidence of payment of any stamp duty payable with respect to the transfer is provided together with other evidence of ownership and title as the directors may require. We will replace lost or destroyed certificates for shares upon notice to us and upon, among other things, the applicant furnishing evidence and indemnity as the directors may require and the payment of all applicable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Re-election of Directors</w:t>
      </w:r>
    </w:p>
    <w:p>
      <w:pPr>
        <w:spacing w:after="0" w:line="8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We may, by ordinary resolution, remove any director before the expiration of his or her period of office, notwithstanding anything in our articles of association or in any agreement between us and such director. We may also, by an ordinary resolution, appoint another person in place of a director removed from office pursuant to the foregoing.</w:t>
      </w:r>
    </w:p>
    <w:p>
      <w:pPr>
        <w:spacing w:after="0" w:line="148"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Subject to the Singapore Companies Act, under our articles of association, at each annual general meeting, our directors are required to retire from office. Retiring directors are eligible for re-election at that meeting.</w:t>
      </w:r>
    </w:p>
    <w:p>
      <w:pPr>
        <w:spacing w:after="0" w:line="144"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Our board of directors shall have the power, at any time and from time to time, to appoint any person to be a director either to fill a casual vacancy or as an additional director so long as the total number of directors shall not at any time exceed the maximum number fixed by or in accordance with our articles of association.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Under our articles of association, no person other than a director retiring at a general meeting is eligible for appointment as a director at any general meeting, without the recommendation of the Board for election, unless (a) in the case of a member or members who in aggregate hold(s) more than 50% of the total number of our issued and paid-up shares (excluding treasury shares), not less than ten days, or (b) in the case of a member or members who in aggregate hold(s) more than 5% of the total number of our issued and paid-up shares (excluding treasury shares), not less than 120 days, before the date of the notice provided to members in connection with the general meeting, a written notice signed by such member or members (other than the person to be proposed for appointment) who (i) are qualified to attend and vote at the meeting for which such notice is given, and</w:t>
      </w:r>
    </w:p>
    <w:p>
      <w:pPr>
        <w:spacing w:after="0" w:line="1" w:lineRule="exact"/>
        <w:rPr>
          <w:sz w:val="20"/>
          <w:szCs w:val="20"/>
          <w:color w:val="auto"/>
        </w:rPr>
      </w:pPr>
    </w:p>
    <w:p>
      <w:pPr>
        <w:ind w:right="260" w:firstLine="8"/>
        <w:spacing w:after="0" w:line="243" w:lineRule="auto"/>
        <w:tabs>
          <w:tab w:leader="none" w:pos="237" w:val="left"/>
        </w:tabs>
        <w:numPr>
          <w:ilvl w:val="0"/>
          <w:numId w:val="75"/>
        </w:numPr>
        <w:rPr>
          <w:rFonts w:ascii="Arial" w:cs="Arial" w:eastAsia="Arial" w:hAnsi="Arial"/>
          <w:sz w:val="17"/>
          <w:szCs w:val="17"/>
          <w:color w:val="auto"/>
        </w:rPr>
      </w:pPr>
      <w:r>
        <w:rPr>
          <w:rFonts w:ascii="Arial" w:cs="Arial" w:eastAsia="Arial" w:hAnsi="Arial"/>
          <w:sz w:val="17"/>
          <w:szCs w:val="17"/>
          <w:color w:val="auto"/>
        </w:rPr>
        <w:t>have held shares representing the prescribed threshold in (a) or (b) above, for a continuous period of at least one year prior to the date on which such notice is given, is lodged at our registered office. Such a notice must also include the consent of the person nominated.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are required to hold an annual general meeting each year and not more than 15 months after the date of our most recent annual general meeting. The directors may convene an extraordinary general meeting whenever they think fit and they must do so upon the written request of shareholders holding not less than 10% of the total number of paid-up shares carrying the right to vote at a general meeting. In addition, two or more shareholders holding not less than 10% of our total number of issued shares (excluding our treasury shares) may call a meeting of our shareholders.</w:t>
      </w:r>
    </w:p>
    <w:p>
      <w:pPr>
        <w:spacing w:after="0" w:line="14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 shareholder is entitled to attend and speak and vote at any general meeting. Unless otherwise required by law or by our articles of association, voting at general meetings is by ordinary resolution, requiring the affirmative vote of a majority of the shareholders present in person or represented by proxy at the meeting and entitled to vote on the resolution. An ordinary resolution suffices, for example, for appointments of directors a special resolution, requiring an affirmative vote of not less than three-fourths of the shareholders present in person or represented by proxy at the meeting and entitled to vote on the resolution, is necessary for certain matters under Singapore law, such as an alteration of our articles of association. A shareholder entitled to attend and vote at a meeting of the company, or at a meeting of any class of shareholders of the company, shall be entitled to appoint another person or persons, whether a shareholder of the company or not, as his proxy to attend and vote instead of the shareholder at the meeting. A proxy appointed to attend and vote instead of the shareholder shall also have the same right as the shareholder to speak at the meeting, but unless the articles of association of the company otherwise provide, (i) a proxy shall not be entitled to vote except on a poll, (ii) a shareholder shall not be entitled to appoint more than two proxies to attend and vote at the same meeting and (iii) where a shareholder appoints two proxies the appointment shall be invalid unless the shareholder specifies the proportions of his holdings to be represented by each proxy.</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Only registered shareholders of our company, and their proxies, will be entitled to attend, speak and vote at any meeting of shareholders. It is expected that the Singapore Companies Act will be amended in the second phase of implementation of the Companies (Amendment) Act 2014 to allow public companies to issue non-voting shares and shares with different voting rights (including special, limited or conditional voting rights), such that the holder of a share may vote on a resolution before a general meeting of the company if, in accordance with the provisions of Section 64 of the Singapore Companies Act, the share confers on the holder a right to vote on that resolution.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Voting at any meeting of shareholders is by show of hands unless a poll has been demanded prior to or as a result of the show of hands by either</w:t>
      </w:r>
    </w:p>
    <w:p>
      <w:pPr>
        <w:ind w:firstLine="8"/>
        <w:spacing w:after="0" w:line="234" w:lineRule="auto"/>
        <w:tabs>
          <w:tab w:leader="none" w:pos="199"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chairman (being a person entitled to vote thereat) or (ii) at least one shareholder present in person or by proxy or by attorney or, in the case of a corporation, by a representative entitled to vote thereat, in each case representing in the aggregate not less than 10% of the total voting rights of all shareholders having the right to vote at the general meeting, provided that no poll shall be demanded in respect of an election of a chairman or relating to any adjournment of such meeting. On a poll every shareholder who is present in person or by proxy or by attorney, or in the case of a corporation, by a representative, has one vote for every share held by such shareholder. Proxies need not be shareholders. Only those shareholders who are registered in our shareholder register will be entitled to vote at any meeting of shareholders. It is expected that the Singapore Companies Act will be amended in the second phase of implementation of the Companies (Amendment) Act 2014 to lower the threshold of 10% of the total voting rights for the eligibility for shareholders to demand a poll to 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Rights</w:t>
      </w:r>
    </w:p>
    <w:p>
      <w:pPr>
        <w:spacing w:after="0" w:line="93" w:lineRule="exact"/>
        <w:rPr>
          <w:sz w:val="20"/>
          <w:szCs w:val="20"/>
          <w:color w:val="auto"/>
        </w:rPr>
      </w:pPr>
    </w:p>
    <w:p>
      <w:pPr>
        <w:jc w:val="both"/>
        <w:ind w:right="620"/>
        <w:spacing w:after="0" w:line="238" w:lineRule="auto"/>
        <w:rPr>
          <w:sz w:val="20"/>
          <w:szCs w:val="20"/>
          <w:color w:val="auto"/>
        </w:rPr>
      </w:pPr>
      <w:r>
        <w:rPr>
          <w:rFonts w:ascii="Arial" w:cs="Arial" w:eastAsia="Arial" w:hAnsi="Arial"/>
          <w:sz w:val="17"/>
          <w:szCs w:val="17"/>
          <w:color w:val="auto"/>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spacing w:after="0" w:line="188" w:lineRule="exact"/>
        <w:rPr>
          <w:sz w:val="20"/>
          <w:szCs w:val="20"/>
          <w:color w:val="auto"/>
        </w:rPr>
      </w:pPr>
    </w:p>
    <w:p>
      <w:pPr>
        <w:ind w:left="800" w:right="300" w:hanging="454"/>
        <w:spacing w:after="0" w:line="243"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22" w:lineRule="exact"/>
        <w:rPr>
          <w:rFonts w:ascii="Arial" w:cs="Arial" w:eastAsia="Arial" w:hAnsi="Arial"/>
          <w:sz w:val="17"/>
          <w:szCs w:val="17"/>
          <w:color w:val="auto"/>
        </w:rPr>
      </w:pPr>
    </w:p>
    <w:p>
      <w:pPr>
        <w:ind w:left="800" w:right="400" w:hanging="454"/>
        <w:spacing w:after="0" w:line="243"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144" w:lineRule="exact"/>
        <w:rPr>
          <w:sz w:val="20"/>
          <w:szCs w:val="20"/>
          <w:color w:val="auto"/>
        </w:rPr>
      </w:pPr>
    </w:p>
    <w:p>
      <w:pPr>
        <w:ind w:right="680"/>
        <w:spacing w:after="0" w:line="243" w:lineRule="auto"/>
        <w:rPr>
          <w:sz w:val="20"/>
          <w:szCs w:val="20"/>
          <w:color w:val="auto"/>
        </w:rPr>
      </w:pPr>
      <w:r>
        <w:rPr>
          <w:rFonts w:ascii="Arial" w:cs="Arial" w:eastAsia="Arial" w:hAnsi="Arial"/>
          <w:sz w:val="17"/>
          <w:szCs w:val="17"/>
          <w:color w:val="auto"/>
        </w:rPr>
        <w:t>Singapore courts have wide discretion as to the remedy they may grant, and the remedies listed in the Singapore Companies Act itself are not exclusive. In general, Singapore courts may, with a view to bringing to an end or remedying the matters complained of:</w:t>
      </w:r>
    </w:p>
    <w:p>
      <w:pPr>
        <w:spacing w:after="0" w:line="185" w:lineRule="exact"/>
        <w:rPr>
          <w:sz w:val="20"/>
          <w:szCs w:val="20"/>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direct or prohibit any act or cancel or modify any transaction or resolution;</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regulate the conduct of the affairs of the company in the future;</w:t>
      </w:r>
    </w:p>
    <w:p>
      <w:pPr>
        <w:spacing w:after="0" w:line="47" w:lineRule="exact"/>
        <w:rPr>
          <w:rFonts w:ascii="Arial" w:cs="Arial" w:eastAsia="Arial" w:hAnsi="Arial"/>
          <w:sz w:val="17"/>
          <w:szCs w:val="17"/>
          <w:color w:val="auto"/>
        </w:rPr>
      </w:pPr>
    </w:p>
    <w:p>
      <w:pPr>
        <w:ind w:left="800" w:right="400" w:hanging="454"/>
        <w:spacing w:after="0" w:line="243" w:lineRule="auto"/>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authorize civil proceedings to be brought in the name of, or on behalf of, the company by a person or persons and on such terms as the court may direct;</w:t>
      </w:r>
    </w:p>
    <w:p>
      <w:pPr>
        <w:spacing w:after="0" w:line="22" w:lineRule="exact"/>
        <w:rPr>
          <w:rFonts w:ascii="Arial" w:cs="Arial" w:eastAsia="Arial" w:hAnsi="Arial"/>
          <w:sz w:val="17"/>
          <w:szCs w:val="17"/>
          <w:color w:val="auto"/>
        </w:rPr>
      </w:pPr>
    </w:p>
    <w:p>
      <w:pPr>
        <w:ind w:left="800" w:right="740" w:hanging="454"/>
        <w:spacing w:after="0" w:line="243" w:lineRule="auto"/>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provide for the purchase of a minority shareholder’s shares by the other shareholders or by the company itself and, in the case of a purchase of shares by the company, a corresponding reduction of its share capital;</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provide that the memorandum of association or the articles of association of the company be amended;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provide that the company be wound 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Subject to any preferential rights of holders of any outstanding preferred shares, holders of our ordinary shares will be entitled to receive dividends and other distributions in cash, shares or property as may be declared by our company from time to time. We may, by ordinary resolution, declare dividends at a general meeting of shareholders, but we are restricted from paying dividends in excess of the amount recommended by our board of directors.</w:t>
      </w:r>
    </w:p>
    <w:p>
      <w:pPr>
        <w:jc w:val="both"/>
        <w:ind w:right="200"/>
        <w:spacing w:after="0" w:line="238" w:lineRule="auto"/>
        <w:rPr>
          <w:sz w:val="20"/>
          <w:szCs w:val="20"/>
          <w:color w:val="auto"/>
        </w:rPr>
      </w:pPr>
      <w:r>
        <w:rPr>
          <w:rFonts w:ascii="Arial" w:cs="Arial" w:eastAsia="Arial" w:hAnsi="Arial"/>
          <w:sz w:val="17"/>
          <w:szCs w:val="17"/>
          <w:color w:val="auto"/>
        </w:rPr>
        <w:t>Pursuant to Singapore law and our articles of association, no dividend may be paid except out of our profits. To date, we have not declared any cash dividends on our ordinary shares and have no current plans to pay cash dividends in the foreseeable future. See “Dividend Policy” elsewhere in this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and Rights Issues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a general meeting, our shareholders may, upon the recommendation of the directors, capitalize any reserves or profits and distribute them as bonus shares, credited as paid-up, to the shareholders in proportion to their shareholdings.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Subject to the provisions of the Singapore Companies Act and our articles of association, our directors may also issue rights to take up additional ordinary shares to our shareholders in proportion to their respective ownership. Such rights are subject to any condition attached to such issue and the regulations of any stock exchange on which our shares are listed, as well as U.S. federal and blue sky securities laws applicable to such issue.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Takeovers</w:t>
      </w:r>
    </w:p>
    <w:p>
      <w:pPr>
        <w:spacing w:after="0" w:line="9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Singapore Code on Take-overs and Mergers regulates, among other things, the acquisition of voting shares of Singapore-incorporated public companies. Any person acquiring, whether by a series of transactions over a period of time or not, either on his or her own or together with parties acting in concert with such person, 30% or more of our voting shares, or, if such person holds, either on his or her own or together with parties acting in concert with such person, between 30% and 50% (both amounts inclusive) of our voting shares, and if such person (or parties acting in concert with such person) acquires additional voting shares representing more than 1% of our voting shares in 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six-month period, must, except with the consent of the Securities Industry Council in Singapore, extend a mandatory takeover offer for the remaining voting shares in accordance with the provisions of the Singapore Code on Take-overs and Mergers. Responsibility for ensuring compliance with the Singapore Code on Take-overs and Mergers rests with parties (including company directors) to a take-over or merger and their advisors.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188" w:lineRule="exact"/>
        <w:rPr>
          <w:sz w:val="20"/>
          <w:szCs w:val="20"/>
          <w:color w:val="auto"/>
        </w:rPr>
      </w:pPr>
    </w:p>
    <w:p>
      <w:pPr>
        <w:ind w:left="800" w:right="140" w:hanging="454"/>
        <w:spacing w:after="0" w:line="236"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company, its parent company, subsidiaries and fellow subsidiaries, the associated companies of any of the company and its related companies, subsidiaries and fellow subsidiaries, companies whose associated companies include any of these companies and any person who has provided financial assistance (other than a bank in the ordinary course of business) to any of the foregoing for the purchase of voting rights;</w:t>
      </w:r>
    </w:p>
    <w:p>
      <w:pPr>
        <w:spacing w:after="0" w:line="27" w:lineRule="exact"/>
        <w:rPr>
          <w:rFonts w:ascii="Arial" w:cs="Arial" w:eastAsia="Arial" w:hAnsi="Arial"/>
          <w:sz w:val="17"/>
          <w:szCs w:val="17"/>
          <w:color w:val="auto"/>
        </w:rPr>
      </w:pPr>
    </w:p>
    <w:p>
      <w:pPr>
        <w:ind w:left="800" w:right="160" w:hanging="454"/>
        <w:spacing w:after="0" w:line="243"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company with any of its directors (together with their close relatives, related trusts and companies controlled by any of the directors, their close relatives and related trusts);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company with any of its pension funds and employee share schemes;</w:t>
      </w:r>
    </w:p>
    <w:p>
      <w:pPr>
        <w:spacing w:after="0" w:line="47"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person with any investment company, unit trust or other fund whose investment such person manages on a discretionary basis, but only in respect of the investment account which such person manages;</w:t>
      </w:r>
    </w:p>
    <w:p>
      <w:pPr>
        <w:spacing w:after="0" w:line="22" w:lineRule="exact"/>
        <w:rPr>
          <w:rFonts w:ascii="Arial" w:cs="Arial" w:eastAsia="Arial" w:hAnsi="Arial"/>
          <w:sz w:val="17"/>
          <w:szCs w:val="17"/>
          <w:color w:val="auto"/>
        </w:rPr>
      </w:pPr>
    </w:p>
    <w:p>
      <w:pPr>
        <w:ind w:left="800" w:right="100" w:hanging="454"/>
        <w:spacing w:after="0" w:line="238"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financial or other professional adviser, including a stockbroker, with its client in respect of the shareholdings of (i) the adviser and persons controlling, controlled by or under the same control as the adviser and (ii) all the funds managed by the adviser on a discretionary basis, where the shareholdings of the adviser and any of those funds in the client total 10% or more of the client’s equity share capital;</w:t>
      </w:r>
    </w:p>
    <w:p>
      <w:pPr>
        <w:spacing w:after="0" w:line="26" w:lineRule="exact"/>
        <w:rPr>
          <w:rFonts w:ascii="Arial" w:cs="Arial" w:eastAsia="Arial" w:hAnsi="Arial"/>
          <w:sz w:val="17"/>
          <w:szCs w:val="17"/>
          <w:color w:val="auto"/>
        </w:rPr>
      </w:pPr>
    </w:p>
    <w:p>
      <w:pPr>
        <w:ind w:left="800" w:hanging="454"/>
        <w:spacing w:after="0" w:line="238"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directors of a company (together with their close relatives, related trusts and companies controlled by any of such directors, their close relatives and related trusts) which is subject to an offer or where the directors have reason to believe a bona fide offer for their company may be imminent;</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partners; and</w:t>
      </w:r>
    </w:p>
    <w:p>
      <w:pPr>
        <w:spacing w:after="0" w:line="47" w:lineRule="exact"/>
        <w:rPr>
          <w:rFonts w:ascii="Arial" w:cs="Arial" w:eastAsia="Arial" w:hAnsi="Arial"/>
          <w:sz w:val="17"/>
          <w:szCs w:val="17"/>
          <w:color w:val="auto"/>
        </w:rPr>
      </w:pPr>
    </w:p>
    <w:p>
      <w:pPr>
        <w:ind w:left="800" w:right="40" w:hanging="454"/>
        <w:spacing w:after="0" w:line="236" w:lineRule="auto"/>
        <w:tabs>
          <w:tab w:leader="none" w:pos="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individual and (i) such person’s close relatives, (ii) such person’s related trusts, (iii) any person who is accustomed to act in accordance with such person’s instructions, (iv) companies controlled by the individual, such person’s close relatives,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14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A mandatory offer must be in cash or be accompanied by a cash alternative at not less than the highest price paid by the offeror or parties acting in concert with the offeror for voting rights of the offeree company during the offer period and within the six months prior to its commencement.</w:t>
      </w:r>
    </w:p>
    <w:p>
      <w:pPr>
        <w:spacing w:after="0" w:line="144"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Under the Singapore Code on Take-overs and Mergers,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consider and decide on the offer. These legal requirements may impede or delay a takeover of our company by a third-party.</w:t>
      </w:r>
    </w:p>
    <w:p>
      <w:pPr>
        <w:spacing w:after="0" w:line="149"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may submit an application to the Securities Industry Council of Singapore for a waiver from the Singapore Code on Take-overs and Mergers so that the Singapore Code on Take-overs and Mergers will not apply to our company for so long as we are not listed on a securities exchange in Singapore. We will make an appropriate announcement if we submit the application and when the result of the application is known.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or Other Return of Capital</w:t>
      </w:r>
    </w:p>
    <w:p>
      <w:pPr>
        <w:spacing w:after="0" w:line="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On a winding-up or other return of capital, subject to any special rights attaching to any other class of shares, holders of ordinary shares will be entitled to participate in any surplus assets in proportion to their shareholdings.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any liability, which by law would otherwise attach to them for any negligence, default, breach of duty or breach of trust of which they may be guilty relating to us. However, a company is not prohibited from (a) purchasing and maintaining for any such individual insurance against any such liability, or (b) indemnifying such individual against any liability incurred by him or her in defending any proceedings, whether civil or criminal, in which judgment is given in his favor or in which such individual is acquitted, or in connection with any application under Section 76A(13) or 391 or any other provision of the Singapore Companies Act in which relief is granted to him or her by the court. It is expected that the restriction in Section 172 of the Singapore Companies Act will be amended in the second phase of implementation of the Companies (Amendment) Act 2014 to enable a company to indemnify its officers against third party liability, except in circumstances where such liability is for any criminal or regulatory fines or penalties, or where such liability is incurred in respect of (i) defending criminal proceedings in which he or she is convicted, (ii) defending civil proceedings commenced by the company or a related company against him in which judgment is given against him or (iii) in connection with an application for relief under section 76A(13) or section 391 of the Singapore Companies Act in which the court refuses to grant him relief.</w:t>
      </w:r>
    </w:p>
    <w:p>
      <w:pPr>
        <w:spacing w:after="0" w:line="1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Subject to the Singapore Companies Act and every other Singapore statute for the time being in force concerning companies and affecting us, our articles of association provide that each of our directors and other officers and those of our subsidiaries and affiliates shall be entitled to be indemnified by us or such subsidiary against any liability incurred by him or her arising out of or in connection with any acts, omissions or conduct, actual or alleged, by such individual acting in his or her capacity as either director, officer, secretary or employee of us or the relevant subsidiary, except to such extent as would not be permitted under applicable Singapore laws or which would otherwise result in such indemnity being void in accordance with the provisions of the Singapore Companies Act.</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may indemnify our directors and officers against costs, charges, fees, expenses and liabilities that may be incurred by any of them in defending any proceedings (whether civil or criminal) relating to anything done or omitted or alleged to be done or omitted by such person acting in his or her capacity as a director, officer or employee of our company, in which judgment is given in his or her favor, or in which he or she is acquitted or in which the courts have granted relief pursuant to the provisions of the Singapore Companies Act or other applicable statutes, provided that such indemnity shall not extend to any liability which by law would otherwise attach to him or her in respect of any negligence, default, breach of duty or breach of trust in relation to our company, or which would otherwise result in such indemnity being voided under applicable Singapore laws. No director or officer of our company shall be liable for any acts, omissions, neglects, defaults or other conduct of any other director or officer, and to the extent permitted by Singapore law, our company shall contribute to the amount paid or payable by a director or officer in such proportion as is appropriate to reflect the relative fault of such director or officer, taking into consideration any other relevant equitable considerations, including acts of other directors or officers and our company, and the relative fault of such parties in respect thereof.</w:t>
      </w:r>
    </w:p>
    <w:p>
      <w:pPr>
        <w:spacing w:after="0" w:line="14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no director, managing director or other officer shall be liable for the acts, receipts, neglects or defaults of any other director or officer, or for joining in any receipt or other act for conformity, or for any loss or expense incurred by us, through the insufficiency or deficiency of title to any property acquired by order of the directors for us or for the insufficiency or deficiency of any security upon which any of our moneys are invested or for any loss or damage arising from the bankruptcy, insolvency or tortious act of any person with whom any moneys, securities or effects are deposited, or any other loss, damage or misfortune which happens in the execution of his duties, unless the same happens through his own negligence, default, breach of duty or breach of trust.</w:t>
      </w:r>
    </w:p>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We have entered into deeds of indemnity with each of our directors and our chief executive officer.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subject to our company reserving its rights to recover the full amount of such advances in the event that he or she is subsequently found to have been negligent or otherwise have breached his or her trust or fiduciary duties to our company or to be in default thereof, or where the Singapore courts have declined to grant relief, as provided in the Singapore Companies Act. These indemnification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rights shall not be exclusive of any other right which an indemnified person may have or hereafter acquire under any statute, provision of our articles of association, agreement, vote of shareholders or disinterested directors or otherwise.</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44"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 proposed form of Underwriting Agreement, to be filed as Exhibit 1.1 to the registration statement of which this prospectus forms a part, provides for indemnification to us, our directors and officers by the underwriters against certain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Sales Restrictions</w:t>
      </w:r>
    </w:p>
    <w:p>
      <w:pPr>
        <w:spacing w:after="0" w:line="93" w:lineRule="exact"/>
        <w:rPr>
          <w:sz w:val="20"/>
          <w:szCs w:val="20"/>
          <w:color w:val="auto"/>
        </w:rPr>
      </w:pPr>
    </w:p>
    <w:p>
      <w:pPr>
        <w:ind w:right="300"/>
        <w:spacing w:after="0" w:line="232" w:lineRule="auto"/>
        <w:rPr>
          <w:sz w:val="20"/>
          <w:szCs w:val="20"/>
          <w:color w:val="auto"/>
        </w:rPr>
      </w:pPr>
      <w:r>
        <w:rPr>
          <w:rFonts w:ascii="Arial" w:cs="Arial" w:eastAsia="Arial" w:hAnsi="Arial"/>
          <w:sz w:val="17"/>
          <w:szCs w:val="17"/>
          <w:color w:val="auto"/>
        </w:rPr>
        <w:t>This prospectus has not been and will not be lodged with or registered as a prospectus with the Monetary Authority of Singapore. Accordingly, this prospectus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 investor, as defined under Section 4A(1)(c) of the Securities and Futures Act, Chapter 289 of Singapore, or the SFA, under Section 274 of the SFA, (ii) to a “relevant person” as defined in</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Where the ordinary shares are subscribed or purchased under Section 275 of the SFA by a relevant person which is:</w:t>
      </w:r>
    </w:p>
    <w:p>
      <w:pPr>
        <w:spacing w:after="0" w:line="196" w:lineRule="exact"/>
        <w:rPr>
          <w:sz w:val="20"/>
          <w:szCs w:val="20"/>
          <w:color w:val="auto"/>
        </w:rPr>
      </w:pPr>
    </w:p>
    <w:p>
      <w:pPr>
        <w:ind w:left="800" w:right="260" w:hanging="454"/>
        <w:spacing w:after="0" w:line="243" w:lineRule="auto"/>
        <w:tabs>
          <w:tab w:leader="none" w:pos="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Arial" w:cs="Arial" w:eastAsia="Arial" w:hAnsi="Arial"/>
          <w:sz w:val="17"/>
          <w:szCs w:val="17"/>
          <w:color w:val="auto"/>
        </w:rPr>
      </w:pPr>
    </w:p>
    <w:p>
      <w:pPr>
        <w:ind w:left="800" w:right="320" w:hanging="454"/>
        <w:spacing w:after="0" w:line="243" w:lineRule="auto"/>
        <w:tabs>
          <w:tab w:leader="none" w:pos="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9" w:lineRule="exact"/>
        <w:rPr>
          <w:sz w:val="20"/>
          <w:szCs w:val="20"/>
          <w:color w:val="auto"/>
        </w:rPr>
      </w:pPr>
    </w:p>
    <w:p>
      <w:pPr>
        <w:jc w:val="both"/>
        <w:ind w:left="360"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has acquired any securities pursuant to an offer made in reliance on an exemption under Section 275 of the SFA except:</w:t>
      </w:r>
    </w:p>
    <w:p>
      <w:pPr>
        <w:spacing w:after="0" w:line="26" w:lineRule="exact"/>
        <w:rPr>
          <w:sz w:val="20"/>
          <w:szCs w:val="20"/>
          <w:color w:val="auto"/>
        </w:rPr>
      </w:pPr>
    </w:p>
    <w:p>
      <w:pPr>
        <w:ind w:left="800" w:right="280" w:hanging="454"/>
        <w:spacing w:after="0" w:line="236" w:lineRule="auto"/>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(in the case of such corporation) where the transfer arises from an offer referred to in Section 275(1A) of the SFA or (in the case of such trust) where the transfer arises from an offer that is made on terms that such rights or interest are acquired at a consideration of not less than S$200,000 (or its equivalent foreign currency) for each transaction, whether such amount is to be paid for in cash or by exchange of securities or other assets;</w:t>
      </w:r>
    </w:p>
    <w:p>
      <w:pPr>
        <w:spacing w:after="0" w:line="2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were the transfer is by operation of law;</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By accepting this prospectus, the recipient hereof represents and warrants that such recipient is entitled to receive it in accordance with the restrictions set forth above and agrees to be bound by the limitations contained herein. Any failure to comply with these limitations may constitute a violation of law.</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are party to an investors’ rights agreement dated as of August 14, 2015, pursuant to which all holders of our ordinary and preferred shares outstanding prior to this offering are entitled to demand Form S-3 and piggyback registration rights. Such shareholders have agreed not to exercise their registration rights during the lock-up period for this offering. See “Shares Eligible for Future Sale—Lock-up Agreements.”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At any time after 180 days of the closing of this offering, the holders of at least a majority of the registrable securities have the right to require us to file one registration statement on Form S-1 to register all or a portion of their registrable securities provided that the anticipated aggregate offering price of the registrable securities to be sold under that registration statement on Form S-1 exceeds $25.0 million, net of underwriting discounts and commissions.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54"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After the closing of this offering, the holders of at least 30% of the registrable securities have the right to demand that we to file an unlimited number of registration statements on Form S-3 provided that the anticipated aggregate offering price of the registrable securities to be sold under the registration statement on Form S-3 exceeds $5.0 million, net of underwriting discounts and commissions.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propose to register any of our securities under the Securities Act of 1933, as amended, or the Securities Act, for sale to the public other than certain exceptions, the holders of registrable securities are entitled to receive notice of such registration and to request that we include their registrable securities for resale in the registration statement. The underwriters of the offering will have the right to limit the number of shares to be included in such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of Registration; Indemnification</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generally required to bear all registration expenses incurred in connection with the demand, Form S-3 and piggyback registrations described above, other than underwriting commissions and discounts and will pay the reasonable fees and expenses, not to exceed $25,000, of one special counsel to represent all participating shareholders in a registration. The investors’ rights agreement contains customary indemnification provisions with respect to registration rights.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54"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demand, Form S-3 and piggyback registration rights described above will terminate three years after the closing of this offering. In addition, the registration rights of a holder of registrable securities will expire if all of the holder’s registrable securities may be sold in a three-month period under Rule 144 of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and Register of Shareholders</w:t>
      </w:r>
    </w:p>
    <w:p>
      <w:pPr>
        <w:spacing w:after="0" w:line="80"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transfer agent and registrar for our ordinary shares will be Computershare Trust Company, N.A. Its address is 250 Royall Street, Canton, MA 02021.</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Only persons who are registered in our shareholder register are recognized under Singapore law as shareholders of our company. We will not, except as required by applicable law, recognize any equitable, contingent, future or partial interest in any ordinary share or other rights for any ordinary share other than the absolute right thereto of the registered holder of that ordinary share. We may close our register of shareholders for any time or times, provided that our shareholder register may not be closed for an aggregate of more than 30 days in any calendar year. We typically close our shareholder register to, among others, determine shareholders’ entitlement to receive dividends and other distributions and for the purposes of determining distribution of shareholder notices and related proxy voting materials to our shareholders or book-entry interest holders of our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list our ordinary shares on the NASDAQ Global Market under the symbol “WVE.”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SHAREHOLDER RIGHTS</w:t>
      </w:r>
    </w:p>
    <w:p>
      <w:pPr>
        <w:spacing w:after="0" w:line="33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14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This discussion does not purport to be a complete statement of the rights of holders of our ordinary shares under applicable law in Singapore and our articles of association or the rights of holders of the common stock of a typical corporation under applicable Delaware law and a typical certificate of incorporation and bylaws.</w:t>
      </w:r>
    </w:p>
    <w:p>
      <w:pPr>
        <w:spacing w:after="0" w:line="148" w:lineRule="exact"/>
        <w:rPr>
          <w:sz w:val="20"/>
          <w:szCs w:val="20"/>
          <w:color w:val="auto"/>
        </w:rPr>
      </w:pPr>
    </w:p>
    <w:p>
      <w:pPr>
        <w:ind w:right="400"/>
        <w:spacing w:after="0" w:line="236" w:lineRule="auto"/>
        <w:rPr>
          <w:sz w:val="20"/>
          <w:szCs w:val="20"/>
          <w:color w:val="auto"/>
        </w:rPr>
      </w:pPr>
      <w:r>
        <w:rPr>
          <w:rFonts w:ascii="Arial" w:cs="Arial" w:eastAsia="Arial" w:hAnsi="Arial"/>
          <w:sz w:val="17"/>
          <w:szCs w:val="17"/>
          <w:color w:val="auto"/>
        </w:rPr>
        <w:t>The Singapore Companies Act contains the default articles that apply to a Singapore-incorporated company to the extent they are not excluded or modified by a company’s articles of association. They provide examples of the common provisions adopted by companies in their articles of association. However, as is the usual practice for companies incorporated in Singapore, we have specifically excluded the application of these provisions in our articles of association, which we refer to below as our articles.</w:t>
      </w:r>
    </w:p>
    <w:p>
      <w:pPr>
        <w:spacing w:after="0" w:line="14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It is expected that the Singapore Companies Act will be amended in the second phase of implementation of the Companies (Amendment) Act 2014 such that public companies may not be permitted to adopt the model constitution to be prescribed under the Singapore Companies Act.</w:t>
      </w:r>
    </w:p>
    <w:p>
      <w:pPr>
        <w:spacing w:after="0" w:line="178"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ectPr>
          <w:pgSz w:w="11900" w:h="16838" w:orient="portrait"/>
          <w:cols w:equalWidth="0" w:num="1">
            <w:col w:w="11420"/>
          </w:cols>
          <w:pgMar w:left="240" w:top="459" w:right="239" w:bottom="1440" w:gutter="0" w:footer="0" w:header="0"/>
        </w:sectPr>
      </w:pPr>
    </w:p>
    <w:p>
      <w:pPr>
        <w:spacing w:after="0" w:line="10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 typical certificate of incorporation and bylaws provides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memorandum and articles of association of companies will typically state the minimum and maximum number of directors as well as provide that the number of directors may be increased or reduced by shareholders via ordinary resolution passed at a general meeting, provided that the number of directors following such increase or reduction is within the maximum (if any) and minimum number of directors provided in our articles and the Singapore Companies Act, respectively.</w:t>
      </w:r>
    </w:p>
    <w:p>
      <w:pPr>
        <w:spacing w:after="0" w:line="187" w:lineRule="exact"/>
        <w:rPr>
          <w:sz w:val="20"/>
          <w:szCs w:val="20"/>
          <w:color w:val="auto"/>
        </w:rPr>
      </w:pPr>
    </w:p>
    <w:p>
      <w:pPr>
        <w:sectPr>
          <w:pgSz w:w="11900" w:h="16838" w:orient="portrait"/>
          <w:cols w:equalWidth="0" w:num="2">
            <w:col w:w="5820" w:space="2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Limitation on Personal Liability of Directors</w:t>
      </w:r>
    </w:p>
    <w:p>
      <w:pPr>
        <w:sectPr>
          <w:pgSz w:w="11900" w:h="16838" w:orient="portrait"/>
          <w:cols w:equalWidth="0" w:num="1">
            <w:col w:w="11420"/>
          </w:cols>
          <w:pgMar w:left="240" w:top="459" w:right="239" w:bottom="1440" w:gutter="0" w:footer="0" w:header="0"/>
          <w:type w:val="continuous"/>
        </w:sectPr>
      </w:pPr>
    </w:p>
    <w:p>
      <w:pPr>
        <w:spacing w:after="0" w:line="120"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A typical certificate of incorporation provides for the elimination of personal monetary liability of directors for breach of fiduciary duties as directors to the fullest extent permissible under the laws of Delaware, except for liability</w:t>
      </w:r>
    </w:p>
    <w:p>
      <w:pPr>
        <w:ind w:left="200" w:hanging="192"/>
        <w:spacing w:after="0" w:line="232" w:lineRule="auto"/>
        <w:tabs>
          <w:tab w:leader="none" w:pos="2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any breach of a director’s loyalty to the corporation or its stockholders,</w:t>
      </w:r>
    </w:p>
    <w:p>
      <w:pPr>
        <w:ind w:right="20" w:firstLine="8"/>
        <w:spacing w:after="0" w:line="234" w:lineRule="auto"/>
        <w:tabs>
          <w:tab w:leader="none" w:pos="237" w:val="left"/>
        </w:tabs>
        <w:numPr>
          <w:ilvl w:val="0"/>
          <w:numId w:val="82"/>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law, (iii) 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also provides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Pursuant to the Singapore Companies Act, any provision (whether in the articles of association, a contract with the company or otherwise) exempting or indemnifying a director (including directors acting in an executive capacity) against any liability which by law would otherwise attach to him or her in respect of any negligence, default, breach of duty or breach of trust of which such director may be guilty in relation to the company will be void. However, a company may indemnify a director against any liability incurred by him or her (i) in defending any proceedings (whether civil or criminal) in which judgment is given in his favor or in which the director is acquitted or (ii) in connection with any application under section 76A(13) or section 391 or any other provision of the Singapore Companies Act, in which relief is granted to him by the court. Singapore counsel to our company has advised that nevertheless, under common law in Singapore, a director can be released by the shareholders of a company for breaches of duty to a company except in the case of fraud, illegality,</w:t>
      </w:r>
    </w:p>
    <w:p>
      <w:pPr>
        <w:sectPr>
          <w:pgSz w:w="11900" w:h="16838" w:orient="portrait"/>
          <w:cols w:equalWidth="0" w:num="2">
            <w:col w:w="5840" w:space="220"/>
            <w:col w:w="5360"/>
          </w:cols>
          <w:pgMar w:left="240" w:top="459" w:right="23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insolvency and oppression or disregard of minority interests.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Our articles provide that subject to the provisions of the Singapore</w:t>
      </w:r>
    </w:p>
    <w:p>
      <w:pPr>
        <w:ind w:left="6060"/>
        <w:spacing w:after="0" w:line="232" w:lineRule="auto"/>
        <w:rPr>
          <w:sz w:val="20"/>
          <w:szCs w:val="20"/>
          <w:color w:val="auto"/>
        </w:rPr>
      </w:pPr>
      <w:r>
        <w:rPr>
          <w:rFonts w:ascii="Arial" w:cs="Arial" w:eastAsia="Arial" w:hAnsi="Arial"/>
          <w:sz w:val="17"/>
          <w:szCs w:val="17"/>
          <w:color w:val="auto"/>
        </w:rPr>
        <w:t>Companies Act, every director, managing director, secretary and other</w:t>
      </w:r>
    </w:p>
    <w:p>
      <w:pPr>
        <w:ind w:left="6060"/>
        <w:spacing w:after="0" w:line="232" w:lineRule="auto"/>
        <w:rPr>
          <w:sz w:val="20"/>
          <w:szCs w:val="20"/>
          <w:color w:val="auto"/>
        </w:rPr>
      </w:pPr>
      <w:r>
        <w:rPr>
          <w:rFonts w:ascii="Arial" w:cs="Arial" w:eastAsia="Arial" w:hAnsi="Arial"/>
          <w:sz w:val="17"/>
          <w:szCs w:val="17"/>
          <w:color w:val="auto"/>
        </w:rPr>
        <w:t>officer of the Company and its subsidiaries and affiliates, will be</w:t>
      </w:r>
    </w:p>
    <w:p>
      <w:pPr>
        <w:ind w:left="6060"/>
        <w:spacing w:after="0" w:line="232" w:lineRule="auto"/>
        <w:rPr>
          <w:sz w:val="20"/>
          <w:szCs w:val="20"/>
          <w:color w:val="auto"/>
        </w:rPr>
      </w:pPr>
      <w:r>
        <w:rPr>
          <w:rFonts w:ascii="Arial" w:cs="Arial" w:eastAsia="Arial" w:hAnsi="Arial"/>
          <w:sz w:val="17"/>
          <w:szCs w:val="17"/>
          <w:color w:val="auto"/>
        </w:rPr>
        <w:t>indemnified against any liability incurred by such person in defending</w:t>
      </w:r>
    </w:p>
    <w:p>
      <w:pPr>
        <w:ind w:left="6060"/>
        <w:spacing w:after="0" w:line="232" w:lineRule="auto"/>
        <w:rPr>
          <w:sz w:val="20"/>
          <w:szCs w:val="20"/>
          <w:color w:val="auto"/>
        </w:rPr>
      </w:pPr>
      <w:r>
        <w:rPr>
          <w:rFonts w:ascii="Arial" w:cs="Arial" w:eastAsia="Arial" w:hAnsi="Arial"/>
          <w:sz w:val="17"/>
          <w:szCs w:val="17"/>
          <w:color w:val="auto"/>
        </w:rPr>
        <w:t>any proceedings, whether civil or criminal, which relate to anything</w:t>
      </w:r>
    </w:p>
    <w:p>
      <w:pPr>
        <w:ind w:left="6060"/>
        <w:spacing w:after="0" w:line="232" w:lineRule="auto"/>
        <w:rPr>
          <w:sz w:val="20"/>
          <w:szCs w:val="20"/>
          <w:color w:val="auto"/>
        </w:rPr>
      </w:pPr>
      <w:r>
        <w:rPr>
          <w:rFonts w:ascii="Arial" w:cs="Arial" w:eastAsia="Arial" w:hAnsi="Arial"/>
          <w:sz w:val="17"/>
          <w:szCs w:val="17"/>
          <w:color w:val="auto"/>
        </w:rPr>
        <w:t>done or omitted or alleged to be done or omitted by such person as an</w:t>
      </w:r>
    </w:p>
    <w:p>
      <w:pPr>
        <w:ind w:left="6060"/>
        <w:spacing w:after="0" w:line="232" w:lineRule="auto"/>
        <w:rPr>
          <w:sz w:val="20"/>
          <w:szCs w:val="20"/>
          <w:color w:val="auto"/>
        </w:rPr>
      </w:pPr>
      <w:r>
        <w:rPr>
          <w:rFonts w:ascii="Arial" w:cs="Arial" w:eastAsia="Arial" w:hAnsi="Arial"/>
          <w:sz w:val="17"/>
          <w:szCs w:val="17"/>
          <w:color w:val="auto"/>
        </w:rPr>
        <w:t>officer or employee of the company and in which judgment is given in</w:t>
      </w:r>
    </w:p>
    <w:p>
      <w:pPr>
        <w:ind w:left="6060"/>
        <w:spacing w:after="0" w:line="232" w:lineRule="auto"/>
        <w:rPr>
          <w:sz w:val="20"/>
          <w:szCs w:val="20"/>
          <w:color w:val="auto"/>
        </w:rPr>
      </w:pPr>
      <w:r>
        <w:rPr>
          <w:rFonts w:ascii="Arial" w:cs="Arial" w:eastAsia="Arial" w:hAnsi="Arial"/>
          <w:sz w:val="17"/>
          <w:szCs w:val="17"/>
          <w:color w:val="auto"/>
        </w:rPr>
        <w:t>their favor or in which such person is acquitted or in connection with</w:t>
      </w:r>
    </w:p>
    <w:p>
      <w:pPr>
        <w:ind w:left="6060"/>
        <w:spacing w:after="0" w:line="233" w:lineRule="auto"/>
        <w:rPr>
          <w:sz w:val="20"/>
          <w:szCs w:val="20"/>
          <w:color w:val="auto"/>
        </w:rPr>
      </w:pPr>
      <w:r>
        <w:rPr>
          <w:rFonts w:ascii="Arial" w:cs="Arial" w:eastAsia="Arial" w:hAnsi="Arial"/>
          <w:sz w:val="17"/>
          <w:szCs w:val="17"/>
          <w:color w:val="auto"/>
        </w:rPr>
        <w:t>any application under the Singapore Companies Act or any other</w:t>
      </w:r>
    </w:p>
    <w:p>
      <w:pPr>
        <w:ind w:left="6060"/>
        <w:spacing w:after="0" w:line="232" w:lineRule="auto"/>
        <w:rPr>
          <w:sz w:val="20"/>
          <w:szCs w:val="20"/>
          <w:color w:val="auto"/>
        </w:rPr>
      </w:pPr>
      <w:r>
        <w:rPr>
          <w:rFonts w:ascii="Arial" w:cs="Arial" w:eastAsia="Arial" w:hAnsi="Arial"/>
          <w:sz w:val="17"/>
          <w:szCs w:val="17"/>
          <w:color w:val="auto"/>
        </w:rPr>
        <w:t>Singapore statute in which relief is granted to such person by the court</w:t>
      </w:r>
    </w:p>
    <w:p>
      <w:pPr>
        <w:ind w:left="6060"/>
        <w:spacing w:after="0" w:line="232" w:lineRule="auto"/>
        <w:rPr>
          <w:sz w:val="20"/>
          <w:szCs w:val="20"/>
          <w:color w:val="auto"/>
        </w:rPr>
      </w:pPr>
      <w:r>
        <w:rPr>
          <w:rFonts w:ascii="Arial" w:cs="Arial" w:eastAsia="Arial" w:hAnsi="Arial"/>
          <w:sz w:val="17"/>
          <w:szCs w:val="17"/>
          <w:color w:val="auto"/>
        </w:rPr>
        <w:t>unless the same should happen through their own negligence, default,</w:t>
      </w:r>
    </w:p>
    <w:p>
      <w:pPr>
        <w:ind w:left="6060"/>
        <w:spacing w:after="0"/>
        <w:rPr>
          <w:sz w:val="20"/>
          <w:szCs w:val="20"/>
          <w:color w:val="auto"/>
        </w:rPr>
      </w:pPr>
      <w:r>
        <w:rPr>
          <w:rFonts w:ascii="Arial" w:cs="Arial" w:eastAsia="Arial" w:hAnsi="Arial"/>
          <w:sz w:val="17"/>
          <w:szCs w:val="17"/>
          <w:color w:val="auto"/>
        </w:rPr>
        <w:t>breach of duty or breach of trust.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Our company shall indemnify each of our directors to the extent</w:t>
      </w:r>
    </w:p>
    <w:p>
      <w:pPr>
        <w:ind w:left="6060"/>
        <w:spacing w:after="0" w:line="232" w:lineRule="auto"/>
        <w:rPr>
          <w:sz w:val="20"/>
          <w:szCs w:val="20"/>
          <w:color w:val="auto"/>
        </w:rPr>
      </w:pPr>
      <w:r>
        <w:rPr>
          <w:rFonts w:ascii="Arial" w:cs="Arial" w:eastAsia="Arial" w:hAnsi="Arial"/>
          <w:sz w:val="17"/>
          <w:szCs w:val="17"/>
          <w:color w:val="auto"/>
        </w:rPr>
        <w:t>permitted under applicable Singapore laws and shall procure</w:t>
      </w:r>
    </w:p>
    <w:p>
      <w:pPr>
        <w:ind w:left="6060"/>
        <w:spacing w:after="0"/>
        <w:rPr>
          <w:sz w:val="20"/>
          <w:szCs w:val="20"/>
          <w:color w:val="auto"/>
        </w:rPr>
      </w:pPr>
      <w:r>
        <w:rPr>
          <w:rFonts w:ascii="Arial" w:cs="Arial" w:eastAsia="Arial" w:hAnsi="Arial"/>
          <w:sz w:val="17"/>
          <w:szCs w:val="17"/>
          <w:color w:val="auto"/>
        </w:rPr>
        <w:t>indemnity insurance for each of our directors and officers.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It is expected that the restriction in Section 172 of the Singapore</w:t>
      </w:r>
    </w:p>
    <w:p>
      <w:pPr>
        <w:ind w:left="6060"/>
        <w:spacing w:after="0" w:line="232" w:lineRule="auto"/>
        <w:rPr>
          <w:sz w:val="20"/>
          <w:szCs w:val="20"/>
          <w:color w:val="auto"/>
        </w:rPr>
      </w:pPr>
      <w:r>
        <w:rPr>
          <w:rFonts w:ascii="Arial" w:cs="Arial" w:eastAsia="Arial" w:hAnsi="Arial"/>
          <w:sz w:val="17"/>
          <w:szCs w:val="17"/>
          <w:color w:val="auto"/>
        </w:rPr>
        <w:t>Companies Act will be amended in the second phase of</w:t>
      </w:r>
    </w:p>
    <w:p>
      <w:pPr>
        <w:ind w:left="6060"/>
        <w:spacing w:after="0" w:line="232" w:lineRule="auto"/>
        <w:rPr>
          <w:sz w:val="20"/>
          <w:szCs w:val="20"/>
          <w:color w:val="auto"/>
        </w:rPr>
      </w:pPr>
      <w:r>
        <w:rPr>
          <w:rFonts w:ascii="Arial" w:cs="Arial" w:eastAsia="Arial" w:hAnsi="Arial"/>
          <w:sz w:val="17"/>
          <w:szCs w:val="17"/>
          <w:color w:val="auto"/>
        </w:rPr>
        <w:t>implementation of the Companies (Amendment) Act 2014 to enable a</w:t>
      </w:r>
    </w:p>
    <w:p>
      <w:pPr>
        <w:ind w:left="6060"/>
        <w:spacing w:after="0" w:line="232" w:lineRule="auto"/>
        <w:rPr>
          <w:sz w:val="20"/>
          <w:szCs w:val="20"/>
          <w:color w:val="auto"/>
        </w:rPr>
      </w:pPr>
      <w:r>
        <w:rPr>
          <w:rFonts w:ascii="Arial" w:cs="Arial" w:eastAsia="Arial" w:hAnsi="Arial"/>
          <w:sz w:val="17"/>
          <w:szCs w:val="17"/>
          <w:color w:val="auto"/>
        </w:rPr>
        <w:t>company to indemnify its officers against third party liability, except in</w:t>
      </w:r>
    </w:p>
    <w:p>
      <w:pPr>
        <w:ind w:left="6060"/>
        <w:spacing w:after="0" w:line="232" w:lineRule="auto"/>
        <w:rPr>
          <w:sz w:val="20"/>
          <w:szCs w:val="20"/>
          <w:color w:val="auto"/>
        </w:rPr>
      </w:pPr>
      <w:r>
        <w:rPr>
          <w:rFonts w:ascii="Arial" w:cs="Arial" w:eastAsia="Arial" w:hAnsi="Arial"/>
          <w:sz w:val="17"/>
          <w:szCs w:val="17"/>
          <w:color w:val="auto"/>
        </w:rPr>
        <w:t>circumstances where such liability is for any criminal or regulatory</w:t>
      </w:r>
    </w:p>
    <w:p>
      <w:pPr>
        <w:ind w:left="6060"/>
        <w:spacing w:after="0" w:line="232" w:lineRule="auto"/>
        <w:rPr>
          <w:sz w:val="20"/>
          <w:szCs w:val="20"/>
          <w:color w:val="auto"/>
        </w:rPr>
      </w:pPr>
      <w:r>
        <w:rPr>
          <w:rFonts w:ascii="Arial" w:cs="Arial" w:eastAsia="Arial" w:hAnsi="Arial"/>
          <w:sz w:val="17"/>
          <w:szCs w:val="17"/>
          <w:color w:val="auto"/>
        </w:rPr>
        <w:t>fines or penalties, or where such liability is incurred in respect of (i)</w:t>
      </w:r>
    </w:p>
    <w:p>
      <w:pPr>
        <w:ind w:left="6060"/>
        <w:spacing w:after="0" w:line="232" w:lineRule="auto"/>
        <w:rPr>
          <w:sz w:val="20"/>
          <w:szCs w:val="20"/>
          <w:color w:val="auto"/>
        </w:rPr>
      </w:pPr>
      <w:r>
        <w:rPr>
          <w:rFonts w:ascii="Arial" w:cs="Arial" w:eastAsia="Arial" w:hAnsi="Arial"/>
          <w:sz w:val="17"/>
          <w:szCs w:val="17"/>
          <w:color w:val="auto"/>
        </w:rPr>
        <w:t>defending criminal proceedings in which he or she is convicted, (ii)</w:t>
      </w:r>
    </w:p>
    <w:p>
      <w:pPr>
        <w:ind w:left="6060"/>
        <w:spacing w:after="0" w:line="232" w:lineRule="auto"/>
        <w:rPr>
          <w:sz w:val="20"/>
          <w:szCs w:val="20"/>
          <w:color w:val="auto"/>
        </w:rPr>
      </w:pPr>
      <w:r>
        <w:rPr>
          <w:rFonts w:ascii="Arial" w:cs="Arial" w:eastAsia="Arial" w:hAnsi="Arial"/>
          <w:sz w:val="17"/>
          <w:szCs w:val="17"/>
          <w:color w:val="auto"/>
        </w:rPr>
        <w:t>defending civil proceedings commenced by the company or a related</w:t>
      </w:r>
    </w:p>
    <w:p>
      <w:pPr>
        <w:ind w:left="6060"/>
        <w:spacing w:after="0" w:line="233" w:lineRule="auto"/>
        <w:rPr>
          <w:sz w:val="20"/>
          <w:szCs w:val="20"/>
          <w:color w:val="auto"/>
        </w:rPr>
      </w:pPr>
      <w:r>
        <w:rPr>
          <w:rFonts w:ascii="Arial" w:cs="Arial" w:eastAsia="Arial" w:hAnsi="Arial"/>
          <w:sz w:val="17"/>
          <w:szCs w:val="17"/>
          <w:color w:val="auto"/>
        </w:rPr>
        <w:t>company against him in which judgment is given against him or (iii) in</w:t>
      </w:r>
    </w:p>
    <w:p>
      <w:pPr>
        <w:ind w:left="6060"/>
        <w:spacing w:after="0" w:line="232" w:lineRule="auto"/>
        <w:rPr>
          <w:sz w:val="20"/>
          <w:szCs w:val="20"/>
          <w:color w:val="auto"/>
        </w:rPr>
      </w:pPr>
      <w:r>
        <w:rPr>
          <w:rFonts w:ascii="Arial" w:cs="Arial" w:eastAsia="Arial" w:hAnsi="Arial"/>
          <w:sz w:val="17"/>
          <w:szCs w:val="17"/>
          <w:color w:val="auto"/>
        </w:rPr>
        <w:t>connection with an application for relief under section 76A(13) or</w:t>
      </w:r>
    </w:p>
    <w:p>
      <w:pPr>
        <w:ind w:left="6060"/>
        <w:spacing w:after="0" w:line="232" w:lineRule="auto"/>
        <w:rPr>
          <w:sz w:val="20"/>
          <w:szCs w:val="20"/>
          <w:color w:val="auto"/>
        </w:rPr>
      </w:pPr>
      <w:r>
        <w:rPr>
          <w:rFonts w:ascii="Arial" w:cs="Arial" w:eastAsia="Arial" w:hAnsi="Arial"/>
          <w:sz w:val="17"/>
          <w:szCs w:val="17"/>
          <w:color w:val="auto"/>
        </w:rPr>
        <w:t>section 391 of the Singapore Companies Act in which the court</w:t>
      </w:r>
    </w:p>
    <w:p>
      <w:pPr>
        <w:ind w:left="6060"/>
        <w:spacing w:after="0"/>
        <w:rPr>
          <w:sz w:val="20"/>
          <w:szCs w:val="20"/>
          <w:color w:val="auto"/>
        </w:rPr>
      </w:pPr>
      <w:r>
        <w:rPr>
          <w:rFonts w:ascii="Arial" w:cs="Arial" w:eastAsia="Arial" w:hAnsi="Arial"/>
          <w:sz w:val="17"/>
          <w:szCs w:val="17"/>
          <w:color w:val="auto"/>
        </w:rPr>
        <w:t>refuses to grant him relief.</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Interested Shareholders</w:t>
      </w:r>
    </w:p>
    <w:p>
      <w:pPr>
        <w:sectPr>
          <w:pgSz w:w="11900" w:h="16838" w:orient="portrait"/>
          <w:cols w:equalWidth="0" w:num="1">
            <w:col w:w="11380"/>
          </w:cols>
          <w:pgMar w:left="240" w:top="459" w:right="279" w:bottom="1440" w:gutter="0" w:footer="0" w:header="0"/>
        </w:sectPr>
      </w:pP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There are no comparable provisions in Singapore with respect to public companies which are not listed on the Singapore Exchange Securities Trading Limited.</w:t>
      </w:r>
    </w:p>
    <w:p>
      <w:pPr>
        <w:sectPr>
          <w:pgSz w:w="11900" w:h="16838" w:orient="portrait"/>
          <w:cols w:equalWidth="0" w:num="2">
            <w:col w:w="5840" w:space="220"/>
            <w:col w:w="5320"/>
          </w:cols>
          <w:pgMar w:left="240" w:top="459" w:right="27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ind w:right="5580"/>
        <w:spacing w:after="0" w:line="243" w:lineRule="auto"/>
        <w:rPr>
          <w:sz w:val="20"/>
          <w:szCs w:val="20"/>
          <w:color w:val="auto"/>
        </w:rPr>
      </w:pPr>
      <w:r>
        <w:rPr>
          <w:rFonts w:ascii="Arial" w:cs="Arial" w:eastAsia="Arial" w:hAnsi="Arial"/>
          <w:sz w:val="17"/>
          <w:szCs w:val="17"/>
          <w:color w:val="auto"/>
        </w:rPr>
        <w:t>an affiliate or associate of the corporation and was the owner of 15% or more of the voting stock at any time within the previous three years.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 may elect to “opt out” of, and not be governed by,</w:t>
      </w:r>
    </w:p>
    <w:p>
      <w:pPr>
        <w:spacing w:after="0" w:line="232" w:lineRule="auto"/>
        <w:rPr>
          <w:sz w:val="20"/>
          <w:szCs w:val="20"/>
          <w:color w:val="auto"/>
        </w:rPr>
      </w:pPr>
      <w:r>
        <w:rPr>
          <w:rFonts w:ascii="Arial" w:cs="Arial" w:eastAsia="Arial" w:hAnsi="Arial"/>
          <w:sz w:val="17"/>
          <w:szCs w:val="17"/>
          <w:color w:val="auto"/>
        </w:rPr>
        <w:t>Section 203 through a provision in either its original certificate of</w:t>
      </w:r>
    </w:p>
    <w:p>
      <w:pPr>
        <w:spacing w:after="0" w:line="232" w:lineRule="auto"/>
        <w:rPr>
          <w:sz w:val="20"/>
          <w:szCs w:val="20"/>
          <w:color w:val="auto"/>
        </w:rPr>
      </w:pPr>
      <w:r>
        <w:rPr>
          <w:rFonts w:ascii="Arial" w:cs="Arial" w:eastAsia="Arial" w:hAnsi="Arial"/>
          <w:sz w:val="17"/>
          <w:szCs w:val="17"/>
          <w:color w:val="auto"/>
        </w:rPr>
        <w:t>incorporation, or an amendment to its original certificate or bylaws that was</w:t>
      </w:r>
    </w:p>
    <w:p>
      <w:pPr>
        <w:spacing w:after="0" w:line="232" w:lineRule="auto"/>
        <w:rPr>
          <w:sz w:val="20"/>
          <w:szCs w:val="20"/>
          <w:color w:val="auto"/>
        </w:rPr>
      </w:pPr>
      <w:r>
        <w:rPr>
          <w:rFonts w:ascii="Arial" w:cs="Arial" w:eastAsia="Arial" w:hAnsi="Arial"/>
          <w:sz w:val="17"/>
          <w:szCs w:val="17"/>
          <w:color w:val="auto"/>
        </w:rPr>
        <w:t>approved by majority stockholder vote. With a limited exception, this</w:t>
      </w:r>
    </w:p>
    <w:p>
      <w:pPr>
        <w:spacing w:after="0" w:line="232" w:lineRule="auto"/>
        <w:rPr>
          <w:sz w:val="20"/>
          <w:szCs w:val="20"/>
          <w:color w:val="auto"/>
        </w:rPr>
      </w:pPr>
      <w:r>
        <w:rPr>
          <w:rFonts w:ascii="Arial" w:cs="Arial" w:eastAsia="Arial" w:hAnsi="Arial"/>
          <w:sz w:val="17"/>
          <w:szCs w:val="17"/>
          <w:color w:val="auto"/>
        </w:rPr>
        <w:t>amendment would not become effective until 12 months following its</w:t>
      </w:r>
    </w:p>
    <w:p>
      <w:pPr>
        <w:spacing w:after="0"/>
        <w:rPr>
          <w:sz w:val="20"/>
          <w:szCs w:val="20"/>
          <w:color w:val="auto"/>
        </w:rPr>
      </w:pPr>
      <w:r>
        <w:rPr>
          <w:rFonts w:ascii="Arial" w:cs="Arial" w:eastAsia="Arial" w:hAnsi="Arial"/>
          <w:sz w:val="17"/>
          <w:szCs w:val="17"/>
          <w:color w:val="auto"/>
        </w:rPr>
        <w:t>adoption.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Removal of Directors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According to the Singapore Companies Act, directors of a public company may be removed before expiration of their term of office, notwithstanding anything in its memorandum or articles or in any agreement between the public company and such directors, by ordinary resolution (i.e., a resolution which is passed by a simple majority of those shareholders present and voting in person or by proxy). Notice of the intention to move such a resolution has to be given to the company not less than 28 days before the meeting at which it is moved. The company shall then give notice of such resolution to its shareholders not less than 14 days before the meeting. Where any director removed in this manner was appointed to represent the interests of any particular class of shareholders or debenture holders, the resolution to remove such director will not take effect until such director’s successor has been appointed.</w:t>
      </w:r>
    </w:p>
    <w:p>
      <w:pPr>
        <w:spacing w:after="0" w:line="19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Filling Vacancies on the Board of Directors</w:t>
      </w:r>
    </w:p>
    <w:p>
      <w:pPr>
        <w:sectPr>
          <w:pgSz w:w="11900" w:h="16838" w:orient="portrait"/>
          <w:cols w:equalWidth="0" w:num="1">
            <w:col w:w="11400"/>
          </w:cols>
          <w:pgMar w:left="240" w:top="459" w:right="259" w:bottom="1440" w:gutter="0" w:footer="0" w:header="0"/>
          <w:type w:val="continuous"/>
        </w:sectPr>
      </w:pPr>
    </w:p>
    <w:p>
      <w:pPr>
        <w:spacing w:after="0" w:line="13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articles of a Singapore company typically provide that the directors have the power to appoint any person to be a director, either to fill a vacancy or as an addition to the existing directors, but so that the total number of directors will not at any time exceed the maximum number (if any) fixed in the articles. Any director so appointed shall hold office until the next following annual general meeting, where such director will then be eligible for re-election. Our articles provide that the directors may appoint any person to be a director as an additional director or to fill a vacancy provided that any person so appointed will only hold office until the next annual general meeting, and will then be eligible for re-election.</w:t>
      </w:r>
    </w:p>
    <w:p>
      <w:pPr>
        <w:spacing w:after="0" w:line="192"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Amendment of Governing Documents</w:t>
      </w:r>
    </w:p>
    <w:p>
      <w:pPr>
        <w:sectPr>
          <w:pgSz w:w="11900" w:h="16838" w:orient="portrait"/>
          <w:cols w:equalWidth="0" w:num="1">
            <w:col w:w="11400"/>
          </w:cols>
          <w:pgMar w:left="240" w:top="459" w:right="259" w:bottom="1440" w:gutter="0" w:footer="0" w:header="0"/>
          <w:type w:val="continuous"/>
        </w:sectPr>
      </w:pPr>
    </w:p>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Under the Delaware General Corporation Law, amendments to a corporation’s certificate of incorporation require the approval of stockholders holding a majority of</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Our memorandum and articles may be altered by special resolution (i.e., a resolution passed by at least a three-fourths majority of the shareholders entitled to</w:t>
      </w:r>
    </w:p>
    <w:p>
      <w:pPr>
        <w:spacing w:after="0" w:line="142"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00"/>
          </w:cols>
          <w:pgMar w:left="240" w:top="459" w:right="259" w:bottom="1440" w:gutter="0" w:footer="0" w:header="0"/>
          <w:type w:val="continuous"/>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963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outstanding shares entitled to vote on the amendment. 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charter. The stockholders of a Delaware corporation also have the power to amend bylaws.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048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vote, present in person or by proxy at a meeting for which not less than 21 days’ written notice is given). The board of directors has no right to amend the memorandum or articles.</w:t>
      </w:r>
    </w:p>
    <w:p>
      <w:pPr>
        <w:spacing w:after="0" w:line="10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Under the Singapore Companies Act, an entrenching provision may be included in the memorandum or articles with which a company is formed and may at any time be inserted into the memorandum or articles of a company only if all the shareholders of the company agree. An entrenching provision is a provision of the memorandum or articles of a company to the effect that other specified provisions of the memorandum or articles may not be altered in the manner provided by the Singapore Companies Act or may not be so altered except (i) by a resolution passed by a specified majority greater than 75% (the minimum majority required by the Singapore Companies Act for a special resolution) or (ii) where other specified conditions are met. The Singapore Companies Act provides that such entrenching provision may be removed or altered only if all the members of the company agree.</w:t>
      </w:r>
    </w:p>
    <w:p>
      <w:pPr>
        <w:spacing w:after="0" w:line="112"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It is expected that the Singapore Companies Act will be amended in the second phase of implementation of the Singapore Companies (Amendment) Act 2014 to include provisions whereby the constitutional documents of a company shall no longer be referred to as its memorandum of association and articles of association, but as its constitution.</w:t>
      </w:r>
    </w:p>
    <w:p>
      <w:pPr>
        <w:spacing w:after="0" w:line="199"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Meetings of Shareholders</w:t>
      </w:r>
    </w:p>
    <w:p>
      <w:pPr>
        <w:spacing w:after="0" w:line="102"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i w:val="1"/>
          <w:iCs w:val="1"/>
          <w:color w:val="auto"/>
        </w:rPr>
        <w:t>Annual and Special Meetings</w:t>
      </w:r>
      <w:r>
        <w:rPr>
          <w:sz w:val="20"/>
          <w:szCs w:val="20"/>
          <w:color w:val="auto"/>
        </w:rPr>
        <w:tab/>
      </w:r>
      <w:r>
        <w:rPr>
          <w:rFonts w:ascii="Arial" w:cs="Arial" w:eastAsia="Arial" w:hAnsi="Arial"/>
          <w:sz w:val="17"/>
          <w:szCs w:val="17"/>
          <w:i w:val="1"/>
          <w:iCs w:val="1"/>
          <w:color w:val="auto"/>
        </w:rPr>
        <w:t>Annual General Meetings</w:t>
      </w:r>
    </w:p>
    <w:p>
      <w:pPr>
        <w:sectPr>
          <w:pgSz w:w="11900" w:h="16838" w:orient="portrait"/>
          <w:cols w:equalWidth="0" w:num="1">
            <w:col w:w="11400"/>
          </w:cols>
          <w:pgMar w:left="240" w:top="459" w:right="259" w:bottom="1440" w:gutter="0" w:footer="0" w:header="0"/>
          <w:type w:val="continuous"/>
        </w:sectPr>
      </w:pPr>
    </w:p>
    <w:p>
      <w:pPr>
        <w:spacing w:after="0" w:line="13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Typical bylaws provide that annual meetings of stockholders are to be held on a date and at a time fixed by the board of directors. Under the Delaware General Corporation Law, a special meeting of stockholders may be called by the board of directors or by any other person authorized to do so in the certificate of incorporation or the bylaws.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All companies are required to hold an annual general meeting once every calendar year and not more than 15 months after the date of the most recent annual general meeting. The first annual general meeting must be held within 18 months of the company’s incorporation and subsequently, not more than 15 months may elapse between annual general meetings.</w:t>
      </w:r>
    </w:p>
    <w:p>
      <w:pPr>
        <w:spacing w:after="0" w:line="90"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ind w:left="6060"/>
        <w:spacing w:after="0"/>
        <w:rPr>
          <w:sz w:val="20"/>
          <w:szCs w:val="20"/>
          <w:color w:val="auto"/>
        </w:rPr>
      </w:pPr>
      <w:r>
        <w:rPr>
          <w:rFonts w:ascii="Arial" w:cs="Arial" w:eastAsia="Arial" w:hAnsi="Arial"/>
          <w:sz w:val="17"/>
          <w:szCs w:val="17"/>
          <w:i w:val="1"/>
          <w:iCs w:val="1"/>
          <w:color w:val="auto"/>
        </w:rPr>
        <w:t>Extraordinary General Meetings</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Any general meeting other than the annual general meeting is called</w:t>
      </w:r>
    </w:p>
    <w:p>
      <w:pPr>
        <w:ind w:left="6060"/>
        <w:spacing w:after="0" w:line="232" w:lineRule="auto"/>
        <w:rPr>
          <w:sz w:val="20"/>
          <w:szCs w:val="20"/>
          <w:color w:val="auto"/>
        </w:rPr>
      </w:pPr>
      <w:r>
        <w:rPr>
          <w:rFonts w:ascii="Arial" w:cs="Arial" w:eastAsia="Arial" w:hAnsi="Arial"/>
          <w:sz w:val="17"/>
          <w:szCs w:val="17"/>
          <w:color w:val="auto"/>
        </w:rPr>
        <w:t>an “extraordinary general meeting”. Notwithstanding anything in the</w:t>
      </w:r>
    </w:p>
    <w:p>
      <w:pPr>
        <w:ind w:left="6060"/>
        <w:spacing w:after="0" w:line="232" w:lineRule="auto"/>
        <w:rPr>
          <w:sz w:val="20"/>
          <w:szCs w:val="20"/>
          <w:color w:val="auto"/>
        </w:rPr>
      </w:pPr>
      <w:r>
        <w:rPr>
          <w:rFonts w:ascii="Arial" w:cs="Arial" w:eastAsia="Arial" w:hAnsi="Arial"/>
          <w:sz w:val="17"/>
          <w:szCs w:val="17"/>
          <w:color w:val="auto"/>
        </w:rPr>
        <w:t>articles, directors of a company are required to convene an</w:t>
      </w:r>
    </w:p>
    <w:p>
      <w:pPr>
        <w:ind w:left="6060"/>
        <w:spacing w:after="0" w:line="232" w:lineRule="auto"/>
        <w:rPr>
          <w:sz w:val="20"/>
          <w:szCs w:val="20"/>
          <w:color w:val="auto"/>
        </w:rPr>
      </w:pPr>
      <w:r>
        <w:rPr>
          <w:rFonts w:ascii="Arial" w:cs="Arial" w:eastAsia="Arial" w:hAnsi="Arial"/>
          <w:sz w:val="17"/>
          <w:szCs w:val="17"/>
          <w:color w:val="auto"/>
        </w:rPr>
        <w:t>extraordinary general meeting if required to do so by requisition (i.e.</w:t>
      </w:r>
    </w:p>
    <w:p>
      <w:pPr>
        <w:ind w:left="6060"/>
        <w:spacing w:after="0" w:line="232" w:lineRule="auto"/>
        <w:rPr>
          <w:sz w:val="20"/>
          <w:szCs w:val="20"/>
          <w:color w:val="auto"/>
        </w:rPr>
      </w:pPr>
      <w:r>
        <w:rPr>
          <w:rFonts w:ascii="Arial" w:cs="Arial" w:eastAsia="Arial" w:hAnsi="Arial"/>
          <w:sz w:val="17"/>
          <w:szCs w:val="17"/>
          <w:color w:val="auto"/>
        </w:rPr>
        <w:t>written notice, requiring that a meeting be called, given to the</w:t>
      </w:r>
    </w:p>
    <w:p>
      <w:pPr>
        <w:ind w:left="6060"/>
        <w:spacing w:after="0" w:line="232" w:lineRule="auto"/>
        <w:rPr>
          <w:sz w:val="20"/>
          <w:szCs w:val="20"/>
          <w:color w:val="auto"/>
        </w:rPr>
      </w:pPr>
      <w:r>
        <w:rPr>
          <w:rFonts w:ascii="Arial" w:cs="Arial" w:eastAsia="Arial" w:hAnsi="Arial"/>
          <w:sz w:val="17"/>
          <w:szCs w:val="17"/>
          <w:color w:val="auto"/>
        </w:rPr>
        <w:t>directors) by shareholder(s) holding not less than 10% of the total</w:t>
      </w:r>
    </w:p>
    <w:p>
      <w:pPr>
        <w:ind w:left="6060"/>
        <w:spacing w:after="0" w:line="232" w:lineRule="auto"/>
        <w:rPr>
          <w:sz w:val="20"/>
          <w:szCs w:val="20"/>
          <w:color w:val="auto"/>
        </w:rPr>
      </w:pPr>
      <w:r>
        <w:rPr>
          <w:rFonts w:ascii="Arial" w:cs="Arial" w:eastAsia="Arial" w:hAnsi="Arial"/>
          <w:sz w:val="17"/>
          <w:szCs w:val="17"/>
          <w:color w:val="auto"/>
        </w:rPr>
        <w:t>number of paid-up shares as at the date of the deposit of the</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requisition carrying the right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00"/>
          </w:cols>
          <w:pgMar w:left="240" w:top="459" w:right="25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963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Quorum Requirements</w:t>
      </w:r>
    </w:p>
    <w:p>
      <w:pPr>
        <w:spacing w:after="0" w:line="133" w:lineRule="exact"/>
        <w:rPr>
          <w:sz w:val="20"/>
          <w:szCs w:val="20"/>
          <w:color w:val="auto"/>
        </w:rPr>
      </w:pPr>
    </w:p>
    <w:p>
      <w:pPr>
        <w:jc w:val="both"/>
        <w:ind w:right="180"/>
        <w:spacing w:after="0" w:line="235" w:lineRule="auto"/>
        <w:rPr>
          <w:sz w:val="20"/>
          <w:szCs w:val="20"/>
          <w:color w:val="auto"/>
        </w:rPr>
      </w:pPr>
      <w:r>
        <w:rPr>
          <w:rFonts w:ascii="Arial" w:cs="Arial" w:eastAsia="Arial" w:hAnsi="Arial"/>
          <w:sz w:val="17"/>
          <w:szCs w:val="17"/>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048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of voting at general meetings of the company. In addition, the articles usually also provide that general meetings may be convened in accordance with the Singapore Companies Act by the directors.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Quorum Requirements</w:t>
      </w:r>
    </w:p>
    <w:p>
      <w:pPr>
        <w:spacing w:after="0" w:line="13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articles provide that shareholders entitled to vote, holding in aggregate a majority of the number of our issued and paid-up shares, present in person or by proxy at a meeting, shall constitute a quorum.] In the event a quorum is not present, the meeting may be adjourned for one week. When reconvened, the quorum for the meeting will be shareholders entitled to vote holding between them a majority of the number of our issued and paid-up shares, present in person or by proxy at such meeting.</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Shareholders’ Rights at Meetings</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Singapore Companies Act provides that every member shall, notwithstanding any provision in the memorandum or articles, have a right to attend any general meeting of the company and to speak and vote on any resolution before the meeting except that the company’s articles may provide that a member shall not be entitled to vote unless all calls or other sums personally payable by him in respect of shares in the company have been paid. Notwithstanding the foregoing, the articles of association may provide that holders of preferred shares as defined in Section 4(1) of the Singapore Companies Act shall not have a right to vote at any general meeting other than in specified circumstances.</w:t>
      </w:r>
    </w:p>
    <w:p>
      <w:pPr>
        <w:spacing w:after="0" w:line="11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It is expected that the Singapore Companies Act will be amended in the second phase of implementation of the Companies (Amendment) Act 2014 to allow public companies to issue non-voting shares, such that shareholders’ entitlements under the Singapore Companies Act will extend only to attending and speaking at general meetings.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Circulation of Shareholders’ Resolutions</w:t>
      </w:r>
    </w:p>
    <w:p>
      <w:pPr>
        <w:spacing w:after="0" w:line="13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Under the Singapore Companies Act, (a) any number of shareholders representing not less than 5% of the total voting rights of all the shareholders having at the date of requisition a right to vote at a meeting to which the requisition relates or (b) not less than 100 members holding shares on which there has been paid up an average sum, per shareholder, of not less than S$500, may requisition the company to give to shareholders notice of any resolution which may properly be moved and is intended to be moved at the next annual general meeting, and circulate to shareholders any statement of not more than 1,000 words with respect to the matter referred to in any proposed resolution or the business to be dealt with at that meeting.</w:t>
      </w:r>
    </w:p>
    <w:p>
      <w:pPr>
        <w:sectPr>
          <w:pgSz w:w="11900" w:h="16838" w:orient="portrait"/>
          <w:cols w:equalWidth="0" w:num="2">
            <w:col w:w="5840" w:space="220"/>
            <w:col w:w="532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of Officers, Directors and Employees</w:t>
      </w:r>
    </w:p>
    <w:p>
      <w:pPr>
        <w:sectPr>
          <w:pgSz w:w="11900" w:h="16838" w:orient="portrait"/>
          <w:cols w:equalWidth="0" w:num="1">
            <w:col w:w="11400"/>
          </w:cols>
          <w:pgMar w:left="240" w:top="459" w:right="259" w:bottom="1440" w:gutter="0" w:footer="0" w:header="0"/>
        </w:sectPr>
      </w:pPr>
    </w:p>
    <w:p>
      <w:pPr>
        <w:spacing w:after="0" w:line="10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113" w:lineRule="exact"/>
        <w:rPr>
          <w:sz w:val="20"/>
          <w:szCs w:val="20"/>
          <w:color w:val="auto"/>
        </w:rPr>
      </w:pPr>
    </w:p>
    <w:p>
      <w:pPr>
        <w:jc w:val="both"/>
        <w:ind w:left="660" w:right="100" w:hanging="327"/>
        <w:spacing w:after="0" w:line="246" w:lineRule="auto"/>
        <w:tabs>
          <w:tab w:leader="none" w:pos="707"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acted in good faith and in a manner he or she reasonably believed to be in or not opposed to the best interests of the corporation or, in some circumstances, at least not opposed to its best interests; and</w:t>
      </w:r>
    </w:p>
    <w:p>
      <w:pPr>
        <w:spacing w:after="0" w:line="20" w:lineRule="exact"/>
        <w:rPr>
          <w:rFonts w:ascii="Arial" w:cs="Arial" w:eastAsia="Arial" w:hAnsi="Arial"/>
          <w:sz w:val="17"/>
          <w:szCs w:val="17"/>
          <w:color w:val="auto"/>
        </w:rPr>
      </w:pPr>
    </w:p>
    <w:p>
      <w:pPr>
        <w:ind w:left="660" w:right="80" w:hanging="327"/>
        <w:spacing w:after="0" w:line="260" w:lineRule="auto"/>
        <w:tabs>
          <w:tab w:leader="none" w:pos="707"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a criminal proceeding, had no reasonable cause to believe his or her conduct was unlawful.</w:t>
      </w:r>
    </w:p>
    <w:p>
      <w:pPr>
        <w:spacing w:after="0" w:line="9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10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that person is not entitled to be so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2" w:right="120"/>
        <w:spacing w:after="0" w:line="235"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liability, which by law would otherwise attach to them for any negligence, default, breach of duty or breach of trust of which they may be guilty relating to the company.</w:t>
      </w:r>
    </w:p>
    <w:p>
      <w:pPr>
        <w:spacing w:after="0" w:line="108" w:lineRule="exact"/>
        <w:rPr>
          <w:sz w:val="20"/>
          <w:szCs w:val="20"/>
          <w:color w:val="auto"/>
        </w:rPr>
      </w:pPr>
    </w:p>
    <w:p>
      <w:pPr>
        <w:ind w:left="2"/>
        <w:spacing w:after="0"/>
        <w:rPr>
          <w:sz w:val="20"/>
          <w:szCs w:val="20"/>
          <w:color w:val="auto"/>
        </w:rPr>
      </w:pPr>
      <w:r>
        <w:rPr>
          <w:rFonts w:ascii="Arial" w:cs="Arial" w:eastAsia="Arial" w:hAnsi="Arial"/>
          <w:sz w:val="17"/>
          <w:szCs w:val="17"/>
          <w:color w:val="auto"/>
        </w:rPr>
        <w:t>However, the Singapore Companies Act allows a company to:</w:t>
      </w:r>
    </w:p>
    <w:p>
      <w:pPr>
        <w:spacing w:after="0" w:line="115" w:lineRule="exact"/>
        <w:rPr>
          <w:sz w:val="20"/>
          <w:szCs w:val="20"/>
          <w:color w:val="auto"/>
        </w:rPr>
      </w:pPr>
    </w:p>
    <w:p>
      <w:pPr>
        <w:ind w:left="642" w:hanging="317"/>
        <w:spacing w:after="0" w:line="239" w:lineRule="auto"/>
        <w:tabs>
          <w:tab w:leader="none" w:pos="689" w:val="left"/>
        </w:tabs>
        <w:numPr>
          <w:ilvl w:val="0"/>
          <w:numId w:val="84"/>
        </w:numPr>
        <w:rPr>
          <w:rFonts w:ascii="Arial" w:cs="Arial" w:eastAsia="Arial" w:hAnsi="Arial"/>
          <w:sz w:val="17"/>
          <w:szCs w:val="17"/>
          <w:color w:val="auto"/>
        </w:rPr>
      </w:pPr>
      <w:r>
        <w:rPr>
          <w:rFonts w:ascii="Arial" w:cs="Arial" w:eastAsia="Arial" w:hAnsi="Arial"/>
          <w:sz w:val="17"/>
          <w:szCs w:val="17"/>
          <w:color w:val="auto"/>
        </w:rPr>
        <w:t>purchase and maintain for any officer insurance against any liability which by law would otherwise attach to such officer in respect of any negligence, default, breach of duty or breach of trust of which such officer may be guilty in relation to the company;</w:t>
      </w:r>
    </w:p>
    <w:p>
      <w:pPr>
        <w:spacing w:after="0" w:line="26" w:lineRule="exact"/>
        <w:rPr>
          <w:rFonts w:ascii="Arial" w:cs="Arial" w:eastAsia="Arial" w:hAnsi="Arial"/>
          <w:sz w:val="17"/>
          <w:szCs w:val="17"/>
          <w:color w:val="auto"/>
        </w:rPr>
      </w:pPr>
    </w:p>
    <w:p>
      <w:pPr>
        <w:ind w:left="642" w:right="40" w:hanging="317"/>
        <w:spacing w:after="0" w:line="241" w:lineRule="auto"/>
        <w:tabs>
          <w:tab w:leader="none" w:pos="736"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indemnify such officer or auditor against any liability incurred by such officer or auditor in defending any proceedings (whether civil or criminal) in which judgment is given in such officer’s favor or in which such officer is acquitted; or</w:t>
      </w:r>
    </w:p>
    <w:p>
      <w:pPr>
        <w:spacing w:after="0" w:line="25" w:lineRule="exact"/>
        <w:rPr>
          <w:rFonts w:ascii="Arial" w:cs="Arial" w:eastAsia="Arial" w:hAnsi="Arial"/>
          <w:sz w:val="17"/>
          <w:szCs w:val="17"/>
          <w:color w:val="auto"/>
        </w:rPr>
      </w:pPr>
    </w:p>
    <w:p>
      <w:pPr>
        <w:ind w:left="642" w:right="80" w:hanging="317"/>
        <w:spacing w:after="0" w:line="241" w:lineRule="auto"/>
        <w:tabs>
          <w:tab w:leader="none" w:pos="689"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indemnify such officer or auditor against any liability incurred by such officer or auditor in connection with any application under specified portions of the Singapore Companies Act in which relief is granted to such officer or auditor by a court.</w:t>
      </w:r>
    </w:p>
    <w:p>
      <w:pPr>
        <w:spacing w:after="0" w:line="106" w:lineRule="exact"/>
        <w:rPr>
          <w:sz w:val="20"/>
          <w:szCs w:val="20"/>
          <w:color w:val="auto"/>
        </w:rPr>
      </w:pPr>
    </w:p>
    <w:p>
      <w:pPr>
        <w:ind w:left="2" w:right="20"/>
        <w:spacing w:after="0" w:line="232" w:lineRule="auto"/>
        <w:rPr>
          <w:sz w:val="20"/>
          <w:szCs w:val="20"/>
          <w:color w:val="auto"/>
        </w:rPr>
      </w:pPr>
      <w:r>
        <w:rPr>
          <w:rFonts w:ascii="Arial" w:cs="Arial" w:eastAsia="Arial" w:hAnsi="Arial"/>
          <w:sz w:val="17"/>
          <w:szCs w:val="17"/>
          <w:color w:val="auto"/>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w:t>
      </w:r>
    </w:p>
    <w:p>
      <w:pPr>
        <w:spacing w:after="0" w:line="1" w:lineRule="exact"/>
        <w:rPr>
          <w:sz w:val="20"/>
          <w:szCs w:val="20"/>
          <w:color w:val="auto"/>
        </w:rPr>
      </w:pPr>
    </w:p>
    <w:p>
      <w:pPr>
        <w:ind w:left="2" w:hanging="2"/>
        <w:spacing w:after="0" w:line="235" w:lineRule="auto"/>
        <w:tabs>
          <w:tab w:leader="none" w:pos="239" w:val="left"/>
        </w:tabs>
        <w:numPr>
          <w:ilvl w:val="0"/>
          <w:numId w:val="85"/>
        </w:numPr>
        <w:rPr>
          <w:rFonts w:ascii="Arial" w:cs="Arial" w:eastAsia="Arial" w:hAnsi="Arial"/>
          <w:sz w:val="17"/>
          <w:szCs w:val="17"/>
          <w:color w:val="auto"/>
        </w:rPr>
      </w:pPr>
      <w:r>
        <w:rPr>
          <w:rFonts w:ascii="Arial" w:cs="Arial" w:eastAsia="Arial" w:hAnsi="Arial"/>
          <w:sz w:val="17"/>
          <w:szCs w:val="17"/>
          <w:color w:val="auto"/>
        </w:rPr>
        <w:t>it is fair, having regard to all the circumstances of the case including those connected with such director’s appointment, to excuse the director. However, Singapore case law has indicated that such relief will not be granted to a director who has benefited as a result of his or her breach of trust.</w:t>
      </w:r>
    </w:p>
    <w:p>
      <w:pPr>
        <w:spacing w:after="0" w:line="110" w:lineRule="exact"/>
        <w:rPr>
          <w:sz w:val="20"/>
          <w:szCs w:val="20"/>
          <w:color w:val="auto"/>
        </w:rPr>
      </w:pPr>
    </w:p>
    <w:p>
      <w:pPr>
        <w:ind w:left="2"/>
        <w:spacing w:after="0" w:line="234" w:lineRule="auto"/>
        <w:rPr>
          <w:sz w:val="20"/>
          <w:szCs w:val="20"/>
          <w:color w:val="auto"/>
        </w:rPr>
      </w:pPr>
      <w:r>
        <w:rPr>
          <w:rFonts w:ascii="Arial" w:cs="Arial" w:eastAsia="Arial" w:hAnsi="Arial"/>
          <w:sz w:val="17"/>
          <w:szCs w:val="17"/>
          <w:color w:val="auto"/>
        </w:rPr>
        <w:t>Our articles provide that subject to the provisions of the Singapore Companies Act, every director, managing director, secretary and other officer for the time being of our company and our subsidiaries and affiliates, will be indemnified by the company against any liability incurred by such person in defending any proceedings, whether civil or criminal, which relates to anything done or omitted or alleged to be done or omitted by</w:t>
      </w:r>
    </w:p>
    <w:p>
      <w:pPr>
        <w:sectPr>
          <w:pgSz w:w="11900" w:h="16838" w:orient="portrait"/>
          <w:cols w:equalWidth="0" w:num="2">
            <w:col w:w="5840" w:space="218"/>
            <w:col w:w="5342"/>
          </w:cols>
          <w:pgMar w:left="240" w:top="459" w:right="25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such person as an officer or employee of the company and in which</w:t>
      </w:r>
    </w:p>
    <w:p>
      <w:pPr>
        <w:ind w:left="6060"/>
        <w:spacing w:after="0" w:line="232" w:lineRule="auto"/>
        <w:rPr>
          <w:sz w:val="20"/>
          <w:szCs w:val="20"/>
          <w:color w:val="auto"/>
        </w:rPr>
      </w:pPr>
      <w:r>
        <w:rPr>
          <w:rFonts w:ascii="Arial" w:cs="Arial" w:eastAsia="Arial" w:hAnsi="Arial"/>
          <w:sz w:val="17"/>
          <w:szCs w:val="17"/>
          <w:color w:val="auto"/>
        </w:rPr>
        <w:t>judgment is given in their favor or in which such person is acquitted or</w:t>
      </w:r>
    </w:p>
    <w:p>
      <w:pPr>
        <w:ind w:left="6060"/>
        <w:spacing w:after="0" w:line="232" w:lineRule="auto"/>
        <w:rPr>
          <w:sz w:val="20"/>
          <w:szCs w:val="20"/>
          <w:color w:val="auto"/>
        </w:rPr>
      </w:pPr>
      <w:r>
        <w:rPr>
          <w:rFonts w:ascii="Arial" w:cs="Arial" w:eastAsia="Arial" w:hAnsi="Arial"/>
          <w:sz w:val="17"/>
          <w:szCs w:val="17"/>
          <w:color w:val="auto"/>
        </w:rPr>
        <w:t>in connection with any application under the Singapore Companies Act</w:t>
      </w:r>
    </w:p>
    <w:p>
      <w:pPr>
        <w:ind w:left="6060"/>
        <w:spacing w:after="0" w:line="232" w:lineRule="auto"/>
        <w:rPr>
          <w:sz w:val="20"/>
          <w:szCs w:val="20"/>
          <w:color w:val="auto"/>
        </w:rPr>
      </w:pPr>
      <w:r>
        <w:rPr>
          <w:rFonts w:ascii="Arial" w:cs="Arial" w:eastAsia="Arial" w:hAnsi="Arial"/>
          <w:sz w:val="17"/>
          <w:szCs w:val="17"/>
          <w:color w:val="auto"/>
        </w:rPr>
        <w:t>or any other Singapore statute in which relief is granted to such person</w:t>
      </w:r>
    </w:p>
    <w:p>
      <w:pPr>
        <w:ind w:left="6060"/>
        <w:spacing w:after="0" w:line="232" w:lineRule="auto"/>
        <w:rPr>
          <w:sz w:val="20"/>
          <w:szCs w:val="20"/>
          <w:color w:val="auto"/>
        </w:rPr>
      </w:pPr>
      <w:r>
        <w:rPr>
          <w:rFonts w:ascii="Arial" w:cs="Arial" w:eastAsia="Arial" w:hAnsi="Arial"/>
          <w:sz w:val="17"/>
          <w:szCs w:val="17"/>
          <w:color w:val="auto"/>
        </w:rPr>
        <w:t>by the court unless the same shall happen through their own</w:t>
      </w:r>
    </w:p>
    <w:p>
      <w:pPr>
        <w:ind w:left="6060"/>
        <w:spacing w:after="0"/>
        <w:rPr>
          <w:sz w:val="20"/>
          <w:szCs w:val="20"/>
          <w:color w:val="auto"/>
        </w:rPr>
      </w:pPr>
      <w:r>
        <w:rPr>
          <w:rFonts w:ascii="Arial" w:cs="Arial" w:eastAsia="Arial" w:hAnsi="Arial"/>
          <w:sz w:val="17"/>
          <w:szCs w:val="17"/>
          <w:color w:val="auto"/>
        </w:rPr>
        <w:t>negligence, default, breach of duty or breach of trust.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It is expected that the restriction in Section 172 of the Singapore</w:t>
      </w:r>
    </w:p>
    <w:p>
      <w:pPr>
        <w:ind w:left="6060"/>
        <w:spacing w:after="0" w:line="232" w:lineRule="auto"/>
        <w:rPr>
          <w:sz w:val="20"/>
          <w:szCs w:val="20"/>
          <w:color w:val="auto"/>
        </w:rPr>
      </w:pPr>
      <w:r>
        <w:rPr>
          <w:rFonts w:ascii="Arial" w:cs="Arial" w:eastAsia="Arial" w:hAnsi="Arial"/>
          <w:sz w:val="17"/>
          <w:szCs w:val="17"/>
          <w:color w:val="auto"/>
        </w:rPr>
        <w:t>Companies Act will be amended in the second phase of</w:t>
      </w:r>
    </w:p>
    <w:p>
      <w:pPr>
        <w:ind w:left="6060"/>
        <w:spacing w:after="0" w:line="232" w:lineRule="auto"/>
        <w:rPr>
          <w:sz w:val="20"/>
          <w:szCs w:val="20"/>
          <w:color w:val="auto"/>
        </w:rPr>
      </w:pPr>
      <w:r>
        <w:rPr>
          <w:rFonts w:ascii="Arial" w:cs="Arial" w:eastAsia="Arial" w:hAnsi="Arial"/>
          <w:sz w:val="17"/>
          <w:szCs w:val="17"/>
          <w:color w:val="auto"/>
        </w:rPr>
        <w:t>implementation of the Companies (Amendment) Act 2014 to enable a</w:t>
      </w:r>
    </w:p>
    <w:p>
      <w:pPr>
        <w:ind w:left="6060"/>
        <w:spacing w:after="0" w:line="232" w:lineRule="auto"/>
        <w:rPr>
          <w:sz w:val="20"/>
          <w:szCs w:val="20"/>
          <w:color w:val="auto"/>
        </w:rPr>
      </w:pPr>
      <w:r>
        <w:rPr>
          <w:rFonts w:ascii="Arial" w:cs="Arial" w:eastAsia="Arial" w:hAnsi="Arial"/>
          <w:sz w:val="17"/>
          <w:szCs w:val="17"/>
          <w:color w:val="auto"/>
        </w:rPr>
        <w:t>company to indemnify its officers against third party liability, except in</w:t>
      </w:r>
    </w:p>
    <w:p>
      <w:pPr>
        <w:ind w:left="6060"/>
        <w:spacing w:after="0" w:line="232" w:lineRule="auto"/>
        <w:rPr>
          <w:sz w:val="20"/>
          <w:szCs w:val="20"/>
          <w:color w:val="auto"/>
        </w:rPr>
      </w:pPr>
      <w:r>
        <w:rPr>
          <w:rFonts w:ascii="Arial" w:cs="Arial" w:eastAsia="Arial" w:hAnsi="Arial"/>
          <w:sz w:val="17"/>
          <w:szCs w:val="17"/>
          <w:color w:val="auto"/>
        </w:rPr>
        <w:t>circumstances where such liability is for any criminal or regulatory</w:t>
      </w:r>
    </w:p>
    <w:p>
      <w:pPr>
        <w:ind w:left="6060"/>
        <w:spacing w:after="0" w:line="232" w:lineRule="auto"/>
        <w:rPr>
          <w:sz w:val="20"/>
          <w:szCs w:val="20"/>
          <w:color w:val="auto"/>
        </w:rPr>
      </w:pPr>
      <w:r>
        <w:rPr>
          <w:rFonts w:ascii="Arial" w:cs="Arial" w:eastAsia="Arial" w:hAnsi="Arial"/>
          <w:sz w:val="17"/>
          <w:szCs w:val="17"/>
          <w:color w:val="auto"/>
        </w:rPr>
        <w:t>fines or penalties, or where such liability is incurred in respect of (i)</w:t>
      </w:r>
    </w:p>
    <w:p>
      <w:pPr>
        <w:ind w:left="6060"/>
        <w:spacing w:after="0" w:line="232" w:lineRule="auto"/>
        <w:rPr>
          <w:sz w:val="20"/>
          <w:szCs w:val="20"/>
          <w:color w:val="auto"/>
        </w:rPr>
      </w:pPr>
      <w:r>
        <w:rPr>
          <w:rFonts w:ascii="Arial" w:cs="Arial" w:eastAsia="Arial" w:hAnsi="Arial"/>
          <w:sz w:val="17"/>
          <w:szCs w:val="17"/>
          <w:color w:val="auto"/>
        </w:rPr>
        <w:t>defending criminal proceedings in which he or she is convicted, (ii)</w:t>
      </w:r>
    </w:p>
    <w:p>
      <w:pPr>
        <w:ind w:left="6060"/>
        <w:spacing w:after="0" w:line="232" w:lineRule="auto"/>
        <w:rPr>
          <w:sz w:val="20"/>
          <w:szCs w:val="20"/>
          <w:color w:val="auto"/>
        </w:rPr>
      </w:pPr>
      <w:r>
        <w:rPr>
          <w:rFonts w:ascii="Arial" w:cs="Arial" w:eastAsia="Arial" w:hAnsi="Arial"/>
          <w:sz w:val="17"/>
          <w:szCs w:val="17"/>
          <w:color w:val="auto"/>
        </w:rPr>
        <w:t>defending civil proceedings commenced by the company or a related</w:t>
      </w:r>
    </w:p>
    <w:p>
      <w:pPr>
        <w:ind w:left="6060"/>
        <w:spacing w:after="0" w:line="233" w:lineRule="auto"/>
        <w:rPr>
          <w:sz w:val="20"/>
          <w:szCs w:val="20"/>
          <w:color w:val="auto"/>
        </w:rPr>
      </w:pPr>
      <w:r>
        <w:rPr>
          <w:rFonts w:ascii="Arial" w:cs="Arial" w:eastAsia="Arial" w:hAnsi="Arial"/>
          <w:sz w:val="17"/>
          <w:szCs w:val="17"/>
          <w:color w:val="auto"/>
        </w:rPr>
        <w:t>company against him in which judgment is given against him or (iii) in</w:t>
      </w:r>
    </w:p>
    <w:p>
      <w:pPr>
        <w:ind w:left="6060"/>
        <w:spacing w:after="0" w:line="232" w:lineRule="auto"/>
        <w:rPr>
          <w:sz w:val="20"/>
          <w:szCs w:val="20"/>
          <w:color w:val="auto"/>
        </w:rPr>
      </w:pPr>
      <w:r>
        <w:rPr>
          <w:rFonts w:ascii="Arial" w:cs="Arial" w:eastAsia="Arial" w:hAnsi="Arial"/>
          <w:sz w:val="17"/>
          <w:szCs w:val="17"/>
          <w:color w:val="auto"/>
        </w:rPr>
        <w:t>connection with an application for relief under section 76A(13) or</w:t>
      </w:r>
    </w:p>
    <w:p>
      <w:pPr>
        <w:ind w:left="6060"/>
        <w:spacing w:after="0" w:line="232" w:lineRule="auto"/>
        <w:rPr>
          <w:sz w:val="20"/>
          <w:szCs w:val="20"/>
          <w:color w:val="auto"/>
        </w:rPr>
      </w:pPr>
      <w:r>
        <w:rPr>
          <w:rFonts w:ascii="Arial" w:cs="Arial" w:eastAsia="Arial" w:hAnsi="Arial"/>
          <w:sz w:val="17"/>
          <w:szCs w:val="17"/>
          <w:color w:val="auto"/>
        </w:rPr>
        <w:t>section 391 of the Singapore Companies Act in which the court</w:t>
      </w:r>
    </w:p>
    <w:p>
      <w:pPr>
        <w:ind w:left="6060"/>
        <w:spacing w:after="0"/>
        <w:rPr>
          <w:sz w:val="20"/>
          <w:szCs w:val="20"/>
          <w:color w:val="auto"/>
        </w:rPr>
      </w:pPr>
      <w:r>
        <w:rPr>
          <w:rFonts w:ascii="Arial" w:cs="Arial" w:eastAsia="Arial" w:hAnsi="Arial"/>
          <w:sz w:val="17"/>
          <w:szCs w:val="17"/>
          <w:color w:val="auto"/>
        </w:rPr>
        <w:t>refuses to grant him relief.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Approval of Issuances of Shares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Under Delaware law, the board of directors has the authority to issue, from time to time, capital stock in its sole discretion, as long the number the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(i) for any amendment to the corporation’s certificate of incorporation to increase the authorized capital and (ii) for the issuance of stock in a direct merger transactions where the number of shares exceeds 20% of the corporation’s shares outstanding prior to the transaction, regardless of whether there sufficient authorized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161 of the Singapore Companies Act provides that notwithstanding anything in the company’s memorandum or articles, the directors shall not exercise any power to issue shares without prior approval of Company’s shareholders at a general meeting of shareholders. The affirmative vote of shareholders holding at least a majority of the ordinary shares held by the shareholders present in person or represented by proxy at the annual general meeting and entitled to vote is required for this authorization. Once this shareholders’ approval is obtained, unless previously revoked or varied by the company in general meeting, it continues in force until the conclusion of the next annual general meeting or the expiration of the period within which the next annual general meeting after that date is required by law to be held, whichever is earlier. Notwithstanding this general authorization to allot and issue our ordinary shares, WAVE will be required to seek shareholder approval with respect to future issuances of ordinary shares, where required under the NASDAQ Stock Market rules, such as if we were to propose an issuance of ordinary shares that would result in a change in control of WAVE or in connection with a transaction involving the issuance of ordinary shares representing 20% or more of our outstanding ordinary shares.</w:t>
      </w:r>
    </w:p>
    <w:p>
      <w:pPr>
        <w:sectPr>
          <w:pgSz w:w="11900" w:h="16838" w:orient="portrait"/>
          <w:cols w:equalWidth="0" w:num="2">
            <w:col w:w="5840" w:space="220"/>
            <w:col w:w="5340"/>
          </w:cols>
          <w:pgMar w:left="240" w:top="459" w:right="25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Approval of Business Combinations</w:t>
      </w:r>
    </w:p>
    <w:p>
      <w:pPr>
        <w:sectPr>
          <w:pgSz w:w="11900" w:h="16838" w:orient="portrait"/>
          <w:cols w:equalWidth="0" w:num="1">
            <w:col w:w="11400"/>
          </w:cols>
          <w:pgMar w:left="240" w:top="459" w:right="259" w:bottom="1440" w:gutter="0" w:footer="0" w:header="0"/>
        </w:sectPr>
      </w:pPr>
    </w:p>
    <w:p>
      <w:pPr>
        <w:spacing w:after="0" w:line="10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11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Delaware General Corporation Law also requires a special vote of stockholders in connection with a business combination with an “interested stockholder” as defined in section 203 of the Delaware General Corporation Law. See “—Interested Shareholders” above.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The Singapore Companies Act mandates that specified corporate actions require approval by the shareholders in a general meeting, notably:</w:t>
      </w:r>
    </w:p>
    <w:p>
      <w:pPr>
        <w:spacing w:after="0" w:line="107" w:lineRule="exact"/>
        <w:rPr>
          <w:sz w:val="20"/>
          <w:szCs w:val="20"/>
          <w:color w:val="auto"/>
        </w:rPr>
      </w:pPr>
    </w:p>
    <w:p>
      <w:pPr>
        <w:ind w:left="640" w:hanging="317"/>
        <w:spacing w:after="0" w:line="238" w:lineRule="auto"/>
        <w:tabs>
          <w:tab w:leader="none" w:pos="687"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notwithstanding anything in the company’s memorandum or articles, directors are not permitted to carry into effect any proposals for disposing of the whole or substantially the whole of the company’s undertaking or property unless those proposals have been approved by shareholders in a general meeting;</w:t>
      </w:r>
    </w:p>
    <w:p>
      <w:pPr>
        <w:spacing w:after="0" w:line="25" w:lineRule="exact"/>
        <w:rPr>
          <w:rFonts w:ascii="Arial" w:cs="Arial" w:eastAsia="Arial" w:hAnsi="Arial"/>
          <w:sz w:val="17"/>
          <w:szCs w:val="17"/>
          <w:color w:val="auto"/>
        </w:rPr>
      </w:pPr>
    </w:p>
    <w:p>
      <w:pPr>
        <w:ind w:left="640" w:right="360" w:hanging="317"/>
        <w:spacing w:after="0" w:line="258" w:lineRule="auto"/>
        <w:tabs>
          <w:tab w:leader="none" w:pos="7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may by special resolution resolve that it be wound up voluntarily or the court;</w:t>
      </w:r>
    </w:p>
    <w:p>
      <w:pPr>
        <w:spacing w:after="0" w:line="11" w:lineRule="exact"/>
        <w:rPr>
          <w:rFonts w:ascii="Arial" w:cs="Arial" w:eastAsia="Arial" w:hAnsi="Arial"/>
          <w:sz w:val="17"/>
          <w:szCs w:val="17"/>
          <w:color w:val="auto"/>
        </w:rPr>
      </w:pPr>
    </w:p>
    <w:p>
      <w:pPr>
        <w:ind w:left="640" w:right="100" w:hanging="317"/>
        <w:spacing w:after="0" w:line="241" w:lineRule="auto"/>
        <w:tabs>
          <w:tab w:leader="none" w:pos="7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subject to the memorandum of each amalgamating company, an amalgamation proposal must be approved by the shareholders of each amalgamating company via special resolution at a general meeting;</w:t>
      </w:r>
    </w:p>
    <w:p>
      <w:pPr>
        <w:spacing w:after="0" w:line="25" w:lineRule="exact"/>
        <w:rPr>
          <w:rFonts w:ascii="Arial" w:cs="Arial" w:eastAsia="Arial" w:hAnsi="Arial"/>
          <w:sz w:val="17"/>
          <w:szCs w:val="17"/>
          <w:color w:val="auto"/>
        </w:rPr>
      </w:pPr>
    </w:p>
    <w:p>
      <w:pPr>
        <w:ind w:left="700" w:hanging="377"/>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compromise or arrangement proposed between a company</w:t>
      </w:r>
    </w:p>
    <w:p>
      <w:pPr>
        <w:spacing w:after="0" w:line="1" w:lineRule="exact"/>
        <w:rPr>
          <w:sz w:val="20"/>
          <w:szCs w:val="20"/>
          <w:color w:val="auto"/>
        </w:rPr>
      </w:pPr>
    </w:p>
    <w:p>
      <w:pPr>
        <w:sectPr>
          <w:pgSz w:w="11900" w:h="16838" w:orient="portrait"/>
          <w:cols w:equalWidth="0" w:num="2">
            <w:col w:w="5740" w:space="320"/>
            <w:col w:w="5340"/>
          </w:cols>
          <w:pgMar w:left="240" w:top="459" w:right="259" w:bottom="1440" w:gutter="0" w:footer="0" w:header="0"/>
          <w:type w:val="continuous"/>
        </w:sectPr>
      </w:pPr>
    </w:p>
    <w:p>
      <w:pPr>
        <w:ind w:left="6700"/>
        <w:spacing w:after="0"/>
        <w:rPr>
          <w:sz w:val="20"/>
          <w:szCs w:val="20"/>
          <w:color w:val="auto"/>
        </w:rPr>
      </w:pPr>
      <w:r>
        <w:rPr>
          <w:rFonts w:ascii="Arial" w:cs="Arial" w:eastAsia="Arial" w:hAnsi="Arial"/>
          <w:sz w:val="17"/>
          <w:szCs w:val="17"/>
          <w:color w:val="auto"/>
        </w:rPr>
        <w:t>and its shareholders, or any class of them, must, among other</w:t>
      </w:r>
    </w:p>
    <w:p>
      <w:pPr>
        <w:ind w:left="6700"/>
        <w:spacing w:after="0" w:line="232" w:lineRule="auto"/>
        <w:rPr>
          <w:sz w:val="20"/>
          <w:szCs w:val="20"/>
          <w:color w:val="auto"/>
        </w:rPr>
      </w:pPr>
      <w:r>
        <w:rPr>
          <w:rFonts w:ascii="Arial" w:cs="Arial" w:eastAsia="Arial" w:hAnsi="Arial"/>
          <w:sz w:val="17"/>
          <w:szCs w:val="17"/>
          <w:color w:val="auto"/>
        </w:rPr>
        <w:t>things, be approved by a majority in number representing</w:t>
      </w:r>
    </w:p>
    <w:p>
      <w:pPr>
        <w:ind w:left="6700"/>
        <w:spacing w:after="0" w:line="232" w:lineRule="auto"/>
        <w:rPr>
          <w:sz w:val="20"/>
          <w:szCs w:val="20"/>
          <w:color w:val="auto"/>
        </w:rPr>
      </w:pPr>
      <w:r>
        <w:rPr>
          <w:rFonts w:ascii="Arial" w:cs="Arial" w:eastAsia="Arial" w:hAnsi="Arial"/>
          <w:sz w:val="17"/>
          <w:szCs w:val="17"/>
          <w:color w:val="auto"/>
        </w:rPr>
        <w:t>three-fourths in value of the shareholders or class of</w:t>
      </w:r>
    </w:p>
    <w:p>
      <w:pPr>
        <w:ind w:left="6700"/>
        <w:spacing w:after="0" w:line="232" w:lineRule="auto"/>
        <w:rPr>
          <w:sz w:val="20"/>
          <w:szCs w:val="20"/>
          <w:color w:val="auto"/>
        </w:rPr>
      </w:pPr>
      <w:r>
        <w:rPr>
          <w:rFonts w:ascii="Arial" w:cs="Arial" w:eastAsia="Arial" w:hAnsi="Arial"/>
          <w:sz w:val="17"/>
          <w:szCs w:val="17"/>
          <w:color w:val="auto"/>
        </w:rPr>
        <w:t>shareholders present and voting either in person or by proxy</w:t>
      </w:r>
    </w:p>
    <w:p>
      <w:pPr>
        <w:ind w:left="6700"/>
        <w:spacing w:after="0"/>
        <w:rPr>
          <w:sz w:val="20"/>
          <w:szCs w:val="20"/>
          <w:color w:val="auto"/>
        </w:rPr>
      </w:pPr>
      <w:r>
        <w:rPr>
          <w:rFonts w:ascii="Arial" w:cs="Arial" w:eastAsia="Arial" w:hAnsi="Arial"/>
          <w:sz w:val="17"/>
          <w:szCs w:val="17"/>
          <w:color w:val="auto"/>
        </w:rPr>
        <w:t>at the meeting ordered by the court; and</w:t>
      </w:r>
    </w:p>
    <w:p>
      <w:pPr>
        <w:spacing w:after="0" w:line="34" w:lineRule="exact"/>
        <w:rPr>
          <w:sz w:val="20"/>
          <w:szCs w:val="20"/>
          <w:color w:val="auto"/>
        </w:rPr>
      </w:pPr>
    </w:p>
    <w:p>
      <w:pPr>
        <w:ind w:left="6700" w:right="80" w:hanging="317"/>
        <w:spacing w:after="0" w:line="241" w:lineRule="auto"/>
        <w:tabs>
          <w:tab w:leader="none" w:pos="6795"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notwithstanding anything in the company’s memorandum or articles, the directors may not, without the prior approval of shareholders, issue shares, including shares being issued in connection with corporate actions.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Action Without A Meeting</w:t>
      </w:r>
    </w:p>
    <w:p>
      <w:pPr>
        <w:sectPr>
          <w:pgSz w:w="11900" w:h="16838" w:orient="portrait"/>
          <w:cols w:equalWidth="0" w:num="1">
            <w:col w:w="11400"/>
          </w:cols>
          <w:pgMar w:left="240" w:top="459" w:right="259" w:bottom="1440" w:gutter="0" w:footer="0" w:header="0"/>
          <w:type w:val="continuous"/>
        </w:sectPr>
      </w:pPr>
    </w:p>
    <w:p>
      <w:pPr>
        <w:spacing w:after="0" w:line="12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There are no equivalent provisions in respect of public companies which are listed on a securities exchange outside Singapore, like our company. As a result, shareholder action by written consent is not permitted.</w:t>
      </w:r>
    </w:p>
    <w:p>
      <w:pPr>
        <w:spacing w:after="0" w:line="754"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Shareholder Suits</w:t>
      </w:r>
    </w:p>
    <w:p>
      <w:pPr>
        <w:sectPr>
          <w:pgSz w:w="11900" w:h="16838" w:orient="portrait"/>
          <w:cols w:equalWidth="0" w:num="1">
            <w:col w:w="11400"/>
          </w:cols>
          <w:pgMar w:left="240" w:top="459" w:right="259" w:bottom="1440" w:gutter="0" w:footer="0" w:header="0"/>
          <w:type w:val="continuous"/>
        </w:sectPr>
      </w:pPr>
    </w:p>
    <w:p>
      <w:pPr>
        <w:spacing w:after="0" w:line="132"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Under the Delaware General Corporation Law, a stockholder may bring a derivative action on behalf of the corporation to enforce the rights of the corporation. An individual also may commence a class action suit on</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Standing</w:t>
      </w:r>
    </w:p>
    <w:p>
      <w:pPr>
        <w:spacing w:after="0" w:line="133" w:lineRule="exact"/>
        <w:rPr>
          <w:sz w:val="20"/>
          <w:szCs w:val="20"/>
          <w:color w:val="auto"/>
        </w:rPr>
      </w:pPr>
    </w:p>
    <w:p>
      <w:pPr>
        <w:jc w:val="both"/>
        <w:ind w:right="740"/>
        <w:spacing w:after="0" w:line="238" w:lineRule="auto"/>
        <w:rPr>
          <w:sz w:val="20"/>
          <w:szCs w:val="20"/>
          <w:color w:val="auto"/>
        </w:rPr>
      </w:pPr>
      <w:r>
        <w:rPr>
          <w:rFonts w:ascii="Arial" w:cs="Arial" w:eastAsia="Arial" w:hAnsi="Arial"/>
          <w:sz w:val="17"/>
          <w:szCs w:val="17"/>
          <w:color w:val="auto"/>
        </w:rPr>
        <w:t>Only registered shareholders of our company reflected in our shareholder register are recognized under Singapore law as shareholders of our company. As a</w:t>
      </w:r>
    </w:p>
    <w:p>
      <w:pPr>
        <w:sectPr>
          <w:pgSz w:w="11900" w:h="16838" w:orient="portrait"/>
          <w:cols w:equalWidth="0" w:num="2">
            <w:col w:w="5840" w:space="220"/>
            <w:col w:w="5340"/>
          </w:cols>
          <w:pgMar w:left="240" w:top="459" w:right="2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963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048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result, only registered shareholders have legal standing to institute shareholder actions against us or otherwise seek to enforce their rights as shareholders. Holders of book-entry interests in our shares will be required to exchange their book-entry interests for certificated shares and to be registered as shareholders in our shareholder register in order to institute or enforce any legal proceedings or claims against us, our directors or our executive officers relating to shareholder rights. A holder of book-entry interests may become a registered shareholder of our company by exchanging its interest in our shares for certificated shares and being registered in our shareholder register.</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Personal remedies in cases of oppression or injustice</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 shareholder may apply to the court for an order under Section 216 of the Singapore Companies Act to remedy situations where (i) the company’s affairs are being conducted or the powers of the company’s directors are being exercised in a manner oppressive to, or in disregard of the interests of one or more of the shareholders or holders of debentures of the company, including the applicant; or (ii) the company has done an act, or threatens to do an act, or the shareholders or holders of debentures have passed some resolution, which unfairly discriminates against, or is otherwise prejudicial to, one or more of the company’s shareholders or holders of debentures, including the applicant.</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Singapore courts have wide discretion as to the relief they may grant under such application, including, </w:t>
      </w:r>
      <w:r>
        <w:rPr>
          <w:rFonts w:ascii="Arial" w:cs="Arial" w:eastAsia="Arial" w:hAnsi="Arial"/>
          <w:sz w:val="17"/>
          <w:szCs w:val="17"/>
          <w:i w:val="1"/>
          <w:iCs w:val="1"/>
          <w:color w:val="auto"/>
        </w:rPr>
        <w:t>inter alia</w:t>
      </w:r>
      <w:r>
        <w:rPr>
          <w:rFonts w:ascii="Arial" w:cs="Arial" w:eastAsia="Arial" w:hAnsi="Arial"/>
          <w:sz w:val="17"/>
          <w:szCs w:val="17"/>
          <w:color w:val="auto"/>
        </w:rPr>
        <w:t>, directing or prohibiting any act or cancelling or varying any transaction or resolution, providing that the company be wound up, or authorizing civil proceedings to be brought in the name of or on behalf of the company by such person or persons and on such terms as the court directs.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actions and arbitrations</w:t>
      </w:r>
    </w:p>
    <w:p>
      <w:pPr>
        <w:spacing w:after="0" w:line="13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Singapore Companies Act has a provision which provides a mechanism enabling shareholders to apply to the court for leave to bring a derivative action or commence an arbitration on behalf of the company. Derivative actions are also allowed as a common law action.</w:t>
      </w:r>
    </w:p>
    <w:p>
      <w:pPr>
        <w:spacing w:after="0" w:line="10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Applications are generally made by shareholders of the company, but courts are given the discretion to allow such persons as they deem proper to apply (e.g., beneficial owner of shares).</w:t>
      </w:r>
    </w:p>
    <w:p>
      <w:pPr>
        <w:spacing w:after="0" w:line="107"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It should be noted that this provision of the Singapore Companies Act is primarily used by minority shareholders to bring an action or arbitration in the</w:t>
      </w:r>
    </w:p>
    <w:p>
      <w:pPr>
        <w:sectPr>
          <w:pgSz w:w="11900" w:h="16838" w:orient="portrait"/>
          <w:cols w:equalWidth="0" w:num="2">
            <w:col w:w="5840" w:space="220"/>
            <w:col w:w="536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and on behalf of the company or intervene in an action or</w:t>
      </w:r>
    </w:p>
    <w:p>
      <w:pPr>
        <w:ind w:left="6060"/>
        <w:spacing w:after="0" w:line="232" w:lineRule="auto"/>
        <w:rPr>
          <w:sz w:val="20"/>
          <w:szCs w:val="20"/>
          <w:color w:val="auto"/>
        </w:rPr>
      </w:pPr>
      <w:r>
        <w:rPr>
          <w:rFonts w:ascii="Arial" w:cs="Arial" w:eastAsia="Arial" w:hAnsi="Arial"/>
          <w:sz w:val="17"/>
          <w:szCs w:val="17"/>
          <w:color w:val="auto"/>
        </w:rPr>
        <w:t>arbitration to which the company is a party for the purpose of</w:t>
      </w:r>
    </w:p>
    <w:p>
      <w:pPr>
        <w:ind w:left="6060"/>
        <w:spacing w:after="0" w:line="232" w:lineRule="auto"/>
        <w:rPr>
          <w:sz w:val="20"/>
          <w:szCs w:val="20"/>
          <w:color w:val="auto"/>
        </w:rPr>
      </w:pPr>
      <w:r>
        <w:rPr>
          <w:rFonts w:ascii="Arial" w:cs="Arial" w:eastAsia="Arial" w:hAnsi="Arial"/>
          <w:sz w:val="17"/>
          <w:szCs w:val="17"/>
          <w:color w:val="auto"/>
        </w:rPr>
        <w:t>prosecuting, defending or discontinuing the action or arbitration on</w:t>
      </w:r>
    </w:p>
    <w:p>
      <w:pPr>
        <w:ind w:left="6060"/>
        <w:spacing w:after="0" w:line="232" w:lineRule="auto"/>
        <w:rPr>
          <w:sz w:val="20"/>
          <w:szCs w:val="20"/>
          <w:color w:val="auto"/>
        </w:rPr>
      </w:pPr>
      <w:r>
        <w:rPr>
          <w:rFonts w:ascii="Arial" w:cs="Arial" w:eastAsia="Arial" w:hAnsi="Arial"/>
          <w:sz w:val="17"/>
          <w:szCs w:val="17"/>
          <w:color w:val="auto"/>
        </w:rPr>
        <w:t>behalf of the company. Prior to commencing a derivative action or</w:t>
      </w:r>
    </w:p>
    <w:p>
      <w:pPr>
        <w:ind w:left="6060"/>
        <w:spacing w:after="0" w:line="232" w:lineRule="auto"/>
        <w:rPr>
          <w:sz w:val="20"/>
          <w:szCs w:val="20"/>
          <w:color w:val="auto"/>
        </w:rPr>
      </w:pPr>
      <w:r>
        <w:rPr>
          <w:rFonts w:ascii="Arial" w:cs="Arial" w:eastAsia="Arial" w:hAnsi="Arial"/>
          <w:sz w:val="17"/>
          <w:szCs w:val="17"/>
          <w:color w:val="auto"/>
        </w:rPr>
        <w:t>arbitration, the court must be satisfied that (i) 14 days’ notice has been</w:t>
      </w:r>
    </w:p>
    <w:p>
      <w:pPr>
        <w:ind w:left="6060"/>
        <w:spacing w:after="0" w:line="232" w:lineRule="auto"/>
        <w:rPr>
          <w:sz w:val="20"/>
          <w:szCs w:val="20"/>
          <w:color w:val="auto"/>
        </w:rPr>
      </w:pPr>
      <w:r>
        <w:rPr>
          <w:rFonts w:ascii="Arial" w:cs="Arial" w:eastAsia="Arial" w:hAnsi="Arial"/>
          <w:sz w:val="17"/>
          <w:szCs w:val="17"/>
          <w:color w:val="auto"/>
        </w:rPr>
        <w:t>given to the directors of the company of the party’s intention to</w:t>
      </w:r>
    </w:p>
    <w:p>
      <w:pPr>
        <w:ind w:left="6060"/>
        <w:spacing w:after="0" w:line="232" w:lineRule="auto"/>
        <w:rPr>
          <w:sz w:val="20"/>
          <w:szCs w:val="20"/>
          <w:color w:val="auto"/>
        </w:rPr>
      </w:pPr>
      <w:r>
        <w:rPr>
          <w:rFonts w:ascii="Arial" w:cs="Arial" w:eastAsia="Arial" w:hAnsi="Arial"/>
          <w:sz w:val="17"/>
          <w:szCs w:val="17"/>
          <w:color w:val="auto"/>
        </w:rPr>
        <w:t>commence such action or arbitration if the directors of the company do</w:t>
      </w:r>
    </w:p>
    <w:p>
      <w:pPr>
        <w:ind w:left="6060"/>
        <w:spacing w:after="0" w:line="232" w:lineRule="auto"/>
        <w:rPr>
          <w:sz w:val="20"/>
          <w:szCs w:val="20"/>
          <w:color w:val="auto"/>
        </w:rPr>
      </w:pPr>
      <w:r>
        <w:rPr>
          <w:rFonts w:ascii="Arial" w:cs="Arial" w:eastAsia="Arial" w:hAnsi="Arial"/>
          <w:sz w:val="17"/>
          <w:szCs w:val="17"/>
          <w:color w:val="auto"/>
        </w:rPr>
        <w:t>not bring, diligently prosecute or defend or discontinue the action, (ii)</w:t>
      </w:r>
    </w:p>
    <w:p>
      <w:pPr>
        <w:ind w:left="6060"/>
        <w:spacing w:after="0" w:line="233" w:lineRule="auto"/>
        <w:rPr>
          <w:sz w:val="20"/>
          <w:szCs w:val="20"/>
          <w:color w:val="auto"/>
        </w:rPr>
      </w:pPr>
      <w:r>
        <w:rPr>
          <w:rFonts w:ascii="Arial" w:cs="Arial" w:eastAsia="Arial" w:hAnsi="Arial"/>
          <w:sz w:val="17"/>
          <w:szCs w:val="17"/>
          <w:color w:val="auto"/>
        </w:rPr>
        <w:t>the party is acting in good faith and (iii) it appears to be prima facie in</w:t>
      </w:r>
    </w:p>
    <w:p>
      <w:pPr>
        <w:ind w:left="6060"/>
        <w:spacing w:after="0" w:line="232" w:lineRule="auto"/>
        <w:rPr>
          <w:sz w:val="20"/>
          <w:szCs w:val="20"/>
          <w:color w:val="auto"/>
        </w:rPr>
      </w:pPr>
      <w:r>
        <w:rPr>
          <w:rFonts w:ascii="Arial" w:cs="Arial" w:eastAsia="Arial" w:hAnsi="Arial"/>
          <w:sz w:val="17"/>
          <w:szCs w:val="17"/>
          <w:color w:val="auto"/>
        </w:rPr>
        <w:t>the interests of the company that the action be brought, prosecuted,</w:t>
      </w:r>
    </w:p>
    <w:p>
      <w:pPr>
        <w:ind w:left="6060"/>
        <w:spacing w:after="0"/>
        <w:rPr>
          <w:sz w:val="20"/>
          <w:szCs w:val="20"/>
          <w:color w:val="auto"/>
        </w:rPr>
      </w:pPr>
      <w:r>
        <w:rPr>
          <w:rFonts w:ascii="Arial" w:cs="Arial" w:eastAsia="Arial" w:hAnsi="Arial"/>
          <w:sz w:val="17"/>
          <w:szCs w:val="17"/>
          <w:color w:val="auto"/>
        </w:rPr>
        <w:t>defended or discontinued.</w:t>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Class actions</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concept of class action suits, which allows individual shareholders</w:t>
      </w:r>
    </w:p>
    <w:p>
      <w:pPr>
        <w:ind w:left="6060"/>
        <w:spacing w:after="0" w:line="232" w:lineRule="auto"/>
        <w:rPr>
          <w:sz w:val="20"/>
          <w:szCs w:val="20"/>
          <w:color w:val="auto"/>
        </w:rPr>
      </w:pPr>
      <w:r>
        <w:rPr>
          <w:rFonts w:ascii="Arial" w:cs="Arial" w:eastAsia="Arial" w:hAnsi="Arial"/>
          <w:sz w:val="17"/>
          <w:szCs w:val="17"/>
          <w:color w:val="auto"/>
        </w:rPr>
        <w:t>to bring an action seeking to represent the class or classes of</w:t>
      </w:r>
    </w:p>
    <w:p>
      <w:pPr>
        <w:ind w:left="6060"/>
        <w:spacing w:after="0" w:line="232" w:lineRule="auto"/>
        <w:rPr>
          <w:sz w:val="20"/>
          <w:szCs w:val="20"/>
          <w:color w:val="auto"/>
        </w:rPr>
      </w:pPr>
      <w:r>
        <w:rPr>
          <w:rFonts w:ascii="Arial" w:cs="Arial" w:eastAsia="Arial" w:hAnsi="Arial"/>
          <w:sz w:val="17"/>
          <w:szCs w:val="17"/>
          <w:color w:val="auto"/>
        </w:rPr>
        <w:t>shareholders, does not exist in Singapore. However, it is possible as a</w:t>
      </w:r>
    </w:p>
    <w:p>
      <w:pPr>
        <w:ind w:left="6060"/>
        <w:spacing w:after="0" w:line="232" w:lineRule="auto"/>
        <w:rPr>
          <w:sz w:val="20"/>
          <w:szCs w:val="20"/>
          <w:color w:val="auto"/>
        </w:rPr>
      </w:pPr>
      <w:r>
        <w:rPr>
          <w:rFonts w:ascii="Arial" w:cs="Arial" w:eastAsia="Arial" w:hAnsi="Arial"/>
          <w:sz w:val="17"/>
          <w:szCs w:val="17"/>
          <w:color w:val="auto"/>
        </w:rPr>
        <w:t>matter of procedure for a number of shareholders to lead an action</w:t>
      </w:r>
    </w:p>
    <w:p>
      <w:pPr>
        <w:ind w:left="6060"/>
        <w:spacing w:after="0" w:line="232" w:lineRule="auto"/>
        <w:rPr>
          <w:sz w:val="20"/>
          <w:szCs w:val="20"/>
          <w:color w:val="auto"/>
        </w:rPr>
      </w:pPr>
      <w:r>
        <w:rPr>
          <w:rFonts w:ascii="Arial" w:cs="Arial" w:eastAsia="Arial" w:hAnsi="Arial"/>
          <w:sz w:val="17"/>
          <w:szCs w:val="17"/>
          <w:color w:val="auto"/>
        </w:rPr>
        <w:t>and establish liability on behalf of themselves and other shareholders</w:t>
      </w:r>
    </w:p>
    <w:p>
      <w:pPr>
        <w:ind w:left="6060"/>
        <w:spacing w:after="0" w:line="232" w:lineRule="auto"/>
        <w:rPr>
          <w:sz w:val="20"/>
          <w:szCs w:val="20"/>
          <w:color w:val="auto"/>
        </w:rPr>
      </w:pPr>
      <w:r>
        <w:rPr>
          <w:rFonts w:ascii="Arial" w:cs="Arial" w:eastAsia="Arial" w:hAnsi="Arial"/>
          <w:sz w:val="17"/>
          <w:szCs w:val="17"/>
          <w:color w:val="auto"/>
        </w:rPr>
        <w:t>who join in or who are made parties to the action. These shareholders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are commonly known as “lead plaintiffs.”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 and Dividends; Repurchases and Redemptions</w:t>
      </w:r>
    </w:p>
    <w:p>
      <w:pPr>
        <w:sectPr>
          <w:pgSz w:w="11900" w:h="16838" w:orient="portrait"/>
          <w:cols w:equalWidth="0" w:num="1">
            <w:col w:w="11380"/>
          </w:cols>
          <w:pgMar w:left="240" w:top="459" w:right="279" w:bottom="1440" w:gutter="0" w:footer="0" w:header="0"/>
        </w:sectPr>
      </w:pP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Singapore Companies Act provides that no dividends can be paid to shareholders except out of profits.</w:t>
      </w:r>
    </w:p>
    <w:p>
      <w:pPr>
        <w:spacing w:after="0" w:line="104"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Singapore Companies Act does not provide a definition on when profits are deemed to be available for the purpose of paying dividends and this is accordingly governed by case law.</w:t>
      </w:r>
    </w:p>
    <w:p>
      <w:pPr>
        <w:spacing w:after="0" w:line="10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Our articles provide that no dividend can be paid otherwise than out of profits.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a company’s own shares</w:t>
      </w:r>
    </w:p>
    <w:p>
      <w:pPr>
        <w:spacing w:after="0" w:line="13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Singapore Companies Act generally prohibits a company from acquiring its own shares or purporting to acquire the shares of its holding company or ultimate holding company, whether directly or indirectly, in any way, subject to certain exceptions. Any contract or transaction made or entered into in contravention of the aforementioned prohibition by which a company acquires or purports to acquire its own shares or shares in its holding company or ultimate holding company is void. However, provided that it is expressly permitted to do so by its articles and subject to the special conditions of each permitted acquisition contained in the Singapore Companies Act, a company may:</w:t>
      </w:r>
    </w:p>
    <w:p>
      <w:pPr>
        <w:spacing w:after="0" w:line="114" w:lineRule="exact"/>
        <w:rPr>
          <w:sz w:val="20"/>
          <w:szCs w:val="20"/>
          <w:color w:val="auto"/>
        </w:rPr>
      </w:pPr>
    </w:p>
    <w:p>
      <w:pPr>
        <w:ind w:left="640" w:right="120" w:hanging="317"/>
        <w:spacing w:after="0" w:line="260" w:lineRule="auto"/>
        <w:tabs>
          <w:tab w:leader="none" w:pos="735"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redeem redeemable preferred shares on such terms and in such manner as is provided by its</w:t>
      </w:r>
    </w:p>
    <w:p>
      <w:pPr>
        <w:sectPr>
          <w:pgSz w:w="11900" w:h="16838" w:orient="portrait"/>
          <w:cols w:equalWidth="0" w:num="2">
            <w:col w:w="5840" w:space="220"/>
            <w:col w:w="5320"/>
          </w:cols>
          <w:pgMar w:left="240" w:top="459" w:right="27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articles of association. Preferred shares may be redeemed out of</w:t>
      </w:r>
    </w:p>
    <w:p>
      <w:pPr>
        <w:ind w:left="6060"/>
        <w:spacing w:after="0" w:line="232" w:lineRule="auto"/>
        <w:rPr>
          <w:sz w:val="20"/>
          <w:szCs w:val="20"/>
          <w:color w:val="auto"/>
        </w:rPr>
      </w:pPr>
      <w:r>
        <w:rPr>
          <w:rFonts w:ascii="Arial" w:cs="Arial" w:eastAsia="Arial" w:hAnsi="Arial"/>
          <w:sz w:val="17"/>
          <w:szCs w:val="17"/>
          <w:color w:val="auto"/>
        </w:rPr>
        <w:t>capital if all the directors make a solvency statement in relation to such</w:t>
      </w:r>
    </w:p>
    <w:p>
      <w:pPr>
        <w:ind w:left="6060"/>
        <w:spacing w:after="0" w:line="232" w:lineRule="auto"/>
        <w:rPr>
          <w:sz w:val="20"/>
          <w:szCs w:val="20"/>
          <w:color w:val="auto"/>
        </w:rPr>
      </w:pPr>
      <w:r>
        <w:rPr>
          <w:rFonts w:ascii="Arial" w:cs="Arial" w:eastAsia="Arial" w:hAnsi="Arial"/>
          <w:sz w:val="17"/>
          <w:szCs w:val="17"/>
          <w:color w:val="auto"/>
        </w:rPr>
        <w:t>redemption in accordance with the Singapore Companies Act, and the</w:t>
      </w:r>
    </w:p>
    <w:p>
      <w:pPr>
        <w:ind w:left="6060"/>
        <w:spacing w:after="0" w:line="232" w:lineRule="auto"/>
        <w:rPr>
          <w:sz w:val="20"/>
          <w:szCs w:val="20"/>
          <w:color w:val="auto"/>
        </w:rPr>
      </w:pPr>
      <w:r>
        <w:rPr>
          <w:rFonts w:ascii="Arial" w:cs="Arial" w:eastAsia="Arial" w:hAnsi="Arial"/>
          <w:sz w:val="17"/>
          <w:szCs w:val="17"/>
          <w:color w:val="auto"/>
        </w:rPr>
        <w:t>company lodges a copy of the statement with the Registrar of</w:t>
      </w:r>
    </w:p>
    <w:p>
      <w:pPr>
        <w:ind w:left="6060"/>
        <w:spacing w:after="0"/>
        <w:rPr>
          <w:sz w:val="20"/>
          <w:szCs w:val="20"/>
          <w:color w:val="auto"/>
        </w:rPr>
      </w:pPr>
      <w:r>
        <w:rPr>
          <w:rFonts w:ascii="Arial" w:cs="Arial" w:eastAsia="Arial" w:hAnsi="Arial"/>
          <w:sz w:val="17"/>
          <w:szCs w:val="17"/>
          <w:color w:val="auto"/>
        </w:rPr>
        <w:t>Companies;</w:t>
      </w:r>
    </w:p>
    <w:p>
      <w:pPr>
        <w:spacing w:after="0" w:line="23" w:lineRule="exact"/>
        <w:rPr>
          <w:sz w:val="20"/>
          <w:szCs w:val="20"/>
          <w:color w:val="auto"/>
        </w:rPr>
      </w:pPr>
    </w:p>
    <w:p>
      <w:pPr>
        <w:ind w:left="6380"/>
        <w:spacing w:after="0"/>
        <w:tabs>
          <w:tab w:leader="none" w:pos="678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whether listed on a securities exchange in Singapore or any</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securities exchange outside Singapore, or not, make an off-</w:t>
      </w:r>
    </w:p>
    <w:p>
      <w:pPr>
        <w:ind w:left="6700"/>
        <w:spacing w:after="0" w:line="232" w:lineRule="auto"/>
        <w:rPr>
          <w:sz w:val="20"/>
          <w:szCs w:val="20"/>
          <w:color w:val="auto"/>
        </w:rPr>
      </w:pPr>
      <w:r>
        <w:rPr>
          <w:rFonts w:ascii="Arial" w:cs="Arial" w:eastAsia="Arial" w:hAnsi="Arial"/>
          <w:sz w:val="17"/>
          <w:szCs w:val="17"/>
          <w:color w:val="auto"/>
        </w:rPr>
        <w:t>market purchase of its own shares in accordance with an</w:t>
      </w:r>
    </w:p>
    <w:p>
      <w:pPr>
        <w:ind w:left="6700"/>
        <w:spacing w:after="0" w:line="232" w:lineRule="auto"/>
        <w:rPr>
          <w:sz w:val="20"/>
          <w:szCs w:val="20"/>
          <w:color w:val="auto"/>
        </w:rPr>
      </w:pPr>
      <w:r>
        <w:rPr>
          <w:rFonts w:ascii="Arial" w:cs="Arial" w:eastAsia="Arial" w:hAnsi="Arial"/>
          <w:sz w:val="17"/>
          <w:szCs w:val="17"/>
          <w:color w:val="auto"/>
        </w:rPr>
        <w:t>equal access scheme authorized in advance at a general</w:t>
      </w:r>
    </w:p>
    <w:p>
      <w:pPr>
        <w:ind w:left="6700"/>
        <w:spacing w:after="0"/>
        <w:rPr>
          <w:sz w:val="20"/>
          <w:szCs w:val="20"/>
          <w:color w:val="auto"/>
        </w:rPr>
      </w:pPr>
      <w:r>
        <w:rPr>
          <w:rFonts w:ascii="Arial" w:cs="Arial" w:eastAsia="Arial" w:hAnsi="Arial"/>
          <w:sz w:val="17"/>
          <w:szCs w:val="17"/>
          <w:color w:val="auto"/>
        </w:rPr>
        <w:t>meeting;</w:t>
      </w:r>
    </w:p>
    <w:p>
      <w:pPr>
        <w:spacing w:after="0" w:line="23" w:lineRule="exact"/>
        <w:rPr>
          <w:sz w:val="20"/>
          <w:szCs w:val="20"/>
          <w:color w:val="auto"/>
        </w:rPr>
      </w:pPr>
    </w:p>
    <w:p>
      <w:pPr>
        <w:ind w:left="6380"/>
        <w:spacing w:after="0"/>
        <w:tabs>
          <w:tab w:leader="none" w:pos="67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make a selective off-market purchase of its own shares in</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accordance with an agreement authorized in advance at a</w:t>
      </w:r>
    </w:p>
    <w:p>
      <w:pPr>
        <w:ind w:left="6700"/>
        <w:spacing w:after="0" w:line="232" w:lineRule="auto"/>
        <w:rPr>
          <w:sz w:val="20"/>
          <w:szCs w:val="20"/>
          <w:color w:val="auto"/>
        </w:rPr>
      </w:pPr>
      <w:r>
        <w:rPr>
          <w:rFonts w:ascii="Arial" w:cs="Arial" w:eastAsia="Arial" w:hAnsi="Arial"/>
          <w:sz w:val="17"/>
          <w:szCs w:val="17"/>
          <w:color w:val="auto"/>
        </w:rPr>
        <w:t>general meeting by a special resolution where persons whose</w:t>
      </w:r>
    </w:p>
    <w:p>
      <w:pPr>
        <w:ind w:left="6700"/>
        <w:spacing w:after="0" w:line="232" w:lineRule="auto"/>
        <w:rPr>
          <w:sz w:val="20"/>
          <w:szCs w:val="20"/>
          <w:color w:val="auto"/>
        </w:rPr>
      </w:pPr>
      <w:r>
        <w:rPr>
          <w:rFonts w:ascii="Arial" w:cs="Arial" w:eastAsia="Arial" w:hAnsi="Arial"/>
          <w:sz w:val="17"/>
          <w:szCs w:val="17"/>
          <w:color w:val="auto"/>
        </w:rPr>
        <w:t>shares are to be acquired and their associated persons have</w:t>
      </w:r>
    </w:p>
    <w:p>
      <w:pPr>
        <w:ind w:left="6700"/>
        <w:spacing w:after="0"/>
        <w:rPr>
          <w:sz w:val="20"/>
          <w:szCs w:val="20"/>
          <w:color w:val="auto"/>
        </w:rPr>
      </w:pPr>
      <w:r>
        <w:rPr>
          <w:rFonts w:ascii="Arial" w:cs="Arial" w:eastAsia="Arial" w:hAnsi="Arial"/>
          <w:sz w:val="17"/>
          <w:szCs w:val="17"/>
          <w:color w:val="auto"/>
        </w:rPr>
        <w:t>abstained from voting; and</w:t>
      </w:r>
    </w:p>
    <w:p>
      <w:pPr>
        <w:spacing w:after="0" w:line="23" w:lineRule="exact"/>
        <w:rPr>
          <w:sz w:val="20"/>
          <w:szCs w:val="20"/>
          <w:color w:val="auto"/>
        </w:rPr>
      </w:pPr>
    </w:p>
    <w:p>
      <w:pPr>
        <w:ind w:left="6380"/>
        <w:spacing w:after="0"/>
        <w:tabs>
          <w:tab w:leader="none" w:pos="678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whether listed on a securities exchange in Singapore or any</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securities exchange outside Singapore, or not, make an</w:t>
      </w:r>
    </w:p>
    <w:p>
      <w:pPr>
        <w:ind w:left="6700"/>
        <w:spacing w:after="0" w:line="232" w:lineRule="auto"/>
        <w:rPr>
          <w:sz w:val="20"/>
          <w:szCs w:val="20"/>
          <w:color w:val="auto"/>
        </w:rPr>
      </w:pPr>
      <w:r>
        <w:rPr>
          <w:rFonts w:ascii="Arial" w:cs="Arial" w:eastAsia="Arial" w:hAnsi="Arial"/>
          <w:sz w:val="17"/>
          <w:szCs w:val="17"/>
          <w:color w:val="auto"/>
        </w:rPr>
        <w:t>acquisition of its own shares under a contingent purchase</w:t>
      </w:r>
    </w:p>
    <w:p>
      <w:pPr>
        <w:ind w:left="6700"/>
        <w:spacing w:after="0" w:line="232" w:lineRule="auto"/>
        <w:rPr>
          <w:sz w:val="20"/>
          <w:szCs w:val="20"/>
          <w:color w:val="auto"/>
        </w:rPr>
      </w:pPr>
      <w:r>
        <w:rPr>
          <w:rFonts w:ascii="Arial" w:cs="Arial" w:eastAsia="Arial" w:hAnsi="Arial"/>
          <w:sz w:val="17"/>
          <w:szCs w:val="17"/>
          <w:color w:val="auto"/>
        </w:rPr>
        <w:t>contract which has been authorized in advance at a general</w:t>
      </w:r>
    </w:p>
    <w:p>
      <w:pPr>
        <w:ind w:left="6700"/>
        <w:spacing w:after="0"/>
        <w:rPr>
          <w:sz w:val="20"/>
          <w:szCs w:val="20"/>
          <w:color w:val="auto"/>
        </w:rPr>
      </w:pPr>
      <w:r>
        <w:rPr>
          <w:rFonts w:ascii="Arial" w:cs="Arial" w:eastAsia="Arial" w:hAnsi="Arial"/>
          <w:sz w:val="17"/>
          <w:szCs w:val="17"/>
          <w:color w:val="auto"/>
        </w:rPr>
        <w:t>meeting by a special resolution.</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 company may also purchase its own shares by an order of a</w:t>
      </w:r>
    </w:p>
    <w:p>
      <w:pPr>
        <w:ind w:left="6060"/>
        <w:spacing w:after="0"/>
        <w:rPr>
          <w:sz w:val="20"/>
          <w:szCs w:val="20"/>
          <w:color w:val="auto"/>
        </w:rPr>
      </w:pPr>
      <w:r>
        <w:rPr>
          <w:rFonts w:ascii="Arial" w:cs="Arial" w:eastAsia="Arial" w:hAnsi="Arial"/>
          <w:sz w:val="17"/>
          <w:szCs w:val="17"/>
          <w:color w:val="auto"/>
        </w:rPr>
        <w:t>Singapore court.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total number of ordinary shares in any class and non-redeemable</w:t>
      </w:r>
    </w:p>
    <w:p>
      <w:pPr>
        <w:ind w:left="6060"/>
        <w:spacing w:after="0" w:line="232" w:lineRule="auto"/>
        <w:rPr>
          <w:sz w:val="20"/>
          <w:szCs w:val="20"/>
          <w:color w:val="auto"/>
        </w:rPr>
      </w:pPr>
      <w:r>
        <w:rPr>
          <w:rFonts w:ascii="Arial" w:cs="Arial" w:eastAsia="Arial" w:hAnsi="Arial"/>
          <w:sz w:val="17"/>
          <w:szCs w:val="17"/>
          <w:color w:val="auto"/>
        </w:rPr>
        <w:t>preferred shares that may be acquired by a company in a relevant</w:t>
      </w:r>
    </w:p>
    <w:p>
      <w:pPr>
        <w:ind w:left="6060"/>
        <w:spacing w:after="0" w:line="232" w:lineRule="auto"/>
        <w:rPr>
          <w:sz w:val="20"/>
          <w:szCs w:val="20"/>
          <w:color w:val="auto"/>
        </w:rPr>
      </w:pPr>
      <w:r>
        <w:rPr>
          <w:rFonts w:ascii="Arial" w:cs="Arial" w:eastAsia="Arial" w:hAnsi="Arial"/>
          <w:sz w:val="17"/>
          <w:szCs w:val="17"/>
          <w:color w:val="auto"/>
        </w:rPr>
        <w:t>period may not exceed 20% (or such other prescribed percentage) of</w:t>
      </w:r>
    </w:p>
    <w:p>
      <w:pPr>
        <w:ind w:left="6060"/>
        <w:spacing w:after="0" w:line="232" w:lineRule="auto"/>
        <w:rPr>
          <w:sz w:val="20"/>
          <w:szCs w:val="20"/>
          <w:color w:val="auto"/>
        </w:rPr>
      </w:pPr>
      <w:r>
        <w:rPr>
          <w:rFonts w:ascii="Arial" w:cs="Arial" w:eastAsia="Arial" w:hAnsi="Arial"/>
          <w:sz w:val="17"/>
          <w:szCs w:val="17"/>
          <w:color w:val="auto"/>
        </w:rPr>
        <w:t>the total number of ordinary shares, or non-redeemable preferred</w:t>
      </w:r>
    </w:p>
    <w:p>
      <w:pPr>
        <w:ind w:left="6060"/>
        <w:spacing w:after="0" w:line="232" w:lineRule="auto"/>
        <w:rPr>
          <w:sz w:val="20"/>
          <w:szCs w:val="20"/>
          <w:color w:val="auto"/>
        </w:rPr>
      </w:pPr>
      <w:r>
        <w:rPr>
          <w:rFonts w:ascii="Arial" w:cs="Arial" w:eastAsia="Arial" w:hAnsi="Arial"/>
          <w:sz w:val="17"/>
          <w:szCs w:val="17"/>
          <w:color w:val="auto"/>
        </w:rPr>
        <w:t>shares (as the case may be) in that class as of the date of the</w:t>
      </w:r>
    </w:p>
    <w:p>
      <w:pPr>
        <w:ind w:left="6060"/>
        <w:spacing w:after="0" w:line="232" w:lineRule="auto"/>
        <w:rPr>
          <w:sz w:val="20"/>
          <w:szCs w:val="20"/>
          <w:color w:val="auto"/>
        </w:rPr>
      </w:pPr>
      <w:r>
        <w:rPr>
          <w:rFonts w:ascii="Arial" w:cs="Arial" w:eastAsia="Arial" w:hAnsi="Arial"/>
          <w:sz w:val="17"/>
          <w:szCs w:val="17"/>
          <w:color w:val="auto"/>
        </w:rPr>
        <w:t>resolution to acquire the shares. Where, however, a company has</w:t>
      </w:r>
    </w:p>
    <w:p>
      <w:pPr>
        <w:ind w:left="6060"/>
        <w:spacing w:after="0" w:line="232" w:lineRule="auto"/>
        <w:rPr>
          <w:sz w:val="20"/>
          <w:szCs w:val="20"/>
          <w:color w:val="auto"/>
        </w:rPr>
      </w:pPr>
      <w:r>
        <w:rPr>
          <w:rFonts w:ascii="Arial" w:cs="Arial" w:eastAsia="Arial" w:hAnsi="Arial"/>
          <w:sz w:val="17"/>
          <w:szCs w:val="17"/>
          <w:color w:val="auto"/>
        </w:rPr>
        <w:t>reduced its share capital by a special resolution or a Singapore court</w:t>
      </w:r>
    </w:p>
    <w:p>
      <w:pPr>
        <w:ind w:left="6060"/>
        <w:spacing w:after="0" w:line="232" w:lineRule="auto"/>
        <w:rPr>
          <w:sz w:val="20"/>
          <w:szCs w:val="20"/>
          <w:color w:val="auto"/>
        </w:rPr>
      </w:pPr>
      <w:r>
        <w:rPr>
          <w:rFonts w:ascii="Arial" w:cs="Arial" w:eastAsia="Arial" w:hAnsi="Arial"/>
          <w:sz w:val="17"/>
          <w:szCs w:val="17"/>
          <w:color w:val="auto"/>
        </w:rPr>
        <w:t>made an order to such effect, the total number of ordinary shares or</w:t>
      </w:r>
    </w:p>
    <w:p>
      <w:pPr>
        <w:ind w:left="6060"/>
        <w:spacing w:after="0" w:line="233" w:lineRule="auto"/>
        <w:rPr>
          <w:sz w:val="20"/>
          <w:szCs w:val="20"/>
          <w:color w:val="auto"/>
        </w:rPr>
      </w:pPr>
      <w:r>
        <w:rPr>
          <w:rFonts w:ascii="Arial" w:cs="Arial" w:eastAsia="Arial" w:hAnsi="Arial"/>
          <w:sz w:val="17"/>
          <w:szCs w:val="17"/>
          <w:color w:val="auto"/>
        </w:rPr>
        <w:t>non-redeemable preferred shares in any class shall be taken to be the</w:t>
      </w:r>
    </w:p>
    <w:p>
      <w:pPr>
        <w:ind w:left="6060"/>
        <w:spacing w:after="0" w:line="232" w:lineRule="auto"/>
        <w:rPr>
          <w:sz w:val="20"/>
          <w:szCs w:val="20"/>
          <w:color w:val="auto"/>
        </w:rPr>
      </w:pPr>
      <w:r>
        <w:rPr>
          <w:rFonts w:ascii="Arial" w:cs="Arial" w:eastAsia="Arial" w:hAnsi="Arial"/>
          <w:sz w:val="17"/>
          <w:szCs w:val="17"/>
          <w:color w:val="auto"/>
        </w:rPr>
        <w:t>total number of ordinary shares, or non-redeemable preferred shares</w:t>
      </w:r>
    </w:p>
    <w:p>
      <w:pPr>
        <w:ind w:left="6060"/>
        <w:spacing w:after="0" w:line="232" w:lineRule="auto"/>
        <w:rPr>
          <w:sz w:val="20"/>
          <w:szCs w:val="20"/>
          <w:color w:val="auto"/>
        </w:rPr>
      </w:pPr>
      <w:r>
        <w:rPr>
          <w:rFonts w:ascii="Arial" w:cs="Arial" w:eastAsia="Arial" w:hAnsi="Arial"/>
          <w:sz w:val="17"/>
          <w:szCs w:val="17"/>
          <w:color w:val="auto"/>
        </w:rPr>
        <w:t>(as the case may be) in that class as altered by the special resolution</w:t>
      </w:r>
    </w:p>
    <w:p>
      <w:pPr>
        <w:ind w:left="6060"/>
        <w:spacing w:after="0" w:line="232" w:lineRule="auto"/>
        <w:rPr>
          <w:sz w:val="20"/>
          <w:szCs w:val="20"/>
          <w:color w:val="auto"/>
        </w:rPr>
      </w:pPr>
      <w:r>
        <w:rPr>
          <w:rFonts w:ascii="Arial" w:cs="Arial" w:eastAsia="Arial" w:hAnsi="Arial"/>
          <w:sz w:val="17"/>
          <w:szCs w:val="17"/>
          <w:color w:val="auto"/>
        </w:rPr>
        <w:t>or the order of the court. Payment, including any expenses (including</w:t>
      </w:r>
    </w:p>
    <w:p>
      <w:pPr>
        <w:ind w:left="6060"/>
        <w:spacing w:after="0" w:line="232" w:lineRule="auto"/>
        <w:rPr>
          <w:sz w:val="20"/>
          <w:szCs w:val="20"/>
          <w:color w:val="auto"/>
        </w:rPr>
      </w:pPr>
      <w:r>
        <w:rPr>
          <w:rFonts w:ascii="Arial" w:cs="Arial" w:eastAsia="Arial" w:hAnsi="Arial"/>
          <w:sz w:val="17"/>
          <w:szCs w:val="17"/>
          <w:color w:val="auto"/>
        </w:rPr>
        <w:t>brokerage or commission) incurred directly in the acquisition by the</w:t>
      </w:r>
    </w:p>
    <w:p>
      <w:pPr>
        <w:ind w:left="6060"/>
        <w:spacing w:after="0" w:line="232" w:lineRule="auto"/>
        <w:rPr>
          <w:sz w:val="20"/>
          <w:szCs w:val="20"/>
          <w:color w:val="auto"/>
        </w:rPr>
      </w:pPr>
      <w:r>
        <w:rPr>
          <w:rFonts w:ascii="Arial" w:cs="Arial" w:eastAsia="Arial" w:hAnsi="Arial"/>
          <w:sz w:val="17"/>
          <w:szCs w:val="17"/>
          <w:color w:val="auto"/>
        </w:rPr>
        <w:t>company of its own shares, may be made out of the company’s profits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or capital, provided that the company is solvent.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Financial assistance for the acquisition of shares</w:t>
      </w:r>
    </w:p>
    <w:p>
      <w:pPr>
        <w:spacing w:after="0" w:line="1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 public company or a company whose holding company or ultimate</w:t>
      </w:r>
    </w:p>
    <w:p>
      <w:pPr>
        <w:ind w:left="6060"/>
        <w:spacing w:after="0" w:line="232" w:lineRule="auto"/>
        <w:rPr>
          <w:sz w:val="20"/>
          <w:szCs w:val="20"/>
          <w:color w:val="auto"/>
        </w:rPr>
      </w:pPr>
      <w:r>
        <w:rPr>
          <w:rFonts w:ascii="Arial" w:cs="Arial" w:eastAsia="Arial" w:hAnsi="Arial"/>
          <w:sz w:val="17"/>
          <w:szCs w:val="17"/>
          <w:color w:val="auto"/>
        </w:rPr>
        <w:t>holding company is a public company may not give financial</w:t>
      </w:r>
    </w:p>
    <w:p>
      <w:pPr>
        <w:ind w:left="6060"/>
        <w:spacing w:after="0" w:line="232" w:lineRule="auto"/>
        <w:rPr>
          <w:sz w:val="20"/>
          <w:szCs w:val="20"/>
          <w:color w:val="auto"/>
        </w:rPr>
      </w:pPr>
      <w:r>
        <w:rPr>
          <w:rFonts w:ascii="Arial" w:cs="Arial" w:eastAsia="Arial" w:hAnsi="Arial"/>
          <w:sz w:val="17"/>
          <w:szCs w:val="17"/>
          <w:color w:val="auto"/>
        </w:rPr>
        <w:t>assistance to any person whether directly or indirectly for the purpose</w:t>
      </w:r>
    </w:p>
    <w:p>
      <w:pPr>
        <w:ind w:left="6060"/>
        <w:spacing w:after="0"/>
        <w:rPr>
          <w:sz w:val="20"/>
          <w:szCs w:val="20"/>
          <w:color w:val="auto"/>
        </w:rPr>
      </w:pPr>
      <w:r>
        <w:rPr>
          <w:rFonts w:ascii="Arial" w:cs="Arial" w:eastAsia="Arial" w:hAnsi="Arial"/>
          <w:sz w:val="17"/>
          <w:szCs w:val="17"/>
          <w:color w:val="auto"/>
        </w:rPr>
        <w:t>of:</w:t>
      </w:r>
    </w:p>
    <w:p>
      <w:pPr>
        <w:spacing w:after="0" w:line="104" w:lineRule="exact"/>
        <w:rPr>
          <w:sz w:val="20"/>
          <w:szCs w:val="20"/>
          <w:color w:val="auto"/>
        </w:rPr>
      </w:pPr>
    </w:p>
    <w:p>
      <w:pPr>
        <w:ind w:left="6380"/>
        <w:spacing w:after="0"/>
        <w:tabs>
          <w:tab w:leader="none" w:pos="67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the acquisition or proposed acquisition of shares in the</w:t>
      </w:r>
    </w:p>
    <w:p>
      <w:pPr>
        <w:spacing w:after="0" w:line="1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company or units of such shares; or</w:t>
      </w:r>
    </w:p>
    <w:p>
      <w:pPr>
        <w:spacing w:after="0" w:line="23" w:lineRule="exact"/>
        <w:rPr>
          <w:sz w:val="20"/>
          <w:szCs w:val="20"/>
          <w:color w:val="auto"/>
        </w:rPr>
      </w:pPr>
    </w:p>
    <w:p>
      <w:pPr>
        <w:ind w:left="6380"/>
        <w:spacing w:after="0"/>
        <w:tabs>
          <w:tab w:leader="none" w:pos="674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the acquisition or proposed acquisition of shares in its holding</w:t>
      </w:r>
    </w:p>
    <w:p>
      <w:pPr>
        <w:spacing w:after="0" w:line="1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company or ultimate holding company, or units of such</w:t>
      </w:r>
    </w:p>
    <w:p>
      <w:pPr>
        <w:ind w:left="6700"/>
        <w:spacing w:after="0"/>
        <w:rPr>
          <w:sz w:val="20"/>
          <w:szCs w:val="20"/>
          <w:color w:val="auto"/>
        </w:rPr>
      </w:pPr>
      <w:r>
        <w:rPr>
          <w:rFonts w:ascii="Arial" w:cs="Arial" w:eastAsia="Arial" w:hAnsi="Arial"/>
          <w:sz w:val="17"/>
          <w:szCs w:val="17"/>
          <w:color w:val="auto"/>
        </w:rPr>
        <w:t>shares.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Financial assistance may take the form of a loan, the giving of a</w:t>
      </w:r>
    </w:p>
    <w:p>
      <w:pPr>
        <w:ind w:left="6060"/>
        <w:spacing w:after="0" w:line="232" w:lineRule="auto"/>
        <w:rPr>
          <w:sz w:val="20"/>
          <w:szCs w:val="20"/>
          <w:color w:val="auto"/>
        </w:rPr>
      </w:pPr>
      <w:r>
        <w:rPr>
          <w:rFonts w:ascii="Arial" w:cs="Arial" w:eastAsia="Arial" w:hAnsi="Arial"/>
          <w:sz w:val="17"/>
          <w:szCs w:val="17"/>
          <w:color w:val="auto"/>
        </w:rPr>
        <w:t>guarantee, the provision of security, the release of an obligation, the</w:t>
      </w:r>
    </w:p>
    <w:p>
      <w:pPr>
        <w:ind w:left="6060"/>
        <w:spacing w:after="0"/>
        <w:rPr>
          <w:sz w:val="20"/>
          <w:szCs w:val="20"/>
          <w:color w:val="auto"/>
        </w:rPr>
      </w:pPr>
      <w:r>
        <w:rPr>
          <w:rFonts w:ascii="Arial" w:cs="Arial" w:eastAsia="Arial" w:hAnsi="Arial"/>
          <w:sz w:val="17"/>
          <w:szCs w:val="17"/>
          <w:color w:val="auto"/>
        </w:rPr>
        <w:t>release of a debt or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However, it should be noted that a company may provide financial</w:t>
      </w:r>
    </w:p>
    <w:p>
      <w:pPr>
        <w:ind w:left="6060"/>
        <w:spacing w:after="0" w:line="232" w:lineRule="auto"/>
        <w:rPr>
          <w:sz w:val="20"/>
          <w:szCs w:val="20"/>
          <w:color w:val="auto"/>
        </w:rPr>
      </w:pPr>
      <w:r>
        <w:rPr>
          <w:rFonts w:ascii="Arial" w:cs="Arial" w:eastAsia="Arial" w:hAnsi="Arial"/>
          <w:sz w:val="17"/>
          <w:szCs w:val="17"/>
          <w:color w:val="auto"/>
        </w:rPr>
        <w:t>assistance for the acquisition of its shares or shares in its holding</w:t>
      </w:r>
    </w:p>
    <w:p>
      <w:pPr>
        <w:ind w:left="6060"/>
        <w:spacing w:after="0" w:line="232" w:lineRule="auto"/>
        <w:rPr>
          <w:sz w:val="20"/>
          <w:szCs w:val="20"/>
          <w:color w:val="auto"/>
        </w:rPr>
      </w:pPr>
      <w:r>
        <w:rPr>
          <w:rFonts w:ascii="Arial" w:cs="Arial" w:eastAsia="Arial" w:hAnsi="Arial"/>
          <w:sz w:val="17"/>
          <w:szCs w:val="17"/>
          <w:color w:val="auto"/>
        </w:rPr>
        <w:t>company or ultimate holding company if it complies with the</w:t>
      </w:r>
    </w:p>
    <w:p>
      <w:pPr>
        <w:ind w:left="6060"/>
        <w:spacing w:after="0" w:line="232" w:lineRule="auto"/>
        <w:rPr>
          <w:sz w:val="20"/>
          <w:szCs w:val="20"/>
          <w:color w:val="auto"/>
        </w:rPr>
      </w:pPr>
      <w:r>
        <w:rPr>
          <w:rFonts w:ascii="Arial" w:cs="Arial" w:eastAsia="Arial" w:hAnsi="Arial"/>
          <w:sz w:val="17"/>
          <w:szCs w:val="17"/>
          <w:color w:val="auto"/>
        </w:rPr>
        <w:t>requirements (including approval by special resolution) set out in the</w:t>
      </w:r>
    </w:p>
    <w:p>
      <w:pPr>
        <w:ind w:left="6060"/>
        <w:spacing w:after="0"/>
        <w:rPr>
          <w:sz w:val="20"/>
          <w:szCs w:val="20"/>
          <w:color w:val="auto"/>
        </w:rPr>
      </w:pPr>
      <w:r>
        <w:rPr>
          <w:rFonts w:ascii="Arial" w:cs="Arial" w:eastAsia="Arial" w:hAnsi="Arial"/>
          <w:sz w:val="17"/>
          <w:szCs w:val="17"/>
          <w:color w:val="auto"/>
        </w:rPr>
        <w:t>Singapore Companies Act.</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Our articles provide that subject to the provisions of the Singapore</w:t>
      </w:r>
    </w:p>
    <w:p>
      <w:pPr>
        <w:ind w:left="6060"/>
        <w:spacing w:after="0" w:line="232" w:lineRule="auto"/>
        <w:rPr>
          <w:sz w:val="20"/>
          <w:szCs w:val="20"/>
          <w:color w:val="auto"/>
        </w:rPr>
      </w:pPr>
      <w:r>
        <w:rPr>
          <w:rFonts w:ascii="Arial" w:cs="Arial" w:eastAsia="Arial" w:hAnsi="Arial"/>
          <w:sz w:val="17"/>
          <w:szCs w:val="17"/>
          <w:color w:val="auto"/>
        </w:rPr>
        <w:t>Companies Act, we may purchase or otherwise acquire our own</w:t>
      </w:r>
    </w:p>
    <w:p>
      <w:pPr>
        <w:ind w:left="6060"/>
        <w:spacing w:after="0" w:line="232" w:lineRule="auto"/>
        <w:rPr>
          <w:sz w:val="20"/>
          <w:szCs w:val="20"/>
          <w:color w:val="auto"/>
        </w:rPr>
      </w:pPr>
      <w:r>
        <w:rPr>
          <w:rFonts w:ascii="Arial" w:cs="Arial" w:eastAsia="Arial" w:hAnsi="Arial"/>
          <w:sz w:val="17"/>
          <w:szCs w:val="17"/>
          <w:color w:val="auto"/>
        </w:rPr>
        <w:t>shares upon such terms and subject to such conditions as we may</w:t>
      </w:r>
    </w:p>
    <w:p>
      <w:pPr>
        <w:ind w:left="6060"/>
        <w:spacing w:after="0" w:line="232" w:lineRule="auto"/>
        <w:rPr>
          <w:sz w:val="20"/>
          <w:szCs w:val="20"/>
          <w:color w:val="auto"/>
        </w:rPr>
      </w:pPr>
      <w:r>
        <w:rPr>
          <w:rFonts w:ascii="Arial" w:cs="Arial" w:eastAsia="Arial" w:hAnsi="Arial"/>
          <w:sz w:val="17"/>
          <w:szCs w:val="17"/>
          <w:color w:val="auto"/>
        </w:rPr>
        <w:t>deem fit. These shares may be held as treasury shares or cancelled</w:t>
      </w:r>
    </w:p>
    <w:p>
      <w:pPr>
        <w:ind w:left="6060"/>
        <w:spacing w:after="0" w:line="232" w:lineRule="auto"/>
        <w:rPr>
          <w:sz w:val="20"/>
          <w:szCs w:val="20"/>
          <w:color w:val="auto"/>
        </w:rPr>
      </w:pPr>
      <w:r>
        <w:rPr>
          <w:rFonts w:ascii="Arial" w:cs="Arial" w:eastAsia="Arial" w:hAnsi="Arial"/>
          <w:sz w:val="17"/>
          <w:szCs w:val="17"/>
          <w:color w:val="auto"/>
        </w:rPr>
        <w:t>as provided in the Singapore Companies Act or dealt with in such</w:t>
      </w:r>
    </w:p>
    <w:p>
      <w:pPr>
        <w:ind w:left="6060"/>
        <w:spacing w:after="0" w:line="232" w:lineRule="auto"/>
        <w:rPr>
          <w:sz w:val="20"/>
          <w:szCs w:val="20"/>
          <w:color w:val="auto"/>
        </w:rPr>
      </w:pPr>
      <w:r>
        <w:rPr>
          <w:rFonts w:ascii="Arial" w:cs="Arial" w:eastAsia="Arial" w:hAnsi="Arial"/>
          <w:sz w:val="17"/>
          <w:szCs w:val="17"/>
          <w:color w:val="auto"/>
        </w:rPr>
        <w:t>manner as may be permitted under the Singapore Companies Act. On</w:t>
      </w:r>
    </w:p>
    <w:p>
      <w:pPr>
        <w:ind w:left="6060"/>
        <w:spacing w:after="0" w:line="232" w:lineRule="auto"/>
        <w:rPr>
          <w:sz w:val="20"/>
          <w:szCs w:val="20"/>
          <w:color w:val="auto"/>
        </w:rPr>
      </w:pPr>
      <w:r>
        <w:rPr>
          <w:rFonts w:ascii="Arial" w:cs="Arial" w:eastAsia="Arial" w:hAnsi="Arial"/>
          <w:sz w:val="17"/>
          <w:szCs w:val="17"/>
          <w:color w:val="auto"/>
        </w:rPr>
        <w:t>cancellation of the shares, the rights and privileges attached to those</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shares will expire.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Officers or Directors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of a corporation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Under the Singapore Companies Act, directors are not prohibited from dealing with the company, but where they have an interest in a transaction with the company, that interest must be disclosed to the board of directors. In particular, every director who is in any way, whether directly or indirectly, interested in a transaction or proposed transaction with the company must, as soon practicable after the relevant facts have come to such director’s knowledge, declare the nature of such director’s interest at a board of directors’ meeting.</w:t>
      </w:r>
    </w:p>
    <w:p>
      <w:pPr>
        <w:spacing w:after="0" w:line="10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addition, a director who holds any office or possesses any property which directly or indirectly might create interests in conflict with such director’s duties as director is required to declare the fact and the nature, character and extent of the conflict at a meeting of directors.</w:t>
      </w:r>
    </w:p>
    <w:p>
      <w:pPr>
        <w:spacing w:after="0" w:line="158"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00"/>
          </w:cols>
          <w:pgMar w:left="240" w:top="459" w:right="25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Singapore Companies Act extends the scope of this statutory duty</w:t>
      </w:r>
    </w:p>
    <w:p>
      <w:pPr>
        <w:ind w:left="6060"/>
        <w:spacing w:after="0" w:line="232" w:lineRule="auto"/>
        <w:rPr>
          <w:sz w:val="20"/>
          <w:szCs w:val="20"/>
          <w:color w:val="auto"/>
        </w:rPr>
      </w:pPr>
      <w:r>
        <w:rPr>
          <w:rFonts w:ascii="Arial" w:cs="Arial" w:eastAsia="Arial" w:hAnsi="Arial"/>
          <w:sz w:val="17"/>
          <w:szCs w:val="17"/>
          <w:color w:val="auto"/>
        </w:rPr>
        <w:t>of a director to disclose any interests by pronouncing that an interest of</w:t>
      </w:r>
    </w:p>
    <w:p>
      <w:pPr>
        <w:ind w:left="6060"/>
        <w:spacing w:after="0" w:line="232" w:lineRule="auto"/>
        <w:rPr>
          <w:sz w:val="20"/>
          <w:szCs w:val="20"/>
          <w:color w:val="auto"/>
        </w:rPr>
      </w:pPr>
      <w:r>
        <w:rPr>
          <w:rFonts w:ascii="Arial" w:cs="Arial" w:eastAsia="Arial" w:hAnsi="Arial"/>
          <w:sz w:val="17"/>
          <w:szCs w:val="17"/>
          <w:color w:val="auto"/>
        </w:rPr>
        <w:t>a member of a director’s family (including spouse, son, adopted son,</w:t>
      </w:r>
    </w:p>
    <w:p>
      <w:pPr>
        <w:ind w:left="6060"/>
        <w:spacing w:after="0" w:line="232" w:lineRule="auto"/>
        <w:rPr>
          <w:sz w:val="20"/>
          <w:szCs w:val="20"/>
          <w:color w:val="auto"/>
        </w:rPr>
      </w:pPr>
      <w:r>
        <w:rPr>
          <w:rFonts w:ascii="Arial" w:cs="Arial" w:eastAsia="Arial" w:hAnsi="Arial"/>
          <w:sz w:val="17"/>
          <w:szCs w:val="17"/>
          <w:color w:val="auto"/>
        </w:rPr>
        <w:t>step-son, daughter, adopted daughter and step-daughter) will be</w:t>
      </w:r>
    </w:p>
    <w:p>
      <w:pPr>
        <w:ind w:left="6060"/>
        <w:spacing w:after="0"/>
        <w:rPr>
          <w:sz w:val="20"/>
          <w:szCs w:val="20"/>
          <w:color w:val="auto"/>
        </w:rPr>
      </w:pPr>
      <w:r>
        <w:rPr>
          <w:rFonts w:ascii="Arial" w:cs="Arial" w:eastAsia="Arial" w:hAnsi="Arial"/>
          <w:sz w:val="17"/>
          <w:szCs w:val="17"/>
          <w:color w:val="auto"/>
        </w:rPr>
        <w:t>treated as an interest of the director.</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 director shall not be deemed to be interested or at any time</w:t>
      </w:r>
    </w:p>
    <w:p>
      <w:pPr>
        <w:ind w:left="6060"/>
        <w:spacing w:after="0" w:line="232" w:lineRule="auto"/>
        <w:rPr>
          <w:sz w:val="20"/>
          <w:szCs w:val="20"/>
          <w:color w:val="auto"/>
        </w:rPr>
      </w:pPr>
      <w:r>
        <w:rPr>
          <w:rFonts w:ascii="Arial" w:cs="Arial" w:eastAsia="Arial" w:hAnsi="Arial"/>
          <w:sz w:val="17"/>
          <w:szCs w:val="17"/>
          <w:color w:val="auto"/>
        </w:rPr>
        <w:t>interested in a transaction or proposed transaction where the interest</w:t>
      </w:r>
    </w:p>
    <w:p>
      <w:pPr>
        <w:ind w:left="6060"/>
        <w:spacing w:after="0" w:line="232" w:lineRule="auto"/>
        <w:rPr>
          <w:sz w:val="20"/>
          <w:szCs w:val="20"/>
          <w:color w:val="auto"/>
        </w:rPr>
      </w:pPr>
      <w:r>
        <w:rPr>
          <w:rFonts w:ascii="Arial" w:cs="Arial" w:eastAsia="Arial" w:hAnsi="Arial"/>
          <w:sz w:val="17"/>
          <w:szCs w:val="17"/>
          <w:color w:val="auto"/>
        </w:rPr>
        <w:t>of the director consists only of being a member or creditor of a</w:t>
      </w:r>
    </w:p>
    <w:p>
      <w:pPr>
        <w:ind w:left="6060"/>
        <w:spacing w:after="0" w:line="232" w:lineRule="auto"/>
        <w:rPr>
          <w:sz w:val="20"/>
          <w:szCs w:val="20"/>
          <w:color w:val="auto"/>
        </w:rPr>
      </w:pPr>
      <w:r>
        <w:rPr>
          <w:rFonts w:ascii="Arial" w:cs="Arial" w:eastAsia="Arial" w:hAnsi="Arial"/>
          <w:sz w:val="17"/>
          <w:szCs w:val="17"/>
          <w:color w:val="auto"/>
        </w:rPr>
        <w:t>corporation which is interested in the transaction or proposed</w:t>
      </w:r>
    </w:p>
    <w:p>
      <w:pPr>
        <w:ind w:left="6060"/>
        <w:spacing w:after="0" w:line="232" w:lineRule="auto"/>
        <w:rPr>
          <w:sz w:val="20"/>
          <w:szCs w:val="20"/>
          <w:color w:val="auto"/>
        </w:rPr>
      </w:pPr>
      <w:r>
        <w:rPr>
          <w:rFonts w:ascii="Arial" w:cs="Arial" w:eastAsia="Arial" w:hAnsi="Arial"/>
          <w:sz w:val="17"/>
          <w:szCs w:val="17"/>
          <w:color w:val="auto"/>
        </w:rPr>
        <w:t>transaction with the company if the interest may properly be regarded</w:t>
      </w:r>
    </w:p>
    <w:p>
      <w:pPr>
        <w:ind w:left="6060"/>
        <w:spacing w:after="0" w:line="232" w:lineRule="auto"/>
        <w:rPr>
          <w:sz w:val="20"/>
          <w:szCs w:val="20"/>
          <w:color w:val="auto"/>
        </w:rPr>
      </w:pPr>
      <w:r>
        <w:rPr>
          <w:rFonts w:ascii="Arial" w:cs="Arial" w:eastAsia="Arial" w:hAnsi="Arial"/>
          <w:sz w:val="17"/>
          <w:szCs w:val="17"/>
          <w:color w:val="auto"/>
        </w:rPr>
        <w:t>as immaterial. Where the transaction or the proposed transaction</w:t>
      </w:r>
    </w:p>
    <w:p>
      <w:pPr>
        <w:ind w:left="6060"/>
        <w:spacing w:after="0" w:line="232" w:lineRule="auto"/>
        <w:rPr>
          <w:sz w:val="20"/>
          <w:szCs w:val="20"/>
          <w:color w:val="auto"/>
        </w:rPr>
      </w:pPr>
      <w:r>
        <w:rPr>
          <w:rFonts w:ascii="Arial" w:cs="Arial" w:eastAsia="Arial" w:hAnsi="Arial"/>
          <w:sz w:val="17"/>
          <w:szCs w:val="17"/>
          <w:color w:val="auto"/>
        </w:rPr>
        <w:t>relates to any loan to the company, no disclosure need be made where</w:t>
      </w:r>
    </w:p>
    <w:p>
      <w:pPr>
        <w:ind w:left="6060"/>
        <w:spacing w:after="0" w:line="232" w:lineRule="auto"/>
        <w:rPr>
          <w:sz w:val="20"/>
          <w:szCs w:val="20"/>
          <w:color w:val="auto"/>
        </w:rPr>
      </w:pPr>
      <w:r>
        <w:rPr>
          <w:rFonts w:ascii="Arial" w:cs="Arial" w:eastAsia="Arial" w:hAnsi="Arial"/>
          <w:sz w:val="17"/>
          <w:szCs w:val="17"/>
          <w:color w:val="auto"/>
        </w:rPr>
        <w:t>the director has only guaranteed the repayment of such loan, unless</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articles of association provide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Further, where the transaction or the proposed transaction has been or</w:t>
      </w:r>
    </w:p>
    <w:p>
      <w:pPr>
        <w:ind w:left="6060"/>
        <w:spacing w:after="0" w:line="232" w:lineRule="auto"/>
        <w:rPr>
          <w:sz w:val="20"/>
          <w:szCs w:val="20"/>
          <w:color w:val="auto"/>
        </w:rPr>
      </w:pPr>
      <w:r>
        <w:rPr>
          <w:rFonts w:ascii="Arial" w:cs="Arial" w:eastAsia="Arial" w:hAnsi="Arial"/>
          <w:sz w:val="17"/>
          <w:szCs w:val="17"/>
          <w:color w:val="auto"/>
        </w:rPr>
        <w:t>will be made with or for the benefit of a related corporation (i.e. the</w:t>
      </w:r>
    </w:p>
    <w:p>
      <w:pPr>
        <w:ind w:left="6060"/>
        <w:spacing w:after="0" w:line="232" w:lineRule="auto"/>
        <w:rPr>
          <w:sz w:val="20"/>
          <w:szCs w:val="20"/>
          <w:color w:val="auto"/>
        </w:rPr>
      </w:pPr>
      <w:r>
        <w:rPr>
          <w:rFonts w:ascii="Arial" w:cs="Arial" w:eastAsia="Arial" w:hAnsi="Arial"/>
          <w:sz w:val="17"/>
          <w:szCs w:val="17"/>
          <w:color w:val="auto"/>
        </w:rPr>
        <w:t>holding company, subsidiary or subsidiary of a common holding</w:t>
      </w:r>
    </w:p>
    <w:p>
      <w:pPr>
        <w:ind w:left="6060"/>
        <w:spacing w:after="0" w:line="232" w:lineRule="auto"/>
        <w:rPr>
          <w:sz w:val="20"/>
          <w:szCs w:val="20"/>
          <w:color w:val="auto"/>
        </w:rPr>
      </w:pPr>
      <w:r>
        <w:rPr>
          <w:rFonts w:ascii="Arial" w:cs="Arial" w:eastAsia="Arial" w:hAnsi="Arial"/>
          <w:sz w:val="17"/>
          <w:szCs w:val="17"/>
          <w:color w:val="auto"/>
        </w:rPr>
        <w:t>company), the director shall not be deemed to be interested or at any</w:t>
      </w:r>
    </w:p>
    <w:p>
      <w:pPr>
        <w:ind w:left="6060"/>
        <w:spacing w:after="0" w:line="232" w:lineRule="auto"/>
        <w:rPr>
          <w:sz w:val="20"/>
          <w:szCs w:val="20"/>
          <w:color w:val="auto"/>
        </w:rPr>
      </w:pPr>
      <w:r>
        <w:rPr>
          <w:rFonts w:ascii="Arial" w:cs="Arial" w:eastAsia="Arial" w:hAnsi="Arial"/>
          <w:sz w:val="17"/>
          <w:szCs w:val="17"/>
          <w:color w:val="auto"/>
        </w:rPr>
        <w:t>time interested in such transaction or proposed transaction, unless the</w:t>
      </w:r>
    </w:p>
    <w:p>
      <w:pPr>
        <w:ind w:left="6060"/>
        <w:spacing w:after="0"/>
        <w:rPr>
          <w:sz w:val="20"/>
          <w:szCs w:val="20"/>
          <w:color w:val="auto"/>
        </w:rPr>
      </w:pPr>
      <w:r>
        <w:rPr>
          <w:rFonts w:ascii="Arial" w:cs="Arial" w:eastAsia="Arial" w:hAnsi="Arial"/>
          <w:sz w:val="17"/>
          <w:szCs w:val="17"/>
          <w:color w:val="auto"/>
        </w:rPr>
        <w:t>articles of association provide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Subject to specified exceptions, the Singapore Companies Act</w:t>
      </w:r>
    </w:p>
    <w:p>
      <w:pPr>
        <w:ind w:left="6060"/>
        <w:spacing w:after="0" w:line="232" w:lineRule="auto"/>
        <w:rPr>
          <w:sz w:val="20"/>
          <w:szCs w:val="20"/>
          <w:color w:val="auto"/>
        </w:rPr>
      </w:pPr>
      <w:r>
        <w:rPr>
          <w:rFonts w:ascii="Arial" w:cs="Arial" w:eastAsia="Arial" w:hAnsi="Arial"/>
          <w:sz w:val="17"/>
          <w:szCs w:val="17"/>
          <w:color w:val="auto"/>
        </w:rPr>
        <w:t>prohibits a company from making a loan to its directors or to directors</w:t>
      </w:r>
    </w:p>
    <w:p>
      <w:pPr>
        <w:ind w:left="6060"/>
        <w:spacing w:after="0" w:line="232" w:lineRule="auto"/>
        <w:rPr>
          <w:sz w:val="20"/>
          <w:szCs w:val="20"/>
          <w:color w:val="auto"/>
        </w:rPr>
      </w:pPr>
      <w:r>
        <w:rPr>
          <w:rFonts w:ascii="Arial" w:cs="Arial" w:eastAsia="Arial" w:hAnsi="Arial"/>
          <w:sz w:val="17"/>
          <w:szCs w:val="17"/>
          <w:color w:val="auto"/>
        </w:rPr>
        <w:t>of a related corporation, or giving a guarantee or security in connection</w:t>
      </w:r>
    </w:p>
    <w:p>
      <w:pPr>
        <w:ind w:left="6060"/>
        <w:spacing w:after="0" w:line="232" w:lineRule="auto"/>
        <w:rPr>
          <w:sz w:val="20"/>
          <w:szCs w:val="20"/>
          <w:color w:val="auto"/>
        </w:rPr>
      </w:pPr>
      <w:r>
        <w:rPr>
          <w:rFonts w:ascii="Arial" w:cs="Arial" w:eastAsia="Arial" w:hAnsi="Arial"/>
          <w:sz w:val="17"/>
          <w:szCs w:val="17"/>
          <w:color w:val="auto"/>
        </w:rPr>
        <w:t>with such a loan. Companies are also prohibited from making loans to</w:t>
      </w:r>
    </w:p>
    <w:p>
      <w:pPr>
        <w:ind w:left="6060"/>
        <w:spacing w:after="0" w:line="232" w:lineRule="auto"/>
        <w:rPr>
          <w:sz w:val="20"/>
          <w:szCs w:val="20"/>
          <w:color w:val="auto"/>
        </w:rPr>
      </w:pPr>
      <w:r>
        <w:rPr>
          <w:rFonts w:ascii="Arial" w:cs="Arial" w:eastAsia="Arial" w:hAnsi="Arial"/>
          <w:sz w:val="17"/>
          <w:szCs w:val="17"/>
          <w:color w:val="auto"/>
        </w:rPr>
        <w:t>its directors’ spouse or children (whether adopted or natural or step-</w:t>
      </w:r>
    </w:p>
    <w:p>
      <w:pPr>
        <w:ind w:left="6060"/>
        <w:spacing w:after="0" w:line="232" w:lineRule="auto"/>
        <w:rPr>
          <w:sz w:val="20"/>
          <w:szCs w:val="20"/>
          <w:color w:val="auto"/>
        </w:rPr>
      </w:pPr>
      <w:r>
        <w:rPr>
          <w:rFonts w:ascii="Arial" w:cs="Arial" w:eastAsia="Arial" w:hAnsi="Arial"/>
          <w:sz w:val="17"/>
          <w:szCs w:val="17"/>
          <w:color w:val="auto"/>
        </w:rPr>
        <w:t>children), or giving a guarantee or security in connection with such a</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loan.</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Subject to specified exceptions, the Singapore Companies Act</w:t>
      </w:r>
    </w:p>
    <w:p>
      <w:pPr>
        <w:ind w:left="6060"/>
        <w:spacing w:after="0" w:line="232" w:lineRule="auto"/>
        <w:rPr>
          <w:sz w:val="20"/>
          <w:szCs w:val="20"/>
          <w:color w:val="auto"/>
        </w:rPr>
      </w:pPr>
      <w:r>
        <w:rPr>
          <w:rFonts w:ascii="Arial" w:cs="Arial" w:eastAsia="Arial" w:hAnsi="Arial"/>
          <w:sz w:val="17"/>
          <w:szCs w:val="17"/>
          <w:color w:val="auto"/>
        </w:rPr>
        <w:t>prohibits a company from making a loan to another company or</w:t>
      </w:r>
    </w:p>
    <w:p>
      <w:pPr>
        <w:ind w:left="6060"/>
        <w:spacing w:after="0" w:line="232" w:lineRule="auto"/>
        <w:rPr>
          <w:sz w:val="20"/>
          <w:szCs w:val="20"/>
          <w:color w:val="auto"/>
        </w:rPr>
      </w:pPr>
      <w:r>
        <w:rPr>
          <w:rFonts w:ascii="Arial" w:cs="Arial" w:eastAsia="Arial" w:hAnsi="Arial"/>
          <w:sz w:val="17"/>
          <w:szCs w:val="17"/>
          <w:color w:val="auto"/>
        </w:rPr>
        <w:t>entering into any guarantee or providing any security in connection</w:t>
      </w:r>
    </w:p>
    <w:p>
      <w:pPr>
        <w:ind w:left="6060"/>
        <w:spacing w:after="0" w:line="232" w:lineRule="auto"/>
        <w:rPr>
          <w:sz w:val="20"/>
          <w:szCs w:val="20"/>
          <w:color w:val="auto"/>
        </w:rPr>
      </w:pPr>
      <w:r>
        <w:rPr>
          <w:rFonts w:ascii="Arial" w:cs="Arial" w:eastAsia="Arial" w:hAnsi="Arial"/>
          <w:sz w:val="17"/>
          <w:szCs w:val="17"/>
          <w:color w:val="auto"/>
        </w:rPr>
        <w:t>with a loan made to another company by a person other than the first-</w:t>
      </w:r>
    </w:p>
    <w:p>
      <w:pPr>
        <w:ind w:left="6060"/>
        <w:spacing w:after="0" w:line="232" w:lineRule="auto"/>
        <w:rPr>
          <w:sz w:val="20"/>
          <w:szCs w:val="20"/>
          <w:color w:val="auto"/>
        </w:rPr>
      </w:pPr>
      <w:r>
        <w:rPr>
          <w:rFonts w:ascii="Arial" w:cs="Arial" w:eastAsia="Arial" w:hAnsi="Arial"/>
          <w:sz w:val="17"/>
          <w:szCs w:val="17"/>
          <w:color w:val="auto"/>
        </w:rPr>
        <w:t>mentioned company, if a director or directors of the first-mentioned</w:t>
      </w:r>
    </w:p>
    <w:p>
      <w:pPr>
        <w:ind w:left="6060"/>
        <w:spacing w:after="0" w:line="232" w:lineRule="auto"/>
        <w:rPr>
          <w:sz w:val="20"/>
          <w:szCs w:val="20"/>
          <w:color w:val="auto"/>
        </w:rPr>
      </w:pPr>
      <w:r>
        <w:rPr>
          <w:rFonts w:ascii="Arial" w:cs="Arial" w:eastAsia="Arial" w:hAnsi="Arial"/>
          <w:sz w:val="17"/>
          <w:szCs w:val="17"/>
          <w:color w:val="auto"/>
        </w:rPr>
        <w:t>company is or together are interested in 20% or more of the total</w:t>
      </w:r>
    </w:p>
    <w:p>
      <w:pPr>
        <w:ind w:left="6060"/>
        <w:spacing w:after="0" w:line="232" w:lineRule="auto"/>
        <w:rPr>
          <w:sz w:val="20"/>
          <w:szCs w:val="20"/>
          <w:color w:val="auto"/>
        </w:rPr>
      </w:pPr>
      <w:r>
        <w:rPr>
          <w:rFonts w:ascii="Arial" w:cs="Arial" w:eastAsia="Arial" w:hAnsi="Arial"/>
          <w:sz w:val="17"/>
          <w:szCs w:val="17"/>
          <w:color w:val="auto"/>
        </w:rPr>
        <w:t>number of equity shares in the other company (excluding treasury</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shares).</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Such prohibition shall extend to apply to a loan, guarantee or security</w:t>
      </w:r>
    </w:p>
    <w:p>
      <w:pPr>
        <w:ind w:left="6060"/>
        <w:spacing w:after="0" w:line="232" w:lineRule="auto"/>
        <w:rPr>
          <w:sz w:val="20"/>
          <w:szCs w:val="20"/>
          <w:color w:val="auto"/>
        </w:rPr>
      </w:pPr>
      <w:r>
        <w:rPr>
          <w:rFonts w:ascii="Arial" w:cs="Arial" w:eastAsia="Arial" w:hAnsi="Arial"/>
          <w:sz w:val="17"/>
          <w:szCs w:val="17"/>
          <w:color w:val="auto"/>
        </w:rPr>
        <w:t>in connection with a loan made by a company to another company</w:t>
      </w:r>
    </w:p>
    <w:p>
      <w:pPr>
        <w:ind w:left="6060"/>
        <w:spacing w:after="0" w:line="232" w:lineRule="auto"/>
        <w:rPr>
          <w:sz w:val="20"/>
          <w:szCs w:val="20"/>
          <w:color w:val="auto"/>
        </w:rPr>
      </w:pPr>
      <w:r>
        <w:rPr>
          <w:rFonts w:ascii="Arial" w:cs="Arial" w:eastAsia="Arial" w:hAnsi="Arial"/>
          <w:sz w:val="17"/>
          <w:szCs w:val="17"/>
          <w:color w:val="auto"/>
        </w:rPr>
        <w:t>where such other company is incorporated outside Singapore, if a</w:t>
      </w:r>
    </w:p>
    <w:p>
      <w:pPr>
        <w:ind w:left="6060"/>
        <w:spacing w:after="0"/>
        <w:rPr>
          <w:sz w:val="20"/>
          <w:szCs w:val="20"/>
          <w:color w:val="auto"/>
        </w:rPr>
      </w:pPr>
      <w:r>
        <w:rPr>
          <w:rFonts w:ascii="Arial" w:cs="Arial" w:eastAsia="Arial" w:hAnsi="Arial"/>
          <w:sz w:val="17"/>
          <w:szCs w:val="17"/>
          <w:color w:val="auto"/>
        </w:rPr>
        <w:t>director or directors of the first-mentioned company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is or together are interested in 20% or more of the total number of</w:t>
      </w:r>
    </w:p>
    <w:p>
      <w:pPr>
        <w:ind w:left="6060"/>
        <w:spacing w:after="0" w:line="232" w:lineRule="auto"/>
        <w:rPr>
          <w:sz w:val="20"/>
          <w:szCs w:val="20"/>
          <w:color w:val="auto"/>
        </w:rPr>
      </w:pPr>
      <w:r>
        <w:rPr>
          <w:rFonts w:ascii="Arial" w:cs="Arial" w:eastAsia="Arial" w:hAnsi="Arial"/>
          <w:sz w:val="17"/>
          <w:szCs w:val="17"/>
          <w:color w:val="auto"/>
        </w:rPr>
        <w:t>equity shares in the other company (excluding treasure shares) or (b)</w:t>
      </w:r>
    </w:p>
    <w:p>
      <w:pPr>
        <w:ind w:left="6060"/>
        <w:spacing w:after="0" w:line="232" w:lineRule="auto"/>
        <w:rPr>
          <w:sz w:val="20"/>
          <w:szCs w:val="20"/>
          <w:color w:val="auto"/>
        </w:rPr>
      </w:pPr>
      <w:r>
        <w:rPr>
          <w:rFonts w:ascii="Arial" w:cs="Arial" w:eastAsia="Arial" w:hAnsi="Arial"/>
          <w:sz w:val="17"/>
          <w:szCs w:val="17"/>
          <w:color w:val="auto"/>
        </w:rPr>
        <w:t>in a case where the other company does not have a share capital,</w:t>
      </w:r>
    </w:p>
    <w:p>
      <w:pPr>
        <w:ind w:left="6060"/>
        <w:spacing w:after="0" w:line="232" w:lineRule="auto"/>
        <w:rPr>
          <w:sz w:val="20"/>
          <w:szCs w:val="20"/>
          <w:color w:val="auto"/>
        </w:rPr>
      </w:pPr>
      <w:r>
        <w:rPr>
          <w:rFonts w:ascii="Arial" w:cs="Arial" w:eastAsia="Arial" w:hAnsi="Arial"/>
          <w:sz w:val="17"/>
          <w:szCs w:val="17"/>
          <w:color w:val="auto"/>
        </w:rPr>
        <w:t>exercises or together exercise control over the other company whether</w:t>
      </w:r>
    </w:p>
    <w:p>
      <w:pPr>
        <w:ind w:left="6060"/>
        <w:spacing w:after="0"/>
        <w:rPr>
          <w:sz w:val="20"/>
          <w:szCs w:val="20"/>
          <w:color w:val="auto"/>
        </w:rPr>
      </w:pPr>
      <w:r>
        <w:rPr>
          <w:rFonts w:ascii="Arial" w:cs="Arial" w:eastAsia="Arial" w:hAnsi="Arial"/>
          <w:sz w:val="17"/>
          <w:szCs w:val="17"/>
          <w:color w:val="auto"/>
        </w:rPr>
        <w:t>by reason of having the power to appoint directors or otherwise.</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Singapore Companies Act also provides that an interest of a</w:t>
      </w:r>
    </w:p>
    <w:p>
      <w:pPr>
        <w:ind w:left="6060"/>
        <w:spacing w:after="0" w:line="232" w:lineRule="auto"/>
        <w:rPr>
          <w:sz w:val="20"/>
          <w:szCs w:val="20"/>
          <w:color w:val="auto"/>
        </w:rPr>
      </w:pPr>
      <w:r>
        <w:rPr>
          <w:rFonts w:ascii="Arial" w:cs="Arial" w:eastAsia="Arial" w:hAnsi="Arial"/>
          <w:sz w:val="17"/>
          <w:szCs w:val="17"/>
          <w:color w:val="auto"/>
        </w:rPr>
        <w:t>member of a director’s family (including spouse, son, adopted son,</w:t>
      </w:r>
    </w:p>
    <w:p>
      <w:pPr>
        <w:ind w:left="6060"/>
        <w:spacing w:after="0" w:line="232" w:lineRule="auto"/>
        <w:rPr>
          <w:sz w:val="20"/>
          <w:szCs w:val="20"/>
          <w:color w:val="auto"/>
        </w:rPr>
      </w:pPr>
      <w:r>
        <w:rPr>
          <w:rFonts w:ascii="Arial" w:cs="Arial" w:eastAsia="Arial" w:hAnsi="Arial"/>
          <w:sz w:val="17"/>
          <w:szCs w:val="17"/>
          <w:color w:val="auto"/>
        </w:rPr>
        <w:t>step-son, daughter, adopted daughter and step-daughter) will be</w:t>
      </w:r>
    </w:p>
    <w:p>
      <w:pPr>
        <w:ind w:left="6060"/>
        <w:spacing w:after="0"/>
        <w:rPr>
          <w:sz w:val="20"/>
          <w:szCs w:val="20"/>
          <w:color w:val="auto"/>
        </w:rPr>
      </w:pPr>
      <w:r>
        <w:rPr>
          <w:rFonts w:ascii="Arial" w:cs="Arial" w:eastAsia="Arial" w:hAnsi="Arial"/>
          <w:sz w:val="17"/>
          <w:szCs w:val="17"/>
          <w:color w:val="auto"/>
        </w:rPr>
        <w:t>treated as an interest of the director.</w:t>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It is expected that the Singapore Companies Act will be amended in</w:t>
      </w:r>
    </w:p>
    <w:p>
      <w:pPr>
        <w:ind w:left="6060"/>
        <w:spacing w:after="0" w:line="232" w:lineRule="auto"/>
        <w:rPr>
          <w:sz w:val="20"/>
          <w:szCs w:val="20"/>
          <w:color w:val="auto"/>
        </w:rPr>
      </w:pPr>
      <w:r>
        <w:rPr>
          <w:rFonts w:ascii="Arial" w:cs="Arial" w:eastAsia="Arial" w:hAnsi="Arial"/>
          <w:sz w:val="17"/>
          <w:szCs w:val="17"/>
          <w:color w:val="auto"/>
        </w:rPr>
        <w:t>the second phase of implementation of the Companies (Amendment)</w:t>
      </w:r>
    </w:p>
    <w:p>
      <w:pPr>
        <w:ind w:left="6060"/>
        <w:spacing w:after="0" w:line="232" w:lineRule="auto"/>
        <w:rPr>
          <w:sz w:val="20"/>
          <w:szCs w:val="20"/>
          <w:color w:val="auto"/>
        </w:rPr>
      </w:pPr>
      <w:r>
        <w:rPr>
          <w:rFonts w:ascii="Arial" w:cs="Arial" w:eastAsia="Arial" w:hAnsi="Arial"/>
          <w:sz w:val="17"/>
          <w:szCs w:val="17"/>
          <w:color w:val="auto"/>
        </w:rPr>
        <w:t>Act 2014 to require disclosure by the chief executive officer of his or</w:t>
      </w:r>
    </w:p>
    <w:p>
      <w:pPr>
        <w:ind w:left="6060"/>
        <w:spacing w:after="0" w:line="232" w:lineRule="auto"/>
        <w:rPr>
          <w:sz w:val="20"/>
          <w:szCs w:val="20"/>
          <w:color w:val="auto"/>
        </w:rPr>
      </w:pPr>
      <w:r>
        <w:rPr>
          <w:rFonts w:ascii="Arial" w:cs="Arial" w:eastAsia="Arial" w:hAnsi="Arial"/>
          <w:sz w:val="17"/>
          <w:szCs w:val="17"/>
          <w:color w:val="auto"/>
        </w:rPr>
        <w:t>her interest and any conflict of interest, and to allow directors and chief</w:t>
      </w:r>
    </w:p>
    <w:p>
      <w:pPr>
        <w:ind w:left="6060"/>
        <w:spacing w:after="0" w:line="232" w:lineRule="auto"/>
        <w:rPr>
          <w:sz w:val="20"/>
          <w:szCs w:val="20"/>
          <w:color w:val="auto"/>
        </w:rPr>
      </w:pPr>
      <w:r>
        <w:rPr>
          <w:rFonts w:ascii="Arial" w:cs="Arial" w:eastAsia="Arial" w:hAnsi="Arial"/>
          <w:sz w:val="17"/>
          <w:szCs w:val="17"/>
          <w:color w:val="auto"/>
        </w:rPr>
        <w:t>executive officers to make disclosure by sending a written notice to the</w:t>
      </w:r>
    </w:p>
    <w:p>
      <w:pPr>
        <w:ind w:left="6060"/>
        <w:spacing w:after="0" w:line="232" w:lineRule="auto"/>
        <w:rPr>
          <w:sz w:val="20"/>
          <w:szCs w:val="20"/>
          <w:color w:val="auto"/>
        </w:rPr>
      </w:pPr>
      <w:r>
        <w:rPr>
          <w:rFonts w:ascii="Arial" w:cs="Arial" w:eastAsia="Arial" w:hAnsi="Arial"/>
          <w:sz w:val="17"/>
          <w:szCs w:val="17"/>
          <w:color w:val="auto"/>
        </w:rPr>
        <w:t>company containing details on the nature, character and extent of his</w:t>
      </w:r>
    </w:p>
    <w:p>
      <w:pPr>
        <w:ind w:left="6060"/>
        <w:spacing w:after="0" w:line="232" w:lineRule="auto"/>
        <w:rPr>
          <w:sz w:val="20"/>
          <w:szCs w:val="20"/>
          <w:color w:val="auto"/>
        </w:rPr>
      </w:pPr>
      <w:r>
        <w:rPr>
          <w:rFonts w:ascii="Arial" w:cs="Arial" w:eastAsia="Arial" w:hAnsi="Arial"/>
          <w:sz w:val="17"/>
          <w:szCs w:val="17"/>
          <w:color w:val="auto"/>
        </w:rPr>
        <w:t>or her interest. A company will also be prohibited from, among others,</w:t>
      </w:r>
    </w:p>
    <w:p>
      <w:pPr>
        <w:ind w:left="6060"/>
        <w:spacing w:after="0" w:line="232" w:lineRule="auto"/>
        <w:rPr>
          <w:sz w:val="20"/>
          <w:szCs w:val="20"/>
          <w:color w:val="auto"/>
        </w:rPr>
      </w:pPr>
      <w:r>
        <w:rPr>
          <w:rFonts w:ascii="Arial" w:cs="Arial" w:eastAsia="Arial" w:hAnsi="Arial"/>
          <w:sz w:val="17"/>
          <w:szCs w:val="17"/>
          <w:color w:val="auto"/>
        </w:rPr>
        <w:t>(i) making a quasi-loan to and (ii) entering into a credit transaction as</w:t>
      </w:r>
    </w:p>
    <w:p>
      <w:pPr>
        <w:ind w:left="6060"/>
        <w:spacing w:after="0" w:line="233" w:lineRule="auto"/>
        <w:rPr>
          <w:sz w:val="20"/>
          <w:szCs w:val="20"/>
          <w:color w:val="auto"/>
        </w:rPr>
      </w:pPr>
      <w:r>
        <w:rPr>
          <w:rFonts w:ascii="Arial" w:cs="Arial" w:eastAsia="Arial" w:hAnsi="Arial"/>
          <w:sz w:val="17"/>
          <w:szCs w:val="17"/>
          <w:color w:val="auto"/>
        </w:rPr>
        <w:t>creditor with, its directors or directors of a related corporation. In</w:t>
      </w:r>
    </w:p>
    <w:p>
      <w:pPr>
        <w:ind w:left="6060"/>
        <w:spacing w:after="0" w:line="232" w:lineRule="auto"/>
        <w:rPr>
          <w:sz w:val="20"/>
          <w:szCs w:val="20"/>
          <w:color w:val="auto"/>
        </w:rPr>
      </w:pPr>
      <w:r>
        <w:rPr>
          <w:rFonts w:ascii="Arial" w:cs="Arial" w:eastAsia="Arial" w:hAnsi="Arial"/>
          <w:sz w:val="17"/>
          <w:szCs w:val="17"/>
          <w:color w:val="auto"/>
        </w:rPr>
        <w:t>addition, a company will also be prohibited from, among others, (i)</w:t>
      </w:r>
    </w:p>
    <w:p>
      <w:pPr>
        <w:ind w:left="6060"/>
        <w:spacing w:after="0" w:line="232" w:lineRule="auto"/>
        <w:rPr>
          <w:sz w:val="20"/>
          <w:szCs w:val="20"/>
          <w:color w:val="auto"/>
        </w:rPr>
      </w:pPr>
      <w:r>
        <w:rPr>
          <w:rFonts w:ascii="Arial" w:cs="Arial" w:eastAsia="Arial" w:hAnsi="Arial"/>
          <w:sz w:val="17"/>
          <w:szCs w:val="17"/>
          <w:color w:val="auto"/>
        </w:rPr>
        <w:t>making a quasi-loan to and (ii) entering into a credit transaction as</w:t>
      </w:r>
    </w:p>
    <w:p>
      <w:pPr>
        <w:ind w:left="6060"/>
        <w:spacing w:after="0" w:line="232" w:lineRule="auto"/>
        <w:rPr>
          <w:sz w:val="20"/>
          <w:szCs w:val="20"/>
          <w:color w:val="auto"/>
        </w:rPr>
      </w:pPr>
      <w:r>
        <w:rPr>
          <w:rFonts w:ascii="Arial" w:cs="Arial" w:eastAsia="Arial" w:hAnsi="Arial"/>
          <w:sz w:val="17"/>
          <w:szCs w:val="17"/>
          <w:color w:val="auto"/>
        </w:rPr>
        <w:t>creditor for, another company or a limited liability partnership, if a</w:t>
      </w:r>
    </w:p>
    <w:p>
      <w:pPr>
        <w:ind w:left="6060"/>
        <w:spacing w:after="0" w:line="232" w:lineRule="auto"/>
        <w:rPr>
          <w:sz w:val="20"/>
          <w:szCs w:val="20"/>
          <w:color w:val="auto"/>
        </w:rPr>
      </w:pPr>
      <w:r>
        <w:rPr>
          <w:rFonts w:ascii="Arial" w:cs="Arial" w:eastAsia="Arial" w:hAnsi="Arial"/>
          <w:sz w:val="17"/>
          <w:szCs w:val="17"/>
          <w:color w:val="auto"/>
        </w:rPr>
        <w:t>director or directors of the first-mentioned company is or together are</w:t>
      </w:r>
    </w:p>
    <w:p>
      <w:pPr>
        <w:ind w:left="6060"/>
        <w:spacing w:after="0" w:line="232" w:lineRule="auto"/>
        <w:rPr>
          <w:sz w:val="20"/>
          <w:szCs w:val="20"/>
          <w:color w:val="auto"/>
        </w:rPr>
      </w:pPr>
      <w:r>
        <w:rPr>
          <w:rFonts w:ascii="Arial" w:cs="Arial" w:eastAsia="Arial" w:hAnsi="Arial"/>
          <w:sz w:val="17"/>
          <w:szCs w:val="17"/>
          <w:color w:val="auto"/>
        </w:rPr>
        <w:t>interested in 20% or more of the total voting power in the other</w:t>
      </w:r>
    </w:p>
    <w:p>
      <w:pPr>
        <w:ind w:left="6060"/>
        <w:spacing w:after="0" w:line="232" w:lineRule="auto"/>
        <w:rPr>
          <w:sz w:val="20"/>
          <w:szCs w:val="20"/>
          <w:color w:val="auto"/>
        </w:rPr>
      </w:pPr>
      <w:r>
        <w:rPr>
          <w:rFonts w:ascii="Arial" w:cs="Arial" w:eastAsia="Arial" w:hAnsi="Arial"/>
          <w:sz w:val="17"/>
          <w:szCs w:val="17"/>
          <w:color w:val="auto"/>
        </w:rPr>
        <w:t>company or the limited liability partnership, as the case may be, unless</w:t>
      </w:r>
    </w:p>
    <w:p>
      <w:pPr>
        <w:ind w:left="6060"/>
        <w:spacing w:after="0" w:line="233" w:lineRule="auto"/>
        <w:rPr>
          <w:sz w:val="20"/>
          <w:szCs w:val="20"/>
          <w:color w:val="auto"/>
        </w:rPr>
      </w:pPr>
      <w:r>
        <w:rPr>
          <w:rFonts w:ascii="Arial" w:cs="Arial" w:eastAsia="Arial" w:hAnsi="Arial"/>
          <w:sz w:val="17"/>
          <w:szCs w:val="17"/>
          <w:color w:val="auto"/>
        </w:rPr>
        <w:t>there is prior approval by the company in general meeting for the</w:t>
      </w:r>
    </w:p>
    <w:p>
      <w:pPr>
        <w:ind w:left="6060"/>
        <w:spacing w:after="0" w:line="232" w:lineRule="auto"/>
        <w:rPr>
          <w:sz w:val="20"/>
          <w:szCs w:val="20"/>
          <w:color w:val="auto"/>
        </w:rPr>
      </w:pPr>
      <w:r>
        <w:rPr>
          <w:rFonts w:ascii="Arial" w:cs="Arial" w:eastAsia="Arial" w:hAnsi="Arial"/>
          <w:sz w:val="17"/>
          <w:szCs w:val="17"/>
          <w:color w:val="auto"/>
        </w:rPr>
        <w:t>making of, provision for or entering into the loan, quasi-loan, credit</w:t>
      </w:r>
    </w:p>
    <w:p>
      <w:pPr>
        <w:ind w:left="6060"/>
        <w:spacing w:after="0" w:line="232" w:lineRule="auto"/>
        <w:rPr>
          <w:sz w:val="20"/>
          <w:szCs w:val="20"/>
          <w:color w:val="auto"/>
        </w:rPr>
      </w:pPr>
      <w:r>
        <w:rPr>
          <w:rFonts w:ascii="Arial" w:cs="Arial" w:eastAsia="Arial" w:hAnsi="Arial"/>
          <w:sz w:val="17"/>
          <w:szCs w:val="17"/>
          <w:color w:val="auto"/>
        </w:rPr>
        <w:t>transaction, guarantee or security (as the case may be) at which the</w:t>
      </w:r>
    </w:p>
    <w:p>
      <w:pPr>
        <w:ind w:left="6060"/>
        <w:spacing w:after="0" w:line="232" w:lineRule="auto"/>
        <w:rPr>
          <w:sz w:val="20"/>
          <w:szCs w:val="20"/>
          <w:color w:val="auto"/>
        </w:rPr>
      </w:pPr>
      <w:r>
        <w:rPr>
          <w:rFonts w:ascii="Arial" w:cs="Arial" w:eastAsia="Arial" w:hAnsi="Arial"/>
          <w:sz w:val="17"/>
          <w:szCs w:val="17"/>
          <w:color w:val="auto"/>
        </w:rPr>
        <w:t>interested director or directors and his or their family members</w:t>
      </w:r>
    </w:p>
    <w:p>
      <w:pPr>
        <w:ind w:left="6060"/>
        <w:spacing w:after="0"/>
        <w:rPr>
          <w:sz w:val="20"/>
          <w:szCs w:val="20"/>
          <w:color w:val="auto"/>
        </w:rPr>
      </w:pPr>
      <w:r>
        <w:rPr>
          <w:rFonts w:ascii="Arial" w:cs="Arial" w:eastAsia="Arial" w:hAnsi="Arial"/>
          <w:sz w:val="17"/>
          <w:szCs w:val="17"/>
          <w:color w:val="auto"/>
        </w:rPr>
        <w:t>abstained from voting.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Dissenters’ Rights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There are no equivalent provisions in Singapore under the Singapore Companies Act.</w:t>
      </w:r>
    </w:p>
    <w:p>
      <w:pPr>
        <w:sectPr>
          <w:pgSz w:w="11900" w:h="16838" w:orient="portrait"/>
          <w:cols w:equalWidth="0" w:num="2">
            <w:col w:w="5840" w:space="220"/>
            <w:col w:w="5340"/>
          </w:cols>
          <w:pgMar w:left="240" w:top="459" w:right="25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00"/>
        <w:spacing w:after="0"/>
        <w:tabs>
          <w:tab w:leader="none" w:pos="83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Cumulative Voting</w:t>
      </w:r>
    </w:p>
    <w:p>
      <w:pPr>
        <w:sectPr>
          <w:pgSz w:w="11900" w:h="16838" w:orient="portrait"/>
          <w:cols w:equalWidth="0" w:num="1">
            <w:col w:w="11320"/>
          </w:cols>
          <w:pgMar w:left="240" w:top="459" w:right="339" w:bottom="1440" w:gutter="0" w:footer="0" w:header="0"/>
        </w:sectPr>
      </w:pPr>
    </w:p>
    <w:p>
      <w:pPr>
        <w:spacing w:after="0" w:line="10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There is no equivalent provision in respect of companies incorporated in Singapore.</w:t>
      </w:r>
    </w:p>
    <w:p>
      <w:pPr>
        <w:sectPr>
          <w:pgSz w:w="11900" w:h="16838" w:orient="portrait"/>
          <w:cols w:equalWidth="0" w:num="2">
            <w:col w:w="5840" w:space="220"/>
            <w:col w:w="5260"/>
          </w:cols>
          <w:pgMar w:left="240" w:top="459" w:right="33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Prior to this offering, there has been no public market for our ordinary shares. Future sales of substantial amounts of our ordinary shares in the public market, or the perception that such sales may occur, could adversely affect the prevailing market price of our ordinary shares. No prediction can be made as to the effect, if any, future sales of shares, or the availability of shares for future sales, will have on the market price of our ordinary shares prevailing from time to time. The sale of substantial amounts of our ordinary shares in the public market, or the perception that such sales could occur, could harm the prevailing market price of our ordinary shares.</w:t>
      </w:r>
    </w:p>
    <w:p>
      <w:pPr>
        <w:spacing w:after="0" w:line="150" w:lineRule="exact"/>
        <w:rPr>
          <w:sz w:val="20"/>
          <w:szCs w:val="20"/>
          <w:color w:val="auto"/>
        </w:rPr>
      </w:pPr>
    </w:p>
    <w:p>
      <w:pPr>
        <w:ind w:right="320"/>
        <w:spacing w:after="0" w:line="232" w:lineRule="auto"/>
        <w:rPr>
          <w:sz w:val="20"/>
          <w:szCs w:val="20"/>
          <w:color w:val="auto"/>
        </w:rPr>
      </w:pPr>
      <w:r>
        <w:rPr>
          <w:rFonts w:ascii="Arial" w:cs="Arial" w:eastAsia="Arial" w:hAnsi="Arial"/>
          <w:sz w:val="17"/>
          <w:szCs w:val="17"/>
          <w:color w:val="auto"/>
        </w:rPr>
        <w:t>Upon completion of this offering we will have ordinary shares outstanding. As a result of the lock-up agreements, other contractual restrictions on resale and the provisions of Rule 144, described below, our ordinary shares will be available for sale in the public market as follows:</w:t>
      </w:r>
    </w:p>
    <w:p>
      <w:pPr>
        <w:ind w:right="20" w:firstLine="8"/>
        <w:spacing w:after="0" w:line="236" w:lineRule="auto"/>
        <w:tabs>
          <w:tab w:leader="none" w:pos="1007" w:val="left"/>
        </w:tabs>
        <w:numPr>
          <w:ilvl w:val="0"/>
          <w:numId w:val="89"/>
        </w:numPr>
        <w:rPr>
          <w:rFonts w:ascii="Arial" w:cs="Arial" w:eastAsia="Arial" w:hAnsi="Arial"/>
          <w:sz w:val="17"/>
          <w:szCs w:val="17"/>
          <w:color w:val="auto"/>
        </w:rPr>
      </w:pPr>
      <w:r>
        <w:rPr>
          <w:rFonts w:ascii="Arial" w:cs="Arial" w:eastAsia="Arial" w:hAnsi="Arial"/>
          <w:sz w:val="17"/>
          <w:szCs w:val="17"/>
          <w:color w:val="auto"/>
        </w:rPr>
        <w:t>ordinary shares to be sold in this offering, plus any shares sold upon exercise of the underwriters’ option to purchase additional shares, will be freely tradable without restriction or further registration under the Securities Act (other than restrictions pursuant to lock-up agreements entered into by participants in the directed share program) and (ii) ordinary shares will be available for sale at various times after 180 days after the date of this prospectus (subject, in some cases, to volume limitations).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93"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All of the ordinary shares sold in this offering will be freely tradable without restriction or further registration under the Securities Act, except that any shares purchased by or owned by our “affiliates,” as that term is defined in Rule 144 under the Securities Act, may generally only be sold publicly in compliance with the limitations of Rule 144 described below. As defined in Rule 144, an affiliate of an issuer is a person that directly or indirectly, through one or more intermediaries, controls, or is controlled by or is under common control with, such issuer. Immediately following the completion of</w:t>
      </w:r>
    </w:p>
    <w:p>
      <w:pPr>
        <w:ind w:right="60"/>
        <w:spacing w:after="0" w:line="235" w:lineRule="auto"/>
        <w:rPr>
          <w:sz w:val="20"/>
          <w:szCs w:val="20"/>
          <w:color w:val="auto"/>
        </w:rPr>
      </w:pPr>
      <w:r>
        <w:rPr>
          <w:rFonts w:ascii="Arial" w:cs="Arial" w:eastAsia="Arial" w:hAnsi="Arial"/>
          <w:sz w:val="17"/>
          <w:szCs w:val="17"/>
          <w:color w:val="auto"/>
        </w:rPr>
        <w:t>this offering, shares, or % of our ordinary shares will be “restricted securities” as that term is used in Rule 144. Subject to contractual restrictions, including the lock-up agreement described below, the holders of these shares will be entitled to sell these shares in the public market only if the sale of such shares is registered with the SEC or if the sale of such shares qualifies for an exemption from registration under Rule 144 or any other applicable exemption under the Securities Act. At such time as these restricted shares become unrestricted and available for sale, the sale of these restricted shares, whether pursuant to Rule 144 or otherwise, may have a negative effect on the price of our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general, under Rule 144 of the Securities Act as currently in effect, once we have been subject to public company reporting requirements for at least 90 days, a person who is not deemed to have been one of our affiliates for purposes of the Securities Act at any time during 90 days preceding a sale and who has beneficially owned the shares proposed to be sold for at least six months, including the holding period of any prior owner other than our 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151"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within any three-month period beginning 90 days after the date of this prospectus, a number of shares that does not exceed the greater of:</w:t>
      </w:r>
    </w:p>
    <w:p>
      <w:pPr>
        <w:spacing w:after="0" w:line="185" w:lineRule="exact"/>
        <w:rPr>
          <w:sz w:val="20"/>
          <w:szCs w:val="20"/>
          <w:color w:val="auto"/>
        </w:rPr>
      </w:pPr>
    </w:p>
    <w:p>
      <w:pPr>
        <w:ind w:left="800" w:hanging="454"/>
        <w:spacing w:after="0"/>
        <w:tabs>
          <w:tab w:leader="none" w:pos="8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 of the number of our ordinary shares then outstanding; or</w:t>
      </w:r>
    </w:p>
    <w:p>
      <w:pPr>
        <w:spacing w:after="0" w:line="47" w:lineRule="exact"/>
        <w:rPr>
          <w:rFonts w:ascii="Arial" w:cs="Arial" w:eastAsia="Arial" w:hAnsi="Arial"/>
          <w:sz w:val="17"/>
          <w:szCs w:val="17"/>
          <w:color w:val="auto"/>
        </w:rPr>
      </w:pPr>
    </w:p>
    <w:p>
      <w:pPr>
        <w:ind w:left="800" w:right="160" w:hanging="454"/>
        <w:spacing w:after="0" w:line="243" w:lineRule="auto"/>
        <w:tabs>
          <w:tab w:leader="none" w:pos="8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average weekly trading volume of our ordinary shares during the four calendar weeks preceding the filing of a notice on Form 144 with respect to such sale.</w:t>
      </w:r>
    </w:p>
    <w:p>
      <w:pPr>
        <w:spacing w:after="0" w:line="144"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Rule 144 also provides that a person who is not deemed to have been an affiliate of ours at any time during the three months preceding a sale and who has for at least six months beneficially owned ordinary shares that are restricted securities, will be entitled to freely sell such ordinary shares subject only to the availability of current public information regarding us. A person who is not deemed to have been an affiliate of ours at any time during the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three months preceding a sale and who has beneficially owned for at least one year our ordinary shares that are restricted securities, will be entitled to freely sell such ordinary shares under Rule 144 without regard to the current public information requirements of Rule 144.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purchased shares from us in connection with a qualified compensatory share or option plan or other written agreement before the effective date of this offering is eligible to resell such shares 90 days after the effective date of this offering in reliance on Rule 144. Securities issued in reliance of Rule 701 are “restricted securities” and, subject to the contractual restrictions described below, beginning 90 days after the date of this prospectus, may be sold by persons other than “affiliates” subject only to the manner of sale provisions of Rule 144 and by “affiliates” under Rule 144 without compliance with its one year minimum holding requirement.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described above in “Certain Relationships and Related Party Transactions—Registration Rights,” following the completion of this offering, subject to the 180-day lock-up period described below, all holders of our ordinary shares and preferred shares outstanding prior to this offering will be entitled, subject to certain exceptions, to certain rights with respect to the registration under the Securities Act of the ordinary shares held by them. By exercising their registration rights and causing a large number of shares to be registered and sold in the public market, our existing shareholders could cause the price of our ordinary shares to fall. In addition, any demand to include such shares in our registration statements could have a material adverse effect on our ability to raise needed capital. We have not granted any other holders of our securities any registration rights. See “Description of Share Capital—Registration Rights” for a description of these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8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intend to file with the SEC one or more registration statements on Form S-8 under the Securities Act to register all ordinary shares ordinary shares that are issuable under the 2014 Plan. These registration statement will become effective upon filing with the SEC. Shares registered under such registration statement will be available for sale in the open market following the effective date, unless such shares are subject to vesting restrictions with us, Rule 144 restrictions applicable to our affiliates or the lock-up restrictions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and each of our directors and executive officers, and holders of all or substantially all our outstanding share capital and other securities, have agreed that, without the prior written consent of Jefferies LLC and Leerink Partners LLC on behalf of the underwriters, we and they will not (subject to certain exceptions), during the period ending 180 days after the date of this prospectus:</w:t>
      </w:r>
    </w:p>
    <w:p>
      <w:pPr>
        <w:spacing w:after="0" w:line="188" w:lineRule="exact"/>
        <w:rPr>
          <w:sz w:val="20"/>
          <w:szCs w:val="20"/>
          <w:color w:val="auto"/>
        </w:rPr>
      </w:pPr>
    </w:p>
    <w:p>
      <w:pPr>
        <w:ind w:left="800" w:right="40" w:hanging="454"/>
        <w:spacing w:after="0" w:line="236" w:lineRule="auto"/>
        <w:tabs>
          <w:tab w:leader="none" w:pos="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sell, offer to sell, contract to sell or lend, effect any short sale or establish or increase an open “put equivalent position” within the meaning of Rule 16a-1(h) under the Securities Exchange Act of 1934, as amended, pledge, hypothecate or grant any security interest in, or in any other way transfer or dispose of, directly or indirectly, any ordinary shares or any other securities convertible into or exercisable or exchangeable for ordinary shares held prior to the completion of this offering;</w:t>
      </w:r>
    </w:p>
    <w:p>
      <w:pPr>
        <w:spacing w:after="0" w:line="27" w:lineRule="exact"/>
        <w:rPr>
          <w:rFonts w:ascii="Arial" w:cs="Arial" w:eastAsia="Arial" w:hAnsi="Arial"/>
          <w:sz w:val="17"/>
          <w:szCs w:val="17"/>
          <w:color w:val="auto"/>
        </w:rPr>
      </w:pPr>
    </w:p>
    <w:p>
      <w:pPr>
        <w:jc w:val="both"/>
        <w:ind w:left="800" w:right="320" w:hanging="454"/>
        <w:spacing w:after="0" w:line="238" w:lineRule="auto"/>
        <w:tabs>
          <w:tab w:leader="none" w:pos="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enter into any swap, hedge or similar arrangement or agreement that transfers, in whole or in part, the economic risk of ownership of the ordinary shares or any other securities convertible or exercisable or exchangeable for ordinary shares held prior to the completion of this offering, regardless of whether any transaction described above is to be settled by delivery of securities, in cash or otherwise;</w:t>
      </w:r>
    </w:p>
    <w:p>
      <w:pPr>
        <w:spacing w:after="0" w:line="26" w:lineRule="exact"/>
        <w:rPr>
          <w:rFonts w:ascii="Arial" w:cs="Arial" w:eastAsia="Arial" w:hAnsi="Arial"/>
          <w:sz w:val="17"/>
          <w:szCs w:val="17"/>
          <w:color w:val="auto"/>
        </w:rPr>
      </w:pPr>
    </w:p>
    <w:p>
      <w:pPr>
        <w:ind w:left="800" w:right="180" w:hanging="454"/>
        <w:spacing w:after="0" w:line="236" w:lineRule="auto"/>
        <w:tabs>
          <w:tab w:leader="none" w:pos="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under the Securities Act of the offer and sale of any ordinary shares or securities convertible or exchangeable or exercisable for ordinary shares held prior to the completion of this offering, or cause to be filed a registration statement, prospectus or prospectus supplement (or an amendment or supplement thereto) with respect to any such registration; or</w:t>
      </w:r>
    </w:p>
    <w:p>
      <w:pPr>
        <w:spacing w:after="0" w:line="27" w:lineRule="exact"/>
        <w:rPr>
          <w:rFonts w:ascii="Arial" w:cs="Arial" w:eastAsia="Arial" w:hAnsi="Arial"/>
          <w:sz w:val="17"/>
          <w:szCs w:val="17"/>
          <w:color w:val="auto"/>
        </w:rPr>
      </w:pPr>
    </w:p>
    <w:p>
      <w:pPr>
        <w:ind w:left="800" w:hanging="454"/>
        <w:spacing w:after="0"/>
        <w:tabs>
          <w:tab w:leader="none" w:pos="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publicly announce any intention to do any of the foregoing.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see the section titled “Underwriting.”</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Subject to the limitations and qualifications stated herein, this discussion sets forth a summary of material U.S. federal income tax consequences of the purchase, ownership and disposition of the ordinary shares. The discussion is based on the U.S. Internal Revenue Code of 1986, as amended, its legislative history, final, temporary and proposed regulations thereunder, published rulings and court decisions, all as currently in effect and all subject to change at any time, possibly with retroactive effect. We cannot assure you that a change in law will not alter significantly the tax considerations described in this summary. We have not sought and do not expect to seek any rulings from the U.S. Internal Revenue Service, or the IRS, regarding the matters discussed below. There can be no assurance that the IRS will not take positions concerning the tax consequences of the purchase, ownership or disposition of our ordinary shares that differ from those discussed below.</w:t>
      </w:r>
    </w:p>
    <w:p>
      <w:pPr>
        <w:spacing w:after="0" w:line="15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discussion of the holders’ tax consequences addresses only those persons that acquire their ordinary shares in this offering and that hold those ordinary shares as capital assets (generally, property held for investment) and does not address the tax consequences to any special class of holder, including without limitation, holders of (directly, indirectly or constructively) 10% or more of the ordinary shares, dealers in securities or currencies, banks, tax-exempt organizations, qualified retirement plans, individual retirement accounts and other tax-deferred accounts, life insurance companies, financial institutions, broker-dealers, regulated investment companies, real estate investment trusts, traders in securities that elect the mark-to-market method of accounting for their securities holdings, persons that hold securities that are a hedge or that are hedged against currency or interest rate risks or that are part of a straddle, conversion or “integrated” transaction, persons that are not U.S. Holders (as defined below), persons who acquired our ordinary shares pursuant to the exercise of an employee share option or otherwise as compensation, partnerships or other entities classified as partnerships for U.S. federal income tax purposes and U.S. Holders (as defined below) whose functional currency for U.S. federal income tax purposes is not the U.S. dollar. This discussion does not address the effect of the U.S. federal alternative minimum tax, or U.S. federal gift, estate or generation-skipping transfer tax, or any state, local or foreign tax laws on a holder of ordinary shares.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discussion, a “U.S. Holder” is a beneficial owner of ordinary shares that is for U.S. federal income tax purposes:</w:t>
      </w:r>
    </w:p>
    <w:p>
      <w:pPr>
        <w:spacing w:after="0" w:line="196" w:lineRule="exact"/>
        <w:rPr>
          <w:sz w:val="20"/>
          <w:szCs w:val="20"/>
          <w:color w:val="auto"/>
        </w:rPr>
      </w:pPr>
    </w:p>
    <w:p>
      <w:pPr>
        <w:ind w:left="800" w:hanging="454"/>
        <w:spacing w:after="0"/>
        <w:tabs>
          <w:tab w:leader="none" w:pos="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47"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or under the laws of the United States, any state thereof or the District of Columbia;</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47" w:lineRule="exact"/>
        <w:rPr>
          <w:rFonts w:ascii="Arial" w:cs="Arial" w:eastAsia="Arial" w:hAnsi="Arial"/>
          <w:sz w:val="17"/>
          <w:szCs w:val="17"/>
          <w:color w:val="auto"/>
        </w:rPr>
      </w:pPr>
    </w:p>
    <w:p>
      <w:pPr>
        <w:ind w:left="800" w:right="60" w:hanging="454"/>
        <w:spacing w:after="0" w:line="238" w:lineRule="auto"/>
        <w:tabs>
          <w:tab w:leader="none" w:pos="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trust (i) if a court within the U.S. can exercise primary supervision over its administration, and one or more U.S. persons have the authority to control all of the substantial decisions of that trust, or (ii) that was in existence on August 20, 1996, and validly elected under applicable Treasury Regulations to continue to be treated as a domestic trust.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a partnership or an entity or arrangement that is treated as a partnership for U.S. federal income tax purposes holds our ordinary shares, the U.S. federal income tax treatment of a partner in the partnership will generally depend upon the status of the partner and the activities of the partnership. Partnerships that hold our ordinary shares and partners in such partnerships should consult their own tax advisors regarding the particular U.S. federal, state, local and foreign tax consequences of owning and disposing of ordinary shares.</w:t>
      </w:r>
    </w:p>
    <w:p>
      <w:pPr>
        <w:spacing w:after="0" w:line="1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color w:val="auto"/>
        </w:rPr>
        <w:t>If you are considering the purchase of our ordinary shares, you should consult your own tax advisors concerning the particular U.S. federal income tax consequences to you of the purchase, ownership and disposition of our ordinary shares, as well as the consequences to you arising under other U.S. federal tax laws and the laws of any other applicable taxing jurisdiction and any applicable tax treaty in light of your particular circumstances.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and Other Distributions</w:t>
      </w:r>
    </w:p>
    <w:p>
      <w:pPr>
        <w:spacing w:after="0" w:line="5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As described in the section titled “Dividend Policy,” we do not currently anticipate declaring or paying cash dividends to holders of our ordinary shares in the foreseeable future. However, subject to the discussion below on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passive foreign investment company rules, if we do make distributions of cash or other property in respect of our ordinary shares, other than certain pro rata distributions of ordinary shares, the U.S. dollar amount of the gross amount of any such distribution will be taxable as a dividend, to the extent paid out of our current or accumulated earnings and profits (as determined under U.S. federal income tax principles). Such income will be includable in your gross income on the day actually or constructively received by you. The amount of any distribution of property other than cash will be the fair market value of that property on the date of distribution. To the extent the amount of the distribution exceeds our current and accumulated earnings and profits (as determined under U.S. federal income tax principles), such excess amount will be treated first as a tax-free return of your tax basis in your ordinary shares, and then, to the extent such excess amount exceeds your tax basis in your ordinary shares, as capital gain. We, however, may not calculate earnings and profits in accordance with U.S. federal tax principles. In that case, we intend to treat the full amount of any distribution by us to U.S. Holders as a dividend for U.S. federal income tax purposes. The amount of the dividend will generally be treated as foreign-source dividend income to U.S. Holders. U.S. Holders of the ordinary shares that are corporations generally will not be entitled to claim a “dividends received deduction” with respect to dividends paid on the ordinary shares.</w:t>
      </w:r>
    </w:p>
    <w:p>
      <w:pPr>
        <w:spacing w:after="0" w:line="15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Dividends received by a non-corporate U.S. Holder, including an individual, may qualify for the lower rates of tax applicable to “qualified dividend income,” provided that (i) we are not a passive foreign investment company (as defined below) for our taxable year in which the dividend is paid or in the preceding taxable year, and (ii) certain holding period and other requirements are met.</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You should consult your own tax advisors regarding the availability of the lower tax rates applicable to qualified dividend income for any dividends that we pay with respect to the ordinary shares, as well as the effect of any change in applicable law.</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 U.S. Holder who pays (whether directly or through withholding) Singapore income tax with respect to dividends paid on our ordinary shares generally will be entitled, at the election of such U.S. Holder, to receive either a deduction or credit for such Singapore income tax paid. The rules relating to the determination of the foreign tax credit are complex and you should consult your own tax advisors regarding the availability of a foreign tax credit in your particular circumstances.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 of the Ordinary Shares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You will recognize gain or loss on a sale, exchange or other taxable disposition of our ordinary shares in an amount equal to the difference between the amount realized (in U.S. dollars) on the sale, exchange or taxable disposition and your tax basis (in U.S. dollars) in the ordinary shares. Subject to the passive foreign investment company rules discussed below, such gain or loss generally will be capital gain or loss. If you are a non-corporate U.S. Holder, including an individual, that has held the ordinary shares for more than one year, you will be eligible for reduced tax rates. The deductibility of capital losses is subject to limitations.</w:t>
      </w:r>
    </w:p>
    <w:p>
      <w:pPr>
        <w:spacing w:after="0" w:line="150"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Any gain or loss that you recognize on a disposition of our ordinary shares generally will be treated as U.S.-source income or loss for foreign tax credit limitation purposes. You should consult your own tax advisors regarding the proper treatment of gain or loss, as well as the availability of a foreign tax credit, in your particular circumstances.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Based on the current and anticipated value of our assets and the composition of our income and assets, we do not expect to be treated as a passive foreign investment company, or PFIC, for U.S. federal income tax purposes for our current taxable year ending December 31, 2015; however, there can be no assurance that we will not be considered a PFIC for any taxable year.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Moreover, our ability to earn specific types of income that we currently treat as non-passive for purposes of the PFIC rules is uncertain with respect to future years. Accordingly, we cannot assure you that we will not be treated as a PFIC for our current taxable year ending December 31, 2015, or for any future taxable year or that the IRS will not take a contrary position. Mintz, Levin, Cohn, Ferris, Glovsky and Popeo, P.C., our U.S. tax counsel, therefore expresses no opinion with respect to our PFIC status for any taxable year or our expectations relating to such status set forth in this paragraph.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 non-U.S. corporation will be treated as a PFIC for U.S. federal income tax purposes for any taxable year if, applying applicable look-through rules, either:</w:t>
      </w:r>
    </w:p>
    <w:p>
      <w:pPr>
        <w:spacing w:after="0" w:line="185" w:lineRule="exact"/>
        <w:rPr>
          <w:sz w:val="20"/>
          <w:szCs w:val="20"/>
          <w:color w:val="auto"/>
        </w:rPr>
      </w:pPr>
    </w:p>
    <w:p>
      <w:pPr>
        <w:ind w:left="800" w:hanging="454"/>
        <w:spacing w:after="0"/>
        <w:tabs>
          <w:tab w:leader="none" w:pos="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least 75% of its gross income for such year is passive income; or</w:t>
      </w:r>
    </w:p>
    <w:p>
      <w:pPr>
        <w:spacing w:after="0" w:line="47" w:lineRule="exact"/>
        <w:rPr>
          <w:rFonts w:ascii="Arial" w:cs="Arial" w:eastAsia="Arial" w:hAnsi="Arial"/>
          <w:sz w:val="17"/>
          <w:szCs w:val="17"/>
          <w:color w:val="auto"/>
        </w:rPr>
      </w:pPr>
    </w:p>
    <w:p>
      <w:pPr>
        <w:ind w:left="800" w:right="200" w:hanging="454"/>
        <w:spacing w:after="0" w:line="243" w:lineRule="auto"/>
        <w:tabs>
          <w:tab w:leader="none" w:pos="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least 50% of the value of its assets (determined based on a quarterly average) during such year is attributable to assets that produce or are held for the production of passive income.</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For these purposes, we will be treated as owning a proportionate share of the assets and earning a proportionate share of the income of any other corporation in which we own, directly or indirectly, at least 25% by value of the stock or shares. Subject to various exceptions, passive income generally includes dividends, interest, capital gains, royalties and rents (other than certain royalties and rents derived in the active conduct of a trade or business and not derived from a related person).</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must make a separate determination each year as to whether we are a PFIC. As a result, our PFIC status may change. Because PFIC status must be determined annually based on tests which are factual in nature, our PFIC status in future years will depend on our income, assets and activities in those years. Furthermore, because the value of our gross assets is likely to be determined in large part by reference to our market capitalization and the value of our goodwill, a decline in the value of our shares could affect the determination of whether we are a PFIC. There can be no assurance that we will not be considered a PFIC for any taxable year. If we are a PFIC for any taxable year during which you hold ordinary shares, we generally will continue to be treated as a PFIC for all succeeding years during which you hold the ordinary shares. However, if we cease to be a PFIC, you may avoid some of the adverse effects of the PFIC regime by making a “deemed sale” election with respect to the ordinary shares, as applicable.</w:t>
      </w:r>
    </w:p>
    <w:p>
      <w:pPr>
        <w:spacing w:after="0" w:line="15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If we are or become a PFIC in a taxable year in which we pay a dividend or the prior taxable year, the preferential tax rates discussed above with respect to dividends paid to non-corporate U.S. Holders would not apply. In addition, if we are a PFIC for any taxable year during which you hold ordinary shares, in the absence of a “qualifying electing fund” election (which, as noted below, will not be available to you), you will be subject to special tax rules with respect to any “excess distribution” that you receive and any gain you realize from a sale or other disposition (including, under certain circumstances, a pledge) of the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ordinary shares will be treated as an excess distribution. Under these special tax rules:</w:t>
      </w:r>
    </w:p>
    <w:p>
      <w:pPr>
        <w:spacing w:after="0" w:line="192" w:lineRule="exact"/>
        <w:rPr>
          <w:sz w:val="20"/>
          <w:szCs w:val="20"/>
          <w:color w:val="auto"/>
        </w:rPr>
      </w:pPr>
    </w:p>
    <w:p>
      <w:pPr>
        <w:ind w:left="800" w:hanging="454"/>
        <w:spacing w:after="0"/>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excess distribution or gain will be allocated ratably over your holding period for the ordinary shares,</w:t>
      </w:r>
    </w:p>
    <w:p>
      <w:pPr>
        <w:spacing w:after="0" w:line="47" w:lineRule="exact"/>
        <w:rPr>
          <w:rFonts w:ascii="Arial" w:cs="Arial" w:eastAsia="Arial" w:hAnsi="Arial"/>
          <w:sz w:val="17"/>
          <w:szCs w:val="17"/>
          <w:color w:val="auto"/>
        </w:rPr>
      </w:pPr>
    </w:p>
    <w:p>
      <w:pPr>
        <w:ind w:left="800" w:right="420" w:hanging="454"/>
        <w:spacing w:after="0" w:line="243" w:lineRule="auto"/>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amount allocated to the current taxable year, and any taxable year prior to the first taxable year in which we became a PFIC, will be treated as ordinary income, and</w:t>
      </w:r>
    </w:p>
    <w:p>
      <w:pPr>
        <w:spacing w:after="0" w:line="22" w:lineRule="exact"/>
        <w:rPr>
          <w:rFonts w:ascii="Arial" w:cs="Arial" w:eastAsia="Arial" w:hAnsi="Arial"/>
          <w:sz w:val="17"/>
          <w:szCs w:val="17"/>
          <w:color w:val="auto"/>
        </w:rPr>
      </w:pPr>
    </w:p>
    <w:p>
      <w:pPr>
        <w:jc w:val="both"/>
        <w:ind w:left="800" w:hanging="454"/>
        <w:spacing w:after="0" w:line="243" w:lineRule="auto"/>
        <w:tabs>
          <w:tab w:leader="none" w:pos="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individuals or corporations, as appropriate, for that year and the interest charge generally applicable to underpayments of tax will be imposed on the resulting tax attributable to each such year.</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tax liability for amounts allocated to years prior to the year of disposition or “excess distribution” cannot be offset by any net operating losses for such years, and gains (but not losses) realized on the sale of the ordinary shares cannot be treated as capital, even if you hold the ordinary shares as capital assets.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are treated as a PFIC with respect to you for any taxable year, to the extent any of our subsidiaries are also PFICs, you will be deemed to own shares in such lower-tier PFICs that are directly or indirectly owned by us in the proportion that the value of the ordinary shares you own bears to the value of all of our ordinary shares, and you may be subject to the rules described in the preceding paragraphs with respect to the shares of such lower-tier PFICs you are deemed to own. You should consult your own tax advisor regarding the application of the PFIC rules to any of our subsidiaries.</w:t>
      </w:r>
    </w:p>
    <w:p>
      <w:pPr>
        <w:spacing w:after="0" w:line="149"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In certain circumstances, a U.S. Holder of shares in a PFIC may avoid the adverse tax consequences described above by making a “qualified electing fund” election to include in income its pro rata share of the corporation’s income on a current basis. However, you may make a qualified electing fund election with respect to your ordinary shares only if we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Alternatively, a U.S. Holder of “marketable stock” (as defined below) in a PFIC may make a mark-to-market election with respect to such stock to elect out of the tax treatment discussed above. If you make a valid mark-to-market election for the ordinary shares you will include in income each year an amount equal to the excess, if any, of the fair market value of the ordinary shares as of the close of your taxable year over your adjusted basis in such ordinary shares. You are allowed a deduction for the excess, if any, of the adjusted basis of the ordinary shares over their fair market value as of the close of the taxable year. However, deductions are allowable only to the extent of any net mark-to-market gains on the ordinary shares included in your income for prior taxable years. Amounts included in your income under a mark-to-market election, as well as gain on the actual sale or other disposition of the ordinary shares, are treated as ordinary income. Ordinary loss treatment also applies to the deductible portion of any mark-to-market loss on the ordinary shares, as well as to any loss realized on the actual sale or disposition of the ordinary shares, to the extent that the amount of such loss does not exceed the net mark-to-market gains previously included for such ordinary shares. Your basis in the ordinary shares will be adjusted to reflect any such income or loss amounts. If you make such an election, the tax rules that apply to distributions by corporations that are not PFICs would apply to distributions by us, except that the preferential tax rate discussed above under “—Dividends and Other Distributions” would not apply. U.S. Holders should consult their tax advisers regarding the availability and advisability of making a mark-to-market election in their particular circumstances.</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The mark-to-market election is available only for “marketable stock,” which is stock that is traded in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quantities on at least 15 days during each calendar quarter “regularly traded” on a qualified exchange or other market, as defined in applicable U.S. Treasury regulations. The NASDAQ Global Market is a qualified exchange. We anticipate that our ordinary shares will be regularly traded on the NASDAQ Global Market, and therefore, in 2015 and any subsequent year in which our ordinary shares continue to be regularly traded, the mark-to-market election would be available to a holder of our ordinary shares if we become a PFIC. If any of our subsidiaries are or become PFICs, 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If you hold ordinary shares in any year in which we are a PFIC, you will also be subject to annual information reporting requirements.</w:t>
      </w:r>
    </w:p>
    <w:p>
      <w:pPr>
        <w:spacing w:after="0" w:line="156"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The PFIC rules are complex, and you should consult your own tax advisors regarding the application of the PFIC rules to your investment in our ordinary shares and the availability, application and consequences of the elections discussed above.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Unless an exception applies, information reporting to the IRS generally will be required with respect to payments on the ordinary shares and proceeds of the sale of the ordinary shares paid to U.S. Holders, other than corporations and other exempt recipients. Backup withholding, currently at the rate of 28%, may apply to those payments if such a holder fails to provide a taxpayer identification number to the paying agent and to certify that no loss of exemption from backup withholding has occurred. The amounts withheld under the backup withholding rules are not an additional tax and may be refunded, or credited against the holder’s U.S. federal income tax liability, if any, provided the required information is furnished to the IRS.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certain U.S. Holders who are individuals that hold certain foreign financial assets (which may include the ordinary shares), or who have a beneficial interest in or signatory authority over certain foreign financial accounts, are required to report information relating to such assets or accounts, subject to certain exceptions.</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You should consult your own tax advisor regarding the application of the information reporting and backup withholding requirements to your particular situation.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Medicare Tax</w:t>
      </w:r>
    </w:p>
    <w:p>
      <w:pPr>
        <w:spacing w:after="0" w:line="5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Certain U.S. Holders that are individuals, estates or trusts are required to pay up to an additional 3.8% tax on, among other things, interest, dividends and gains from the sale or other disposition of capital assets. Special rules apply and certain elections are available for certain U.S. Holders that are subject to the 3.8% tax on net investment income and hold shares in a PFIC. Each U.S. Holder that is an individual, estate or trust should consult its own tax advisors regarding the effect, if any, of this tax provision on their ownership and disposition of ordinary shares.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with Respect to Foreign Financial Assets</w:t>
      </w:r>
    </w:p>
    <w:p>
      <w:pPr>
        <w:spacing w:after="0" w:line="54"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Certain U.S. Holders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the effect, if any, of this requirement on their ownership and disposition of the ordinary shares.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Reporting Requirements</w:t>
      </w:r>
    </w:p>
    <w:p>
      <w:pPr>
        <w:spacing w:after="0" w:line="5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A U.S. Holder (including a U.S. tax-exempt entity) that acquires equity of a non-U.S. corporation may be required to file a Form 926 or a similar form with the IRS under certain circumstances. Penalties may be imposed upon a U.S. Holder that fails to comply with the reporting requirements. U.S. Holders should consult their tax advisers regarding the applicability of this requirement to the acquisition or disposition of the ordinary shares.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Reportable Transactions</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a U.S. Holder sells or disposes of the ordinary shares at a loss or otherwise incurs certain losses that meet certain thresholds, such U.S. Holder may be required to file a disclosure statement with the IRS. Failure to comply with these and other reporting requirements could result in the imposition of significant penalties.</w:t>
      </w:r>
    </w:p>
    <w:p>
      <w:pPr>
        <w:spacing w:after="0" w:line="128"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b w:val="1"/>
          <w:bCs w:val="1"/>
          <w:color w:val="auto"/>
        </w:rPr>
        <w:t>POTENTIAL PURCHASERS OF OUR ORDINARY SHARES ARE URGED TO CONSULT THEIR OWN TAX ADVISORS TO DETERMINE THE U.S. FEDERAL, STATE, LOCAL, AND NON-U.S. INCOME, GIFT, ESTATE OR GENERATION-SKIPPING TRANSFER, AND OTHER TAX AND TAX TREATY CONSIDERATIONS OF PURCHASING, OWNING AND DISPOSING OF OUR ORDINARY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Singapore Tax Considerations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following discussion is a summary of material Singapore income tax, stamp duty and estate duty considerations relevant to the purchase, ownership and disposition of our ordinary shares by an investor who is not tax resident or domiciled in Singapore and who does not carry on business or otherwise have a presence in Singapore. The statements made herein regarding taxation are based on certain aspects of the tax laws of Singapore and administrative guidelines issued by the relevant authorities in force as of the date hereof and are subject to any changes in such laws or administrative guidelines, or in the interpretation of those laws or guidelines, occurring after such date, which changes could be made on a retroactive basis. The statements made herein do not describe all of the tax considerations that may be relevant to all our shareholders, some of which (such as dealers in securities) may be subject to different rules. The statements are not intended to be and do not constitute legal or tax advice and no assurance can be given that courts or fiscal authorities responsible for the administration of such laws will agree with the interpretation adopted therein. Each prospective investor should consult an independent tax advisor regarding all Singapore income and other tax consequences applicable to them from owning or disposing of our ordinary shares in light of the investor’s particular circumstances.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Taxation Under Singapore Law</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Distributions with Respect to Ordinary Shares</w:t>
      </w:r>
    </w:p>
    <w:p>
      <w:pPr>
        <w:spacing w:after="0" w:line="45"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Singapore has a one-tier corporate income tax system. Under the one-tier corporate income tax system, the tax paid by a company that is tax resident in Singapore is a final tax. Any dividends paid by a company that is tax resident in Singapore are exempt from Singapore income tax in the hands of the company’s shareholders. As our company will be a tax resident of Singapore, the dividends payable by our company will be one-tier tax-exempt dividends and will be exempt from Singapore income tax in the hands of our shareholders, regardless of their legal form or tax residence status. There will be no tax credits attached to the dividends payable by our company. There is no withholding tax on payment of dividends to non-resident shareholders.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Gains upon Disposition of Ordinary Shares</w:t>
      </w:r>
    </w:p>
    <w:p>
      <w:pPr>
        <w:spacing w:after="0" w:line="5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Under current Singapore tax law, there is no tax on capital gains. As such, any profits from the disposal of our ordinary shares would not ordinarily be taxable in Singapore. However, if the gains from the disposal of ordinary shares are construed to be of an income nature (which could be the case if, for instance, the gains arise from carrying on a trade or business in Singapore), the disposal profits would be taxable as income rather than capital gains.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shareholders who apply, or who are required to apply, the Singapore Financial Reporting Standard 39 Financial Instruments—Recognition and Measurement, or FRS-39, for the purposes of Singapore income tax may be required to recognize gains or losses (not being gains or losses in the nature of capital) in accordance with the provisions of FRS 39 (as modified by the applicable provisions of Singapore income tax law) even though no sale or disposal of our ordinary shares is made. Singapore corporate shareholders who may be subject to such tax treatment should consult their own accounting and tax advisers regarding the Singapore income tax consequences of their acquisition, holding and disposal of our ordinary shares.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Stamp Duty</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There is no Singapore stamp duty payable in respect of the issuance or holding of our ordinary shares. Singapore stamp duty will be payable if there is an instrument of transfer executed in Singapore or if there is an instrument of transfer executed outside of Singapore which is received in Singapore. Under Singapore law, stamp duty is not applicable to electronic transfers of our shares effected on a book entry basis. We therefore expect that no Singapore stamp duty will be payable in respect of ordinary shares purchased by U.S. holders in this offering assuming that they are acquired in book entry form through the facility established by our transfer agent and registrar. Where shares evidenced in certificated form are transferred and an instrument of transfer is executed between the parties, Singapore stamp duty is payable on an instrument of transfer of the shares at the rate of 0.2% of the consideration for, or market value of, the transferred shares, whichever is higher. The Singapore stamp duty is borne by the purchaser unless there is an agreement to the contrary. Where the instrument of transfer is executed outside of Singapore, Singapore stamp duty must be paid within 30 days of receipt in Singapore if the instrument of transfer is received in Singapore.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Estate Duty</w:t>
      </w:r>
    </w:p>
    <w:p>
      <w:pPr>
        <w:spacing w:after="0" w:line="5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Singapore estate duty has been abolished with effect from February 15, 2008 in relation to the estate of any person whose death has occurred on or after February 15, 2008.</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Treaties Regarding Withholding Taxes</w:t>
      </w:r>
    </w:p>
    <w:p>
      <w:pPr>
        <w:spacing w:after="0" w:line="5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There is no comprehensive avoidance of double taxation agreement between the United States and Singapore which applies to withholding taxes on dividends or capital gains.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Subject to the terms and conditions set forth in the underwriting agreement, dated as of , 2015, between us and Jefferies LLC and Leerink Partners LLC, as the representative of the underwriters named below, we have agreed to sell to the underwriters, and each of the underwriters has agreed, severally and not jointly, to purchase from us, the respective number of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030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9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30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color w:val="auto"/>
              </w:rPr>
              <w:t>Jefferies LLC</w:t>
            </w: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300" w:type="dxa"/>
            <w:vAlign w:val="bottom"/>
            <w:gridSpan w:val="2"/>
          </w:tcPr>
          <w:p>
            <w:pPr>
              <w:spacing w:after="0" w:line="189" w:lineRule="exact"/>
              <w:rPr>
                <w:sz w:val="20"/>
                <w:szCs w:val="20"/>
                <w:color w:val="auto"/>
              </w:rPr>
            </w:pPr>
            <w:r>
              <w:rPr>
                <w:rFonts w:ascii="Arial" w:cs="Arial" w:eastAsia="Arial" w:hAnsi="Arial"/>
                <w:sz w:val="17"/>
                <w:szCs w:val="17"/>
                <w:color w:val="auto"/>
              </w:rPr>
              <w:t>Leerink Partners LLC</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 w:type="dxa"/>
            <w:vAlign w:val="bottom"/>
            <w:shd w:val="clear" w:color="auto" w:fill="CCEEFF"/>
          </w:tcPr>
          <w:p>
            <w:pPr>
              <w:spacing w:after="0"/>
              <w:rPr>
                <w:sz w:val="16"/>
                <w:szCs w:val="16"/>
                <w:color w:val="auto"/>
              </w:rPr>
            </w:pPr>
          </w:p>
        </w:tc>
        <w:tc>
          <w:tcPr>
            <w:tcW w:w="956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300" w:type="dxa"/>
            <w:vAlign w:val="bottom"/>
            <w:gridSpan w:val="2"/>
          </w:tcPr>
          <w:p>
            <w:pPr>
              <w:ind w:left="260"/>
              <w:spacing w:after="0"/>
              <w:rPr>
                <w:sz w:val="20"/>
                <w:szCs w:val="20"/>
                <w:color w:val="auto"/>
              </w:rPr>
            </w:pPr>
            <w:r>
              <w:rPr>
                <w:rFonts w:ascii="Arial" w:cs="Arial" w:eastAsia="Arial" w:hAnsi="Arial"/>
                <w:sz w:val="17"/>
                <w:szCs w:val="17"/>
                <w:color w:val="auto"/>
              </w:rPr>
              <w:t>Total</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underwriters have advised us that, following the pricing of this offering, they currently intend to make a market in our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our ordinary shares, that you will be able to sell any of our ordinary shares held by you at a particular time or that the prices that you receive when you sell will be favorable.</w:t>
      </w:r>
    </w:p>
    <w:p>
      <w:pPr>
        <w:spacing w:after="0" w:line="150"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ordinary shares to the public at the initial public offering price set forth on the cover</w:t>
      </w:r>
    </w:p>
    <w:p>
      <w:pPr>
        <w:ind w:right="80"/>
        <w:spacing w:after="0" w:line="238" w:lineRule="auto"/>
        <w:rPr>
          <w:sz w:val="20"/>
          <w:szCs w:val="20"/>
          <w:color w:val="auto"/>
        </w:rPr>
      </w:pPr>
      <w:r>
        <w:rPr>
          <w:rFonts w:ascii="Arial" w:cs="Arial" w:eastAsia="Arial" w:hAnsi="Arial"/>
          <w:sz w:val="17"/>
          <w:szCs w:val="17"/>
          <w:color w:val="auto"/>
        </w:rPr>
        <w:t>page of this prospectus and to certain dealers, which may include the underwriters, at that price less a concession not in excess of $ per ordinary share.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ordinary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60" w:type="dxa"/>
            <w:vAlign w:val="bottom"/>
            <w:gridSpan w:val="4"/>
          </w:tcPr>
          <w:p>
            <w:pPr>
              <w:ind w:left="640"/>
              <w:spacing w:after="0"/>
              <w:rPr>
                <w:sz w:val="20"/>
                <w:szCs w:val="20"/>
                <w:color w:val="auto"/>
              </w:rPr>
            </w:pPr>
            <w:r>
              <w:rPr>
                <w:rFonts w:ascii="Arial" w:cs="Arial" w:eastAsia="Arial" w:hAnsi="Arial"/>
                <w:sz w:val="14"/>
                <w:szCs w:val="14"/>
                <w:b w:val="1"/>
                <w:bCs w:val="1"/>
                <w:color w:val="auto"/>
              </w:rPr>
              <w:t>Per Share</w:t>
            </w:r>
          </w:p>
        </w:tc>
        <w:tc>
          <w:tcPr>
            <w:tcW w:w="720" w:type="dxa"/>
            <w:vAlign w:val="bottom"/>
          </w:tcPr>
          <w:p>
            <w:pPr>
              <w:spacing w:after="0"/>
              <w:rPr>
                <w:sz w:val="15"/>
                <w:szCs w:val="15"/>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5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40" w:type="dxa"/>
            <w:vAlign w:val="bottom"/>
            <w:tcBorders>
              <w:top w:val="single" w:sz="8" w:color="auto"/>
            </w:tcBorders>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rPr>
              <w:t>Without</w:t>
            </w: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5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5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8"/>
              </w:rPr>
              <w:t>With</w:t>
            </w:r>
          </w:p>
        </w:tc>
        <w:tc>
          <w:tcPr>
            <w:tcW w:w="100" w:type="dxa"/>
            <w:vAlign w:val="bottom"/>
          </w:tcPr>
          <w:p>
            <w:pPr>
              <w:spacing w:after="0"/>
              <w:rPr>
                <w:sz w:val="12"/>
                <w:szCs w:val="12"/>
                <w:color w:val="auto"/>
              </w:rPr>
            </w:pP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Option to</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Option to</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5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Purchase</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Purchase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5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Additional</w:t>
            </w: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Additional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r>
      <w:tr>
        <w:trPr>
          <w:trHeight w:val="183"/>
        </w:trPr>
        <w:tc>
          <w:tcPr>
            <w:tcW w:w="54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6"/>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3"/>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3"/>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46"/>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2200" w:type="dxa"/>
            <w:vAlign w:val="bottom"/>
            <w:gridSpan w:val="2"/>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720" w:type="dxa"/>
            <w:vAlign w:val="bottom"/>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tcPr>
          <w:p>
            <w:pPr>
              <w:spacing w:after="0"/>
              <w:rPr>
                <w:sz w:val="16"/>
                <w:szCs w:val="16"/>
                <w:color w:val="auto"/>
              </w:rPr>
            </w:pPr>
          </w:p>
        </w:tc>
        <w:tc>
          <w:tcPr>
            <w:tcW w:w="720" w:type="dxa"/>
            <w:vAlign w:val="bottom"/>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2200" w:type="dxa"/>
            <w:vAlign w:val="bottom"/>
            <w:gridSpan w:val="2"/>
            <w:shd w:val="clear" w:color="auto" w:fill="CCEEFF"/>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546"/>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ind w:right="560"/>
        <w:spacing w:after="0" w:line="243" w:lineRule="auto"/>
        <w:rPr>
          <w:sz w:val="20"/>
          <w:szCs w:val="20"/>
          <w:color w:val="auto"/>
        </w:rPr>
      </w:pPr>
      <w:r>
        <w:rPr>
          <w:rFonts w:ascii="Arial" w:cs="Arial" w:eastAsia="Arial" w:hAnsi="Arial"/>
          <w:sz w:val="17"/>
          <w:szCs w:val="17"/>
          <w:color w:val="auto"/>
        </w:rPr>
        <w:t>approximately $ . We have also agreed to reimburse the underwriters for certain of their expenses incurred in connection with review by the Financial Industry Regulatory Authority, Inc. of the terms of this offering in an amount not to exceed $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Prior to this offering, there has not been a public market for our ordinary shares. Consequently, the initial public offering price for our ordinary shares will be determined by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our ordinary shares will trade in the public market subsequent to the offering or that an active trading market for our ordinary shares will develop and continue after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have our ordinary shares listed on the NASDAQ Global Market under the trading symbol “WVE.”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80"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We have granted the underwriters an option, exercisable for 30 days from the date of this prospectus, to purchase, from time to time, in whole or in part, up to an aggregate of ordinary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3"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We, our officers, directors and holders of all or substantially all our outstanding share capital and other securities have agreed, subject to specified exceptions, not to directly or indirectly:</w:t>
      </w:r>
    </w:p>
    <w:p>
      <w:pPr>
        <w:spacing w:after="0" w:line="185" w:lineRule="exact"/>
        <w:rPr>
          <w:sz w:val="20"/>
          <w:szCs w:val="20"/>
          <w:color w:val="auto"/>
        </w:rPr>
      </w:pPr>
    </w:p>
    <w:p>
      <w:pPr>
        <w:ind w:left="800" w:right="60" w:hanging="454"/>
        <w:spacing w:after="0" w:line="243" w:lineRule="auto"/>
        <w:tabs>
          <w:tab w:leader="none" w:pos="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sell, offer to sell, contract to sell or lend, effect any short sale or establish or increase an open “put equivalent position” within the meaning of Rule 16a-1(h) under the Securities Exchange Act of 1934, as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20"/>
        <w:spacing w:after="0" w:line="243" w:lineRule="auto"/>
        <w:rPr>
          <w:sz w:val="20"/>
          <w:szCs w:val="20"/>
          <w:color w:val="auto"/>
        </w:rPr>
      </w:pPr>
      <w:r>
        <w:rPr>
          <w:rFonts w:ascii="Arial" w:cs="Arial" w:eastAsia="Arial" w:hAnsi="Arial"/>
          <w:sz w:val="17"/>
          <w:szCs w:val="17"/>
          <w:color w:val="auto"/>
        </w:rPr>
        <w:t>amended, pledge, hypothecate or grant any security interest in, or in any other way transfer or dispose of, directly or indirectly, any ordinary shares or any other securities convertible into or exercisable or exchangeable for ordinary shares;</w:t>
      </w:r>
    </w:p>
    <w:p>
      <w:pPr>
        <w:spacing w:after="0" w:line="23" w:lineRule="exact"/>
        <w:rPr>
          <w:sz w:val="20"/>
          <w:szCs w:val="20"/>
          <w:color w:val="auto"/>
        </w:rPr>
      </w:pPr>
    </w:p>
    <w:p>
      <w:pPr>
        <w:ind w:left="800" w:right="340" w:hanging="454"/>
        <w:spacing w:after="0" w:line="243" w:lineRule="auto"/>
        <w:tabs>
          <w:tab w:leader="none" w:pos="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enter into any swap, hedge or similar arrangement or agreement that transfers, in whole or in part, the economic risk of ownership of the ordinary shares or any other securities convertible or exercisable or exchangeable for ordinary shares;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regardless of whether any such transaction is to be settled in securities, in cash or otherwise; or</w:t>
      </w:r>
    </w:p>
    <w:p>
      <w:pPr>
        <w:spacing w:after="0" w:line="47" w:lineRule="exact"/>
        <w:rPr>
          <w:rFonts w:ascii="Arial" w:cs="Arial" w:eastAsia="Arial" w:hAnsi="Arial"/>
          <w:sz w:val="17"/>
          <w:szCs w:val="17"/>
          <w:color w:val="auto"/>
        </w:rPr>
      </w:pPr>
    </w:p>
    <w:p>
      <w:pPr>
        <w:ind w:left="800" w:right="240" w:hanging="454"/>
        <w:spacing w:after="0" w:line="243" w:lineRule="auto"/>
        <w:tabs>
          <w:tab w:leader="none" w:pos="8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the representatives.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our ordinary shares on and including the 180th day after the date of this prospectus.</w:t>
      </w:r>
    </w:p>
    <w:p>
      <w:pPr>
        <w:spacing w:after="0" w:line="156"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The representatives may in their sole discretion and at any time or from time to time before the termination of the 180-day period release all or any portion of the securities subject to lock-up agreements. There are no existing agreements between the underwriters and our shareholders who will execute a lock-up agreement, providing consent to the sale of shares prior to the expiration of the lock-up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underwriters have advised us that, pursuant to Regulation M under the Securities Exchange Act of 1934, as amended, they may engage in short sale transactions, stabilizing transactions, syndicate covering transactions or the imposition of penalty bids in connection with this offering. These activities may have the effect of stabilizing or maintaining the market price of our ordinary shares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our ordinary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ordinary shares. The underwriters must close out any naked short position by purchasing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w:t>
      </w:r>
    </w:p>
    <w:p>
      <w:pPr>
        <w:spacing w:after="0" w:line="149" w:lineRule="exact"/>
        <w:rPr>
          <w:sz w:val="20"/>
          <w:szCs w:val="20"/>
          <w:color w:val="auto"/>
        </w:rPr>
      </w:pPr>
    </w:p>
    <w:p>
      <w:pPr>
        <w:ind w:right="260"/>
        <w:spacing w:after="0" w:line="234" w:lineRule="auto"/>
        <w:rPr>
          <w:sz w:val="20"/>
          <w:szCs w:val="20"/>
          <w:color w:val="auto"/>
        </w:rPr>
      </w:pPr>
      <w:r>
        <w:rPr>
          <w:rFonts w:ascii="Arial" w:cs="Arial" w:eastAsia="Arial" w:hAnsi="Arial"/>
          <w:sz w:val="17"/>
          <w:szCs w:val="17"/>
          <w:color w:val="auto"/>
        </w:rPr>
        <w:t>A stabilizing bid is a bid for the purchase of ordinary shares on behalf of the underwriters for the purpose of fixing or maintaining the price of our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our ordinary shares originally sold by such syndicate member are purchased in a syndicate covering transaction and therefore have not been effectively placed by such syndicate member.</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Leerink Partners LLC acted as a financial advisor to us in connection with our Series B preferred share financing, which we closed on August 14, 2015 and from which we received aggregate net proceeds of approximately $62.5 million. We paid Leerink Partners LLC fees in the amount of $2.8 million for their services as our financial advisor. Leerink Partners LLC also acquired 20,000 of our Series B preferred shares through purchases by its related entities on the same terms as other investors. Under FINRA rules, these entities are deemed to be “related persons” of Leerink Partners LLC and, therefore, the Series B preferred shares purchased by such related entities are regarded as additional compensation to the underwriters in this offering.</w:t>
      </w:r>
    </w:p>
    <w:p>
      <w:pPr>
        <w:spacing w:after="0" w:line="31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our ordinary shares offered hereby. Any such short positions could adversely affect future trading prices of our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the ordinary shares by it will be made on the same terms.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5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ordinary shares which are the subject of the offering contemplated by this prospectus supplement and the accompanying prospectus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91" w:lineRule="exact"/>
        <w:rPr>
          <w:sz w:val="20"/>
          <w:szCs w:val="20"/>
          <w:color w:val="auto"/>
        </w:rPr>
      </w:pPr>
    </w:p>
    <w:p>
      <w:pPr>
        <w:ind w:left="800" w:hanging="454"/>
        <w:spacing w:after="0"/>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47" w:lineRule="exact"/>
        <w:rPr>
          <w:rFonts w:ascii="Arial" w:cs="Arial" w:eastAsia="Arial" w:hAnsi="Arial"/>
          <w:sz w:val="17"/>
          <w:szCs w:val="17"/>
          <w:color w:val="auto"/>
        </w:rPr>
      </w:pPr>
    </w:p>
    <w:p>
      <w:pPr>
        <w:jc w:val="both"/>
        <w:ind w:left="800" w:right="40" w:hanging="454"/>
        <w:spacing w:after="0" w:line="238" w:lineRule="auto"/>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provided that no such offer of ordinary shares shall require us or any of the underwriters to publish a prospectus pursuant to Article 3 of the Prospectus Directive or supplement a prospectus pursuant to Article 16 of the Prospectus Directive.</w:t>
      </w:r>
    </w:p>
    <w:p>
      <w:pPr>
        <w:spacing w:after="0" w:line="14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For the purposes of this provision, the expression an “offer ordinary shares to the public” in relation to the ordinary shares in any Relevant Member State means the communication in any form and by any means of sufficient information on the terms of the offer and the ordinary shares to be offered so as to enable an investor to decide to purchase or subscribe to the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49"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Bermuda</w:t>
      </w:r>
    </w:p>
    <w:p>
      <w:pPr>
        <w:spacing w:after="0" w:line="54" w:lineRule="exact"/>
        <w:rPr>
          <w:sz w:val="20"/>
          <w:szCs w:val="20"/>
          <w:color w:val="auto"/>
        </w:rPr>
      </w:pPr>
    </w:p>
    <w:p>
      <w:pPr>
        <w:jc w:val="both"/>
        <w:ind w:right="60"/>
        <w:spacing w:after="0" w:line="243" w:lineRule="auto"/>
        <w:rPr>
          <w:sz w:val="20"/>
          <w:szCs w:val="20"/>
          <w:color w:val="auto"/>
        </w:rPr>
      </w:pPr>
      <w:r>
        <w:rPr>
          <w:rFonts w:ascii="Arial" w:cs="Arial" w:eastAsia="Arial" w:hAnsi="Arial"/>
          <w:sz w:val="17"/>
          <w:szCs w:val="17"/>
          <w:color w:val="auto"/>
        </w:rPr>
        <w:t>Securities may be offered or sold in Bermuda only in compliance with the provisions of the Investment Business Act 2003 of Bermuda which regulates the sale of securities in Bermuda and it is not intended for any offer or sale of shares to the public to take place in Bermuda.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800" w:hanging="454"/>
        <w:spacing w:after="0"/>
        <w:tabs>
          <w:tab w:leader="none" w:pos="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47" w:lineRule="exact"/>
        <w:rPr>
          <w:rFonts w:ascii="Arial" w:cs="Arial" w:eastAsia="Arial" w:hAnsi="Arial"/>
          <w:sz w:val="17"/>
          <w:szCs w:val="17"/>
          <w:color w:val="auto"/>
        </w:rPr>
      </w:pPr>
    </w:p>
    <w:p>
      <w:pPr>
        <w:ind w:left="800" w:right="20" w:hanging="454"/>
        <w:spacing w:after="0" w:line="238" w:lineRule="auto"/>
        <w:tabs>
          <w:tab w:leader="none" w:pos="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6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Subject to Section 276(7) of the SFA and Regulation 32 of the Securities and Futures (Offers of Investments) (Shares and Debentures) Regulations 2005 of Singapore, where the ordinary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securities (as defined in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Section 239(1) of the SFA) of that corporation shall not be transferred within six months after that corporation has acquired any securities pursuant to an offer made in reliance on an exemption under Section 275 of the SFA unless:</w:t>
      </w:r>
    </w:p>
    <w:p>
      <w:pPr>
        <w:spacing w:after="0" w:line="185" w:lineRule="exact"/>
        <w:rPr>
          <w:sz w:val="20"/>
          <w:szCs w:val="20"/>
          <w:color w:val="auto"/>
        </w:rPr>
      </w:pPr>
    </w:p>
    <w:p>
      <w:pPr>
        <w:ind w:left="800" w:right="340" w:hanging="454"/>
        <w:spacing w:after="0" w:line="243" w:lineRule="auto"/>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such transfer is made only to an institutional investor or to a relevant person defined in Section 275(2) of the SFA, or arises from an offer referred to in Section 275(1A) of the SFA;</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 consideration is or will be given for the transfer;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transfer is by operation of law.</w:t>
      </w:r>
    </w:p>
    <w:p>
      <w:pPr>
        <w:spacing w:after="0" w:line="16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Subject to Section 276(7) of the SFA and Regulation 32 of the Securities and Futures (Offers of Investments) (Shares and Debentures) Regulations 2005 of Singapore, where the ordinary shares are subscribed or purchased under Section 275 of the SFA by a relevant person which is a trust (where the trustee is not an accredited investor) whose sole purpose is to hold investments and each beneficiary of the trust is an individual who is an accredited investor, the beneficiaries’ rights and interest (howsoever described) in that trust shall not be transferred within six months after that trust has acquired the securities pursuant to an offer made under Section 275 of the SFA unless:</w:t>
      </w:r>
    </w:p>
    <w:p>
      <w:pPr>
        <w:spacing w:after="0" w:line="191" w:lineRule="exact"/>
        <w:rPr>
          <w:sz w:val="20"/>
          <w:szCs w:val="20"/>
          <w:color w:val="auto"/>
        </w:rPr>
      </w:pPr>
    </w:p>
    <w:p>
      <w:pPr>
        <w:ind w:left="800" w:hanging="454"/>
        <w:spacing w:after="0" w:line="238" w:lineRule="auto"/>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such transfer is made only to an institutional investor or to a relevant person defined in Section 275(2) of the SFA, or arises from an offer that is made on terms that such rights or interest are acquired at a consideration of not less than S$200,000 (or its equivalent foreign currency) for each transaction, whether such amount is to be paid for in cash or by exchange of securities or other assets;</w:t>
      </w:r>
    </w:p>
    <w:p>
      <w:pPr>
        <w:spacing w:after="0" w:line="26" w:lineRule="exact"/>
        <w:rPr>
          <w:rFonts w:ascii="Arial" w:cs="Arial" w:eastAsia="Arial" w:hAnsi="Arial"/>
          <w:sz w:val="17"/>
          <w:szCs w:val="17"/>
          <w:color w:val="auto"/>
        </w:rPr>
      </w:pPr>
    </w:p>
    <w:p>
      <w:pPr>
        <w:ind w:left="800" w:hanging="454"/>
        <w:spacing w:after="0"/>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 consideration is or will be given for the transfer; or</w:t>
      </w:r>
    </w:p>
    <w:p>
      <w:pPr>
        <w:spacing w:after="0" w:line="47" w:lineRule="exact"/>
        <w:rPr>
          <w:rFonts w:ascii="Arial" w:cs="Arial" w:eastAsia="Arial" w:hAnsi="Arial"/>
          <w:sz w:val="17"/>
          <w:szCs w:val="17"/>
          <w:color w:val="auto"/>
        </w:rPr>
      </w:pPr>
    </w:p>
    <w:p>
      <w:pPr>
        <w:ind w:left="800" w:hanging="454"/>
        <w:spacing w:after="0"/>
        <w:tabs>
          <w:tab w:leader="none" w:pos="8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transfer is by operation of law.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ordinary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of the CO or the disclosure standards for listing prospectuses under art. 27 ff. of the SIX Listing Rules or the listing rules of any other stock exchange or regulated trading facility in Switzerland. Neither this prospectus nor any other offering or marketing relating to the ordinary shares or this offering may be publicly distributed or otherwise made publicly available in Switzerland.</w:t>
      </w:r>
    </w:p>
    <w:p>
      <w:pPr>
        <w:spacing w:after="0" w:line="15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Neither this document nor any other offering or marketing material relating to this offering, the company or the ordinary shares has been or will be filed with or approved by any Swiss regulatory authority.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offering of our ordinary shares in Canada is being made on a private placement basis in reliance on exemptions from the prospectus requirements under the securities laws of each applicable Canadian province and territory where the ordinary shares may be offered and sold, and therein may only be made with investors that are purchasing as principal and that qualify as both an “accredited investor” as such term is defined in National Instrument 45-106 Prospectus and Registration Exemptions and as a “permitted client” as such term is defined in National Instrument 31-103 Registration Requirements, Exemptions and Ongoing Registrant Obligation. Any offer and sale of our ordinary shares in any province or territory of Canada may only be made through a dealer that is properly registered under the securities legislation of the applicable province or territory wherein our ordinary shares are offered and/or sold or, alternatively, by a dealer that qualifies under and is relying upon an exemption from the registration requirements therein.</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resale of our ordinary shares by an investor resident in Canada must be made in accordance with applicable Canadian securities laws, which may require resales to be made in accordance with prospectus and registration requirements, statutory exemptions from the prospectus and registration requirements or under a discretionary exemption from the prospectus and registration requirements granted by the applicable Canadian securities regulatory authority. These resale restrictions may under certain circumstances apply to resales of our ordinary shares outside of Canada.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validity of the ordinary shares offered pursuant to this prospectus and certain other matters of Singapore law will be passed upon for us by Camford Law Corporation, Singapore. Selected legal matters as to U.S. law in connection with this offering will be passed upon for us by Mintz, Levin, Cohn, Ferris, Glovsky and Popeo, P.C., Boston, Massachusetts. Select intellectual property matters will be passed upon for us by Choate Hall &amp; Stewart LLP, Boston, Massachusetts. The underwriters are being represented by Cooley LLP, Boston, Massachusetts.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consolidated financial statements of WAVE Life Sciences Pte. Ltd. as of December 31, 2013 and 2014, and for the years then ended, have been included herein in reliance upon the report of KPMG LLP, independent registered public accounting firm, appearing elsewhere herein, and upon the authority of KPMG LLP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filed a registration statement on Form S-1 with the SEC with respect to our ordinary shares being offered by this prospectus. This prospectus is a part of and does not contain all of the information set forth in the registration statement and the exhibits and schedules to the registration statement. For further information with respect to us and our ordinary shares, please refer to the registration statement, including its exhibits and schedules. Statements made in this prospectus relating to any contract or other document are not necessarily complete and you should refer to the exhibits attached to the registration statement for copies of the actual contract or document. You may read and copy all materials that we file with the SEC, including the registration statement and its exhibits and schedules, at the SEC’s public reference room, located at 100 F Street, N.E., Washington, D.C. 20549, as well as on the website maintained by the SEC at www.sec.gov. Please call the SEC at 1-800-SEC-0330 for more information on the public reference room. Information contained on any website referenced in this prospectus does not and will not constitute a part of this prospectus or the registration statement on Form S-1 of which this prospectus is a part.</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upon the closing of this offering, we will be subject to the information reporting requirements of the Exchange Act, and we will file periodic reports and other information with the SEC. These reports, proxy statements and other information will be available for inspection and copying at the public reference room and website of the SEC referred to above. We also maintain a website at www.wavelifesciences.com,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Additionally, you may request a copy of any of our filings with the SEC at no cost, by writing or telephoning us at the following address: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WAVE Life Sciences Pte. Ltd.</w:t>
      </w:r>
    </w:p>
    <w:p>
      <w:pPr>
        <w:jc w:val="center"/>
        <w:ind w:right="-79"/>
        <w:spacing w:after="0" w:line="232" w:lineRule="auto"/>
        <w:rPr>
          <w:sz w:val="20"/>
          <w:szCs w:val="20"/>
          <w:color w:val="auto"/>
        </w:rPr>
      </w:pPr>
      <w:r>
        <w:rPr>
          <w:rFonts w:ascii="Arial" w:cs="Arial" w:eastAsia="Arial" w:hAnsi="Arial"/>
          <w:sz w:val="17"/>
          <w:szCs w:val="17"/>
          <w:color w:val="auto"/>
        </w:rPr>
        <w:t>8 Cross Street #10-00</w:t>
      </w:r>
    </w:p>
    <w:p>
      <w:pPr>
        <w:jc w:val="center"/>
        <w:ind w:right="-79"/>
        <w:spacing w:after="0" w:line="232" w:lineRule="auto"/>
        <w:rPr>
          <w:sz w:val="20"/>
          <w:szCs w:val="20"/>
          <w:color w:val="auto"/>
        </w:rPr>
      </w:pPr>
      <w:r>
        <w:rPr>
          <w:rFonts w:ascii="Arial" w:cs="Arial" w:eastAsia="Arial" w:hAnsi="Arial"/>
          <w:sz w:val="17"/>
          <w:szCs w:val="17"/>
          <w:color w:val="auto"/>
        </w:rPr>
        <w:t>PWC Building</w:t>
      </w:r>
    </w:p>
    <w:p>
      <w:pPr>
        <w:jc w:val="center"/>
        <w:ind w:right="-79"/>
        <w:spacing w:after="0"/>
        <w:rPr>
          <w:sz w:val="20"/>
          <w:szCs w:val="20"/>
          <w:color w:val="auto"/>
        </w:rPr>
      </w:pPr>
      <w:r>
        <w:rPr>
          <w:rFonts w:ascii="Arial" w:cs="Arial" w:eastAsia="Arial" w:hAnsi="Arial"/>
          <w:sz w:val="17"/>
          <w:szCs w:val="17"/>
          <w:color w:val="auto"/>
        </w:rPr>
        <w:t>Singapore 048424</w:t>
      </w:r>
    </w:p>
    <w:p>
      <w:pPr>
        <w:spacing w:after="0" w:line="156"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You should rely only on the information contained in this prospectus or to which we have referred you. We have not and the underwriters have not authorized any person to provide you with different information or to make any representation not contained in this prospectus.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340"/>
          </w:cols>
          <w:pgMar w:left="240" w:top="460" w:right="3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Borders>
              <w:bottom w:val="single" w:sz="8" w:color="0000EE"/>
            </w:tcBorders>
            <w:gridSpan w:val="7"/>
          </w:tcPr>
          <w:p>
            <w:pPr>
              <w:spacing w:after="0"/>
              <w:rPr>
                <w:rFonts w:ascii="Arial" w:cs="Arial" w:eastAsia="Arial" w:hAnsi="Arial"/>
                <w:sz w:val="17"/>
                <w:szCs w:val="17"/>
                <w:color w:val="0000EE"/>
              </w:rPr>
            </w:pPr>
            <w:hyperlink w:anchor="page156">
              <w:r>
                <w:rPr>
                  <w:rFonts w:ascii="Arial" w:cs="Arial" w:eastAsia="Arial" w:hAnsi="Arial"/>
                  <w:sz w:val="17"/>
                  <w:szCs w:val="17"/>
                  <w:color w:val="0000EE"/>
                </w:rPr>
                <w:t>Report of Independent Registered Public Accounting Firm</w:t>
              </w:r>
            </w:hyperlink>
          </w:p>
        </w:tc>
        <w:tc>
          <w:tcPr>
            <w:tcW w:w="600" w:type="dxa"/>
            <w:vAlign w:val="bottom"/>
          </w:tcPr>
          <w:p>
            <w:pPr>
              <w:spacing w:after="0"/>
              <w:rPr>
                <w:sz w:val="16"/>
                <w:szCs w:val="16"/>
                <w:color w:val="auto"/>
              </w:rPr>
            </w:pPr>
          </w:p>
        </w:tc>
        <w:tc>
          <w:tcPr>
            <w:tcW w:w="6440" w:type="dxa"/>
            <w:vAlign w:val="bottom"/>
          </w:tcPr>
          <w:p>
            <w:pPr>
              <w:ind w:left="6080"/>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69"/>
        </w:trPr>
        <w:tc>
          <w:tcPr>
            <w:tcW w:w="2260" w:type="dxa"/>
            <w:vAlign w:val="bottom"/>
            <w:tcBorders>
              <w:bottom w:val="single" w:sz="8" w:color="0000EE"/>
            </w:tcBorders>
          </w:tcPr>
          <w:p>
            <w:pPr>
              <w:spacing w:after="0" w:line="169" w:lineRule="exact"/>
              <w:rPr>
                <w:rFonts w:ascii="Arial" w:cs="Arial" w:eastAsia="Arial" w:hAnsi="Arial"/>
                <w:sz w:val="17"/>
                <w:szCs w:val="17"/>
                <w:color w:val="0000EE"/>
              </w:rPr>
            </w:pPr>
            <w:hyperlink w:anchor="page157">
              <w:r>
                <w:rPr>
                  <w:rFonts w:ascii="Arial" w:cs="Arial" w:eastAsia="Arial" w:hAnsi="Arial"/>
                  <w:sz w:val="17"/>
                  <w:szCs w:val="17"/>
                  <w:color w:val="0000EE"/>
                </w:rPr>
                <w:t>Consolidated Balance Sheets</w:t>
              </w:r>
            </w:hyperlink>
          </w:p>
        </w:tc>
        <w:tc>
          <w:tcPr>
            <w:tcW w:w="2720" w:type="dxa"/>
            <w:vAlign w:val="bottom"/>
            <w:gridSpan w:val="7"/>
          </w:tcPr>
          <w:p>
            <w:pPr>
              <w:spacing w:after="0"/>
              <w:rPr>
                <w:sz w:val="14"/>
                <w:szCs w:val="14"/>
                <w:color w:val="auto"/>
              </w:rPr>
            </w:pPr>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0000EE"/>
            </w:tcBorders>
            <w:gridSpan w:val="2"/>
          </w:tcPr>
          <w:p>
            <w:pPr>
              <w:spacing w:after="0" w:line="169" w:lineRule="exact"/>
              <w:rPr>
                <w:rFonts w:ascii="Arial" w:cs="Arial" w:eastAsia="Arial" w:hAnsi="Arial"/>
                <w:sz w:val="17"/>
                <w:szCs w:val="17"/>
                <w:color w:val="0000EE"/>
              </w:rPr>
            </w:pPr>
            <w:hyperlink w:anchor="page158">
              <w:r>
                <w:rPr>
                  <w:rFonts w:ascii="Arial" w:cs="Arial" w:eastAsia="Arial" w:hAnsi="Arial"/>
                  <w:sz w:val="17"/>
                  <w:szCs w:val="17"/>
                  <w:color w:val="0000EE"/>
                </w:rPr>
                <w:t>Consolidated Statements of Operations</w:t>
              </w:r>
            </w:hyperlink>
          </w:p>
        </w:tc>
        <w:tc>
          <w:tcPr>
            <w:tcW w:w="1980" w:type="dxa"/>
            <w:vAlign w:val="bottom"/>
            <w:gridSpan w:val="6"/>
          </w:tcPr>
          <w:p>
            <w:pPr>
              <w:spacing w:after="0"/>
              <w:rPr>
                <w:sz w:val="14"/>
                <w:szCs w:val="14"/>
                <w:color w:val="auto"/>
              </w:rPr>
            </w:pPr>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9"/>
        </w:trPr>
        <w:tc>
          <w:tcPr>
            <w:tcW w:w="4980" w:type="dxa"/>
            <w:vAlign w:val="bottom"/>
            <w:gridSpan w:val="8"/>
          </w:tcPr>
          <w:p>
            <w:pPr>
              <w:spacing w:after="0" w:line="169" w:lineRule="exact"/>
              <w:rPr>
                <w:rFonts w:ascii="Arial" w:cs="Arial" w:eastAsia="Arial" w:hAnsi="Arial"/>
                <w:sz w:val="17"/>
                <w:szCs w:val="17"/>
                <w:color w:val="0000EE"/>
              </w:rPr>
            </w:pPr>
            <w:hyperlink w:anchor="page159">
              <w:r>
                <w:rPr>
                  <w:rFonts w:ascii="Arial" w:cs="Arial" w:eastAsia="Arial" w:hAnsi="Arial"/>
                  <w:sz w:val="17"/>
                  <w:szCs w:val="17"/>
                  <w:color w:val="0000EE"/>
                </w:rPr>
                <w:t>Consolidated Statements of Comprehensive Loss</w:t>
              </w:r>
            </w:hyperlink>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40" w:type="dxa"/>
            <w:vAlign w:val="bottom"/>
            <w:vMerge w:val="restart"/>
          </w:tcPr>
          <w:p>
            <w:pPr>
              <w:ind w:left="6080"/>
              <w:spacing w:after="0" w:line="189" w:lineRule="exact"/>
              <w:rPr>
                <w:sz w:val="20"/>
                <w:szCs w:val="20"/>
                <w:color w:val="auto"/>
              </w:rPr>
            </w:pPr>
            <w:r>
              <w:rPr>
                <w:rFonts w:ascii="Arial" w:cs="Arial" w:eastAsia="Arial" w:hAnsi="Arial"/>
                <w:sz w:val="17"/>
                <w:szCs w:val="17"/>
                <w:color w:val="auto"/>
              </w:rPr>
              <w:t>F-6</w:t>
            </w:r>
          </w:p>
        </w:tc>
        <w:tc>
          <w:tcPr>
            <w:tcW w:w="0" w:type="dxa"/>
            <w:vAlign w:val="bottom"/>
          </w:tcPr>
          <w:p>
            <w:pPr>
              <w:spacing w:after="0" w:line="20" w:lineRule="exact"/>
              <w:rPr>
                <w:sz w:val="1"/>
                <w:szCs w:val="1"/>
                <w:color w:val="auto"/>
              </w:rPr>
            </w:pPr>
          </w:p>
        </w:tc>
      </w:tr>
      <w:tr>
        <w:trPr>
          <w:trHeight w:val="169"/>
        </w:trPr>
        <w:tc>
          <w:tcPr>
            <w:tcW w:w="4980" w:type="dxa"/>
            <w:vAlign w:val="bottom"/>
            <w:gridSpan w:val="8"/>
          </w:tcPr>
          <w:p>
            <w:pPr>
              <w:spacing w:after="0" w:line="169" w:lineRule="exact"/>
              <w:rPr>
                <w:rFonts w:ascii="Arial" w:cs="Arial" w:eastAsia="Arial" w:hAnsi="Arial"/>
                <w:sz w:val="17"/>
                <w:szCs w:val="17"/>
                <w:color w:val="0000EE"/>
              </w:rPr>
            </w:pPr>
            <w:hyperlink w:anchor="page160">
              <w:r>
                <w:rPr>
                  <w:rFonts w:ascii="Arial" w:cs="Arial" w:eastAsia="Arial" w:hAnsi="Arial"/>
                  <w:sz w:val="17"/>
                  <w:szCs w:val="17"/>
                  <w:color w:val="0000EE"/>
                </w:rPr>
                <w:t>Consolidated Statements of Shareholders’ (Deficit) Equity</w:t>
              </w:r>
            </w:hyperlink>
          </w:p>
        </w:tc>
        <w:tc>
          <w:tcPr>
            <w:tcW w:w="6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tcBorders>
              <w:top w:val="single" w:sz="8" w:color="0000EE"/>
            </w:tcBorders>
            <w:gridSpan w:val="6"/>
          </w:tcPr>
          <w:p>
            <w:pPr>
              <w:spacing w:after="0" w:line="169" w:lineRule="exact"/>
              <w:rPr>
                <w:rFonts w:ascii="Arial" w:cs="Arial" w:eastAsia="Arial" w:hAnsi="Arial"/>
                <w:sz w:val="17"/>
                <w:szCs w:val="17"/>
                <w:color w:val="0000EE"/>
              </w:rPr>
            </w:pPr>
            <w:hyperlink w:anchor="page161">
              <w:r>
                <w:rPr>
                  <w:rFonts w:ascii="Arial" w:cs="Arial" w:eastAsia="Arial" w:hAnsi="Arial"/>
                  <w:sz w:val="17"/>
                  <w:szCs w:val="17"/>
                  <w:color w:val="0000EE"/>
                </w:rPr>
                <w:t>Consolidated Statements of Cash Flows</w:t>
              </w:r>
            </w:hyperlink>
          </w:p>
        </w:tc>
        <w:tc>
          <w:tcPr>
            <w:tcW w:w="620" w:type="dxa"/>
            <w:vAlign w:val="bottom"/>
            <w:gridSpan w:val="2"/>
          </w:tcPr>
          <w:p>
            <w:pPr>
              <w:spacing w:after="0"/>
              <w:rPr>
                <w:sz w:val="14"/>
                <w:szCs w:val="14"/>
                <w:color w:val="auto"/>
              </w:rPr>
            </w:pPr>
          </w:p>
        </w:tc>
        <w:tc>
          <w:tcPr>
            <w:tcW w:w="6440" w:type="dxa"/>
            <w:vAlign w:val="bottom"/>
          </w:tcPr>
          <w:p>
            <w:pPr>
              <w:ind w:left="6080"/>
              <w:spacing w:after="0" w:line="169"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440" w:type="dxa"/>
            <w:vAlign w:val="bottom"/>
            <w:vMerge w:val="restart"/>
          </w:tcPr>
          <w:p>
            <w:pPr>
              <w:ind w:left="6080"/>
              <w:spacing w:after="0" w:line="189" w:lineRule="exact"/>
              <w:rPr>
                <w:sz w:val="20"/>
                <w:szCs w:val="20"/>
                <w:color w:val="auto"/>
              </w:rPr>
            </w:pPr>
            <w:r>
              <w:rPr>
                <w:rFonts w:ascii="Arial" w:cs="Arial" w:eastAsia="Arial" w:hAnsi="Arial"/>
                <w:sz w:val="17"/>
                <w:szCs w:val="17"/>
                <w:color w:val="auto"/>
              </w:rPr>
              <w:t>F-8</w:t>
            </w:r>
          </w:p>
        </w:tc>
        <w:tc>
          <w:tcPr>
            <w:tcW w:w="0" w:type="dxa"/>
            <w:vAlign w:val="bottom"/>
          </w:tcPr>
          <w:p>
            <w:pPr>
              <w:spacing w:after="0" w:line="20" w:lineRule="exact"/>
              <w:rPr>
                <w:sz w:val="1"/>
                <w:szCs w:val="1"/>
                <w:color w:val="auto"/>
              </w:rPr>
            </w:pPr>
          </w:p>
        </w:tc>
      </w:tr>
      <w:tr>
        <w:trPr>
          <w:trHeight w:val="169"/>
        </w:trPr>
        <w:tc>
          <w:tcPr>
            <w:tcW w:w="4980" w:type="dxa"/>
            <w:vAlign w:val="bottom"/>
            <w:gridSpan w:val="8"/>
          </w:tcPr>
          <w:p>
            <w:pPr>
              <w:spacing w:after="0" w:line="169" w:lineRule="exact"/>
              <w:rPr>
                <w:rFonts w:ascii="Arial" w:cs="Arial" w:eastAsia="Arial" w:hAnsi="Arial"/>
                <w:sz w:val="17"/>
                <w:szCs w:val="17"/>
                <w:color w:val="0000EE"/>
              </w:rPr>
            </w:pPr>
            <w:hyperlink w:anchor="page162">
              <w:r>
                <w:rPr>
                  <w:rFonts w:ascii="Arial" w:cs="Arial" w:eastAsia="Arial" w:hAnsi="Arial"/>
                  <w:sz w:val="17"/>
                  <w:szCs w:val="17"/>
                  <w:color w:val="0000EE"/>
                </w:rPr>
                <w:t>Notes to Consolidated Financial Statements</w:t>
              </w:r>
            </w:hyperlink>
          </w:p>
        </w:tc>
        <w:tc>
          <w:tcPr>
            <w:tcW w:w="6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0000EE"/>
              <w:bottom w:val="single" w:sz="8" w:color="auto"/>
            </w:tcBorders>
          </w:tcPr>
          <w:p>
            <w:pPr>
              <w:spacing w:after="0"/>
              <w:rPr>
                <w:sz w:val="19"/>
                <w:szCs w:val="19"/>
                <w:color w:val="auto"/>
              </w:rPr>
            </w:pPr>
          </w:p>
        </w:tc>
        <w:tc>
          <w:tcPr>
            <w:tcW w:w="740" w:type="dxa"/>
            <w:vAlign w:val="bottom"/>
            <w:tcBorders>
              <w:top w:val="single" w:sz="8" w:color="0000EE"/>
              <w:bottom w:val="single" w:sz="8" w:color="auto"/>
            </w:tcBorders>
          </w:tcPr>
          <w:p>
            <w:pPr>
              <w:spacing w:after="0"/>
              <w:rPr>
                <w:sz w:val="19"/>
                <w:szCs w:val="19"/>
                <w:color w:val="auto"/>
              </w:rPr>
            </w:pPr>
          </w:p>
        </w:tc>
        <w:tc>
          <w:tcPr>
            <w:tcW w:w="40" w:type="dxa"/>
            <w:vAlign w:val="bottom"/>
            <w:tcBorders>
              <w:top w:val="single" w:sz="8" w:color="0000EE"/>
              <w:bottom w:val="single" w:sz="8" w:color="auto"/>
            </w:tcBorders>
          </w:tcPr>
          <w:p>
            <w:pPr>
              <w:spacing w:after="0"/>
              <w:rPr>
                <w:sz w:val="19"/>
                <w:szCs w:val="19"/>
                <w:color w:val="auto"/>
              </w:rPr>
            </w:pPr>
          </w:p>
        </w:tc>
        <w:tc>
          <w:tcPr>
            <w:tcW w:w="300" w:type="dxa"/>
            <w:vAlign w:val="bottom"/>
            <w:tcBorders>
              <w:top w:val="single" w:sz="8" w:color="0000EE"/>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40" w:type="dxa"/>
            <w:vAlign w:val="bottom"/>
          </w:tcPr>
          <w:p>
            <w:pPr>
              <w:ind w:left="620"/>
              <w:spacing w:after="0"/>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w:t>
      </w:r>
    </w:p>
    <w:p>
      <w:pPr>
        <w:spacing w:after="0"/>
        <w:rPr>
          <w:sz w:val="20"/>
          <w:szCs w:val="20"/>
          <w:color w:val="auto"/>
        </w:rPr>
      </w:pPr>
      <w:r>
        <w:rPr>
          <w:rFonts w:ascii="Arial" w:cs="Arial" w:eastAsia="Arial" w:hAnsi="Arial"/>
          <w:sz w:val="17"/>
          <w:szCs w:val="17"/>
          <w:color w:val="auto"/>
        </w:rPr>
        <w:t>WAVE Life Sciences Pte. Ltd.:</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audited the accompanying consolidated balance sheets of WAVE Life Sciences Pte. Ltd. and subsidiaries as of December 31, 2013 and 2014, and the related consolidated statements of operations, comprehensive loss, shareholders’ (deficit)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WAVE Life Sciences Pte. Ltd. and subsidiaries as of December 31, 2013 and 2014, and the results of their operations and their cash flows for the years then ended, in conformity with U.S. generally accepted accounting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Cambridge, Massachusetts</w:t>
      </w:r>
    </w:p>
    <w:p>
      <w:pPr>
        <w:spacing w:after="0"/>
        <w:rPr>
          <w:sz w:val="20"/>
          <w:szCs w:val="20"/>
          <w:color w:val="auto"/>
        </w:rPr>
      </w:pPr>
      <w:r>
        <w:rPr>
          <w:rFonts w:ascii="Arial" w:cs="Arial" w:eastAsia="Arial" w:hAnsi="Arial"/>
          <w:sz w:val="17"/>
          <w:szCs w:val="17"/>
          <w:color w:val="auto"/>
        </w:rPr>
        <w:t>September 4, 2015</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Deferred offering costs</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848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1,487</w:t>
            </w:r>
          </w:p>
        </w:tc>
        <w:tc>
          <w:tcPr>
            <w:tcW w:w="10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8,626</w:t>
            </w:r>
          </w:p>
        </w:tc>
        <w:tc>
          <w:tcPr>
            <w:tcW w:w="0" w:type="dxa"/>
            <w:vAlign w:val="bottom"/>
          </w:tcPr>
          <w:p>
            <w:pPr>
              <w:spacing w:after="0"/>
              <w:rPr>
                <w:sz w:val="1"/>
                <w:szCs w:val="1"/>
                <w:color w:val="auto"/>
              </w:rPr>
            </w:pPr>
          </w:p>
        </w:tc>
      </w:tr>
      <w:tr>
        <w:trPr>
          <w:trHeight w:val="99"/>
        </w:trPr>
        <w:tc>
          <w:tcPr>
            <w:tcW w:w="84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189"/>
        </w:trPr>
        <w:tc>
          <w:tcPr>
            <w:tcW w:w="848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2,323</w:t>
            </w:r>
          </w:p>
        </w:tc>
        <w:tc>
          <w:tcPr>
            <w:tcW w:w="1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2,938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11,596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(deficit) equity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Related party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Current portion of capital lease obligation</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8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10,049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Capital lease obligation, net of current portion</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80" w:type="dxa"/>
            <w:vAlign w:val="bottom"/>
            <w:gridSpan w:val="2"/>
          </w:tcPr>
          <w:p>
            <w:pPr>
              <w:spacing w:after="0"/>
              <w:rPr>
                <w:sz w:val="20"/>
                <w:szCs w:val="20"/>
                <w:color w:val="auto"/>
              </w:rPr>
            </w:pPr>
            <w:r>
              <w:rPr>
                <w:rFonts w:ascii="Arial" w:cs="Arial" w:eastAsia="Arial" w:hAnsi="Arial"/>
                <w:sz w:val="16"/>
                <w:szCs w:val="16"/>
                <w:color w:val="auto"/>
              </w:rPr>
              <w:t>Total long-term liabilities</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71"/>
        </w:trPr>
        <w:tc>
          <w:tcPr>
            <w:tcW w:w="8480" w:type="dxa"/>
            <w:vAlign w:val="bottom"/>
            <w:gridSpan w:val="2"/>
          </w:tcPr>
          <w:p>
            <w:pPr>
              <w:spacing w:after="0"/>
              <w:rPr>
                <w:sz w:val="20"/>
                <w:szCs w:val="20"/>
                <w:color w:val="auto"/>
              </w:rPr>
            </w:pPr>
            <w:r>
              <w:rPr>
                <w:rFonts w:ascii="Arial" w:cs="Arial" w:eastAsia="Arial" w:hAnsi="Arial"/>
                <w:sz w:val="16"/>
                <w:szCs w:val="16"/>
                <w:color w:val="auto"/>
              </w:rPr>
              <w:t>Commitments and Contingencies (Note 9)</w:t>
            </w: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84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Shareholders’ (deficit) equity: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60" w:type="dxa"/>
            <w:vAlign w:val="bottom"/>
          </w:tcPr>
          <w:p>
            <w:pPr>
              <w:ind w:left="240"/>
              <w:spacing w:after="0"/>
              <w:rPr>
                <w:sz w:val="20"/>
                <w:szCs w:val="20"/>
                <w:color w:val="auto"/>
              </w:rPr>
            </w:pPr>
            <w:r>
              <w:rPr>
                <w:rFonts w:ascii="Arial" w:cs="Arial" w:eastAsia="Arial" w:hAnsi="Arial"/>
                <w:sz w:val="16"/>
                <w:szCs w:val="16"/>
                <w:color w:val="auto"/>
              </w:rPr>
              <w:t>Series A preferred shares, no par value; 380,100, 965,300 and 965,300 shares issued and outstanding at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December 31, 2013, December 31, 2014 and June 30, 2015, (unaudited), respectively</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7,874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Ordinary shares, no par value; 119,900, 1,054,900 and 2,282,123 shares issued and outstanding at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December 31, 2013, December 31, 2014 and June 30, 2015, (unaudited), respectively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9,973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ind w:left="50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7"/>
              </w:rPr>
              <w:t>(10,647)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w w:val="97"/>
              </w:rPr>
              <w:t>(15,876)</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(23,041)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(deficit) equity</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(7,762)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264"/>
        </w:trPr>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2,938</w:t>
            </w:r>
          </w:p>
        </w:tc>
        <w:tc>
          <w:tcPr>
            <w:tcW w:w="3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595"/>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1,920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2,395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1,087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3,457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1,654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2,999</w:t>
            </w:r>
          </w:p>
        </w:tc>
        <w:tc>
          <w:tcPr>
            <w:tcW w:w="100" w:type="dxa"/>
            <w:vAlign w:val="bottom"/>
          </w:tcPr>
          <w:p>
            <w:pPr>
              <w:spacing w:after="0"/>
              <w:rPr>
                <w:sz w:val="16"/>
                <w:szCs w:val="16"/>
                <w:color w:val="auto"/>
              </w:rPr>
            </w:pPr>
          </w:p>
        </w:tc>
        <w:tc>
          <w:tcPr>
            <w:tcW w:w="9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1,173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operating expenses</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3,574</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5,394</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2,260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7,246</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6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(3,574)</w:t>
            </w:r>
          </w:p>
        </w:tc>
        <w:tc>
          <w:tcPr>
            <w:tcW w:w="120" w:type="dxa"/>
            <w:vAlign w:val="bottom"/>
          </w:tcPr>
          <w:p>
            <w:pPr>
              <w:spacing w:after="0"/>
              <w:rPr>
                <w:sz w:val="22"/>
                <w:szCs w:val="2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7"/>
                <w:szCs w:val="17"/>
                <w:color w:val="auto"/>
              </w:rPr>
              <w:t>(5,394)</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(2,260)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(7,094)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income:</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(111)</w:t>
            </w:r>
          </w:p>
        </w:tc>
        <w:tc>
          <w:tcPr>
            <w:tcW w:w="120" w:type="dxa"/>
            <w:vAlign w:val="bottom"/>
          </w:tcPr>
          <w:p>
            <w:pPr>
              <w:spacing w:after="0"/>
              <w:rPr>
                <w:sz w:val="16"/>
                <w:szCs w:val="16"/>
                <w:color w:val="auto"/>
              </w:rPr>
            </w:pP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(12)</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Other, net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261</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215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60" w:type="dxa"/>
            <w:vAlign w:val="bottom"/>
            <w:gridSpan w:val="2"/>
          </w:tcPr>
          <w:p>
            <w:pPr>
              <w:spacing w:after="0"/>
              <w:rPr>
                <w:sz w:val="20"/>
                <w:szCs w:val="20"/>
                <w:color w:val="auto"/>
              </w:rPr>
            </w:pPr>
            <w:r>
              <w:rPr>
                <w:rFonts w:ascii="Arial" w:cs="Arial" w:eastAsia="Arial" w:hAnsi="Arial"/>
                <w:sz w:val="17"/>
                <w:szCs w:val="17"/>
                <w:color w:val="auto"/>
              </w:rPr>
              <w:t>Total other (expense) income</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22"/>
                <w:szCs w:val="22"/>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22"/>
                <w:szCs w:val="2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203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(3,648)</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(5,145)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(2,057)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330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(84)</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(3,318)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(5,229)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(2,117)</w:t>
            </w:r>
          </w:p>
        </w:tc>
        <w:tc>
          <w:tcPr>
            <w:tcW w:w="3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vMerge w:val="restart"/>
          </w:tcPr>
          <w:p>
            <w:pPr>
              <w:spacing w:after="0"/>
              <w:rPr>
                <w:sz w:val="21"/>
                <w:szCs w:val="21"/>
                <w:color w:val="auto"/>
              </w:rPr>
            </w:pPr>
          </w:p>
        </w:tc>
        <w:tc>
          <w:tcPr>
            <w:tcW w:w="6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share attributable to ordinary shareholders—basic and diluted</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(7.69)</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(2.41)</w:t>
            </w:r>
          </w:p>
        </w:tc>
        <w:tc>
          <w:tcPr>
            <w:tcW w:w="3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7"/>
                <w:szCs w:val="17"/>
                <w:color w:val="auto"/>
              </w:rPr>
              <w:t>Weighted-average ordinary shares used in computing net loss per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16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40" w:type="dxa"/>
            <w:vAlign w:val="bottom"/>
          </w:tcPr>
          <w:p>
            <w:pPr>
              <w:ind w:left="240"/>
              <w:spacing w:after="0"/>
              <w:rPr>
                <w:sz w:val="20"/>
                <w:szCs w:val="20"/>
                <w:color w:val="auto"/>
              </w:rPr>
            </w:pPr>
            <w:r>
              <w:rPr>
                <w:rFonts w:ascii="Arial" w:cs="Arial" w:eastAsia="Arial" w:hAnsi="Arial"/>
                <w:sz w:val="17"/>
                <w:szCs w:val="17"/>
                <w:color w:val="auto"/>
              </w:rPr>
              <w:t>attributable to ordinary shareholders—basic and diluted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431,270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w w:val="97"/>
              </w:rPr>
              <w:t>967,894</w:t>
            </w:r>
          </w:p>
        </w:tc>
        <w:tc>
          <w:tcPr>
            <w:tcW w:w="1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879,265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2,159,811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7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7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69"/>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r>
      <w:tr>
        <w:trPr>
          <w:trHeight w:val="189"/>
        </w:trPr>
        <w:tc>
          <w:tcPr>
            <w:tcW w:w="7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92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$(3,318)</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$(5,229)</w:t>
            </w: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$(2,117)</w:t>
            </w:r>
          </w:p>
        </w:tc>
        <w:tc>
          <w:tcPr>
            <w:tcW w:w="8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$(7,165)</w:t>
            </w:r>
          </w:p>
        </w:tc>
      </w:tr>
      <w:tr>
        <w:trPr>
          <w:trHeight w:val="297"/>
        </w:trPr>
        <w:tc>
          <w:tcPr>
            <w:tcW w:w="796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79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currency translation</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135</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(169)</w:t>
            </w: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w:t>
            </w:r>
          </w:p>
        </w:tc>
        <w:tc>
          <w:tcPr>
            <w:tcW w:w="8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w:t>
            </w:r>
          </w:p>
        </w:tc>
      </w:tr>
      <w:tr>
        <w:trPr>
          <w:trHeight w:val="20"/>
        </w:trPr>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960" w:type="dxa"/>
            <w:vAlign w:val="bottom"/>
          </w:tcPr>
          <w:p>
            <w:pPr>
              <w:spacing w:after="0"/>
              <w:rPr>
                <w:sz w:val="20"/>
                <w:szCs w:val="20"/>
                <w:color w:val="auto"/>
              </w:rPr>
            </w:pPr>
            <w:r>
              <w:rPr>
                <w:rFonts w:ascii="Arial" w:cs="Arial" w:eastAsia="Arial" w:hAnsi="Arial"/>
                <w:sz w:val="17"/>
                <w:szCs w:val="17"/>
                <w:color w:val="auto"/>
              </w:rPr>
              <w:t>Comprehensive loss</w:t>
            </w:r>
          </w:p>
        </w:tc>
        <w:tc>
          <w:tcPr>
            <w:tcW w:w="920" w:type="dxa"/>
            <w:vAlign w:val="bottom"/>
            <w:gridSpan w:val="3"/>
          </w:tcPr>
          <w:p>
            <w:pPr>
              <w:jc w:val="right"/>
              <w:ind w:right="26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 xml:space="preserve"> (3,183)</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 xml:space="preserve"> (5,398)</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 xml:space="preserve"> (2,203)</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(7,187)</w:t>
            </w:r>
          </w:p>
        </w:tc>
      </w:tr>
      <w:tr>
        <w:trPr>
          <w:trHeight w:val="20"/>
        </w:trPr>
        <w:tc>
          <w:tcPr>
            <w:tcW w:w="7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20" w:type="dxa"/>
            <w:vAlign w:val="bottom"/>
            <w:gridSpan w:val="4"/>
            <w:vMerge w:val="restart"/>
          </w:tcPr>
          <w:p>
            <w:pPr>
              <w:jc w:val="center"/>
              <w:ind w:left="357"/>
              <w:spacing w:after="0"/>
              <w:rPr>
                <w:sz w:val="20"/>
                <w:szCs w:val="20"/>
                <w:color w:val="auto"/>
              </w:rPr>
            </w:pPr>
            <w:r>
              <w:rPr>
                <w:rFonts w:ascii="Arial" w:cs="Arial" w:eastAsia="Arial" w:hAnsi="Arial"/>
                <w:sz w:val="14"/>
                <w:szCs w:val="14"/>
                <w:b w:val="1"/>
                <w:bCs w:val="1"/>
                <w:color w:val="auto"/>
                <w:w w:val="99"/>
              </w:rPr>
              <w:t>Series 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4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Preferred Shares</w:t>
            </w: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Other Comprehensive</w:t>
            </w:r>
          </w:p>
        </w:tc>
        <w:tc>
          <w:tcPr>
            <w:tcW w:w="6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94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4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Balance at December 31, 2012</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500,000</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2,660</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90</w:t>
            </w: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(7,329)</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(4,579)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Pr>
          <w:p>
            <w:pPr>
              <w:ind w:left="240"/>
              <w:spacing w:after="0" w:line="183" w:lineRule="exact"/>
              <w:rPr>
                <w:sz w:val="20"/>
                <w:szCs w:val="20"/>
                <w:color w:val="auto"/>
              </w:rPr>
            </w:pPr>
            <w:r>
              <w:rPr>
                <w:rFonts w:ascii="Arial" w:cs="Arial" w:eastAsia="Arial" w:hAnsi="Arial"/>
                <w:sz w:val="17"/>
                <w:szCs w:val="17"/>
                <w:color w:val="auto"/>
              </w:rPr>
              <w:t>Conversion of ordinary shares to</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ind w:left="500"/>
              <w:spacing w:after="0"/>
              <w:rPr>
                <w:sz w:val="20"/>
                <w:szCs w:val="20"/>
                <w:color w:val="auto"/>
              </w:rPr>
            </w:pPr>
            <w:r>
              <w:rPr>
                <w:rFonts w:ascii="Arial" w:cs="Arial" w:eastAsia="Arial" w:hAnsi="Arial"/>
                <w:sz w:val="17"/>
                <w:szCs w:val="17"/>
                <w:color w:val="auto"/>
              </w:rPr>
              <w:t>Series A preferred shares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380,100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2,022</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(380,100)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Other comprehensive income</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240"/>
              <w:spacing w:after="0" w:line="189" w:lineRule="exact"/>
              <w:rPr>
                <w:sz w:val="20"/>
                <w:szCs w:val="20"/>
                <w:color w:val="auto"/>
              </w:rPr>
            </w:pPr>
            <w:r>
              <w:rPr>
                <w:rFonts w:ascii="Arial" w:cs="Arial" w:eastAsia="Arial" w:hAnsi="Arial"/>
                <w:sz w:val="17"/>
                <w:szCs w:val="17"/>
                <w:color w:val="auto"/>
              </w:rPr>
              <w:t>Net loss</w:t>
            </w: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(3,318)</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(3,318)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0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at December 31, 2013</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380,100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8"/>
              </w:rPr>
              <w:t>2,022</w:t>
            </w: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119,900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638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225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(10,647)</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(7,762)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Pr>
          <w:p>
            <w:pPr>
              <w:ind w:left="240"/>
              <w:spacing w:after="0" w:line="183" w:lineRule="exact"/>
              <w:rPr>
                <w:sz w:val="20"/>
                <w:szCs w:val="20"/>
                <w:color w:val="auto"/>
              </w:rPr>
            </w:pPr>
            <w:r>
              <w:rPr>
                <w:rFonts w:ascii="Arial" w:cs="Arial" w:eastAsia="Arial" w:hAnsi="Arial"/>
                <w:sz w:val="17"/>
                <w:szCs w:val="17"/>
                <w:color w:val="auto"/>
              </w:rPr>
              <w:t>Conversion of related party notes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500"/>
              <w:spacing w:after="0" w:line="189" w:lineRule="exact"/>
              <w:rPr>
                <w:sz w:val="20"/>
                <w:szCs w:val="20"/>
                <w:color w:val="auto"/>
              </w:rPr>
            </w:pPr>
            <w:r>
              <w:rPr>
                <w:rFonts w:ascii="Arial" w:cs="Arial" w:eastAsia="Arial" w:hAnsi="Arial"/>
                <w:sz w:val="17"/>
                <w:szCs w:val="17"/>
                <w:color w:val="auto"/>
              </w:rPr>
              <w:t>payable to ordinary shares and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ind w:left="500"/>
              <w:spacing w:after="0"/>
              <w:rPr>
                <w:sz w:val="20"/>
                <w:szCs w:val="20"/>
                <w:color w:val="auto"/>
              </w:rPr>
            </w:pPr>
            <w:r>
              <w:rPr>
                <w:rFonts w:ascii="Arial" w:cs="Arial" w:eastAsia="Arial" w:hAnsi="Arial"/>
                <w:sz w:val="17"/>
                <w:szCs w:val="17"/>
                <w:color w:val="auto"/>
              </w:rPr>
              <w:t>Series A preferred shares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585,200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5,852</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375,000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3,750</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9,602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Issuance of ordinary shares, net of</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offering costs of $15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5,585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240"/>
              <w:spacing w:after="0" w:line="189" w:lineRule="exact"/>
              <w:rPr>
                <w:sz w:val="20"/>
                <w:szCs w:val="20"/>
                <w:color w:val="auto"/>
              </w:rPr>
            </w:pPr>
            <w:r>
              <w:rPr>
                <w:rFonts w:ascii="Arial" w:cs="Arial" w:eastAsia="Arial" w:hAnsi="Arial"/>
                <w:sz w:val="17"/>
                <w:szCs w:val="17"/>
                <w:color w:val="auto"/>
              </w:rPr>
              <w:t>Other comprehensive loss</w:t>
            </w: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loss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(5,229)</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(5,229)</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Balance at December 31, 2014</w:t>
            </w: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60" w:type="dxa"/>
            <w:vAlign w:val="bottom"/>
            <w:gridSpan w:val="2"/>
            <w:vMerge w:val="continue"/>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965,300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7,874</w:t>
            </w:r>
          </w:p>
        </w:tc>
        <w:tc>
          <w:tcPr>
            <w:tcW w:w="1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1,054,900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9,973</w:t>
            </w:r>
          </w:p>
        </w:tc>
        <w:tc>
          <w:tcPr>
            <w:tcW w:w="1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(15,876)</w:t>
            </w:r>
          </w:p>
        </w:tc>
        <w:tc>
          <w:tcPr>
            <w:tcW w:w="16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Share-based compensation,</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including issuance of ordinary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shares to an employee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(unaudited)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47,223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1,650</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Pr>
          <w:p>
            <w:pPr>
              <w:ind w:left="240"/>
              <w:spacing w:after="0" w:line="183" w:lineRule="exact"/>
              <w:rPr>
                <w:sz w:val="20"/>
                <w:szCs w:val="20"/>
                <w:color w:val="auto"/>
              </w:rPr>
            </w:pPr>
            <w:r>
              <w:rPr>
                <w:rFonts w:ascii="Arial" w:cs="Arial" w:eastAsia="Arial" w:hAnsi="Arial"/>
                <w:sz w:val="17"/>
                <w:szCs w:val="17"/>
                <w:color w:val="auto"/>
              </w:rPr>
              <w:t>Issuance of ordinary shares, net of</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500"/>
              <w:spacing w:after="0" w:line="189" w:lineRule="exact"/>
              <w:rPr>
                <w:sz w:val="20"/>
                <w:szCs w:val="20"/>
                <w:color w:val="auto"/>
              </w:rPr>
            </w:pPr>
            <w:r>
              <w:rPr>
                <w:rFonts w:ascii="Arial" w:cs="Arial" w:eastAsia="Arial" w:hAnsi="Arial"/>
                <w:sz w:val="17"/>
                <w:szCs w:val="17"/>
                <w:color w:val="auto"/>
              </w:rPr>
              <w:t>offering costs of $169</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ind w:left="500"/>
              <w:spacing w:after="0"/>
              <w:rPr>
                <w:sz w:val="20"/>
                <w:szCs w:val="20"/>
                <w:color w:val="auto"/>
              </w:rPr>
            </w:pPr>
            <w:r>
              <w:rPr>
                <w:rFonts w:ascii="Arial" w:cs="Arial" w:eastAsia="Arial" w:hAnsi="Arial"/>
                <w:sz w:val="17"/>
                <w:szCs w:val="17"/>
                <w:color w:val="auto"/>
              </w:rPr>
              <w:t>(unaudited)</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1,180,000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11,631</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11,631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Other comprehensive loss</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(unaudited)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240"/>
              <w:spacing w:after="0" w:line="189" w:lineRule="exact"/>
              <w:rPr>
                <w:sz w:val="20"/>
                <w:szCs w:val="20"/>
                <w:color w:val="auto"/>
              </w:rPr>
            </w:pPr>
            <w:r>
              <w:rPr>
                <w:rFonts w:ascii="Arial" w:cs="Arial" w:eastAsia="Arial" w:hAnsi="Arial"/>
                <w:sz w:val="17"/>
                <w:szCs w:val="17"/>
                <w:color w:val="auto"/>
              </w:rPr>
              <w:t>Net loss (unaudited)</w:t>
            </w: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(7,165)</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0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040" w:type="dxa"/>
            <w:vAlign w:val="bottom"/>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Balance at June 30, 2015</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(unaudited)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965,300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7,874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2,282,123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22,446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(23,041)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center"/>
              <w:ind w:right="35"/>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(3,318)</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(5,229)</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(2,117)</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276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281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Loss on disposal of property and equipment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60</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500"/>
              <w:spacing w:after="0" w:line="189" w:lineRule="exact"/>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90</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(28)</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500"/>
              <w:spacing w:after="0" w:line="189" w:lineRule="exact"/>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(3,551)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(4,426)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(3,011)</w:t>
            </w: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Investing Activities</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in restricted cash</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Proceeds from government grant reimbursements for property and equipment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312</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sale of property and equipment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(590)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(517)</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(1,430)</w:t>
            </w: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party notes payable</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Repayment of related party notes payable</w:t>
            </w:r>
          </w:p>
        </w:tc>
        <w:tc>
          <w:tcPr>
            <w:tcW w:w="100" w:type="dxa"/>
            <w:vAlign w:val="bottom"/>
          </w:tcPr>
          <w:p>
            <w:pPr>
              <w:spacing w:after="0"/>
              <w:rPr>
                <w:sz w:val="16"/>
                <w:szCs w:val="16"/>
                <w:color w:val="auto"/>
              </w:rPr>
            </w:pP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the issuance of ordinary shares, net of offering costs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5,585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5,585</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11,631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Proceeds from government grant advances</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34</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Principal payments on capital lease obligation</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5,619</w:t>
            </w:r>
          </w:p>
        </w:tc>
        <w:tc>
          <w:tcPr>
            <w:tcW w:w="3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11,646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foreign exchange rates on cash</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color w:val="auto"/>
              </w:rPr>
              <w:t>Net increase in cash</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3,310</w:t>
            </w:r>
          </w:p>
        </w:tc>
        <w:tc>
          <w:tcPr>
            <w:tcW w:w="3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beginning of period</w:t>
            </w: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379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439</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20" w:type="dxa"/>
            <w:vAlign w:val="bottom"/>
            <w:gridSpan w:val="2"/>
          </w:tcPr>
          <w:p>
            <w:pPr>
              <w:spacing w:after="0"/>
              <w:rPr>
                <w:sz w:val="20"/>
                <w:szCs w:val="20"/>
                <w:color w:val="auto"/>
              </w:rPr>
            </w:pPr>
            <w:r>
              <w:rPr>
                <w:rFonts w:ascii="Arial" w:cs="Arial" w:eastAsia="Arial" w:hAnsi="Arial"/>
                <w:sz w:val="17"/>
                <w:szCs w:val="17"/>
                <w:color w:val="auto"/>
              </w:rPr>
              <w:t>Cash at end of period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439</w:t>
            </w:r>
          </w:p>
        </w:tc>
        <w:tc>
          <w:tcPr>
            <w:tcW w:w="1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1,048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3,749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Conversion of related party notes payable into ordinary and Series A preferred shares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9,602</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9,602</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7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Conversion of ordinary shares into Series A preferred shares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900" w:type="dxa"/>
            <w:vAlign w:val="bottom"/>
          </w:tcPr>
          <w:p>
            <w:pPr>
              <w:ind w:left="240"/>
              <w:spacing w:after="0"/>
              <w:rPr>
                <w:sz w:val="20"/>
                <w:szCs w:val="20"/>
                <w:color w:val="auto"/>
              </w:rPr>
            </w:pPr>
            <w:r>
              <w:rPr>
                <w:rFonts w:ascii="Arial" w:cs="Arial" w:eastAsia="Arial" w:hAnsi="Arial"/>
                <w:sz w:val="17"/>
                <w:szCs w:val="17"/>
                <w:color w:val="auto"/>
              </w:rPr>
              <w:t>Equipment acquired for capital lease obligation</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7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Deferred offering costs in accounts payable and accrued expenses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900" w:type="dxa"/>
            <w:vAlign w:val="bottom"/>
          </w:tcPr>
          <w:p>
            <w:pPr>
              <w:ind w:left="240"/>
              <w:spacing w:after="0"/>
              <w:rPr>
                <w:sz w:val="20"/>
                <w:szCs w:val="20"/>
                <w:color w:val="auto"/>
              </w:rPr>
            </w:pPr>
            <w:r>
              <w:rPr>
                <w:rFonts w:ascii="Arial" w:cs="Arial" w:eastAsia="Arial" w:hAnsi="Arial"/>
                <w:sz w:val="17"/>
                <w:szCs w:val="17"/>
                <w:color w:val="auto"/>
              </w:rPr>
              <w:t>Property and equipment purchases in 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50</w:t>
            </w: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WAVE Life Sciences Pte. Ltd. (together with its subsidiaries, “WAVE” or the “Company”) is a preclinical biopharmaceutical company with an innovative and proprietary synthetic chemistry drug development platform that the Company is using to design, develop and commercialize a broad pipeline of first-in-class or best-in-class nucleic acid therapeutic candidates. The Company is initially developing nucleic acid therapeutics that target genetic defects to either reduce the expression of disease-promoting proteins or transform the production of dysfunctional mutant proteins into the production of functional proteins.</w:t>
      </w:r>
    </w:p>
    <w:p>
      <w:pPr>
        <w:spacing w:after="0" w:line="15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Company was incorporated in Singapore on July 23, 2012 and has its principal office in Boston, Massachusetts. The Company was incorporated with the purpose of combining two commonly held companies, WAVE Life Sciences USA, Inc., (“WAVE USA”), a Delaware corporation (formerly Ontorii, Inc.), and WAVE Life Sciences (Japan), (“WAVE Japan”), a company organized under the laws of Japan (formerly Chiralgen., Ltd.), which occurred on September 12, 2012.</w:t>
      </w:r>
    </w:p>
    <w:p>
      <w:pPr>
        <w:spacing w:after="0" w:line="14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Company was created through the combination of entities that were under the common control of Shin Nippon Biomedical Laboratories Ltd. (“SNBL”) both prior to and immediately following the Company’s incorporation. Since the entities represent the combination of entities under common control, generally accepted accounting principles in the United States (“U.S. GAAP”) require the presentation of the combined companies as if they have always been combined entities. Therefore, on the date of incorporation, the Company recognized the assets and liabilities of WAVE USA and WAVE Japan at the carrying amounts of the assets and liabilities as recorded in the standalone financial statements of the respective companies on that date.</w:t>
      </w:r>
    </w:p>
    <w:p>
      <w:pPr>
        <w:spacing w:after="0" w:line="148"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Company’s primary activities since inception have been conducting research and experimental development of biotechnology and chemicals, conducting preclinical testing, recruiting personnel, and raising capital to support development activities.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Since the Company’s inception, WAVE has incurred significant operating losses and has had negative cash flows from operations. The Company’s net loss was $5,229 for the year ended December 31, 2014, and $7,165 (unaudited) for the six months ended June 30, 2015. As of December 31, 2014 and June 30, 2015, the Company had an accumulated deficit of $15,876 and $23,041 (unaudited), respectively.</w:t>
      </w:r>
    </w:p>
    <w:p>
      <w:pPr>
        <w:spacing w:after="0" w:line="14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From the Company’s inception through June 30, 2015, the Company has financed its operations primarily through private placements of promissory notes and ordinary shares. Since the Company’s incorporation, through December 31, 2014 and June 30, 2015, the Company has received net proceeds of $15,187 and $26,818 (unaudited), respectively, from such transactions.</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had cash of $1,048 and $7,779 (unaudited) at December 31, 2014 and June 30, 2015, respectively. On August 14, 2015, the Company completed a private placement of Series B preferred shares and received net proceeds of approximately $62,500 (unaudited). In connection with the private placement, the holders of the Company’s preference shares agreed to rename the Company’s “preference shares” as “Series A preferred shares” pursuant to an amendment to the Company’s Articles and Memorandum of Association and Articles of Association. All references to the Series A preferred shares in the accompanying financial statements and notes herein give retroactive effect to the renaming of the preference shares and is limited to only that change except for the additional rights of the Series A preferred shares discussed in Note 15, which are treated on a prospective basis.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believes that its cash at December 31, 2014 and June 30, 2015 along with the net proceeds of $62,500 (unaudited) from the issuance of Series B preferred shares on August 14, 2015 will allow the Company to meet its working capital obligations and fund its operations through at least December 31, 2016.</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54"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Company’s therapeutic programs are currently in the development or discovery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prepared the accompanying consolidated financial statements in conformity with U.S. GAAP and in U.S. dollars.</w:t>
      </w:r>
    </w:p>
    <w:p>
      <w:pPr>
        <w:spacing w:after="0" w:line="193" w:lineRule="exact"/>
        <w:rPr>
          <w:sz w:val="20"/>
          <w:szCs w:val="20"/>
          <w:color w:val="auto"/>
        </w:rPr>
      </w:pPr>
    </w:p>
    <w:p>
      <w:pPr>
        <w:ind w:right="7880" w:firstLine="8"/>
        <w:spacing w:after="0" w:line="299" w:lineRule="auto"/>
        <w:tabs>
          <w:tab w:leader="none" w:pos="2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7"/>
          <w:szCs w:val="17"/>
          <w:b w:val="1"/>
          <w:bCs w:val="1"/>
          <w:i w:val="1"/>
          <w:iCs w:val="1"/>
          <w:color w:val="auto"/>
        </w:rPr>
        <w:t>Unaudited Interim Financial Data</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accompanying interim consolidated balance sheet as of June 30, 2015, the related interim consolidated statements of operations, comprehensive loss and cash flows for the six months ended June 30, 2014 and 2015, the consolidated statement of shareholders’ equity (deficit) for the six months ended June 30, 2015 and the related interim information contained within the notes to the consolidated financial statements have been prepared in accordance with the rules and regulations of the Securities and Exchange Commission for interim financial information. Accordingly, they do not include all of the information and the notes required by U.S. GAAP for complete financial statements. The financial data and other information disclosed in these notes related to the six months ended June 30, 2014 and 2015 are unaudited. In the opinion of management, the unaudited interim consolidated financial statements reflect all adjustments, consisting of normal and recurring adjustments, necessary for the fair presentation of the Company’s financial position at June 30, 2015 and the consolidated results of its operations, comprehensive loss and cash flows for the six months ended June 30, 2015 are not necessarily indicative of the results to be expected for the year ending December 31, 2015 or any other interim period or future year or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Ordinary and Series A Preferred Share Split</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Company’s board of directors and shareholders approved a 50-for-1 share split of its outstanding ordinary and Series A preferred shares effective November 18, 2014. All share and per share amounts in the consolidated financial statements and notes thereto have been retroactively adjusted for all periods presented to give effect to the share split.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5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Company’s consolidated financial statements include the accounts of the Company and its wholly-owned subsidiaries. All significant intercompany balances and transactions have been eliminated in consolidation.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54"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liabilities at the date of the consolidated financial statements and the reported amounts of expenses during the reporting periods. Significant estimates and assumptions reflected in these consolidated financial statements include, but are not limited to the valuation of its Series A preferred shares on conversion of the related party notes payable, the valuation of the Company’s ordinary shares, the assumptions used to determine the fair value share-based awards, the valuation allowance required for the Company’s deferred tax assets, and determining uncertain tax positions and the related liabilities. Estimates are periodically reviewed in light of changes in circumstances, facts and experience. Actual results could differ from the Company’s estimates.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Data</w:t>
      </w:r>
    </w:p>
    <w:p>
      <w:pPr>
        <w:spacing w:after="0" w:line="4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Company’s singular focus is on developing its proprietary synthetic chemistry platform to develop and commercialize a broad pipeline of nucleic acid-based therapeutics.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functional currency of the Company’s Japanese subsidiary and the Company’s Singapore entity is the Japanese yen and U.S. dollar, respectively. Assets and liabilities of WAVE Japan are translated at period end exchange rates while revenues and expenses are translated at average exchange rates for the period. Intercompany loans that are not expected to be settled in the foreseeable future are translated at the historical rate for the date of each capital transaction. Net unrealized gains and losses from foreign currency translation are reflected as accumulated other comprehensive income within shareholders’ (deficit) equity. Gains and losses on foreign currency transactions are included in the consolidated statements of operations within other, net.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1—Unadjusted quoted prices in active markets that are accessible at the measurement date of identical, unrestricted assets.</w:t>
      </w:r>
    </w:p>
    <w:p>
      <w:pPr>
        <w:spacing w:after="0" w:line="156" w:lineRule="exact"/>
        <w:rPr>
          <w:sz w:val="20"/>
          <w:szCs w:val="20"/>
          <w:color w:val="auto"/>
        </w:rPr>
      </w:pPr>
    </w:p>
    <w:p>
      <w:pPr>
        <w:ind w:left="360" w:right="480"/>
        <w:spacing w:after="0" w:line="238" w:lineRule="auto"/>
        <w:rPr>
          <w:sz w:val="20"/>
          <w:szCs w:val="20"/>
          <w:color w:val="auto"/>
        </w:rPr>
      </w:pPr>
      <w:r>
        <w:rPr>
          <w:rFonts w:ascii="Arial" w:cs="Arial" w:eastAsia="Arial" w:hAnsi="Arial"/>
          <w:sz w:val="17"/>
          <w:szCs w:val="17"/>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148" w:lineRule="exact"/>
        <w:rPr>
          <w:sz w:val="20"/>
          <w:szCs w:val="20"/>
          <w:color w:val="auto"/>
        </w:rPr>
      </w:pPr>
    </w:p>
    <w:p>
      <w:pPr>
        <w:ind w:left="360" w:right="300"/>
        <w:spacing w:after="0" w:line="243" w:lineRule="auto"/>
        <w:rPr>
          <w:sz w:val="20"/>
          <w:szCs w:val="20"/>
          <w:color w:val="auto"/>
        </w:rPr>
      </w:pPr>
      <w:r>
        <w:rPr>
          <w:rFonts w:ascii="Arial" w:cs="Arial" w:eastAsia="Arial" w:hAnsi="Arial"/>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There were no financial instruments recorded at fair value as of December 31, 2013 and 2014 and June 30, 2015 (unaudited). The carrying amounts of accounts receivable, accounts payable, accrued expenses and related party notes payable approximate their fair values due to their short-term maturities.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41"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Cash is a financial instrument that potentially subjects the Company to concentration of credit risk. The Company uses eight financial institutions to maintain its cash which are high quality, accredited financial institutions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41" w:lineRule="exact"/>
        <w:rPr>
          <w:sz w:val="20"/>
          <w:szCs w:val="20"/>
          <w:color w:val="auto"/>
        </w:rPr>
      </w:pPr>
    </w:p>
    <w:p>
      <w:pPr>
        <w:ind w:right="880"/>
        <w:spacing w:after="0" w:line="243" w:lineRule="auto"/>
        <w:rPr>
          <w:sz w:val="20"/>
          <w:szCs w:val="20"/>
          <w:color w:val="auto"/>
        </w:rPr>
      </w:pPr>
      <w:r>
        <w:rPr>
          <w:rFonts w:ascii="Arial" w:cs="Arial" w:eastAsia="Arial" w:hAnsi="Arial"/>
          <w:sz w:val="17"/>
          <w:szCs w:val="17"/>
          <w:color w:val="auto"/>
        </w:rPr>
        <w:t>Restricted cash consists primarily of cash placed in a separate restricted bank account as required under the terms of the Company’s lease arrangement for its Cambridge, Massachusetts facility. There was no restricted cash as of December 31, 2013 and 2014.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Property and equipment, which consists of furniture and equipment and leasehold improvements are stated at cost less accumulated depreciation and amortization. Depreciation is calculated on a straight-line basis over the following estimated useful lives of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Furniture and Equipment</w:t>
      </w:r>
    </w:p>
    <w:p>
      <w:pPr>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3-7 years</w:t>
      </w:r>
    </w:p>
    <w:p>
      <w:pPr>
        <w:spacing w:after="0"/>
        <w:rPr>
          <w:sz w:val="20"/>
          <w:szCs w:val="20"/>
          <w:color w:val="auto"/>
        </w:rPr>
      </w:pPr>
      <w:r>
        <w:rPr>
          <w:rFonts w:ascii="Arial" w:cs="Arial" w:eastAsia="Arial" w:hAnsi="Arial"/>
          <w:sz w:val="17"/>
          <w:szCs w:val="17"/>
          <w:color w:val="auto"/>
        </w:rPr>
        <w:t>Shorter of life of lease or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137160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line="185"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Depreciation and amortization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Long-lived assets consist of property and equipment. Long-lived assets are reviewed for impairment whenever events or other changes in circumstances indicate that the carrying amount may not be recoverable. Certain factors may exist or events may occur, which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When performing the impairment assessment for long-lived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Through June 30, 2015 (unaudited), the Company has not recognized any impairment charges.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5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capitalizes certain legal, professional, accounting and other third party fees that are directly associated with in-process equity financings as deferred offering costs until such financings are consummated. After consummation of the equity financing, these costs are recorded in shareholders’ equity (deficit) as a reduction to the carrying value of the shares issued.</w:t>
      </w:r>
    </w:p>
    <w:p>
      <w:pPr>
        <w:spacing w:after="0" w:line="14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There were none and $72 of deferred offering costs at December 31, 2013 and 2014, respectively. As of June 30, 2015, the Company has capitalized $669 (unaudited) of deferred offering costs in contemplation of its initial public offering. The Company will offset any deferred costs against proceeds upon the consummation of the initial public offering. If the initial public offering is terminated, deferred costs will be expensed.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0"/>
          </w:cols>
          <w:pgMar w:left="240" w:top="459" w:right="25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(in thousands, except for share and per share amounts)</w:t>
      </w:r>
    </w:p>
    <w:p>
      <w:pPr>
        <w:jc w:val="center"/>
        <w:ind w:right="-7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Agreement</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had a collaboration agreement with a third party, which was entered into in late 2014 and terminated in May 2015. The Company was entitled to a non-refundable upfront amount of $152 related to research and development services performed under the agreement. The upfront fee was billed in 2014 and collected in early 2015. The Company recorded its right to the upfront payment as accounts receivable and deferred revenue at December 31, 2014. Upon receipt of the non-refundable payment, the Company began recognizing the upfront fee on a straight-line basis over the service period. Upon termination of the agreement, the Company recognized the remainder of the upfront fee. Revenue recognized under the agreement was $152 (unaudited) for the six months ended June 30, 2015. There have been no other revenue generating activities from collaboration or license agreements entered into by the Company since its formation and through December 31, 2014 and June 30, 2015.</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Revenue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had no product revenue to date.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41"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The Company has a limited amount of accounts receivable, which relate primarily to reimbursement of qualified expenditures under a government grant. The Company has not had any bad debts from the date of incorporation through December 31, 2014 and June 30, 2015 (unaudited). All amounts recorded as accounts receivable have been collected to date.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5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Research and development costs are expensed as incurred. Research and development costs include salaries, share-based compensation and benefits of employees, third-party license fees and other operational costs related to the Company’s research and development activities, including allocated facility-related expenses and external costs of outside vendors engaged to conduct preclinical studies and other research and development activities.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54"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Company has applied for reimbursement of expenditures with the Japanese government for certain qualified operating or capital expenditures. The Company recognizes government grants when there is reasonable assurance that the Company will comply with the conditions attached to the grant arrangement and the grant will be received.</w:t>
      </w:r>
    </w:p>
    <w:p>
      <w:pPr>
        <w:spacing w:after="0" w:line="148"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Government grants for research and development efforts are recorded as grant income and classified in other, net in the consolidated statements of operations. Government grants related to reimbursements of capital expenditures are recognized as a reduction of the basis of the asset and recognized in the consolidated statements of operations over the estimated useful life of the depreciable asset as reduced depreciation expense.</w:t>
      </w:r>
    </w:p>
    <w:p>
      <w:pPr>
        <w:spacing w:after="0" w:line="148"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The Company recognized other income of $43 and $160 for the years ended December 31, 2013 and 2014, respectively and $108 (unaudited) and $44 (unaudited) for the six months ended June 30, 2014 and 2015, respectively, which is included in the consolidated statements of operations.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Company recorded reimbursable capital expenditures of $66 and $248 for the years ended December 31, 2013 and 2014, respectively, and $249 (unaudited) and $3 (unaudited) for the six months ended June 30, 2014 and 2015 (unaudited), respectively, for which a reduction in the basis of the assets purchased was recorded in the consolidated balance sheets.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5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Basic net loss per share is computed using the weighted-average number of ordinary shares outstanding during the period. Diluted net loss per share is computed using the sum of the weighted-average number of ordinary shares outstanding during the period and, if dilutive, the weighted-average number of potential ordinary shares, including the assumed exercise of share options.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applies the two-class method to calculate its basic and diluted net loss per share attributable to ordinary shareholders, as its Series A preferred shares are participating securities. The two-class method is an earnings allocation formula that treats a participating security as having rights to earnings that otherwise would have been available to ordinary shareholders. However, for the periods presented, the two-class method does not impact the net loss per ordinary share as the Company was in a net loss position for each of the periods presented and holders of Series A preferred shares do not participate in losses.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Company’s Series A preferred shares contractually entitle the holders of such shares to participate in dividends but do not contractually require the holders of such shares to participate in losses of the Company. Accordingly, for periods in which the Company reports a net loss attributable to ordinary shareholders, diluted net loss per share attributable to ordinary shareholders is the same as basic net loss per share attributable to ordinary shareholders, since dilutive ordinary shares are not assumed to have been issued if their effect is anti-dilutive.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 and Patent Costs</w:t>
      </w:r>
    </w:p>
    <w:p>
      <w:pPr>
        <w:spacing w:after="0" w:line="41"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Costs associated with licenses of technology and patent costs are expensed as incurred and are generally included in research and development expense in the consolidated statement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4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Company measures and recognizes share-based compensation expense, for both employee and director option awards, based on the grant date fair value of the awards. The Company recognizes share-based compensation expense, net of estimated forfeitures, on a straight-line basis over the requisite service period of the awards, which is generally the vesting period.</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determines the fair value of share-based awards granted to non-employees as either the fair value of the consideration received or the fair value of the equity instruments issued, whichever is more reliably measurable. All issuances of equity instruments issued to non-employees as consideration for goods or services received by the Company are accounted for based on the fair value of the equity instruments issued. These awards are recorded in expense and additional paid-in capital in shareholders’ (deficit) equity over the applicable service periods based on the fair value of the options at the end of each period.</w:t>
      </w:r>
    </w:p>
    <w:p>
      <w:pPr>
        <w:spacing w:after="0" w:line="150"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The Company classifies share-based compensation expense in its consolidated statements of operations in the same manner in which the award recipient’s payroll costs are classified or in which the award recipients’ service payments are classified.</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estimates the fair value of employee and director share options as of the date of grant using the Black-Scholes option pricing model. The Company historically has been a private company and lacks company-specific historical and implied volatility information. Therefore, it estimates its expected share volatility based on the historical volatility of a publicly traded set of peer companies and expects to continue to do so until such time as it has adequate historical data regarding the volatility of its own traded share price. The expected term of the Company’s share options has been determined utilizing the “simplified” method for awards that qualify as “plain-vanilla” options. The risk-free interest rate is determined by reference to the yield curve of a zero-coupon U.S. Treasury bond on the date of grant of the award for time periods approximately equal to the expected term of the award. Expected dividend yield is based on the fact that the Company has never paid cash dividends on ordinary shares and does not expect to pay any cash dividends in the foreseeable future.</w:t>
      </w:r>
    </w:p>
    <w:p>
      <w:pPr>
        <w:spacing w:after="0" w:line="150"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Company also estimates the fair value of consultant and non-employee share options using the Black-Scholes option pricing model reflecting the same assumptions as applied to employee and director options in each of the reporting periods, other than the expected life, which is assumed to be the remaining contractual life of the options.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Company accounts for income taxes using an asset and liability approach, which requires recognition of deferred tax assets and liabilities for the expected future tax consequences of events that have been recognized in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consolidated financial statements, but 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recognizes interest and penalties related to uncertain tax positions in income tax provision.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July 2013, the Financial Accounting Standards Board (“FASB”) issued Accounting Standards Update (“ASU”) 2013-11, </w:t>
      </w:r>
      <w:r>
        <w:rPr>
          <w:rFonts w:ascii="Arial" w:cs="Arial" w:eastAsia="Arial" w:hAnsi="Arial"/>
          <w:sz w:val="17"/>
          <w:szCs w:val="17"/>
          <w:i w:val="1"/>
          <w:iCs w:val="1"/>
          <w:color w:val="auto"/>
        </w:rPr>
        <w:t>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Unrecognized Tax Benefit When a Net Operating Loss Carryforward, a Similar Tax Loss, or a Tax Credit Carryforward Exists </w:t>
      </w:r>
      <w:r>
        <w:rPr>
          <w:rFonts w:ascii="Arial" w:cs="Arial" w:eastAsia="Arial" w:hAnsi="Arial"/>
          <w:sz w:val="17"/>
          <w:szCs w:val="17"/>
          <w:color w:val="auto"/>
        </w:rPr>
        <w:t>(“ASU 2013-11”),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unrecognized tax benefits to be presented as a decrease in a net operating loss, similar tax loss or tax credit carryforward if certain criteria are met. The guidance was effective for fiscal years and interim periods within those years beginning after December 15, 2013 for public entities with early adoption permitted in 2013. The Company elected to early adopt ASU 2013-11 in 2013.</w:t>
      </w:r>
    </w:p>
    <w:p>
      <w:pPr>
        <w:spacing w:after="0" w:line="18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 xml:space="preserve">In June 2014, the FASB issued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U.S. GAAP, in the financial statements of development stage companies. The amendments are effective for annual reporting periods beginning after December 15, 2014 and interim reporting periods beginning after December 15, 2015. Early adoption is permitted for any annual reporting period or interim period for which the entity’s financial statements have not yet been issued (public business entities) or made available for issuance (other entities). The Company elected to early adopt this guidance in 2014 and, therefore, has not presented inception-to-date disclosures in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6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In May 2014, the FASB issued ASU 2014-09—</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ASU 2014-09 supersedes most of the existing guidance on revenue recognition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The core principle of the revenue model is that an entity recognizes revenue to depict the transfer of promised goods or services to customers in an amount that reflects the consideration to which the entity expects to be entitled in exchange for those goods and services. In applying the revenue model to contracts within its scope, an entity will need to</w:t>
      </w:r>
    </w:p>
    <w:p>
      <w:pPr>
        <w:spacing w:after="0" w:line="2" w:lineRule="exact"/>
        <w:rPr>
          <w:sz w:val="20"/>
          <w:szCs w:val="20"/>
          <w:color w:val="auto"/>
        </w:rPr>
      </w:pPr>
    </w:p>
    <w:p>
      <w:pPr>
        <w:ind w:firstLine="8"/>
        <w:spacing w:after="0" w:line="235" w:lineRule="auto"/>
        <w:tabs>
          <w:tab w:leader="none" w:pos="19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 July 9, 2015, the FASB extended the effective date of adoption of the standard to interim reporting periods within annual reporting periods beginning after December 15, 2017 (that is, beginning in the first interim period within the year of adoption). Early adoption of the standard is permitted for all entities for interim and annual periods beginning after December 15, 2016. The Company does not expect the impact of ASU 2014-09 to be material to its 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The Company does not expect the adoption of this guidance to have a material impact on the consolidated financial statements.</w:t>
      </w:r>
    </w:p>
    <w:p>
      <w:pPr>
        <w:spacing w:after="0" w:line="13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(Topic 810) (“ASU 2015-02”), to address financial reporting considerations for the evaluation as to the requirement to consolidate certain legal entities. ASU 2015-02 is effective for fiscal years and for interim periods within those fiscal years beginning after December 15, 2015. The Company is evaluating the impact of ASU 2015-02 and if early adoption is appropriate in future reporting periods.</w:t>
      </w:r>
    </w:p>
    <w:p>
      <w:pPr>
        <w:spacing w:after="0" w:line="127"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Interest—Imputation of Interest (Subtopic 835-30)</w:t>
      </w:r>
      <w:r>
        <w:rPr>
          <w:rFonts w:ascii="Arial" w:cs="Arial" w:eastAsia="Arial" w:hAnsi="Arial"/>
          <w:sz w:val="17"/>
          <w:szCs w:val="17"/>
          <w:color w:val="auto"/>
        </w:rPr>
        <w:t xml:space="preserve"> (“ASU 2015-03”), as part of the initiative to reduce complexity in accounting standards. The update requires that debt issuance costs related to a recognized debt liability be presented in the balance sheet as a direct deduction from the carrying amount of that debt liability, consistent with debt discounts. ASU 2015-03 is effective for annual periods beginning after December 15, 2015 and for interim periods within those fiscal years. The Company does not expect the impact of ASU 2015-03 to be material to its consolidated financial statements.</w:t>
      </w:r>
    </w:p>
    <w:p>
      <w:pPr>
        <w:spacing w:after="0" w:line="14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equipment</w:t>
            </w: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$1,900</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$ 2,331</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148</w:t>
            </w: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147</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5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2,048</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2,478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9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(664)</w:t>
            </w:r>
          </w:p>
        </w:tc>
        <w:tc>
          <w:tcPr>
            <w:tcW w:w="10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(1,209)</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(1,467)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9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1,384</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$ 1,269</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Depreciation expense was $276 and $281 for the years ended December 31, 2013 and 2014, respectively, and $104 (unaudited) and $178 (unaudited) for the six months ended June 30, 2014 and 2015,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60" w:type="dxa"/>
            <w:vAlign w:val="bottom"/>
          </w:tcPr>
          <w:p>
            <w:pPr>
              <w:spacing w:after="0"/>
              <w:rPr>
                <w:sz w:val="15"/>
                <w:szCs w:val="15"/>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56"/>
        </w:trPr>
        <w:tc>
          <w:tcPr>
            <w:tcW w:w="866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86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89"/>
        </w:trPr>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compensation</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9"/>
              </w:rPr>
              <w:t>$ 145</w:t>
            </w:r>
          </w:p>
        </w:tc>
        <w:tc>
          <w:tcPr>
            <w:tcW w:w="26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$ 428</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158</w:t>
            </w:r>
          </w:p>
        </w:tc>
      </w:tr>
      <w:tr>
        <w:trPr>
          <w:trHeight w:val="189"/>
        </w:trPr>
        <w:tc>
          <w:tcPr>
            <w:tcW w:w="8660" w:type="dxa"/>
            <w:vAlign w:val="bottom"/>
          </w:tcPr>
          <w:p>
            <w:pPr>
              <w:spacing w:after="0" w:line="189" w:lineRule="exact"/>
              <w:rPr>
                <w:sz w:val="20"/>
                <w:szCs w:val="20"/>
                <w:color w:val="auto"/>
              </w:rPr>
            </w:pPr>
            <w:r>
              <w:rPr>
                <w:rFonts w:ascii="Arial" w:cs="Arial" w:eastAsia="Arial" w:hAnsi="Arial"/>
                <w:sz w:val="17"/>
                <w:szCs w:val="17"/>
                <w:color w:val="auto"/>
              </w:rPr>
              <w:t>Accrued interest on related party notes payable</w:t>
            </w:r>
          </w:p>
        </w:tc>
        <w:tc>
          <w:tcPr>
            <w:tcW w:w="6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74</w:t>
            </w:r>
          </w:p>
        </w:tc>
        <w:tc>
          <w:tcPr>
            <w:tcW w:w="260" w:type="dxa"/>
            <w:vAlign w:val="bottom"/>
          </w:tcPr>
          <w:p>
            <w:pPr>
              <w:spacing w:after="0"/>
              <w:rPr>
                <w:sz w:val="16"/>
                <w:szCs w:val="16"/>
                <w:color w:val="auto"/>
              </w:rPr>
            </w:pPr>
          </w:p>
        </w:tc>
        <w:tc>
          <w:tcPr>
            <w:tcW w:w="9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w:t>
            </w:r>
          </w:p>
        </w:tc>
      </w:tr>
      <w:tr>
        <w:trPr>
          <w:trHeight w:val="20"/>
        </w:trPr>
        <w:tc>
          <w:tcPr>
            <w:tcW w:w="8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660" w:type="dxa"/>
            <w:vAlign w:val="bottom"/>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$ 271</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7"/>
                <w:szCs w:val="17"/>
                <w:color w:val="auto"/>
                <w:w w:val="89"/>
              </w:rPr>
              <w:t>$ 605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373</w:t>
            </w:r>
          </w:p>
        </w:tc>
      </w:tr>
      <w:tr>
        <w:trPr>
          <w:trHeight w:val="20"/>
        </w:trPr>
        <w:tc>
          <w:tcPr>
            <w:tcW w:w="8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8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NOTES PAYABLE</w:t>
      </w:r>
    </w:p>
    <w:p>
      <w:pPr>
        <w:spacing w:after="0" w:line="12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At December 31, 2012, the Company had unsecured loans in the amount of $6,174 payable to SNBL with interest rates which ranged from 1.33% to 1.58% annually, which were due to mature in 2013. In 2013, the Company borrowed an additional $6,172 at similar interest rates, and repaid $2,500 of such loans plus accrued and unpaid interest. Additionally, in 2013, the maturity dates of the remaining loans were extended to dates in 2014 through new loan agreements and a loan between WAVE Japan and SNBL was transferred to WAVE Life Sciences Pte. Ltd. in U.S. dollars.</w:t>
      </w:r>
    </w:p>
    <w:p>
      <w:pPr>
        <w:spacing w:after="0" w:line="204"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At December 31, 2013, the Company had unsecured loans in the amount of $9,602 payable to SNBL with interest rates which ranged from 1.18% to 1.35% annually, which were due to mature in 2014.</w:t>
      </w:r>
    </w:p>
    <w:p>
      <w:pPr>
        <w:spacing w:after="0" w:line="19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February 2014 and in connection with the issuance of 560,000 ordinary shares to a third party investor, SNBL agreed to convert the outstanding principal and accrued interest due under the notes payable in the amount of $9,602 into 375,000 ordinary shares and 585,200 Series A preferred shares. No gain or loss was recognized on the transaction due to the related party nature of the transaction and because the fair value of the Series A preferred shares and ordinary shares was equal to the carrying value of the related party notes payable.</w:t>
      </w:r>
    </w:p>
    <w:p>
      <w:pPr>
        <w:spacing w:after="0" w:line="187"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76" w:lineRule="exact"/>
        <w:rPr>
          <w:rFonts w:ascii="Arial" w:cs="Arial" w:eastAsia="Arial" w:hAnsi="Arial"/>
          <w:sz w:val="18"/>
          <w:szCs w:val="18"/>
          <w:b w:val="1"/>
          <w:bCs w:val="1"/>
          <w:color w:val="auto"/>
        </w:rPr>
      </w:pPr>
    </w:p>
    <w:p>
      <w:pPr>
        <w:ind w:right="9520"/>
        <w:spacing w:after="0" w:line="29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Ordinary Shares </w:t>
      </w:r>
      <w:r>
        <w:rPr>
          <w:rFonts w:ascii="Arial" w:cs="Arial" w:eastAsia="Arial" w:hAnsi="Arial"/>
          <w:sz w:val="17"/>
          <w:szCs w:val="17"/>
          <w:b w:val="1"/>
          <w:bCs w:val="1"/>
          <w:i w:val="1"/>
          <w:iCs w:val="1"/>
          <w:color w:val="auto"/>
        </w:rPr>
        <w:t>Historical Transactions</w:t>
      </w:r>
    </w:p>
    <w:p>
      <w:pPr>
        <w:spacing w:after="0"/>
        <w:rPr>
          <w:rFonts w:ascii="Arial" w:cs="Arial" w:eastAsia="Arial" w:hAnsi="Arial"/>
          <w:sz w:val="18"/>
          <w:szCs w:val="18"/>
          <w:b w:val="1"/>
          <w:bCs w:val="1"/>
          <w:color w:val="auto"/>
        </w:rPr>
      </w:pPr>
      <w:r>
        <w:rPr>
          <w:rFonts w:ascii="Arial" w:cs="Arial" w:eastAsia="Arial" w:hAnsi="Arial"/>
          <w:sz w:val="17"/>
          <w:szCs w:val="17"/>
          <w:color w:val="auto"/>
        </w:rPr>
        <w:t>The following represents the historical ordinary share transactions of the Company from its incorporation through June 30, 2015:</w:t>
      </w:r>
    </w:p>
    <w:p>
      <w:pPr>
        <w:spacing w:after="0" w:line="196" w:lineRule="exact"/>
        <w:rPr>
          <w:sz w:val="20"/>
          <w:szCs w:val="20"/>
          <w:color w:val="auto"/>
        </w:rPr>
      </w:pPr>
    </w:p>
    <w:p>
      <w:pPr>
        <w:ind w:left="800" w:right="500" w:hanging="454"/>
        <w:spacing w:after="0" w:line="238" w:lineRule="auto"/>
        <w:tabs>
          <w:tab w:leader="none" w:pos="8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September 2012, the Company issued an aggregate of 500,000 ordinary shares to the then shareholders of WAVE USA and WAVE Japan, as consideration for the merger of the companies under common control in which the WAVE USA and WAVE Japan historical carrying values of their respective net assets were carried forward to the consolidated Company.</w:t>
      </w:r>
    </w:p>
    <w:p>
      <w:pPr>
        <w:spacing w:after="0" w:line="26" w:lineRule="exact"/>
        <w:rPr>
          <w:rFonts w:ascii="Arial" w:cs="Arial" w:eastAsia="Arial" w:hAnsi="Arial"/>
          <w:sz w:val="17"/>
          <w:szCs w:val="17"/>
          <w:color w:val="auto"/>
        </w:rPr>
      </w:pPr>
    </w:p>
    <w:p>
      <w:pPr>
        <w:ind w:left="800" w:right="540" w:hanging="454"/>
        <w:spacing w:after="0" w:line="243" w:lineRule="auto"/>
        <w:tabs>
          <w:tab w:leader="none" w:pos="8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October 2013, the holder of 380,100 ordinary shares agreed to convert its holdings into an equivalent number of Series A preferred shares.</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February 2014, the Company issued 560,000 ordinary shares to a third-party investor at $10 per share for net proceeds of $5,585.</w:t>
      </w:r>
    </w:p>
    <w:p>
      <w:pPr>
        <w:spacing w:after="0" w:line="47"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February 2014, holders of $9,602 of related party notes payable agreed to convert such notes into 585,200 Series A preferred shares and 375,000 ordinary shares (Note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thousands, except for share and per share amounts)</w:t>
      </w:r>
    </w:p>
    <w:p>
      <w:pPr>
        <w:jc w:val="center"/>
        <w:ind w:right="-3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left="800" w:right="240" w:hanging="454"/>
        <w:spacing w:after="0" w:line="243" w:lineRule="auto"/>
        <w:tabs>
          <w:tab w:leader="none" w:pos="8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January 2015, the Company issued 1,180,000 ordinary shares to a third-party investor and an existing investor at $10 per share for net proceeds of $11,631 (unaudited).</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March 2015, the Company granted 47,223 fully-vested ordinary shares to an executive of the Company (unaudited).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Features of the Ordinary Shares</w:t>
      </w:r>
    </w:p>
    <w:p>
      <w:pPr>
        <w:spacing w:after="0" w:line="95"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The ordinary shares have no par value and there is no authorized share capital under Singapore law. The rights, preferences, and privileges of ordinary shares are as follows: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Share Offering</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Any new ordinary shares or securities convertible into ordinary shares shall be offered in the first instance to all the then holders of any class of shares, other than the Series A preferred shares, prior to issuance. Each shareholder shall have right of pre-emption with respect to any issuance of new ordinary shares or securities convertible into ordinary shares. This right of pre-emption shall not apply to shares sold in an initial public offering of the Company’s equity securities and shall terminate immediately prior to the closing of an initial public offering.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w:t>
      </w:r>
    </w:p>
    <w:p>
      <w:pPr>
        <w:spacing w:after="0" w:line="54" w:lineRule="exact"/>
        <w:rPr>
          <w:sz w:val="20"/>
          <w:szCs w:val="20"/>
          <w:color w:val="auto"/>
        </w:rPr>
      </w:pPr>
    </w:p>
    <w:p>
      <w:pPr>
        <w:jc w:val="both"/>
        <w:ind w:right="520"/>
        <w:spacing w:after="0" w:line="238" w:lineRule="auto"/>
        <w:rPr>
          <w:sz w:val="20"/>
          <w:szCs w:val="20"/>
          <w:color w:val="auto"/>
        </w:rPr>
      </w:pPr>
      <w:r>
        <w:rPr>
          <w:rFonts w:ascii="Arial" w:cs="Arial" w:eastAsia="Arial" w:hAnsi="Arial"/>
          <w:sz w:val="17"/>
          <w:szCs w:val="17"/>
          <w:color w:val="auto"/>
        </w:rPr>
        <w:t>The holders of ordinary shares are entitled to one vote for each ordinary share held at all meetings of shareholders and written actions in lieu of meetings provided; however, that except as otherwise required by law, holders of ordinary shares shall not be entitled to implement the following without the approval of more than 75% of the Company’s issued and outstanding ordinary shares:</w:t>
      </w:r>
    </w:p>
    <w:p>
      <w:pPr>
        <w:spacing w:after="0" w:line="188" w:lineRule="exact"/>
        <w:rPr>
          <w:sz w:val="20"/>
          <w:szCs w:val="20"/>
          <w:color w:val="auto"/>
        </w:rPr>
      </w:pPr>
    </w:p>
    <w:p>
      <w:pPr>
        <w:ind w:left="800" w:hanging="454"/>
        <w:spacing w:after="0"/>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merger, split, corporate reorganization, liquidation, dissolution, or winding up of the Company or any member of the group;</w:t>
      </w:r>
    </w:p>
    <w:p>
      <w:pPr>
        <w:spacing w:after="0" w:line="34" w:lineRule="exact"/>
        <w:rPr>
          <w:rFonts w:ascii="Arial" w:cs="Arial" w:eastAsia="Arial" w:hAnsi="Arial"/>
          <w:sz w:val="17"/>
          <w:szCs w:val="17"/>
          <w:color w:val="auto"/>
        </w:rPr>
      </w:pPr>
    </w:p>
    <w:p>
      <w:pPr>
        <w:ind w:left="800" w:hanging="454"/>
        <w:spacing w:after="0"/>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authorize or issue any additional shares, other equity interests in the Company or any convertible securities into such equity interests;</w:t>
      </w:r>
    </w:p>
    <w:p>
      <w:pPr>
        <w:spacing w:after="0" w:line="34" w:lineRule="exact"/>
        <w:rPr>
          <w:rFonts w:ascii="Arial" w:cs="Arial" w:eastAsia="Arial" w:hAnsi="Arial"/>
          <w:sz w:val="17"/>
          <w:szCs w:val="17"/>
          <w:color w:val="auto"/>
        </w:rPr>
      </w:pPr>
    </w:p>
    <w:p>
      <w:pPr>
        <w:ind w:left="800" w:hanging="454"/>
        <w:spacing w:after="0"/>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effect any public offering or listing of the equity securities of the Company; or</w:t>
      </w:r>
    </w:p>
    <w:p>
      <w:pPr>
        <w:spacing w:after="0" w:line="34" w:lineRule="exact"/>
        <w:rPr>
          <w:rFonts w:ascii="Arial" w:cs="Arial" w:eastAsia="Arial" w:hAnsi="Arial"/>
          <w:sz w:val="17"/>
          <w:szCs w:val="17"/>
          <w:color w:val="auto"/>
        </w:rPr>
      </w:pPr>
    </w:p>
    <w:p>
      <w:pPr>
        <w:ind w:left="800" w:hanging="454"/>
        <w:spacing w:after="0"/>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purchase, redeem, pay or declare any dividend on any shares or other equity interests in the Company.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5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All dividends shall be declared and paid pro rata according to the number of shares held by each member entitled to receive dividends. The Company’s board of directors may deduct from any dividend all sums of money presently payable by the member to the Company on account of calls.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54" w:lineRule="exact"/>
        <w:rPr>
          <w:sz w:val="20"/>
          <w:szCs w:val="20"/>
          <w:color w:val="auto"/>
        </w:rPr>
      </w:pPr>
    </w:p>
    <w:p>
      <w:pPr>
        <w:jc w:val="both"/>
        <w:ind w:right="160"/>
        <w:spacing w:after="0" w:line="243" w:lineRule="auto"/>
        <w:rPr>
          <w:sz w:val="20"/>
          <w:szCs w:val="20"/>
          <w:color w:val="auto"/>
        </w:rPr>
      </w:pPr>
      <w:r>
        <w:rPr>
          <w:rFonts w:ascii="Arial" w:cs="Arial" w:eastAsia="Arial" w:hAnsi="Arial"/>
          <w:sz w:val="17"/>
          <w:szCs w:val="17"/>
          <w:color w:val="auto"/>
        </w:rPr>
        <w:t>In the event of a liquidation, dissolution or winding up of, or a return of capital by the Company, the ordinary shares will rank equally with the Series A preferred shares.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54"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board of directors shall consist of a maximum of seven directors, who shall be appointed by a majority of the Company’s issued and outstanding ordinary shares and a majority of the Company’s directors. The chairman of the Company will be a director appointed by a majority of the Company’s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Shares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Transactions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the historical Series A preferred share transactions of the Company from its incorporation through June 30, 2015:</w:t>
      </w:r>
    </w:p>
    <w:p>
      <w:pPr>
        <w:spacing w:after="0" w:line="196" w:lineRule="exact"/>
        <w:rPr>
          <w:sz w:val="20"/>
          <w:szCs w:val="20"/>
          <w:color w:val="auto"/>
        </w:rPr>
      </w:pPr>
    </w:p>
    <w:p>
      <w:pPr>
        <w:ind w:left="800" w:right="560" w:hanging="454"/>
        <w:spacing w:after="0" w:line="243" w:lineRule="auto"/>
        <w:tabs>
          <w:tab w:leader="none" w:pos="8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October 2013, holders of 380,100 ordinary shares agreed to convert their holdings into an equivalent number of Series A preferred shares.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left="800" w:right="20" w:hanging="454"/>
        <w:spacing w:after="0" w:line="243" w:lineRule="auto"/>
        <w:tabs>
          <w:tab w:leader="none" w:pos="8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February 2014, holders of $9,602 of related party notes payable agreed to convert such notes into 585,200 Series A preferred shares and 375,000 ordinary shares (Note 5).</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Features of the Series A Preferred Shares</w:t>
      </w:r>
    </w:p>
    <w:p>
      <w:pPr>
        <w:spacing w:after="0" w:line="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Series A preferred shares have no par value and there is no authorized share capital under Singapore law. Except as described below, the Series A preferred shares rank equally with ordinary shares. The rights, preferences, and privileges of the Series A preferred shares are as follows: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Each Series A preferred share will carry a fixed non-cumulative preferential dividend at an annual rate of 15% of the issue price of the Series A preferred shares in preference to the ordinary shares, payable out of the distributable profits of the financial year, subject to approval by the Company’s board of directors.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4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the event of a liquidation, dissolution or winding up of, or a return of capital by the Company, the Series A preferred shares will rank equally with the ordinary shares. Further, the Series A preferred shares rank equally with ordinary shares, in every aspect relating to bankruptcy proceedings.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w:t>
      </w:r>
    </w:p>
    <w:p>
      <w:pPr>
        <w:spacing w:after="0" w:line="4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Holders of the Series A preferred shares are not entitled to vote at any general meeting. The only instances in which the holders of Series A preferred shares are able to vote at a general meeting would be if either of the following situations occur:</w:t>
      </w:r>
    </w:p>
    <w:p>
      <w:pPr>
        <w:spacing w:after="0" w:line="185" w:lineRule="exact"/>
        <w:rPr>
          <w:sz w:val="20"/>
          <w:szCs w:val="20"/>
          <w:color w:val="auto"/>
        </w:rPr>
      </w:pPr>
    </w:p>
    <w:p>
      <w:pPr>
        <w:ind w:left="800" w:right="100" w:hanging="454"/>
        <w:spacing w:after="0" w:line="243" w:lineRule="auto"/>
        <w:tabs>
          <w:tab w:leader="none" w:pos="8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non-cumulative dividend payable on a Series A preferred share or any part thereof is in arrears and has remained unpaid for at least 12 months after it has been declared; or</w:t>
      </w:r>
    </w:p>
    <w:p>
      <w:pPr>
        <w:spacing w:after="0" w:line="22" w:lineRule="exact"/>
        <w:rPr>
          <w:rFonts w:ascii="Arial" w:cs="Arial" w:eastAsia="Arial" w:hAnsi="Arial"/>
          <w:sz w:val="17"/>
          <w:szCs w:val="17"/>
          <w:color w:val="auto"/>
        </w:rPr>
      </w:pPr>
    </w:p>
    <w:p>
      <w:pPr>
        <w:jc w:val="both"/>
        <w:ind w:left="800" w:right="160" w:hanging="454"/>
        <w:spacing w:after="0" w:line="238" w:lineRule="auto"/>
        <w:tabs>
          <w:tab w:leader="none" w:pos="8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matters to be discussed at the meeting relate to or there is intent to pass resolutions on (i) abrogating or changing the rights attached to the Series A preferred shares; and (ii) for the winding up of the Company, such resolutions would require the unanimous approval of the holders of the Series A preferred shares.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Series A preferred shares are not redeemable.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 of First Refusal</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Series A preferred shareholders are entitled to exercise a right of first refusal, a feature that dictates that in the case of a transfer by a specific shareholder (i) the Company, then (ii) the non-selling shareholder, and then (iii) any third party identified by the Company shall be entitled within a period of 60 days to serve a purchase notice to the selling shareholder requesting to sell to the Company or to the non-selling shareholder at the same price and terms as those offered by the prospective purchaser.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Adoption of Equity Incentive Plan</w:t>
      </w:r>
    </w:p>
    <w:p>
      <w:pPr>
        <w:spacing w:after="0" w:line="41"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In December 2014, the Company’s board of directors adopted the WAVE Life Sciences Pte. Ltd. 2014 Equity Incentive Plan (the “2014 Plan”), and reserved 436,391 ordinary shares for issuance under the this plan.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Plan Activity (unaudited)</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2014 Plan was approved by the Company’s shareholders in January 2015. In March 2015, the Company’s board and shareholders amended the plan to increase the number of ordinary shares issuable under the 2014 Plan to 618,221 ordinary shares. The 2014 Plan authorizes the board of directors or a committee of the board to grant incentive share options, non-qualified share options, or NQSOs, share appreciation rights and restricted awards to eligible employees, outside directors and consultants of the Company. As of June 30, 2015, 114,549 ordinary shares remained available for future grant.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During the six months ended June 30, 2015, the Company granted options to purchase 456,449 ordinary shares to employees, directors and non-employees. The Company did not grant any share options during the years ended December 31, 2013 and 2014. The Company recorded share-based compensation expense of $2,492 during the six months ended June 30, 2015 of which $893 related to equity-classified options granted to non-employees. Options generally vest over a period of three or four years, and options that lapse or are forfeited are available to be granted again. The contractual life of all options is ten years. The Company measures and records the value of options granted to non-employees over the period of time services are provided and, as such, unvested portions are subject to re-measurement at subsequent reporting periods.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Share option activity under the 2014 Plan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Contractual</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116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Number of</w:t>
            </w:r>
          </w:p>
        </w:tc>
        <w:tc>
          <w:tcPr>
            <w:tcW w:w="1120" w:type="dxa"/>
            <w:vAlign w:val="bottom"/>
            <w:gridSpan w:val="3"/>
          </w:tcPr>
          <w:p>
            <w:pPr>
              <w:jc w:val="center"/>
              <w:ind w:right="440"/>
              <w:spacing w:after="0" w:line="159" w:lineRule="exact"/>
              <w:rPr>
                <w:sz w:val="20"/>
                <w:szCs w:val="20"/>
                <w:color w:val="auto"/>
              </w:rPr>
            </w:pPr>
            <w:r>
              <w:rPr>
                <w:rFonts w:ascii="Arial" w:cs="Arial" w:eastAsia="Arial" w:hAnsi="Arial"/>
                <w:sz w:val="14"/>
                <w:szCs w:val="14"/>
                <w:b w:val="1"/>
                <w:bCs w:val="1"/>
                <w:color w:val="auto"/>
              </w:rPr>
              <w:t>Exercise</w:t>
            </w:r>
          </w:p>
        </w:tc>
        <w:tc>
          <w:tcPr>
            <w:tcW w:w="124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w w:val="99"/>
              </w:rPr>
              <w:t>Term</w:t>
            </w:r>
          </w:p>
        </w:tc>
        <w:tc>
          <w:tcPr>
            <w:tcW w:w="82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160" w:type="dxa"/>
            <w:vAlign w:val="bottom"/>
            <w:gridSpan w:val="2"/>
          </w:tcPr>
          <w:p>
            <w:pPr>
              <w:jc w:val="center"/>
              <w:ind w:right="420"/>
              <w:spacing w:after="0" w:line="179" w:lineRule="exact"/>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Price</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years)</w:t>
            </w:r>
          </w:p>
        </w:tc>
        <w:tc>
          <w:tcPr>
            <w:tcW w:w="820" w:type="dxa"/>
            <w:vAlign w:val="bottom"/>
            <w:gridSpan w:val="3"/>
          </w:tcPr>
          <w:p>
            <w:pPr>
              <w:ind w:left="80"/>
              <w:spacing w:after="0" w:line="179"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Outstanding as of January 1, 2015</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456,449</w:t>
            </w:r>
          </w:p>
        </w:tc>
        <w:tc>
          <w:tcPr>
            <w:tcW w:w="120" w:type="dxa"/>
            <w:vAlign w:val="bottom"/>
          </w:tcPr>
          <w:p>
            <w:pPr>
              <w:spacing w:after="0"/>
              <w:rPr>
                <w:sz w:val="16"/>
                <w:szCs w:val="16"/>
                <w:color w:val="auto"/>
              </w:rPr>
            </w:pPr>
          </w:p>
        </w:tc>
        <w:tc>
          <w:tcPr>
            <w:tcW w:w="10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10.00</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 as of June 30, 2015</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456,449</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10.00</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8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80" w:type="dxa"/>
            <w:vAlign w:val="bottom"/>
            <w:gridSpan w:val="2"/>
          </w:tcPr>
          <w:p>
            <w:pPr>
              <w:spacing w:after="0"/>
              <w:rPr>
                <w:sz w:val="20"/>
                <w:szCs w:val="20"/>
                <w:color w:val="auto"/>
              </w:rPr>
            </w:pPr>
            <w:r>
              <w:rPr>
                <w:rFonts w:ascii="Arial" w:cs="Arial" w:eastAsia="Arial" w:hAnsi="Arial"/>
                <w:sz w:val="17"/>
                <w:szCs w:val="17"/>
                <w:color w:val="auto"/>
              </w:rPr>
              <w:t>Options vested and expected to vest as of June 30, 2015</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438,711</w:t>
            </w:r>
          </w:p>
        </w:tc>
        <w:tc>
          <w:tcPr>
            <w:tcW w:w="120" w:type="dxa"/>
            <w:vAlign w:val="bottom"/>
          </w:tcPr>
          <w:p>
            <w:pPr>
              <w:spacing w:after="0"/>
              <w:rPr>
                <w:sz w:val="21"/>
                <w:szCs w:val="21"/>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10.00</w:t>
            </w: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9.70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exercisable as of June 30, 2015</w:t>
            </w:r>
          </w:p>
        </w:tc>
        <w:tc>
          <w:tcPr>
            <w:tcW w:w="11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101,693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10.00</w:t>
            </w:r>
          </w:p>
        </w:tc>
        <w:tc>
          <w:tcPr>
            <w:tcW w:w="12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9.70</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hanging="265"/>
        <w:spacing w:after="0"/>
        <w:tabs>
          <w:tab w:leader="none" w:pos="340" w:val="left"/>
        </w:tabs>
        <w:numPr>
          <w:ilvl w:val="1"/>
          <w:numId w:val="111"/>
        </w:numPr>
        <w:rPr>
          <w:rFonts w:ascii="Arial" w:cs="Arial" w:eastAsia="Arial" w:hAnsi="Arial"/>
          <w:sz w:val="24"/>
          <w:szCs w:val="24"/>
          <w:color w:val="auto"/>
          <w:vertAlign w:val="superscript"/>
        </w:rPr>
      </w:pPr>
      <w:r>
        <w:rPr>
          <w:rFonts w:ascii="Arial" w:cs="Arial" w:eastAsia="Arial" w:hAnsi="Arial"/>
          <w:sz w:val="14"/>
          <w:szCs w:val="14"/>
          <w:color w:val="auto"/>
        </w:rPr>
        <w:t>Includes 135,467 options granted to non-employees during March 2015.</w:t>
      </w:r>
    </w:p>
    <w:p>
      <w:pPr>
        <w:ind w:left="340" w:right="40" w:hanging="305"/>
        <w:spacing w:after="0" w:line="183" w:lineRule="auto"/>
        <w:tabs>
          <w:tab w:leader="none" w:pos="34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14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As of June 30, 2015, the unrecognized compensation cost related to outstanding options was $3,580 and is expected to be recognized as expense over a weighted-average period of approximately 2.77 years. For the six months ended June 30, 2015, the weighted-average grant date fair value per granted option was $13.50.</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In March 2015, the Company granted 47,223 fully-vested ordinary shares to an executive of the Company, and the Company recorded compensation expense in the amount of $842.</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 was classified in the consolidated statements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 expenses</w:t>
            </w:r>
          </w:p>
        </w:tc>
        <w:tc>
          <w:tcPr>
            <w:tcW w:w="5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1,182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200" w:type="dxa"/>
            <w:vAlign w:val="bottom"/>
          </w:tcPr>
          <w:p>
            <w:pPr>
              <w:spacing w:after="0"/>
              <w:rPr>
                <w:sz w:val="6"/>
                <w:szCs w:val="6"/>
                <w:color w:val="auto"/>
              </w:rPr>
            </w:pPr>
          </w:p>
        </w:tc>
        <w:tc>
          <w:tcPr>
            <w:tcW w:w="58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w:t>
            </w:r>
          </w:p>
        </w:tc>
        <w:tc>
          <w:tcPr>
            <w:tcW w:w="5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960" w:type="dxa"/>
            <w:vAlign w:val="bottom"/>
            <w:gridSpan w:val="2"/>
          </w:tcPr>
          <w:p>
            <w:pPr>
              <w:jc w:val="right"/>
              <w:ind w:right="4221"/>
              <w:spacing w:after="0"/>
              <w:rPr>
                <w:sz w:val="20"/>
                <w:szCs w:val="20"/>
                <w:color w:val="auto"/>
              </w:rPr>
            </w:pPr>
            <w:r>
              <w:rPr>
                <w:rFonts w:ascii="Arial" w:cs="Arial" w:eastAsia="Arial" w:hAnsi="Arial"/>
                <w:sz w:val="16"/>
                <w:szCs w:val="16"/>
                <w:color w:val="auto"/>
              </w:rPr>
              <w:t>F-19</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assumptions used in the Black-Scholes option pricing model to determine the fair value of share options granted to employees during the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10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10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5.52 – 6.08</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71.02%</w:t>
            </w: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2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10.00</w:t>
            </w:r>
          </w:p>
        </w:tc>
      </w:tr>
      <w:tr>
        <w:trPr>
          <w:trHeight w:val="205"/>
        </w:trPr>
        <w:tc>
          <w:tcPr>
            <w:tcW w:w="100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The assumptions used in the Black-Scholes option pricing model to determine the fair value of share options granted to non-employees during the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June 30, 2015</w:t>
            </w:r>
          </w:p>
        </w:tc>
      </w:tr>
      <w:tr>
        <w:trPr>
          <w:trHeight w:val="183"/>
        </w:trPr>
        <w:tc>
          <w:tcPr>
            <w:tcW w:w="9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Risk-free interest rate</w:t>
            </w: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2.14% – 2.35%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9860" w:type="dxa"/>
            <w:vAlign w:val="bottom"/>
          </w:tcPr>
          <w:p>
            <w:pPr>
              <w:spacing w:after="0" w:line="189" w:lineRule="exact"/>
              <w:rPr>
                <w:sz w:val="20"/>
                <w:szCs w:val="20"/>
                <w:color w:val="auto"/>
              </w:rPr>
            </w:pPr>
            <w:r>
              <w:rPr>
                <w:rFonts w:ascii="Arial" w:cs="Arial" w:eastAsia="Arial" w:hAnsi="Arial"/>
                <w:sz w:val="17"/>
                <w:szCs w:val="17"/>
                <w:color w:val="auto"/>
              </w:rPr>
              <w:t>Expected term (in years)</w:t>
            </w: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9.69</w:t>
            </w: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 10.00</w:t>
            </w:r>
          </w:p>
        </w:tc>
      </w:tr>
      <w:tr>
        <w:trPr>
          <w:trHeight w:val="189"/>
        </w:trPr>
        <w:tc>
          <w:tcPr>
            <w:tcW w:w="9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0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69.16% – 69.80%</w:t>
            </w:r>
          </w:p>
        </w:tc>
      </w:tr>
      <w:tr>
        <w:trPr>
          <w:trHeight w:val="189"/>
        </w:trPr>
        <w:tc>
          <w:tcPr>
            <w:tcW w:w="986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w:t>
            </w:r>
          </w:p>
        </w:tc>
      </w:tr>
      <w:tr>
        <w:trPr>
          <w:trHeight w:val="189"/>
        </w:trPr>
        <w:tc>
          <w:tcPr>
            <w:tcW w:w="9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10.00</w:t>
            </w:r>
          </w:p>
        </w:tc>
      </w:tr>
      <w:tr>
        <w:trPr>
          <w:trHeight w:val="205"/>
        </w:trPr>
        <w:tc>
          <w:tcPr>
            <w:tcW w:w="9860" w:type="dxa"/>
            <w:vAlign w:val="bottom"/>
          </w:tcPr>
          <w:p>
            <w:pPr>
              <w:spacing w:after="0"/>
              <w:rPr>
                <w:sz w:val="20"/>
                <w:szCs w:val="20"/>
                <w:color w:val="auto"/>
              </w:rPr>
            </w:pPr>
            <w:r>
              <w:rPr>
                <w:rFonts w:ascii="Arial" w:cs="Arial" w:eastAsia="Arial" w:hAnsi="Arial"/>
                <w:sz w:val="17"/>
                <w:szCs w:val="17"/>
                <w:color w:val="auto"/>
              </w:rPr>
              <w:t>Fair value of ordinary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17.83</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 35.56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 xml:space="preserve">The fair value of the Company’s ordinary shares was determined based upon a retrospective valuation with the assistance of a third-party valuation specialist and the guidance outlined in the American Institute of Certified Public Accountants Aid, </w:t>
      </w:r>
      <w:r>
        <w:rPr>
          <w:rFonts w:ascii="Arial" w:cs="Arial" w:eastAsia="Arial" w:hAnsi="Arial"/>
          <w:sz w:val="17"/>
          <w:szCs w:val="17"/>
          <w:i w:val="1"/>
          <w:iCs w:val="1"/>
          <w:color w:val="auto"/>
        </w:rPr>
        <w:t>Valuation of Privately-Held 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Issued as Compensation</w:t>
      </w:r>
      <w:r>
        <w:rPr>
          <w:rFonts w:ascii="Arial" w:cs="Arial" w:eastAsia="Arial" w:hAnsi="Arial"/>
          <w:sz w:val="17"/>
          <w:szCs w:val="17"/>
          <w:color w:val="auto"/>
        </w:rPr>
        <w:t>, also known as the Practice Aid, based on a variety of different objective and subjective factors,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financial position, the status of development efforts within the Company, the composition and ability of the current scientific and management teams, the current climate in the marketplace, the illiquid nature of the Company’s shares, the prices of arm’s length sales of the Company’s ordinary shares, and the likelihood of achieving a liquidity event such as a public offering or sale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80"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Company recorded rent expense of $248 and $294 for the years ended December 31, 2013 and 2014, respectively, and $138 (unaudited) and $143 (unaudited) for the six months ended June 30, 2014 and 2015,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Company leases its corporate office space in Boston, Massachusetts under a non-cancellable operating sublease with SNBL, a related party, which expires on August 1, 2019. The sublease had free rent that is being amortized on a straight-line basis over the term of the lease. The Company has the right to extend the lease for a five-year period.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Minimum Lease Payments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Company’s non-cancelable operating leases as of December 31,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r>
      <w:tr>
        <w:trPr>
          <w:trHeight w:val="175"/>
        </w:trPr>
        <w:tc>
          <w:tcPr>
            <w:tcW w:w="10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r>
      <w:tr>
        <w:trPr>
          <w:trHeight w:val="169"/>
        </w:trPr>
        <w:tc>
          <w:tcPr>
            <w:tcW w:w="106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Year ending December 31</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9"/>
        </w:trPr>
        <w:tc>
          <w:tcPr>
            <w:tcW w:w="10620" w:type="dxa"/>
            <w:vAlign w:val="bottom"/>
          </w:tcPr>
          <w:p>
            <w:pPr>
              <w:spacing w:after="0" w:line="189" w:lineRule="exact"/>
              <w:rPr>
                <w:sz w:val="20"/>
                <w:szCs w:val="20"/>
                <w:color w:val="auto"/>
              </w:rPr>
            </w:pPr>
            <w:r>
              <w:rPr>
                <w:rFonts w:ascii="Arial" w:cs="Arial" w:eastAsia="Arial" w:hAnsi="Arial"/>
                <w:sz w:val="17"/>
                <w:szCs w:val="17"/>
                <w:color w:val="auto"/>
              </w:rPr>
              <w:t>2015</w:t>
            </w:r>
          </w:p>
        </w:tc>
        <w:tc>
          <w:tcPr>
            <w:tcW w:w="100" w:type="dxa"/>
            <w:vAlign w:val="bottom"/>
          </w:tcPr>
          <w:p>
            <w:pPr>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tcPr>
          <w:p>
            <w:pPr>
              <w:spacing w:after="0"/>
              <w:rPr>
                <w:sz w:val="16"/>
                <w:szCs w:val="16"/>
                <w:color w:val="auto"/>
              </w:rPr>
            </w:pPr>
          </w:p>
        </w:tc>
      </w:tr>
      <w:tr>
        <w:trPr>
          <w:trHeight w:val="189"/>
        </w:trPr>
        <w:tc>
          <w:tcPr>
            <w:tcW w:w="10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6"/>
                <w:szCs w:val="16"/>
                <w:color w:val="auto"/>
              </w:rPr>
            </w:pPr>
          </w:p>
        </w:tc>
      </w:tr>
      <w:tr>
        <w:trPr>
          <w:trHeight w:val="189"/>
        </w:trPr>
        <w:tc>
          <w:tcPr>
            <w:tcW w:w="1062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tcPr>
          <w:p>
            <w:pPr>
              <w:spacing w:after="0"/>
              <w:rPr>
                <w:sz w:val="16"/>
                <w:szCs w:val="16"/>
                <w:color w:val="auto"/>
              </w:rPr>
            </w:pPr>
          </w:p>
        </w:tc>
      </w:tr>
      <w:tr>
        <w:trPr>
          <w:trHeight w:val="189"/>
        </w:trPr>
        <w:tc>
          <w:tcPr>
            <w:tcW w:w="10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6"/>
                <w:szCs w:val="16"/>
                <w:color w:val="auto"/>
              </w:rPr>
            </w:pPr>
          </w:p>
        </w:tc>
      </w:tr>
      <w:tr>
        <w:trPr>
          <w:trHeight w:val="189"/>
        </w:trPr>
        <w:tc>
          <w:tcPr>
            <w:tcW w:w="1062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142</w:t>
            </w:r>
          </w:p>
        </w:tc>
        <w:tc>
          <w:tcPr>
            <w:tcW w:w="100" w:type="dxa"/>
            <w:vAlign w:val="bottom"/>
          </w:tcPr>
          <w:p>
            <w:pPr>
              <w:spacing w:after="0"/>
              <w:rPr>
                <w:sz w:val="16"/>
                <w:szCs w:val="16"/>
                <w:color w:val="auto"/>
              </w:rPr>
            </w:pPr>
          </w:p>
        </w:tc>
      </w:tr>
      <w:tr>
        <w:trPr>
          <w:trHeight w:val="189"/>
        </w:trPr>
        <w:tc>
          <w:tcPr>
            <w:tcW w:w="10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997</w:t>
            </w:r>
          </w:p>
        </w:tc>
        <w:tc>
          <w:tcPr>
            <w:tcW w:w="100" w:type="dxa"/>
            <w:vAlign w:val="bottom"/>
            <w:shd w:val="clear" w:color="auto" w:fill="CCEEFF"/>
          </w:tcPr>
          <w:p>
            <w:pPr>
              <w:spacing w:after="0"/>
              <w:rPr>
                <w:sz w:val="16"/>
                <w:szCs w:val="16"/>
                <w:color w:val="auto"/>
              </w:rPr>
            </w:pPr>
          </w:p>
        </w:tc>
      </w:tr>
      <w:tr>
        <w:trPr>
          <w:trHeight w:val="264"/>
        </w:trPr>
        <w:tc>
          <w:tcPr>
            <w:tcW w:w="1062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w:t>
            </w:r>
          </w:p>
        </w:tc>
        <w:tc>
          <w:tcPr>
            <w:tcW w:w="100" w:type="dxa"/>
            <w:vAlign w:val="bottom"/>
          </w:tcPr>
          <w:p>
            <w:pPr>
              <w:spacing w:after="0"/>
              <w:rPr>
                <w:sz w:val="22"/>
                <w:szCs w:val="22"/>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Lease Agreement (unaudited)</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April 2015, the Company entered into a lease agreement for an office and laboratory facility in Cambridge, Massachusetts. The lease term is expected to commence in October 2015 and has a term of 7.5 years with a five year renewal option to extend the lease. In connection with signing the lease, the Company issued the lessor a letter of credit in the amount of $1,000, which is recorded as restricted cash on the consolidated balance sheets at June 30, 2015. Future minimum lease payments as of June 30, 2015 amounted to $200 in 2015, $834 in 2016, $1,030 in 2017, $1,321 in 2018, $1,360 in 2019 and $4,711 thereafter.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Lease (unaudited)</w:t>
      </w:r>
    </w:p>
    <w:p>
      <w:pPr>
        <w:spacing w:after="0" w:line="5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April 2015, the Company entered in a three year lease to acquire laboratory equipment, which has been accounted for as a capital lease. The capital asset was purchased for $268 and is included in property and equipment, net, along with accumulated amortization of $13 as of June 30, 2015.</w:t>
      </w:r>
    </w:p>
    <w:p>
      <w:pPr>
        <w:spacing w:after="0" w:line="182" w:lineRule="exact"/>
        <w:rPr>
          <w:sz w:val="20"/>
          <w:szCs w:val="20"/>
          <w:color w:val="auto"/>
        </w:rPr>
      </w:pPr>
    </w:p>
    <w:p>
      <w:pPr>
        <w:ind w:right="7860" w:firstLine="8"/>
        <w:spacing w:after="0" w:line="312" w:lineRule="auto"/>
        <w:tabs>
          <w:tab w:leader="none" w:pos="2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7"/>
          <w:szCs w:val="17"/>
          <w:b w:val="1"/>
          <w:bCs w:val="1"/>
          <w:i w:val="1"/>
          <w:iCs w:val="1"/>
          <w:color w:val="auto"/>
        </w:rPr>
        <w:t>Technology Licenses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Max-Planck Innovation GmbH (unaudited)</w:t>
      </w:r>
    </w:p>
    <w:p>
      <w:pPr>
        <w:spacing w:after="0" w:line="39" w:lineRule="exact"/>
        <w:rPr>
          <w:sz w:val="20"/>
          <w:szCs w:val="20"/>
          <w:color w:val="auto"/>
        </w:rPr>
      </w:pPr>
    </w:p>
    <w:p>
      <w:pPr>
        <w:jc w:val="both"/>
        <w:ind w:right="260"/>
        <w:spacing w:after="0" w:line="236" w:lineRule="auto"/>
        <w:rPr>
          <w:sz w:val="20"/>
          <w:szCs w:val="20"/>
          <w:color w:val="auto"/>
        </w:rPr>
      </w:pPr>
      <w:r>
        <w:rPr>
          <w:rFonts w:ascii="Arial" w:cs="Arial" w:eastAsia="Arial" w:hAnsi="Arial"/>
          <w:sz w:val="17"/>
          <w:szCs w:val="17"/>
          <w:color w:val="auto"/>
        </w:rPr>
        <w:t>In June 2015, the Company entered into an agreement with Max-Planck-Innovation GmbH (“Max-Planck”) through which it obtained a co-exclusive royalty-bearing, worldwide license with the right to sublicense to certain patent rights within a patent portfolio. The Company intends to develop and commercialize diagnostic and therapeutic products based on the Company’s patent rights under this license. Max-Planck retains the right to use the intellectual property licensed under the agreement for non-commercial purposes.</w:t>
      </w:r>
    </w:p>
    <w:p>
      <w:pPr>
        <w:spacing w:after="0" w:line="149"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The Company’s license is one of two maximum allowable co-exclusive licenses for this technology. If either license holder terminates its respective co-exclusive portion of the license, Max-Planck is obligated to grant the other party an exclusive license with substantially the same terms and conditions previously applicable to the terminated co-exclusive licensee.</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is permitted to sublicense its rights under the license. The license requires that the Company use commercially reasonable efforts to develop and commercialize products under the agreement, whether solely or through its affiliates and sub-licensees. In order to secure the license, the Company made an upfront payment of $50 to Max-Planck and will be required to pay annual license maintenance fees of $30 to Max-Planck in June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each year under the agreement. The Company will be required to make payments based upon regulatory milestones, including the initiation of clinical trials, and product approval milestones totaling up to $1,575 for each licensed product reaching such clinical stage. In addition to milestone payments, the Company will be required to pay royalties in the low single digits, calculated as a percentage of cumulative annual net sales of a licensed product.</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recorded the $50 upfront payment as research and development expense in its consolidated statements of operations for the six months ended June 30, 2015. The agreement may be terminated by either party subject to certain conditions.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Collaborations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of Oxford (unaudited)</w:t>
      </w:r>
    </w:p>
    <w:p>
      <w:pPr>
        <w:spacing w:after="0" w:line="5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April 2015, the Company entered into a translational research collaboration agreement with The Chancellor, Masters, and Scholars of the University of Oxford (“Oxford”).</w:t>
      </w:r>
    </w:p>
    <w:p>
      <w:pPr>
        <w:spacing w:after="0" w:line="144"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The agreement with Oxford involves characterizing the Company’s proprietary isomers in order to improve the pharmacology of oligonucleotides for the treatment of Duchenne muscular dystrophy. Under the agreement, the Company agreed to pay Oxford up to $380 to conduct specified research services for the Company’s benefit during an initial 18-month term, which may be extended by the parties.</w:t>
      </w:r>
    </w:p>
    <w:p>
      <w:pPr>
        <w:spacing w:after="0" w:line="148"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The Company will own the results of the research conducted under the collaboration, including any potential intellectual property inventions. The agreement may be terminated by either party subject to certain conditions.</w:t>
      </w:r>
    </w:p>
    <w:p>
      <w:pPr>
        <w:spacing w:after="0" w:line="14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In the six months ended June 30, 2015, the Company incurred and paid $125 to Oxford pursuant to the agreement, which was recorded as research and development expense in its consolidated statements of operations. The remaining $255 is due in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Children’s Hospital of Philadelphia (unaudited)</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In April 2015, the Company entered into a master sponsored research agreement with The Children’s Hospital of Philadelphia (“CHOP”).</w:t>
      </w:r>
    </w:p>
    <w:p>
      <w:pPr>
        <w:spacing w:after="0" w:line="156"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color w:val="auto"/>
        </w:rPr>
        <w:t>The agreement with CHOP involves characterization of the Company’s proprietary isomers for the treatment of Huntington’s disease. Under the agreement, the Company agreed to pay CHOP up to $194 to conduct research activities, on a project-by-project basis, for the Company’s benefit during a term that ends on the later of the five-year anniversary or the date that the last research project is completed.</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Subject to certain conditions, the Company has a first and exclusive option to negotiate for a revenue-bearing license, exclusive or non-exclusive at its election, under all of CHOP’s interest in and to the CHOP intellectual property and the joint intellectual property resulting from each research project performed under the agreement, provided that the Company pays all costs for the preparation, filing, prosecution and maintenance of patents or other intellectual property protection in the case of an exclusive license or its pro rata costs in the case of a non-exclusive license.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agreement may be terminated by either party subject to certain conditions.</w:t>
      </w:r>
    </w:p>
    <w:p>
      <w:pPr>
        <w:spacing w:after="0" w:line="156"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In the six months ended June 30, 2015, the Company incurred and paid $145 to CHOP pursuant to the agreement, which was recorded as research and development expense in its consolidated statements of operations. The remaining $49 is due in 2016.</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 and Contingencies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Unasserted Claims</w:t>
      </w:r>
    </w:p>
    <w:p>
      <w:pPr>
        <w:spacing w:after="0" w:line="52"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In the ordinary course of business, the Company may be subject to legal proceedings, claims and litigation as the Company operates in an industry susceptible to patent legal claims. The Company accounts for estimated losses with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respect to legal proceedings and claims when such losses are probable and estimable. Legal costs associated with these matters are expensed when incurred. The Company is not currently a party to any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ORDINARY SHARE</w:t>
      </w:r>
    </w:p>
    <w:p>
      <w:pPr>
        <w:spacing w:after="0" w:line="9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Basic loss per share is computed by dividing net loss attributable to ordinary shareholders by the weighted-average number of ordinary shares used in computing net loss per share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78"/>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Numerator:</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Pr>
          <w:p>
            <w:pPr>
              <w:ind w:left="240"/>
              <w:spacing w:after="0" w:line="183" w:lineRule="exact"/>
              <w:rPr>
                <w:sz w:val="20"/>
                <w:szCs w:val="20"/>
                <w:color w:val="auto"/>
              </w:rPr>
            </w:pPr>
            <w:r>
              <w:rPr>
                <w:rFonts w:ascii="Arial" w:cs="Arial" w:eastAsia="Arial" w:hAnsi="Arial"/>
                <w:sz w:val="17"/>
                <w:szCs w:val="17"/>
                <w:color w:val="auto"/>
              </w:rPr>
              <w:t>Net loss per share attributable to ordinary shareholders—basic and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ind w:left="500"/>
              <w:spacing w:after="0"/>
              <w:rPr>
                <w:sz w:val="20"/>
                <w:szCs w:val="20"/>
                <w:color w:val="auto"/>
              </w:rPr>
            </w:pPr>
            <w:r>
              <w:rPr>
                <w:rFonts w:ascii="Arial" w:cs="Arial" w:eastAsia="Arial" w:hAnsi="Arial"/>
                <w:sz w:val="17"/>
                <w:szCs w:val="17"/>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(3,318)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(5,229)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(2,117)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Denominator:</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Pr>
          <w:p>
            <w:pPr>
              <w:ind w:left="240"/>
              <w:spacing w:after="0" w:line="183" w:lineRule="exact"/>
              <w:rPr>
                <w:sz w:val="20"/>
                <w:szCs w:val="20"/>
                <w:color w:val="auto"/>
              </w:rPr>
            </w:pPr>
            <w:r>
              <w:rPr>
                <w:rFonts w:ascii="Arial" w:cs="Arial" w:eastAsia="Arial" w:hAnsi="Arial"/>
                <w:sz w:val="17"/>
                <w:szCs w:val="17"/>
                <w:color w:val="auto"/>
              </w:rPr>
              <w:t>Weighted-average ordinary shares used in computing net loss per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ind w:left="500"/>
              <w:spacing w:after="0"/>
              <w:rPr>
                <w:sz w:val="20"/>
                <w:szCs w:val="20"/>
                <w:color w:val="auto"/>
              </w:rPr>
            </w:pPr>
            <w:r>
              <w:rPr>
                <w:rFonts w:ascii="Arial" w:cs="Arial" w:eastAsia="Arial" w:hAnsi="Arial"/>
                <w:sz w:val="17"/>
                <w:szCs w:val="17"/>
                <w:color w:val="auto"/>
              </w:rPr>
              <w:t>share attributable to ordinary shareholders—basic and diluted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431,270</w:t>
            </w:r>
          </w:p>
        </w:tc>
        <w:tc>
          <w:tcPr>
            <w:tcW w:w="10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w w:val="97"/>
              </w:rPr>
              <w:t>967,894</w:t>
            </w:r>
          </w:p>
        </w:tc>
        <w:tc>
          <w:tcPr>
            <w:tcW w:w="10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879,265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2,159,811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share, basic and diluted</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(2.41)</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Company’s potentially dilutive shares, which include outstanding share options to purchase ordinary shares, are considered to be ordinary share equivalents and are only included in the calculation of diluted net loss per share when their effect is dilutive.</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52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5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5"/>
                <w:szCs w:val="15"/>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r>
      <w:tr>
        <w:trPr>
          <w:trHeight w:val="156"/>
        </w:trPr>
        <w:tc>
          <w:tcPr>
            <w:tcW w:w="46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2014</w:t>
            </w:r>
          </w:p>
        </w:tc>
        <w:tc>
          <w:tcPr>
            <w:tcW w:w="104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9"/>
        </w:trPr>
        <w:tc>
          <w:tcPr>
            <w:tcW w:w="4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9"/>
        </w:trPr>
        <w:tc>
          <w:tcPr>
            <w:tcW w:w="460" w:type="dxa"/>
            <w:vAlign w:val="bottom"/>
          </w:tcPr>
          <w:p>
            <w:pPr>
              <w:spacing w:after="0"/>
              <w:rPr>
                <w:sz w:val="16"/>
                <w:szCs w:val="16"/>
                <w:color w:val="auto"/>
              </w:rPr>
            </w:pPr>
          </w:p>
        </w:tc>
        <w:tc>
          <w:tcPr>
            <w:tcW w:w="7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to purchase ordinary shares</w:t>
            </w:r>
          </w:p>
        </w:tc>
        <w:tc>
          <w:tcPr>
            <w:tcW w:w="7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456,449</w:t>
            </w:r>
          </w:p>
        </w:tc>
        <w:tc>
          <w:tcPr>
            <w:tcW w:w="460" w:type="dxa"/>
            <w:vAlign w:val="bottom"/>
          </w:tcPr>
          <w:p>
            <w:pPr>
              <w:spacing w:after="0"/>
              <w:rPr>
                <w:sz w:val="16"/>
                <w:szCs w:val="16"/>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291"/>
        </w:trPr>
        <w:tc>
          <w:tcPr>
            <w:tcW w:w="4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loss before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600" w:type="dxa"/>
            <w:vAlign w:val="bottom"/>
            <w:tcBorders>
              <w:top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Singapore</w:t>
            </w:r>
          </w:p>
        </w:tc>
        <w:tc>
          <w:tcPr>
            <w:tcW w:w="60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$(2,973)</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$(4,542)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Rest of world</w:t>
            </w:r>
          </w:p>
        </w:tc>
        <w:tc>
          <w:tcPr>
            <w:tcW w:w="6820" w:type="dxa"/>
            <w:vAlign w:val="bottom"/>
            <w:gridSpan w:val="3"/>
          </w:tcPr>
          <w:p>
            <w:pPr>
              <w:jc w:val="right"/>
              <w:ind w:right="120"/>
              <w:spacing w:after="0"/>
              <w:rPr>
                <w:sz w:val="20"/>
                <w:szCs w:val="20"/>
                <w:color w:val="auto"/>
              </w:rPr>
            </w:pPr>
            <w:r>
              <w:rPr>
                <w:rFonts w:ascii="Arial" w:cs="Arial" w:eastAsia="Arial" w:hAnsi="Arial"/>
                <w:sz w:val="17"/>
                <w:szCs w:val="17"/>
                <w:color w:val="auto"/>
              </w:rPr>
              <w:t>(675)</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740" w:type="dxa"/>
            <w:vAlign w:val="bottom"/>
          </w:tcPr>
          <w:p>
            <w:pPr>
              <w:spacing w:after="0"/>
              <w:rPr>
                <w:sz w:val="6"/>
                <w:szCs w:val="6"/>
                <w:color w:val="auto"/>
              </w:rPr>
            </w:pPr>
          </w:p>
        </w:tc>
        <w:tc>
          <w:tcPr>
            <w:tcW w:w="60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682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(3,648)</w:t>
            </w:r>
          </w:p>
        </w:tc>
        <w:tc>
          <w:tcPr>
            <w:tcW w:w="8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820" w:type="dxa"/>
            <w:vAlign w:val="bottom"/>
            <w:gridSpan w:val="3"/>
          </w:tcPr>
          <w:p>
            <w:pPr>
              <w:jc w:val="right"/>
              <w:ind w:right="4700"/>
              <w:spacing w:after="0"/>
              <w:rPr>
                <w:sz w:val="20"/>
                <w:szCs w:val="20"/>
                <w:color w:val="auto"/>
              </w:rPr>
            </w:pPr>
            <w:r>
              <w:rPr>
                <w:rFonts w:ascii="Arial" w:cs="Arial" w:eastAsia="Arial" w:hAnsi="Arial"/>
                <w:sz w:val="16"/>
                <w:szCs w:val="16"/>
                <w:color w:val="auto"/>
              </w:rPr>
              <w:t>F-23</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During the year ended December 31, 2013, the Company recorded a benefit for income taxes of $330 which is a result of changes in the United States valuation allowance during the period. During the year ended December 31, 2014, the Company recorded a provision for income taxes of $84 due to income taxed in the United States. During the six months ended June 30, 2014 and 2015, the Company recorded a tax provision of $60 (unaudited) and $99 (unaudited), respectively, which is a result of income taxed in the United States for each respective period.</w:t>
      </w:r>
    </w:p>
    <w:p>
      <w:pPr>
        <w:spacing w:after="0" w:line="149"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During the years ended December 31, 2013 and 2014, and the six months ended June 30, 2014 and 2015, the Company recorded no income tax benefits for the net operating losses incurred in Japan, due to its uncertainty of realizing a benefit from those items.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deferred components of the benefit (provision) for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Deferred tax benefit (provision):</w:t>
            </w:r>
          </w:p>
        </w:tc>
        <w:tc>
          <w:tcPr>
            <w:tcW w:w="3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00" w:type="dxa"/>
            <w:vAlign w:val="bottom"/>
          </w:tcPr>
          <w:p>
            <w:pPr>
              <w:ind w:left="500"/>
              <w:spacing w:after="0" w:line="189" w:lineRule="exact"/>
              <w:rPr>
                <w:sz w:val="20"/>
                <w:szCs w:val="20"/>
                <w:color w:val="auto"/>
              </w:rPr>
            </w:pPr>
            <w:r>
              <w:rPr>
                <w:rFonts w:ascii="Arial" w:cs="Arial" w:eastAsia="Arial" w:hAnsi="Arial"/>
                <w:sz w:val="17"/>
                <w:szCs w:val="17"/>
                <w:color w:val="auto"/>
              </w:rPr>
              <w:t>Singapore taxes</w:t>
            </w:r>
          </w:p>
        </w:tc>
        <w:tc>
          <w:tcPr>
            <w:tcW w:w="31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Rest of world taxes</w:t>
            </w:r>
          </w:p>
        </w:tc>
        <w:tc>
          <w:tcPr>
            <w:tcW w:w="3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330</w:t>
            </w: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(84)</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20" w:type="dxa"/>
            <w:vAlign w:val="bottom"/>
            <w:gridSpan w:val="2"/>
          </w:tcPr>
          <w:p>
            <w:pPr>
              <w:spacing w:after="0"/>
              <w:rPr>
                <w:sz w:val="20"/>
                <w:szCs w:val="20"/>
                <w:color w:val="auto"/>
              </w:rPr>
            </w:pPr>
            <w:r>
              <w:rPr>
                <w:rFonts w:ascii="Arial" w:cs="Arial" w:eastAsia="Arial" w:hAnsi="Arial"/>
                <w:sz w:val="17"/>
                <w:szCs w:val="17"/>
                <w:color w:val="auto"/>
              </w:rPr>
              <w:t>Total deferred tax benefit (provision)</w:t>
            </w:r>
          </w:p>
        </w:tc>
        <w:tc>
          <w:tcPr>
            <w:tcW w:w="3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7"/>
                <w:szCs w:val="17"/>
                <w:color w:val="auto"/>
              </w:rPr>
              <w:t>330</w:t>
            </w:r>
          </w:p>
        </w:tc>
        <w:tc>
          <w:tcPr>
            <w:tcW w:w="580" w:type="dxa"/>
            <w:vAlign w:val="bottom"/>
          </w:tcPr>
          <w:p>
            <w:pPr>
              <w:spacing w:after="0"/>
              <w:rPr>
                <w:sz w:val="22"/>
                <w:szCs w:val="2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2"/>
              </w:rPr>
              <w:t>(84)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0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benefit (provision) income taxes</w:t>
            </w:r>
          </w:p>
        </w:tc>
        <w:tc>
          <w:tcPr>
            <w:tcW w:w="3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330</w:t>
            </w:r>
          </w:p>
        </w:tc>
        <w:tc>
          <w:tcPr>
            <w:tcW w:w="5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2"/>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There was no current portion of the benefit (provision) for income tax for the years ended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Singapore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20" w:type="dxa"/>
            <w:vAlign w:val="bottom"/>
          </w:tcPr>
          <w:p>
            <w:pPr>
              <w:spacing w:after="0"/>
              <w:rPr>
                <w:sz w:val="15"/>
                <w:szCs w:val="15"/>
                <w:color w:val="auto"/>
              </w:rPr>
            </w:pPr>
          </w:p>
        </w:tc>
        <w:tc>
          <w:tcPr>
            <w:tcW w:w="2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2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3"/>
                <w:szCs w:val="13"/>
                <w:color w:val="auto"/>
              </w:rPr>
            </w:pPr>
          </w:p>
        </w:tc>
      </w:tr>
      <w:tr>
        <w:trPr>
          <w:trHeight w:val="183"/>
        </w:trPr>
        <w:tc>
          <w:tcPr>
            <w:tcW w:w="8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Singapore statutory income tax rate</w:t>
            </w:r>
          </w:p>
        </w:tc>
        <w:tc>
          <w:tcPr>
            <w:tcW w:w="1740" w:type="dxa"/>
            <w:vAlign w:val="bottom"/>
            <w:gridSpan w:val="2"/>
            <w:shd w:val="clear" w:color="auto" w:fill="CCEEFF"/>
          </w:tcPr>
          <w:p>
            <w:pPr>
              <w:jc w:val="right"/>
              <w:ind w:right="780"/>
              <w:spacing w:after="0" w:line="183" w:lineRule="exact"/>
              <w:rPr>
                <w:sz w:val="20"/>
                <w:szCs w:val="20"/>
                <w:color w:val="auto"/>
              </w:rPr>
            </w:pPr>
            <w:r>
              <w:rPr>
                <w:rFonts w:ascii="Arial" w:cs="Arial" w:eastAsia="Arial" w:hAnsi="Arial"/>
                <w:sz w:val="17"/>
                <w:szCs w:val="17"/>
                <w:color w:val="auto"/>
              </w:rPr>
              <w:t>17.0%</w:t>
            </w:r>
          </w:p>
        </w:tc>
        <w:tc>
          <w:tcPr>
            <w:tcW w:w="10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17.0%</w:t>
            </w:r>
          </w:p>
        </w:tc>
      </w:tr>
      <w:tr>
        <w:trPr>
          <w:trHeight w:val="189"/>
        </w:trPr>
        <w:tc>
          <w:tcPr>
            <w:tcW w:w="8620" w:type="dxa"/>
            <w:vAlign w:val="bottom"/>
          </w:tcPr>
          <w:p>
            <w:pPr>
              <w:ind w:left="520"/>
              <w:spacing w:after="0" w:line="189" w:lineRule="exact"/>
              <w:rPr>
                <w:sz w:val="20"/>
                <w:szCs w:val="20"/>
                <w:color w:val="auto"/>
              </w:rPr>
            </w:pPr>
            <w:r>
              <w:rPr>
                <w:rFonts w:ascii="Arial" w:cs="Arial" w:eastAsia="Arial" w:hAnsi="Arial"/>
                <w:sz w:val="17"/>
                <w:szCs w:val="17"/>
                <w:color w:val="auto"/>
              </w:rPr>
              <w:t>Research and development tax credits</w:t>
            </w:r>
          </w:p>
        </w:tc>
        <w:tc>
          <w:tcPr>
            <w:tcW w:w="1740" w:type="dxa"/>
            <w:vAlign w:val="bottom"/>
            <w:gridSpan w:val="2"/>
          </w:tcPr>
          <w:p>
            <w:pPr>
              <w:jc w:val="right"/>
              <w:ind w:right="940"/>
              <w:spacing w:after="0" w:line="189" w:lineRule="exact"/>
              <w:rPr>
                <w:sz w:val="20"/>
                <w:szCs w:val="20"/>
                <w:color w:val="auto"/>
              </w:rPr>
            </w:pPr>
            <w:r>
              <w:rPr>
                <w:rFonts w:ascii="Arial" w:cs="Arial" w:eastAsia="Arial" w:hAnsi="Arial"/>
                <w:sz w:val="17"/>
                <w:szCs w:val="17"/>
                <w:color w:val="auto"/>
              </w:rPr>
              <w:t>4.1</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2.2</w:t>
            </w:r>
          </w:p>
        </w:tc>
      </w:tr>
      <w:tr>
        <w:trPr>
          <w:trHeight w:val="189"/>
        </w:trPr>
        <w:tc>
          <w:tcPr>
            <w:tcW w:w="86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Permanent differences</w:t>
            </w:r>
          </w:p>
        </w:tc>
        <w:tc>
          <w:tcPr>
            <w:tcW w:w="1740" w:type="dxa"/>
            <w:vAlign w:val="bottom"/>
            <w:gridSpan w:val="2"/>
            <w:shd w:val="clear" w:color="auto" w:fill="CCEEFF"/>
          </w:tcPr>
          <w:p>
            <w:pPr>
              <w:jc w:val="right"/>
              <w:ind w:right="880"/>
              <w:spacing w:after="0" w:line="189" w:lineRule="exact"/>
              <w:rPr>
                <w:sz w:val="20"/>
                <w:szCs w:val="20"/>
                <w:color w:val="auto"/>
              </w:rPr>
            </w:pPr>
            <w:r>
              <w:rPr>
                <w:rFonts w:ascii="Arial" w:cs="Arial" w:eastAsia="Arial" w:hAnsi="Arial"/>
                <w:sz w:val="17"/>
                <w:szCs w:val="17"/>
                <w:color w:val="auto"/>
              </w:rPr>
              <w:t>(1.4)</w:t>
            </w:r>
          </w:p>
        </w:tc>
        <w:tc>
          <w:tcPr>
            <w:tcW w:w="10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r>
      <w:tr>
        <w:trPr>
          <w:trHeight w:val="189"/>
        </w:trPr>
        <w:tc>
          <w:tcPr>
            <w:tcW w:w="8620" w:type="dxa"/>
            <w:vAlign w:val="bottom"/>
          </w:tcPr>
          <w:p>
            <w:pPr>
              <w:ind w:left="520"/>
              <w:spacing w:after="0" w:line="189" w:lineRule="exact"/>
              <w:rPr>
                <w:sz w:val="20"/>
                <w:szCs w:val="20"/>
                <w:color w:val="auto"/>
              </w:rPr>
            </w:pPr>
            <w:r>
              <w:rPr>
                <w:rFonts w:ascii="Arial" w:cs="Arial" w:eastAsia="Arial" w:hAnsi="Arial"/>
                <w:sz w:val="17"/>
                <w:szCs w:val="17"/>
                <w:color w:val="auto"/>
              </w:rPr>
              <w:t>Foreign exchange loss</w:t>
            </w:r>
          </w:p>
        </w:tc>
        <w:tc>
          <w:tcPr>
            <w:tcW w:w="1740" w:type="dxa"/>
            <w:vAlign w:val="bottom"/>
            <w:gridSpan w:val="2"/>
          </w:tcPr>
          <w:p>
            <w:pPr>
              <w:jc w:val="right"/>
              <w:ind w:right="940"/>
              <w:spacing w:after="0" w:line="189" w:lineRule="exact"/>
              <w:rPr>
                <w:sz w:val="20"/>
                <w:szCs w:val="20"/>
                <w:color w:val="auto"/>
              </w:rPr>
            </w:pPr>
            <w:r>
              <w:rPr>
                <w:rFonts w:ascii="Arial" w:cs="Arial" w:eastAsia="Arial" w:hAnsi="Arial"/>
                <w:sz w:val="17"/>
                <w:szCs w:val="17"/>
                <w:color w:val="auto"/>
              </w:rPr>
              <w:t>0.8</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2.0</w:t>
            </w:r>
          </w:p>
        </w:tc>
      </w:tr>
      <w:tr>
        <w:trPr>
          <w:trHeight w:val="189"/>
        </w:trPr>
        <w:tc>
          <w:tcPr>
            <w:tcW w:w="86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Changes in reserves for uncertain tax positions</w:t>
            </w:r>
          </w:p>
        </w:tc>
        <w:tc>
          <w:tcPr>
            <w:tcW w:w="1740" w:type="dxa"/>
            <w:vAlign w:val="bottom"/>
            <w:gridSpan w:val="2"/>
            <w:shd w:val="clear" w:color="auto" w:fill="CCEEFF"/>
          </w:tcPr>
          <w:p>
            <w:pPr>
              <w:jc w:val="right"/>
              <w:ind w:right="880"/>
              <w:spacing w:after="0" w:line="189" w:lineRule="exact"/>
              <w:rPr>
                <w:sz w:val="20"/>
                <w:szCs w:val="20"/>
                <w:color w:val="auto"/>
              </w:rPr>
            </w:pPr>
            <w:r>
              <w:rPr>
                <w:rFonts w:ascii="Arial" w:cs="Arial" w:eastAsia="Arial" w:hAnsi="Arial"/>
                <w:sz w:val="17"/>
                <w:szCs w:val="17"/>
                <w:color w:val="auto"/>
              </w:rPr>
              <w:t>(2.1)</w:t>
            </w: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(2.2)</w:t>
            </w:r>
          </w:p>
        </w:tc>
      </w:tr>
      <w:tr>
        <w:trPr>
          <w:trHeight w:val="189"/>
        </w:trPr>
        <w:tc>
          <w:tcPr>
            <w:tcW w:w="8620" w:type="dxa"/>
            <w:vAlign w:val="bottom"/>
          </w:tcPr>
          <w:p>
            <w:pPr>
              <w:ind w:left="520"/>
              <w:spacing w:after="0" w:line="189" w:lineRule="exact"/>
              <w:rPr>
                <w:sz w:val="20"/>
                <w:szCs w:val="20"/>
                <w:color w:val="auto"/>
              </w:rPr>
            </w:pPr>
            <w:r>
              <w:rPr>
                <w:rFonts w:ascii="Arial" w:cs="Arial" w:eastAsia="Arial" w:hAnsi="Arial"/>
                <w:sz w:val="17"/>
                <w:szCs w:val="17"/>
                <w:color w:val="auto"/>
              </w:rPr>
              <w:t>Foreign rate differential</w:t>
            </w:r>
          </w:p>
        </w:tc>
        <w:tc>
          <w:tcPr>
            <w:tcW w:w="1740" w:type="dxa"/>
            <w:vAlign w:val="bottom"/>
            <w:gridSpan w:val="2"/>
          </w:tcPr>
          <w:p>
            <w:pPr>
              <w:jc w:val="right"/>
              <w:ind w:right="940"/>
              <w:spacing w:after="0" w:line="189" w:lineRule="exact"/>
              <w:rPr>
                <w:sz w:val="20"/>
                <w:szCs w:val="20"/>
                <w:color w:val="auto"/>
              </w:rPr>
            </w:pPr>
            <w:r>
              <w:rPr>
                <w:rFonts w:ascii="Arial" w:cs="Arial" w:eastAsia="Arial" w:hAnsi="Arial"/>
                <w:sz w:val="17"/>
                <w:szCs w:val="17"/>
                <w:color w:val="auto"/>
              </w:rPr>
              <w:t>3.9</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4.5</w:t>
            </w:r>
          </w:p>
        </w:tc>
      </w:tr>
      <w:tr>
        <w:trPr>
          <w:trHeight w:val="189"/>
        </w:trPr>
        <w:tc>
          <w:tcPr>
            <w:tcW w:w="86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Change in deferred tax asset valuation allowance</w:t>
            </w:r>
          </w:p>
        </w:tc>
        <w:tc>
          <w:tcPr>
            <w:tcW w:w="1740" w:type="dxa"/>
            <w:vAlign w:val="bottom"/>
            <w:gridSpan w:val="2"/>
            <w:shd w:val="clear" w:color="auto" w:fill="CCEEFF"/>
          </w:tcPr>
          <w:p>
            <w:pPr>
              <w:jc w:val="right"/>
              <w:ind w:right="880"/>
              <w:spacing w:after="0" w:line="189" w:lineRule="exact"/>
              <w:rPr>
                <w:sz w:val="20"/>
                <w:szCs w:val="20"/>
                <w:color w:val="auto"/>
              </w:rPr>
            </w:pPr>
            <w:r>
              <w:rPr>
                <w:rFonts w:ascii="Arial" w:cs="Arial" w:eastAsia="Arial" w:hAnsi="Arial"/>
                <w:sz w:val="17"/>
                <w:szCs w:val="17"/>
                <w:color w:val="auto"/>
              </w:rPr>
              <w:t>(13.3)</w:t>
            </w:r>
          </w:p>
        </w:tc>
        <w:tc>
          <w:tcPr>
            <w:tcW w:w="10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(25.1)</w:t>
            </w:r>
          </w:p>
        </w:tc>
      </w:tr>
      <w:tr>
        <w:trPr>
          <w:trHeight w:val="20"/>
        </w:trPr>
        <w:tc>
          <w:tcPr>
            <w:tcW w:w="8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8620" w:type="dxa"/>
            <w:vAlign w:val="bottom"/>
          </w:tcPr>
          <w:p>
            <w:pPr>
              <w:spacing w:after="0"/>
              <w:rPr>
                <w:sz w:val="20"/>
                <w:szCs w:val="20"/>
                <w:color w:val="auto"/>
              </w:rPr>
            </w:pPr>
            <w:r>
              <w:rPr>
                <w:rFonts w:ascii="Arial" w:cs="Arial" w:eastAsia="Arial" w:hAnsi="Arial"/>
                <w:sz w:val="17"/>
                <w:szCs w:val="17"/>
                <w:color w:val="auto"/>
              </w:rPr>
              <w:t>Effective income tax rate</w:t>
            </w:r>
          </w:p>
        </w:tc>
        <w:tc>
          <w:tcPr>
            <w:tcW w:w="1740" w:type="dxa"/>
            <w:vAlign w:val="bottom"/>
            <w:gridSpan w:val="2"/>
          </w:tcPr>
          <w:p>
            <w:pPr>
              <w:jc w:val="right"/>
              <w:ind w:right="780"/>
              <w:spacing w:after="0"/>
              <w:rPr>
                <w:sz w:val="20"/>
                <w:szCs w:val="20"/>
                <w:color w:val="auto"/>
              </w:rPr>
            </w:pPr>
            <w:r>
              <w:rPr>
                <w:rFonts w:ascii="Arial" w:cs="Arial" w:eastAsia="Arial" w:hAnsi="Arial"/>
                <w:sz w:val="17"/>
                <w:szCs w:val="17"/>
                <w:color w:val="auto"/>
              </w:rPr>
              <w:t>9.0%</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0"/>
        </w:trPr>
        <w:tc>
          <w:tcPr>
            <w:tcW w:w="8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recorded income tax expense based on effective income tax rates of 2.9% (unaudited) and 1.4% (unaudited) for the six months ended June 30, 2014 and 2015, respectively. The Company’s effective income tax rate is based upon estimated income for the year, the estimated composition of income in different jurisdictions and the resolution or identification of tax position uncertainties. For the six months ended June 30, 2014 and 2015, the Company’s effective income tax rate was different than the Singapore statutory tax rate mainly due to the Company’s inability to benefit from tax losses due to the existence of a valuation allowance in loss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Company’s deferred tax assets as of December 31, 2013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60" w:type="dxa"/>
            <w:vAlign w:val="bottom"/>
          </w:tcPr>
          <w:p>
            <w:pPr>
              <w:spacing w:after="0"/>
              <w:rPr>
                <w:sz w:val="13"/>
                <w:szCs w:val="13"/>
                <w:color w:val="auto"/>
              </w:rPr>
            </w:pPr>
          </w:p>
        </w:tc>
        <w:tc>
          <w:tcPr>
            <w:tcW w:w="600" w:type="dxa"/>
            <w:vAlign w:val="bottom"/>
            <w:tcBorders>
              <w:top w:val="single" w:sz="8" w:color="auto"/>
            </w:tcBorders>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Deferred tax assets:</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ind w:left="500"/>
              <w:spacing w:after="0" w:line="189" w:lineRule="exact"/>
              <w:rPr>
                <w:sz w:val="20"/>
                <w:szCs w:val="20"/>
                <w:color w:val="auto"/>
              </w:rPr>
            </w:pPr>
            <w:r>
              <w:rPr>
                <w:rFonts w:ascii="Arial" w:cs="Arial" w:eastAsia="Arial" w:hAnsi="Arial"/>
                <w:sz w:val="17"/>
                <w:szCs w:val="17"/>
                <w:color w:val="auto"/>
              </w:rPr>
              <w:t>Net operating loss carryforwards</w:t>
            </w:r>
          </w:p>
        </w:tc>
        <w:tc>
          <w:tcPr>
            <w:tcW w:w="64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$ 1,206</w:t>
            </w:r>
          </w:p>
        </w:tc>
        <w:tc>
          <w:tcPr>
            <w:tcW w:w="24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$ 1,298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 credits</w:t>
            </w: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310</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w:t>
            </w:r>
          </w:p>
        </w:tc>
        <w:tc>
          <w:tcPr>
            <w:tcW w:w="64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41</w:t>
            </w:r>
          </w:p>
        </w:tc>
        <w:tc>
          <w:tcPr>
            <w:tcW w:w="24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expenses</w:t>
            </w: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513</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ind w:left="500"/>
              <w:spacing w:after="0" w:line="189" w:lineRule="exact"/>
              <w:rPr>
                <w:sz w:val="20"/>
                <w:szCs w:val="20"/>
                <w:color w:val="auto"/>
              </w:rPr>
            </w:pPr>
            <w:r>
              <w:rPr>
                <w:rFonts w:ascii="Arial" w:cs="Arial" w:eastAsia="Arial" w:hAnsi="Arial"/>
                <w:sz w:val="17"/>
                <w:szCs w:val="17"/>
                <w:color w:val="auto"/>
              </w:rPr>
              <w:t>Other</w:t>
            </w:r>
          </w:p>
        </w:tc>
        <w:tc>
          <w:tcPr>
            <w:tcW w:w="64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23</w:t>
            </w:r>
          </w:p>
        </w:tc>
        <w:tc>
          <w:tcPr>
            <w:tcW w:w="24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2,093</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Valuation allowance</w:t>
            </w:r>
          </w:p>
        </w:tc>
        <w:tc>
          <w:tcPr>
            <w:tcW w:w="880" w:type="dxa"/>
            <w:vAlign w:val="bottom"/>
            <w:gridSpan w:val="4"/>
          </w:tcPr>
          <w:p>
            <w:pPr>
              <w:jc w:val="right"/>
              <w:ind w:right="240"/>
              <w:spacing w:after="0" w:line="189" w:lineRule="exact"/>
              <w:rPr>
                <w:sz w:val="20"/>
                <w:szCs w:val="20"/>
                <w:color w:val="auto"/>
              </w:rPr>
            </w:pPr>
            <w:r>
              <w:rPr>
                <w:rFonts w:ascii="Arial" w:cs="Arial" w:eastAsia="Arial" w:hAnsi="Arial"/>
                <w:sz w:val="17"/>
                <w:szCs w:val="17"/>
                <w:color w:val="auto"/>
              </w:rPr>
              <w:t>(1,534)</w:t>
            </w: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559</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Deferred tax liabilities: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Depreciation</w:t>
            </w:r>
          </w:p>
        </w:tc>
        <w:tc>
          <w:tcPr>
            <w:tcW w:w="880" w:type="dxa"/>
            <w:vAlign w:val="bottom"/>
            <w:gridSpan w:val="4"/>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(229)</w:t>
            </w:r>
          </w:p>
        </w:tc>
        <w:tc>
          <w:tcPr>
            <w:tcW w:w="8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80" w:type="dxa"/>
            <w:vAlign w:val="bottom"/>
            <w:gridSpan w:val="2"/>
          </w:tcPr>
          <w:p>
            <w:pPr>
              <w:spacing w:after="0"/>
              <w:rPr>
                <w:sz w:val="20"/>
                <w:szCs w:val="20"/>
                <w:color w:val="auto"/>
              </w:rPr>
            </w:pPr>
            <w:r>
              <w:rPr>
                <w:rFonts w:ascii="Arial" w:cs="Arial" w:eastAsia="Arial" w:hAnsi="Arial"/>
                <w:sz w:val="17"/>
                <w:szCs w:val="17"/>
                <w:color w:val="auto"/>
              </w:rPr>
              <w:t>Total deferred tax liability</w:t>
            </w:r>
          </w:p>
        </w:tc>
        <w:tc>
          <w:tcPr>
            <w:tcW w:w="880" w:type="dxa"/>
            <w:vAlign w:val="bottom"/>
            <w:gridSpan w:val="4"/>
          </w:tcPr>
          <w:p>
            <w:pPr>
              <w:jc w:val="right"/>
              <w:ind w:right="240"/>
              <w:spacing w:after="0"/>
              <w:rPr>
                <w:sz w:val="20"/>
                <w:szCs w:val="20"/>
                <w:color w:val="auto"/>
              </w:rPr>
            </w:pPr>
            <w:r>
              <w:rPr>
                <w:rFonts w:ascii="Arial" w:cs="Arial" w:eastAsia="Arial" w:hAnsi="Arial"/>
                <w:sz w:val="17"/>
                <w:szCs w:val="17"/>
                <w:color w:val="auto"/>
              </w:rPr>
              <w:t>(229)</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 (liability)</w:t>
            </w:r>
          </w:p>
        </w:tc>
        <w:tc>
          <w:tcPr>
            <w:tcW w:w="6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   330</w:t>
            </w:r>
          </w:p>
        </w:tc>
        <w:tc>
          <w:tcPr>
            <w:tcW w:w="2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   246</w:t>
            </w: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9680" w:type="dxa"/>
            <w:vAlign w:val="bottom"/>
            <w:gridSpan w:val="2"/>
          </w:tcPr>
          <w:p>
            <w:pPr>
              <w:spacing w:after="0"/>
              <w:rPr>
                <w:sz w:val="20"/>
                <w:szCs w:val="20"/>
                <w:color w:val="auto"/>
              </w:rPr>
            </w:pPr>
            <w:r>
              <w:rPr>
                <w:rFonts w:ascii="Arial" w:cs="Arial" w:eastAsia="Arial" w:hAnsi="Arial"/>
                <w:sz w:val="17"/>
                <w:szCs w:val="17"/>
                <w:color w:val="auto"/>
              </w:rPr>
              <w:t>A roll-forward of the valuation allowance for the years ended December 31, 2013 and 2014 is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6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at beginning of year</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$1,209</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$1,534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Increase in valuation allowance</w:t>
            </w:r>
          </w:p>
        </w:tc>
        <w:tc>
          <w:tcPr>
            <w:tcW w:w="880" w:type="dxa"/>
            <w:vAlign w:val="bottom"/>
            <w:gridSpan w:val="4"/>
          </w:tcPr>
          <w:p>
            <w:pPr>
              <w:jc w:val="right"/>
              <w:ind w:right="240"/>
              <w:spacing w:after="0" w:line="189" w:lineRule="exact"/>
              <w:rPr>
                <w:sz w:val="20"/>
                <w:szCs w:val="20"/>
                <w:color w:val="auto"/>
              </w:rPr>
            </w:pPr>
            <w:r>
              <w:rPr>
                <w:rFonts w:ascii="Arial" w:cs="Arial" w:eastAsia="Arial" w:hAnsi="Arial"/>
                <w:sz w:val="17"/>
                <w:szCs w:val="17"/>
                <w:color w:val="auto"/>
              </w:rPr>
              <w:t>864</w:t>
            </w: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1,292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Reversal of valuation allowance</w:t>
            </w:r>
          </w:p>
        </w:tc>
        <w:tc>
          <w:tcPr>
            <w:tcW w:w="880" w:type="dxa"/>
            <w:vAlign w:val="bottom"/>
            <w:gridSpan w:val="4"/>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(379)</w:t>
            </w:r>
          </w:p>
        </w:tc>
        <w:tc>
          <w:tcPr>
            <w:tcW w:w="220" w:type="dxa"/>
            <w:vAlign w:val="bottom"/>
            <w:tcBorders>
              <w:righ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Effect of foreign currency translation</w:t>
            </w:r>
          </w:p>
        </w:tc>
        <w:tc>
          <w:tcPr>
            <w:tcW w:w="880" w:type="dxa"/>
            <w:vAlign w:val="bottom"/>
            <w:gridSpan w:val="4"/>
          </w:tcPr>
          <w:p>
            <w:pPr>
              <w:jc w:val="right"/>
              <w:ind w:right="180"/>
              <w:spacing w:after="0" w:line="189" w:lineRule="exact"/>
              <w:rPr>
                <w:sz w:val="20"/>
                <w:szCs w:val="20"/>
                <w:color w:val="auto"/>
              </w:rPr>
            </w:pPr>
            <w:r>
              <w:rPr>
                <w:rFonts w:ascii="Arial" w:cs="Arial" w:eastAsia="Arial" w:hAnsi="Arial"/>
                <w:sz w:val="17"/>
                <w:szCs w:val="17"/>
                <w:color w:val="auto"/>
              </w:rPr>
              <w:t>(160)</w:t>
            </w:r>
          </w:p>
        </w:tc>
        <w:tc>
          <w:tcPr>
            <w:tcW w:w="86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at end of year</w:t>
            </w:r>
          </w:p>
        </w:tc>
        <w:tc>
          <w:tcPr>
            <w:tcW w:w="880" w:type="dxa"/>
            <w:vAlign w:val="bottom"/>
            <w:gridSpan w:val="4"/>
            <w:shd w:val="clear" w:color="auto" w:fill="CCEEFF"/>
          </w:tcPr>
          <w:p>
            <w:pPr>
              <w:jc w:val="right"/>
              <w:ind w:right="24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1,534</w:t>
            </w:r>
          </w:p>
        </w:tc>
        <w:tc>
          <w:tcPr>
            <w:tcW w:w="86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As of December 31, 2013 and 2014, the Company has net operating loss carryforwards in the United States of approximately $2,381 and $2,115, respectively, available to offset future U.S. federal taxable income and approximately $2,598 and $2,365, respectively, available to reduce future state taxable income. The U.S. federal and state net operating losses begin to expire in 2030. As of December 31, 2013 and 2014, the Company also has United States research and development credit carryforwards of approximately $291 and $367, respectively, available to offset future U.S. federal income taxes and approximately $146 and $204, respectively, available to offset future state income taxes. The U.S. federal and state research and development credits will begin to expire in 2030 and 2025, respectively.</w:t>
      </w:r>
    </w:p>
    <w:p>
      <w:pPr>
        <w:spacing w:after="0" w:line="14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As of December 31, 2013 and 2014, the Company has net operating loss carryforwards in Japan of $2,801 and $3,535, respectively, which may be available to offset future income tax liabilities and begin to expire in 2015.</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During the six months ended June 30, 2015, gross deferred tax assets increased by approximately $1,173 (unaudited), due to net operating losses incurred by the Company in Japan and Singapore during the period. There was no income tax benefit (provision) recognized for the six months ended June 30, 2015 in these jurisdictions due to the continued generation of net operating losses.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 has evaluated the positive and negative evidence bearing upon its ability to realize its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Japan and Singapore. Accordingly, a full valuation allowance has been established against those deferred tax assets as of December 31, 2013, December 31, 2014, and June 30, 2015 (unaudited). The valuation allowance increased by approximately $864 in 2013 and $1,292 in 2014, primarily as a result of operating losses generated with no corresponding financial statement benefit. The Company may release this valuation allowance when management determines that it is more likely than not that the deferred tax assets will be realized. Any release of valuation allowance will be recorded as a tax benefit increasing net income.</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At December 31, 2013, the Company determined that it was more likely than not that the Company would be able to realize the majority of the United States deferred tax assets primarily related to United States federal research and development credits, as a result of the research services agreement established between Singapore and the United States in 2013, which results in marginal profitability in the United States in 2013 and for the foreseeable future. Accordingly, the Company reversed $379 of its valuation allowance on United States federal and state deferred tax assets in 2013.</w:t>
      </w:r>
    </w:p>
    <w:p>
      <w:pPr>
        <w:spacing w:after="0" w:line="149"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The Company’s reserves related to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activity in the Company’s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0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580" w:type="dxa"/>
            <w:vAlign w:val="bottom"/>
            <w:tcBorders>
              <w:bottom w:val="single" w:sz="8" w:color="CCEEFF"/>
            </w:tcBorders>
          </w:tcPr>
          <w:p>
            <w:pPr>
              <w:spacing w:after="0"/>
              <w:rPr>
                <w:sz w:val="13"/>
                <w:szCs w:val="13"/>
                <w:color w:val="auto"/>
              </w:rPr>
            </w:pPr>
          </w:p>
        </w:tc>
        <w:tc>
          <w:tcPr>
            <w:tcW w:w="33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3"/>
                <w:szCs w:val="13"/>
                <w:color w:val="auto"/>
              </w:rPr>
            </w:pPr>
          </w:p>
        </w:tc>
      </w:tr>
      <w:tr>
        <w:trPr>
          <w:trHeight w:val="183"/>
        </w:trPr>
        <w:tc>
          <w:tcPr>
            <w:tcW w:w="6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Unrecognized tax benefit beginning of year</w:t>
            </w:r>
          </w:p>
        </w:tc>
        <w:tc>
          <w:tcPr>
            <w:tcW w:w="33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$ 815</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901</w:t>
            </w:r>
          </w:p>
        </w:tc>
        <w:tc>
          <w:tcPr>
            <w:tcW w:w="100" w:type="dxa"/>
            <w:vAlign w:val="bottom"/>
            <w:shd w:val="clear" w:color="auto" w:fill="CCEEFF"/>
          </w:tcPr>
          <w:p>
            <w:pPr>
              <w:spacing w:after="0"/>
              <w:rPr>
                <w:sz w:val="15"/>
                <w:szCs w:val="15"/>
                <w:color w:val="auto"/>
              </w:rPr>
            </w:pPr>
          </w:p>
        </w:tc>
      </w:tr>
      <w:tr>
        <w:trPr>
          <w:trHeight w:val="189"/>
        </w:trPr>
        <w:tc>
          <w:tcPr>
            <w:tcW w:w="6580" w:type="dxa"/>
            <w:vAlign w:val="bottom"/>
          </w:tcPr>
          <w:p>
            <w:pPr>
              <w:spacing w:after="0" w:line="189" w:lineRule="exact"/>
              <w:rPr>
                <w:sz w:val="20"/>
                <w:szCs w:val="20"/>
                <w:color w:val="auto"/>
              </w:rPr>
            </w:pPr>
            <w:r>
              <w:rPr>
                <w:rFonts w:ascii="Arial" w:cs="Arial" w:eastAsia="Arial" w:hAnsi="Arial"/>
                <w:sz w:val="17"/>
                <w:szCs w:val="17"/>
                <w:color w:val="auto"/>
              </w:rPr>
              <w:t>Tax positions related to current year</w:t>
            </w:r>
          </w:p>
        </w:tc>
        <w:tc>
          <w:tcPr>
            <w:tcW w:w="4200" w:type="dxa"/>
            <w:vAlign w:val="bottom"/>
            <w:gridSpan w:val="3"/>
          </w:tcPr>
          <w:p>
            <w:pPr>
              <w:jc w:val="right"/>
              <w:ind w:right="460"/>
              <w:spacing w:after="0" w:line="189" w:lineRule="exact"/>
              <w:rPr>
                <w:sz w:val="20"/>
                <w:szCs w:val="20"/>
                <w:color w:val="auto"/>
              </w:rPr>
            </w:pPr>
            <w:r>
              <w:rPr>
                <w:rFonts w:ascii="Arial" w:cs="Arial" w:eastAsia="Arial" w:hAnsi="Arial"/>
                <w:sz w:val="17"/>
                <w:szCs w:val="17"/>
                <w:color w:val="auto"/>
              </w:rPr>
              <w:t>86</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124</w:t>
            </w:r>
          </w:p>
        </w:tc>
      </w:tr>
      <w:tr>
        <w:trPr>
          <w:trHeight w:val="75"/>
        </w:trPr>
        <w:tc>
          <w:tcPr>
            <w:tcW w:w="6580" w:type="dxa"/>
            <w:vAlign w:val="bottom"/>
          </w:tcPr>
          <w:p>
            <w:pPr>
              <w:spacing w:after="0"/>
              <w:rPr>
                <w:sz w:val="6"/>
                <w:szCs w:val="6"/>
                <w:color w:val="auto"/>
              </w:rPr>
            </w:pPr>
          </w:p>
        </w:tc>
        <w:tc>
          <w:tcPr>
            <w:tcW w:w="334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89"/>
        </w:trPr>
        <w:tc>
          <w:tcPr>
            <w:tcW w:w="65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Unrecognized tax benefit end of year</w:t>
            </w:r>
          </w:p>
        </w:tc>
        <w:tc>
          <w:tcPr>
            <w:tcW w:w="4200" w:type="dxa"/>
            <w:vAlign w:val="bottom"/>
            <w:gridSpan w:val="3"/>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$ 901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8"/>
              </w:rPr>
              <w:t>1,025</w:t>
            </w:r>
          </w:p>
        </w:tc>
      </w:tr>
      <w:tr>
        <w:trPr>
          <w:trHeight w:val="20"/>
        </w:trPr>
        <w:tc>
          <w:tcPr>
            <w:tcW w:w="6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As of December 31, 2013 and 2014, the total amount of gross unrecognized tax benefits in the United States, which excludes interest and penalties, was $901 and $1,025, respectively. At December 31, 2013 and 2014, $819 and $925 of the net unrecognized tax benefits, respectively, would affect the Company’s annual effective tax rate if recognized.</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discussed in Note 2, the Company early adopted ASU 2013-11 and therefore unrecognized tax benefits related to net operating losses are netted against the related deferred tax asset. The Company believes it is reasonably possible that approximately $700 of its unrecognized tax benefits may decrease by the end of 2015 as a result of the Company’s intention to amend its tax filings for transfer pricing in prior years. The impact of the reversal of the uncertain tax benefit will reduce the net operating loss carryforwards in the United States.</w:t>
      </w:r>
    </w:p>
    <w:p>
      <w:pPr>
        <w:spacing w:after="0" w:line="14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The Company’s policy is to record interest and penalties related to income taxes as part of its income tax provision. As of December 31, 2013 and 2014, the Company had no accrued interest or penalties related to uncertain tax positions, and no amounts have been recognized in the Company’s statements of operations and comprehensive loss.</w:t>
      </w:r>
    </w:p>
    <w:p>
      <w:pPr>
        <w:spacing w:after="0" w:line="14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The Company files income tax returns as prescribed by the tax laws of the jurisdictions in which it operates. In the normal course of business, the Company is subject to examination by various taxing authorities in the United States, Japan, and Singapore. There are currently no pending income tax examinations. Tax years from 2010 to the present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for share and per share amounts)</w:t>
      </w:r>
    </w:p>
    <w:p>
      <w:pPr>
        <w:jc w:val="center"/>
        <w:ind w:right="-1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are still open to examination in the United States, from 2008 to the present in Japan, and from 2012 to the present in Singapore.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As of December 31, 2013 and 2014, $227 of $439 and $484 of $1,048, respectively, of cash was held by the subsidiaries outside of Singapore. The Company does not provide for Singapore income tax or foreign withholding taxes on foreign unrepatriated earnings, as the Company intends to permanently reinvest undistributed earnings in its foreign subsidiaries. If the Company decides to change this assertion in the future to repatriate any additional foreign earnings, the Company may be required to accrue and pay taxes. Because of the complexity of Singapore and foreign tax rules applicable to the distribution of earnings from foreign subsidiaries to Singapore, the determination of the unrecognized deferred tax liability on these earnings is not practicable.</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Utilization of the net operating loss carryforwards and research and development tax credit carryforwards in the United States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shares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shares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3"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In 2013, the Company adopted a 401(k) retirement and savings plan (the “401(k) Plan”) covering all U.S.-based employees. The 401(k) Plan allows employees to make pre-tax contributions up to the maximum allowable amount set by the IRS. Under the 401(k) Plan, the Company may make discretionary contributions as approved by the board of directors. During the years ended December 31, 2013 and December 31, 2014, and the six months ended June 30, 2014 and June 30, 2015, the Company did not make contributions to the 401(k) Plan.</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has a J401(k) defined contribution pension plan covering all Japan-based permanent employees that was adopted in 2010. The J401(k) defined contribution pension plan allows the Company to make pre-tax contributions up to the maximum allowable amount set by the chief officer of the Kyushu Regional Bureau of Health and Welfare’s approval and company’s wage regulation. Under the J401(k) defined contribution pension plan, the Company may make discretionary contributions as approved by the Board of Directors. The Company has made contributions of $3 (unaudited) through June 30, 2015.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for share and per share amounts)</w:t>
      </w:r>
    </w:p>
    <w:p>
      <w:pPr>
        <w:jc w:val="center"/>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93"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Company had the following related party transactions for the periods presented in the accompanying consolidated financial statements, which have not otherwise been discussed in these notes to the consolidated financial statements:</w:t>
      </w:r>
    </w:p>
    <w:p>
      <w:pPr>
        <w:spacing w:after="0" w:line="185" w:lineRule="exact"/>
        <w:rPr>
          <w:sz w:val="20"/>
          <w:szCs w:val="20"/>
          <w:color w:val="auto"/>
        </w:rPr>
      </w:pPr>
    </w:p>
    <w:p>
      <w:pPr>
        <w:ind w:left="800" w:right="380" w:hanging="454"/>
        <w:spacing w:after="0" w:line="243" w:lineRule="auto"/>
        <w:tabs>
          <w:tab w:leader="none" w:pos="8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Company has cash of $3, $17, and $10 (unaudited) at December 31, 2013 and 2014 and June 30, 2015, respectively, in depository accounts with one of its investors, who became an investor in February 2014.</w:t>
      </w:r>
    </w:p>
    <w:p>
      <w:pPr>
        <w:spacing w:after="0" w:line="22" w:lineRule="exact"/>
        <w:rPr>
          <w:rFonts w:ascii="Arial" w:cs="Arial" w:eastAsia="Arial" w:hAnsi="Arial"/>
          <w:sz w:val="17"/>
          <w:szCs w:val="17"/>
          <w:color w:val="auto"/>
        </w:rPr>
      </w:pPr>
    </w:p>
    <w:p>
      <w:pPr>
        <w:ind w:left="800" w:hanging="454"/>
        <w:spacing w:after="0" w:line="238" w:lineRule="auto"/>
        <w:tabs>
          <w:tab w:leader="none" w:pos="8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Pursuant to the terms of a service agreement previously held with SNBL, a related party, the Company paid SNBL $245 and $71 in the years ended December 31, 2013 and 2014, respectively, and $1 (unaudited) in the six months ended June 30, 2015, for accounting and administrative services provided to the Company and its affiliates.</w:t>
      </w:r>
    </w:p>
    <w:p>
      <w:pPr>
        <w:spacing w:after="0" w:line="26" w:lineRule="exact"/>
        <w:rPr>
          <w:rFonts w:ascii="Arial" w:cs="Arial" w:eastAsia="Arial" w:hAnsi="Arial"/>
          <w:sz w:val="17"/>
          <w:szCs w:val="17"/>
          <w:color w:val="auto"/>
        </w:rPr>
      </w:pPr>
    </w:p>
    <w:p>
      <w:pPr>
        <w:ind w:left="800" w:right="120" w:hanging="454"/>
        <w:spacing w:after="0" w:line="238" w:lineRule="auto"/>
        <w:tabs>
          <w:tab w:leader="none" w:pos="8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2012, the Company entered into a consulting agreement with a shareholder for services in the capacity as a scientific advisor. The consulting agreement does not have a certain term and may be terminated by either party upon 14 days’ prior written notice. The Company pays the shareholder $13 per month and reimbursement for certain expenses.</w:t>
      </w:r>
    </w:p>
    <w:p>
      <w:pPr>
        <w:spacing w:after="0" w:line="26" w:lineRule="exact"/>
        <w:rPr>
          <w:rFonts w:ascii="Arial" w:cs="Arial" w:eastAsia="Arial" w:hAnsi="Arial"/>
          <w:sz w:val="17"/>
          <w:szCs w:val="17"/>
          <w:color w:val="auto"/>
        </w:rPr>
      </w:pPr>
    </w:p>
    <w:p>
      <w:pPr>
        <w:ind w:left="800" w:right="220" w:hanging="454"/>
        <w:spacing w:after="0" w:line="243" w:lineRule="auto"/>
        <w:tabs>
          <w:tab w:leader="none" w:pos="8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Company also has an informal consulting arrangement with a shareholder in the amount of 250 Japanese yen, or $2, per month, plus reimbursement of certain expenses, for scientific advisory services.</w:t>
      </w:r>
    </w:p>
    <w:p>
      <w:pPr>
        <w:spacing w:after="0" w:line="181" w:lineRule="exact"/>
        <w:rPr>
          <w:rFonts w:ascii="Arial" w:cs="Arial" w:eastAsia="Arial" w:hAnsi="Arial"/>
          <w:sz w:val="17"/>
          <w:szCs w:val="17"/>
          <w:color w:val="auto"/>
        </w:rPr>
      </w:pPr>
    </w:p>
    <w:p>
      <w:pPr>
        <w:ind w:left="300" w:hanging="292"/>
        <w:spacing w:after="0"/>
        <w:tabs>
          <w:tab w:leader="none" w:pos="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DATA</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Company’s long-lived assets consist of property and equipment and are located in the following geographical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56"/>
        </w:trPr>
        <w:tc>
          <w:tcPr>
            <w:tcW w:w="5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40"/>
              <w:spacing w:after="0" w:line="155"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Asia</w:t>
            </w:r>
          </w:p>
        </w:tc>
        <w:tc>
          <w:tcPr>
            <w:tcW w:w="3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777</w:t>
            </w: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745</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650</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7"/>
                <w:szCs w:val="17"/>
                <w:color w:val="auto"/>
              </w:rPr>
              <w:t>United States</w:t>
            </w: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607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524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1,182</w:t>
            </w:r>
          </w:p>
        </w:tc>
      </w:tr>
      <w:tr>
        <w:trPr>
          <w:trHeight w:val="61"/>
        </w:trPr>
        <w:tc>
          <w:tcPr>
            <w:tcW w:w="53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53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long-lived assets</w:t>
            </w:r>
          </w:p>
        </w:tc>
        <w:tc>
          <w:tcPr>
            <w:tcW w:w="3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8"/>
              </w:rPr>
              <w:t>1,384</w:t>
            </w: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u w:val="single" w:color="auto"/>
                <w:color w:val="auto"/>
              </w:rPr>
              <w:t>$</w:t>
            </w:r>
          </w:p>
        </w:tc>
        <w:tc>
          <w:tcPr>
            <w:tcW w:w="8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w w:val="93"/>
              </w:rPr>
              <w:t>1,269</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1,832</w:t>
            </w:r>
          </w:p>
        </w:tc>
      </w:tr>
      <w:tr>
        <w:trPr>
          <w:trHeight w:val="20"/>
        </w:trPr>
        <w:tc>
          <w:tcPr>
            <w:tcW w:w="5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53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w:t>
      </w:r>
    </w:p>
    <w:p>
      <w:pPr>
        <w:spacing w:after="0" w:line="80"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The Company has evaluated subsequent events through September 4, 2015. Except as described below, the Company has concluded that no events or transactions have occurred that require disclosure in the accompanying consolidated financial statements.</w:t>
      </w:r>
    </w:p>
    <w:p>
      <w:pPr>
        <w:spacing w:after="0" w:line="14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On August 14, 2015, the Company issued an aggregate of 1,320,000 Series B preferred shares at a purchase price of $50 per share to certain third-party investors for $62,500 of net proceeds.</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As discussed in Note 1, in connection with the private placement of Series B preferred shares, holders of the Company’s preference shares agreed to rename the existing “preference shares” as “Series A preferred shares.” In addition, as further described below, the terms of the Series A preferred shares were substantively amended to remove their right of first refusal and to provide for their right to convert on a one-for-one basis into an aggregate of 965,300 ordinary shares at any time at the election of the holder. The rights of the Series A preferred shares are identical to the ordinary shares other than: (1) no voting rights other than in limited circumstances, (2) the right to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WAVE Life Sciences Pte. Ltd.</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 thousands, except for share and per share amounts)</w:t>
      </w:r>
    </w:p>
    <w:p>
      <w:pPr>
        <w:jc w:val="center"/>
        <w:ind w:right="-59"/>
        <w:spacing w:after="0"/>
        <w:rPr>
          <w:sz w:val="20"/>
          <w:szCs w:val="20"/>
          <w:color w:val="auto"/>
        </w:rPr>
      </w:pPr>
      <w:r>
        <w:rPr>
          <w:rFonts w:ascii="Arial" w:cs="Arial" w:eastAsia="Arial" w:hAnsi="Arial"/>
          <w:sz w:val="17"/>
          <w:szCs w:val="17"/>
          <w:color w:val="auto"/>
        </w:rPr>
        <w:t>(Information as of June 30, 2015 and for the six months ended June 30, 2014 and 2015 is unaudited)</w:t>
      </w:r>
    </w:p>
    <w:p>
      <w:pPr>
        <w:spacing w:after="0" w:line="23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non-cumulative dividend if and when declared by our board of directors and (3) the right to convert the Series A preferred shares at any time on a one-for-one basis into ordinary shares at the discretion of the holder. The Company’s shareholders, including holders of Series A preferred shares, entered into an investors’ rights agreement and a voting agreement with the Company in connection with the private placement. Pursuant to the terms of the voting agreement, investors who hold at least 300,000 shares of registerable securities, including holders of Series A preferred shares and Series B preferred shares, have a right to purchase certain new securities offered by the Company. Additionally, in the event of the sale of 50% or more of the voting power of the company or a deemed liquidation event, if the holders of at least a majority of the ordinary shares and the holders of 56% of the Series B preferred shares vote to a sale of the Company, they have the right to force the other shareholders, including the holders of Series A preferred shares, to agree to such a sale.</w:t>
      </w:r>
    </w:p>
    <w:p>
      <w:pPr>
        <w:spacing w:after="0" w:line="150"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On August 14, 2015, the Company’s board of directors approved an increase in the number of ordinary shares issuable under the 2014 Plan from 618,221 to 879,800 shares.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7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431165</wp:posOffset>
            </wp:positionV>
            <wp:extent cx="1689735" cy="8921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68973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876935</wp:posOffset>
            </wp:positionV>
            <wp:extent cx="261556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231775</wp:posOffset>
            </wp:positionV>
            <wp:extent cx="261556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Joint Book-Running Managers</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Jefferies</w:t>
      </w:r>
    </w:p>
    <w:p>
      <w:pPr>
        <w:spacing w:after="0" w:line="58"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Leerink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2015</w:t>
      </w:r>
    </w:p>
    <w:p>
      <w:pPr>
        <w:spacing w:after="0" w:line="294"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Until</w:t>
      </w:r>
      <w:r>
        <w:rPr>
          <w:sz w:val="20"/>
          <w:szCs w:val="20"/>
          <w:color w:val="auto"/>
        </w:rPr>
        <w:tab/>
      </w:r>
      <w:r>
        <w:rPr>
          <w:rFonts w:ascii="Arial" w:cs="Arial" w:eastAsia="Arial" w:hAnsi="Arial"/>
          <w:sz w:val="17"/>
          <w:szCs w:val="17"/>
          <w:b w:val="1"/>
          <w:bCs w:val="1"/>
          <w:color w:val="auto"/>
        </w:rPr>
        <w:t>, 2015 (25 days after the commencement of this offering), all dealers effecting transactions in these securities, whether or</w:t>
      </w:r>
    </w:p>
    <w:p>
      <w:pPr>
        <w:spacing w:after="0" w:line="14"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b w:val="1"/>
          <w:bCs w:val="1"/>
          <w:color w:val="auto"/>
        </w:rPr>
        <w:t>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378460</wp:posOffset>
            </wp:positionV>
            <wp:extent cx="724662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3"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and the 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56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 to</w:t>
            </w:r>
          </w:p>
        </w:tc>
      </w:tr>
      <w:tr>
        <w:trPr>
          <w:trHeight w:val="175"/>
        </w:trPr>
        <w:tc>
          <w:tcPr>
            <w:tcW w:w="10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be Paid</w:t>
            </w:r>
          </w:p>
        </w:tc>
      </w:tr>
      <w:tr>
        <w:trPr>
          <w:trHeight w:val="183"/>
        </w:trPr>
        <w:tc>
          <w:tcPr>
            <w:tcW w:w="105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SEC registration fee</w:t>
            </w: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1056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10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r>
      <w:tr>
        <w:trPr>
          <w:trHeight w:val="189"/>
        </w:trPr>
        <w:tc>
          <w:tcPr>
            <w:tcW w:w="10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 exchange listing fee</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r>
      <w:tr>
        <w:trPr>
          <w:trHeight w:val="189"/>
        </w:trPr>
        <w:tc>
          <w:tcPr>
            <w:tcW w:w="10560" w:type="dxa"/>
            <w:vAlign w:val="bottom"/>
          </w:tcPr>
          <w:p>
            <w:pPr>
              <w:spacing w:after="0" w:line="189" w:lineRule="exact"/>
              <w:rPr>
                <w:sz w:val="20"/>
                <w:szCs w:val="20"/>
                <w:color w:val="auto"/>
              </w:rPr>
            </w:pPr>
            <w:r>
              <w:rPr>
                <w:rFonts w:ascii="Arial" w:cs="Arial" w:eastAsia="Arial" w:hAnsi="Arial"/>
                <w:sz w:val="17"/>
                <w:szCs w:val="17"/>
                <w:color w:val="auto"/>
              </w:rPr>
              <w:t>Legal fees and expenses</w:t>
            </w:r>
          </w:p>
        </w:tc>
        <w:tc>
          <w:tcPr>
            <w:tcW w:w="10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r>
      <w:tr>
        <w:trPr>
          <w:trHeight w:val="189"/>
        </w:trPr>
        <w:tc>
          <w:tcPr>
            <w:tcW w:w="10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r>
      <w:tr>
        <w:trPr>
          <w:trHeight w:val="189"/>
        </w:trPr>
        <w:tc>
          <w:tcPr>
            <w:tcW w:w="10560" w:type="dxa"/>
            <w:vAlign w:val="bottom"/>
          </w:tcPr>
          <w:p>
            <w:pPr>
              <w:spacing w:after="0" w:line="189" w:lineRule="exact"/>
              <w:rPr>
                <w:sz w:val="20"/>
                <w:szCs w:val="20"/>
                <w:color w:val="auto"/>
              </w:rPr>
            </w:pPr>
            <w:r>
              <w:rPr>
                <w:rFonts w:ascii="Arial" w:cs="Arial" w:eastAsia="Arial" w:hAnsi="Arial"/>
                <w:sz w:val="17"/>
                <w:szCs w:val="17"/>
                <w:color w:val="auto"/>
              </w:rPr>
              <w:t>Printing and engraving</w:t>
            </w:r>
          </w:p>
        </w:tc>
        <w:tc>
          <w:tcPr>
            <w:tcW w:w="10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r>
      <w:tr>
        <w:trPr>
          <w:trHeight w:val="189"/>
        </w:trPr>
        <w:tc>
          <w:tcPr>
            <w:tcW w:w="10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fees and expenses</w:t>
            </w: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64"/>
        </w:trPr>
        <w:tc>
          <w:tcPr>
            <w:tcW w:w="10560" w:type="dxa"/>
            <w:vAlign w:val="bottom"/>
          </w:tcPr>
          <w:p>
            <w:pPr>
              <w:ind w:left="26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r>
      <w:tr>
        <w:trPr>
          <w:trHeight w:val="20"/>
        </w:trPr>
        <w:tc>
          <w:tcPr>
            <w:tcW w:w="10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To be filed by amendment.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any liability, which by law would otherwise attach to them for any negligence, default, breach of duty or breach of trust of which they may be guilty relating to us. However, a company is not prohibited from (a) purchasing and maintaining for any such individual insurance against any such liability, or (b) indemnifying such individual against any liability incurred by him in defending any proceedings, whether civil or criminal, in which judgment is given in his favor or in which he is acquitted, or in connection with any application under Section 76A(13) or 391 or any other provision of the Singapore Companies Act in which relief is granted to him by the court. It is expected that the restriction in Section 172 of the Singapore Companies Act will be amended in the second phase of implementation of the Companies (Amendment) Act 2014 to enable a company to indemnify its officers against third party liability, except in circumstances where such liability is for any criminal or regulatory fines or penalties, or where such liability is incurred in respect of (i) defending criminal proceedings in which he or she is convicted, (ii) defending civil proceedings commenced by the company or a related company against him in which judgment is given against him or (iii) in connection with an application for relief under section 76A(13) or section 391 of the Singapore Companies Act in which the court refuses to grant him relief.</w:t>
      </w:r>
    </w:p>
    <w:p>
      <w:pPr>
        <w:spacing w:after="0" w:line="1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Subject to the Singapore Companies Act and every other Singapore statute for the time being in force concerning companies and affecting us, our articles of association provide that each of our directors and officers and those of our subsidiaries and affiliates shall be entitled to be indemnified by us or such subsidiary against any liability incurred by him or her arising out of or in connection with any acts, omissions or conduct, actual or alleged, by such individual acting in his or her capacity as either director, officer, secretary or employee of us or the relevant subsidiary, except to such extent as would not be permitted under applicable Singapore laws or which would otherwise result in such indemnity being void in accordance with the provisions of the Singapore Companies Act.</w:t>
      </w:r>
    </w:p>
    <w:p>
      <w:pPr>
        <w:spacing w:after="0" w:line="14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may indemnify our directors and officers against costs, charges, fees, expenses and liabilities that may be incurred by any of them in defending any proceedings (whether civil or criminal) relating to anything done or omitted or alleged to be done or omitted by such person acting in his or her capacity as a director, officer or employee of our company, in which judgment is given in his or her favor, or in which he or she is acquitted or in which the courts have granted relief pursuant to the provisions of the Singapore Companies Act or other applicable statutes, provided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that such indemnity shall not extend to any liability which by law would otherwise attach to him or her in respect of any negligence, default, breach of duty or breach of trust in relation to our company, or which would otherwise result in such indemnity being voided under applicable Singapore laws. No director or officer of our company shall be liable for any acts, omissions, neglects, defaults or other conduct of any other director or officer, and to the extent permitted by Singapore law, our company shall contribute to the amount paid or payable by a director or officer in such proportion as is appropriate to reflect the relative fault of such director or officer, taking into consideration any other relevant equitable considerations, including acts of other directors or officers and our company, and the relative fault of such parties in respect thereof.</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no director, managing director or other officer shall be liable for the acts, receipts, neglects or defaults of any other director or officer, or for joining in any receipt or other act for conformity, or for any loss or expense incurred by us, through the insufficiency or deficiency of title to any property acquired by order of the directors for us or for the insufficiency or deficiency of any security upon which any of our moneys are invested or for any loss or damage arising from the bankruptcy, insolvency or tortious act of any person with whom any moneys, securities or effects are deposited, or any other loss, damage or misfortune which happens in the execution of his duties, unless the same happens through his own negligence, default, breach of duty or breach of trust.</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have entered into deeds of indemnity with each of our directors and our president and chief executive officer. These agreements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articles of association, agreement, vote of shareholders or disinterested directors or otherwise if such indemnified person is subsequently found to have been negligent or otherwise have breached indemnified person’s trust or fiduciary duties or to be in default thereof, or where the Singapore courts have declined to grant relief.</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4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proposed form of Underwriting Agreement to be filed as Exhibit 1.1 to this Registration Statement provides for indemnification to our directors and officers by the underwriters against certain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following list sets forth information regarding the unregistered securities issued by us since January 1, 2012 through the date of the prospectus that is a part of this registration statement.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Preferred Shares and Ordinary Shares</w:t>
      </w:r>
    </w:p>
    <w:p>
      <w:pPr>
        <w:spacing w:after="0" w:line="54" w:lineRule="exact"/>
        <w:rPr>
          <w:sz w:val="20"/>
          <w:szCs w:val="20"/>
          <w:color w:val="auto"/>
        </w:rPr>
      </w:pPr>
    </w:p>
    <w:p>
      <w:pPr>
        <w:jc w:val="both"/>
        <w:ind w:right="140"/>
        <w:spacing w:after="0" w:line="236" w:lineRule="auto"/>
        <w:rPr>
          <w:sz w:val="20"/>
          <w:szCs w:val="20"/>
          <w:color w:val="auto"/>
        </w:rPr>
      </w:pPr>
      <w:r>
        <w:rPr>
          <w:rFonts w:ascii="Arial" w:cs="Arial" w:eastAsia="Arial" w:hAnsi="Arial"/>
          <w:sz w:val="17"/>
          <w:szCs w:val="17"/>
          <w:color w:val="auto"/>
        </w:rPr>
        <w:t>The sale and issuance of the securities set forth below were deemed to be exempt from registration under the Securities Act by virtue of Section 4(2) or Rule 506 promulgated under Registration D promulgated thereunder and Section 3(a)(9).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On September 13, 2012, we issued 50,000 ordinary shares to Dr. Gregory L. Verdine in exchange for 750 shares of common stock of WAVE USA and 200,000 ordinary shares to Shin Nippon Biomedical Laboratories, Ltd., or SNBL, in exchange for 3,000 shares of common stock of WAVE USA. We also issued 24,900 ordinary shares to Dr. Takeshi Wada in exchange for 152 ordinary shares of WAVE Japan and 225,100 ordinary shares to SNBL in exchange for 1,374 ordinary shares of WAVE Japan.</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February 3, 2014, we entered into a subscription agreement with Kagoshima Shinsangyo Sousei Investment Limited Partnership, or KSS, pursuant to which we issued 560,000 of our ordinary shares to KSS at a purchase price of $10.00 per share for a total consideration of $5.6 million.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80"/>
        <w:spacing w:after="0" w:line="243" w:lineRule="auto"/>
        <w:rPr>
          <w:sz w:val="20"/>
          <w:szCs w:val="20"/>
          <w:color w:val="auto"/>
        </w:rPr>
      </w:pPr>
      <w:r>
        <w:rPr>
          <w:rFonts w:ascii="Arial" w:cs="Arial" w:eastAsia="Arial" w:hAnsi="Arial"/>
          <w:sz w:val="17"/>
          <w:szCs w:val="17"/>
          <w:color w:val="auto"/>
        </w:rPr>
        <w:t>On February 3, 2014, we issued 585,200 of our Series A preferred shares and 375,000 of our ordinary shares to SNBL, in exchange for the cancellation of certain debt obligations owed by us to SNBL in the amount of approximately $9.6 million.</w:t>
      </w:r>
    </w:p>
    <w:p>
      <w:pPr>
        <w:spacing w:after="0" w:line="14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On January 16, 2015, we issued an aggregate of 1,180,000 ordinary shares at a purchase price of $10.00 per share to two accredited investors, both of whom are beneficial owners of more than 5% of our outstanding shares. RA Capital Health Care Fund, L.P., or RA Capital, purchased 1,000,000 ordinary shares in this transaction at a purchase price of $10.0 million. KSS also purchased 180,000 ordinary shares in this transaction at a purchase price of $1.8 million.</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On August 14, 2015, we issued an aggregate of 1,320,000 Series B preferred shares at a purchase price of $50.00 per share to 19 accredited investors, five of whom (and their affiliates) are beneficial owners of more than 5% of our outstanding shares. RA Capital and one of its affiliates, purchased 290,000 Series B preferred shares in this transaction at a purchase price of $14.5 million. KSS and an affiliate of SNBL also each purchased 40,000 Series B preferred shares in this transaction at a purchase price of $2.0 million each. Foresite Capital Fund III, L.P. purchased 330,000 Series B preferred shares in this transaction at a purchase price of $16.5 million, Entities affiliated with FMR LLC purchased 300,000 Series B preferred shares in this transaction at a purchase price of $15.0 million.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Grants of Share Options and Issuances of Ordinary Shares</w:t>
      </w:r>
    </w:p>
    <w:p>
      <w:pPr>
        <w:spacing w:after="0" w:line="4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On March 10, 2015 we issued a share award of 47,223 of our ordinary shares and an aggregate of 426,449 options to purchase our ordinary shares at an exercise price of $10.00 per share to certain of our employees and directors pursuant to our 2014 Equity Incentive Plan, or the 2014 Plan.</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On March 22, 2015 we issued 30,000 options to purchase our ordinary shares at an exercise price of $10.00 per share pursuant to our 2014 Plan. On March 31, 2015 we issued a share award of 47,223 ordinary shares to an employee pursuant to our 2014 Plan.</w:t>
      </w:r>
    </w:p>
    <w:p>
      <w:pPr>
        <w:spacing w:after="0" w:line="144"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On July 9, 2015 we granted options to purchase an aggregate of 24,400 options to purchase our ordinary shares at an exercise price of $24.21 per share to certain of our employees pursuant to the 2014 Plan.</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We believe that the offers, sales and issuances of the above securities were exempt from registration under the Securities Act by virtue of Section 4(a)(2) of the Securities Act or Regulation D promulgated thereunder as transactions by an issuer not involving any public offering, or in reliance on Rule 701 promulgated under Section 3(b) of the Securities Act because the transactions were pursuant to compensatory benefit plans or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share certificates issued in these transactions. We believe all recipients had adequate information about us or had adequate access, through their relationships with us, to information about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3" w:lineRule="exact"/>
        <w:rPr>
          <w:sz w:val="20"/>
          <w:szCs w:val="20"/>
          <w:color w:val="auto"/>
        </w:rPr>
      </w:pPr>
    </w:p>
    <w:p>
      <w:pPr>
        <w:ind w:left="800" w:hanging="454"/>
        <w:spacing w:after="0"/>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list of exhibits is set forth under “Exhibit Index” at the end of this registration statement and is incorporated herein by reference.</w:t>
      </w:r>
    </w:p>
    <w:p>
      <w:pPr>
        <w:spacing w:after="0" w:line="34" w:lineRule="exact"/>
        <w:rPr>
          <w:rFonts w:ascii="Arial" w:cs="Arial" w:eastAsia="Arial" w:hAnsi="Arial"/>
          <w:sz w:val="17"/>
          <w:szCs w:val="17"/>
          <w:color w:val="auto"/>
        </w:rPr>
      </w:pPr>
    </w:p>
    <w:p>
      <w:pPr>
        <w:ind w:left="800" w:right="240" w:hanging="454"/>
        <w:spacing w:after="0" w:line="238" w:lineRule="auto"/>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See the Index to Financial Statements included on page F-1 for a list of the financial statements included in this registration statement. All schedules not identified above have been omitted because they are not required, are inapplicable, or the information is included in the combined financial statements or notes contained in this registration statement.</w:t>
      </w:r>
    </w:p>
    <w:p>
      <w:pPr>
        <w:spacing w:after="0" w:line="148"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Certain of the agreements included as exhibits to this prospectus contain representations and warranties by each of the parties to the applicable agreement. These representations and warranties have been made solely for the benefit of the other parties to the applicable agreement and:</w:t>
      </w:r>
    </w:p>
    <w:p>
      <w:pPr>
        <w:spacing w:after="0" w:line="185" w:lineRule="exact"/>
        <w:rPr>
          <w:sz w:val="20"/>
          <w:szCs w:val="20"/>
          <w:color w:val="auto"/>
        </w:rPr>
      </w:pPr>
    </w:p>
    <w:p>
      <w:pPr>
        <w:ind w:left="800" w:right="80" w:hanging="454"/>
        <w:spacing w:after="0" w:line="243" w:lineRule="auto"/>
        <w:tabs>
          <w:tab w:leader="none" w:pos="8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should not in all instances be treated as categorical statements of fact, but rather as a way of allocating the risk to one of the parties if those statements prove to be inaccurate;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20" w:hanging="454"/>
        <w:spacing w:after="0" w:line="243" w:lineRule="auto"/>
        <w:tabs>
          <w:tab w:leader="none" w:pos="8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have been qualified by disclosures that were made to the other party in connection with the negotiation of the applicable agreement, which disclosures are not necessarily reflected in the agreement;</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may apply standards of materiality in a way that is different from what may be viewed as material to you or other investors; and</w:t>
      </w:r>
    </w:p>
    <w:p>
      <w:pPr>
        <w:spacing w:after="0" w:line="47" w:lineRule="exact"/>
        <w:rPr>
          <w:rFonts w:ascii="Arial" w:cs="Arial" w:eastAsia="Arial" w:hAnsi="Arial"/>
          <w:sz w:val="17"/>
          <w:szCs w:val="17"/>
          <w:color w:val="auto"/>
        </w:rPr>
      </w:pPr>
    </w:p>
    <w:p>
      <w:pPr>
        <w:ind w:left="800" w:right="520" w:hanging="454"/>
        <w:spacing w:after="0" w:line="243" w:lineRule="auto"/>
        <w:tabs>
          <w:tab w:leader="none" w:pos="8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were made only as of the date of the applicable agreement or such other date or dates as may be specified in the agreement and are subject to more recent developments.</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registrant acknowledges that, notwithstanding the inclusion of the foregoing cautionary statements, it is responsible for considering whether additional specific disclosures of material information regarding material contractual provisions are required to make the statements in this registration statement not misleading.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is against public policy as expressed in the Securities Act and will be governed by the final adjudication of such issue.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96" w:lineRule="exact"/>
        <w:rPr>
          <w:sz w:val="20"/>
          <w:szCs w:val="20"/>
          <w:color w:val="auto"/>
        </w:rPr>
      </w:pPr>
    </w:p>
    <w:p>
      <w:pPr>
        <w:ind w:left="800" w:right="40" w:hanging="454"/>
        <w:spacing w:after="0" w:line="232" w:lineRule="auto"/>
        <w:tabs>
          <w:tab w:leader="none" w:pos="8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800"/>
        <w:spacing w:after="0"/>
        <w:rPr>
          <w:rFonts w:ascii="Arial" w:cs="Arial" w:eastAsia="Arial" w:hAnsi="Arial"/>
          <w:sz w:val="17"/>
          <w:szCs w:val="17"/>
          <w:color w:val="auto"/>
        </w:rPr>
      </w:pPr>
      <w:r>
        <w:rPr>
          <w:rFonts w:ascii="Arial" w:cs="Arial" w:eastAsia="Arial" w:hAnsi="Arial"/>
          <w:sz w:val="17"/>
          <w:szCs w:val="17"/>
          <w:color w:val="auto"/>
        </w:rPr>
        <w:t>(4) or 497(h) under the Securities Act shall be deemed to be part of this registration statement as of the time it was declared effective; and</w:t>
      </w:r>
    </w:p>
    <w:p>
      <w:pPr>
        <w:spacing w:after="0" w:line="34" w:lineRule="exact"/>
        <w:rPr>
          <w:rFonts w:ascii="Arial" w:cs="Arial" w:eastAsia="Arial" w:hAnsi="Arial"/>
          <w:sz w:val="17"/>
          <w:szCs w:val="17"/>
          <w:color w:val="auto"/>
        </w:rPr>
      </w:pPr>
    </w:p>
    <w:p>
      <w:pPr>
        <w:ind w:left="800" w:right="40" w:hanging="454"/>
        <w:spacing w:after="0" w:line="238" w:lineRule="auto"/>
        <w:tabs>
          <w:tab w:leader="none" w:pos="8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360"/>
          </w:cols>
          <w:pgMar w:left="240" w:top="460" w:right="2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w:t>
      </w:r>
    </w:p>
    <w:tbl>
      <w:tblPr>
        <w:tblLayout w:type="fixed"/>
        <w:tblInd w:w="0" w:type="dxa"/>
        <w:tblCellMar>
          <w:top w:w="0" w:type="dxa"/>
          <w:left w:w="0" w:type="dxa"/>
          <w:bottom w:w="0" w:type="dxa"/>
          <w:right w:w="0" w:type="dxa"/>
        </w:tblCellMar>
      </w:tblPr>
      <w:tr>
        <w:trPr>
          <w:trHeight w:val="205"/>
        </w:trPr>
        <w:tc>
          <w:tcPr>
            <w:tcW w:w="7820" w:type="dxa"/>
            <w:vAlign w:val="bottom"/>
          </w:tcPr>
          <w:p>
            <w:pPr>
              <w:spacing w:after="0"/>
              <w:rPr>
                <w:sz w:val="20"/>
                <w:szCs w:val="20"/>
                <w:color w:val="auto"/>
              </w:rPr>
            </w:pPr>
            <w:r>
              <w:rPr>
                <w:rFonts w:ascii="Arial" w:cs="Arial" w:eastAsia="Arial" w:hAnsi="Arial"/>
                <w:sz w:val="17"/>
                <w:szCs w:val="17"/>
                <w:color w:val="auto"/>
              </w:rPr>
              <w:t>behalf by the undersigned, thereunto duly authorized, in Boston, Massachusetts, on the   day of</w:t>
            </w:r>
          </w:p>
        </w:tc>
        <w:tc>
          <w:tcPr>
            <w:tcW w:w="102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WAVE LIFE SCIENCES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269240</wp:posOffset>
            </wp:positionV>
            <wp:extent cx="28987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Paul B. Bolno, M.D.</w:t>
      </w: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KNOW ALL BY THESE PRESENTS, that each person whose signature appears below hereby constitutes and appoints Paul B. Bolno and Kyle Moran, and each of them, his true and lawful agent, proxy and attorney-in-fact, with full power of substitution and resubstitution, for him and in his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47"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c>
          <w:tcPr>
            <w:tcW w:w="1980" w:type="dxa"/>
            <w:vAlign w:val="bottom"/>
          </w:tcPr>
          <w:p>
            <w:pPr>
              <w:jc w:val="right"/>
              <w:ind w:right="196"/>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24"/>
        </w:trPr>
        <w:tc>
          <w:tcPr>
            <w:tcW w:w="4740" w:type="dxa"/>
            <w:vAlign w:val="bottom"/>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4600" w:type="dxa"/>
            <w:vAlign w:val="bottom"/>
            <w:gridSpan w:val="2"/>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Paul B. Bolno, M.D.</w:t>
            </w:r>
          </w:p>
        </w:tc>
        <w:tc>
          <w:tcPr>
            <w:tcW w:w="100" w:type="dxa"/>
            <w:vAlign w:val="bottom"/>
            <w:vMerge w:val="continue"/>
          </w:tcPr>
          <w:p>
            <w:pPr>
              <w:spacing w:after="0"/>
              <w:rPr>
                <w:sz w:val="17"/>
                <w:szCs w:val="17"/>
                <w:color w:val="auto"/>
              </w:rPr>
            </w:pPr>
          </w:p>
        </w:tc>
        <w:tc>
          <w:tcPr>
            <w:tcW w:w="460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Vice President, Head of Finance</w:t>
            </w:r>
          </w:p>
        </w:tc>
        <w:tc>
          <w:tcPr>
            <w:tcW w:w="1980" w:type="dxa"/>
            <w:vAlign w:val="bottom"/>
          </w:tcPr>
          <w:p>
            <w:pPr>
              <w:jc w:val="right"/>
              <w:ind w:right="196"/>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24"/>
        </w:trPr>
        <w:tc>
          <w:tcPr>
            <w:tcW w:w="4740" w:type="dxa"/>
            <w:vAlign w:val="bottom"/>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4600" w:type="dxa"/>
            <w:vAlign w:val="bottom"/>
            <w:gridSpan w:val="2"/>
            <w:vMerge w:val="restart"/>
          </w:tcPr>
          <w:p>
            <w:pPr>
              <w:spacing w:after="0" w:line="189"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w:t>
            </w: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720" w:type="dxa"/>
            <w:vAlign w:val="bottom"/>
            <w:tcBorders>
              <w:top w:val="single" w:sz="8" w:color="auto"/>
            </w:tcBorders>
          </w:tcPr>
          <w:p>
            <w:pPr>
              <w:spacing w:after="0" w:line="145" w:lineRule="exact"/>
              <w:rPr>
                <w:sz w:val="20"/>
                <w:szCs w:val="20"/>
                <w:color w:val="auto"/>
              </w:rPr>
            </w:pPr>
            <w:r>
              <w:rPr>
                <w:rFonts w:ascii="Arial" w:cs="Arial" w:eastAsia="Arial" w:hAnsi="Arial"/>
                <w:sz w:val="16"/>
                <w:szCs w:val="16"/>
                <w:color w:val="auto"/>
              </w:rPr>
              <w:t>Kyle Moran</w:t>
            </w:r>
          </w:p>
        </w:tc>
        <w:tc>
          <w:tcPr>
            <w:tcW w:w="100" w:type="dxa"/>
            <w:vAlign w:val="bottom"/>
            <w:vMerge w:val="continue"/>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7"/>
                <w:szCs w:val="17"/>
                <w:i w:val="1"/>
                <w:iCs w:val="1"/>
                <w:color w:val="auto"/>
              </w:rPr>
              <w:t>Principal Accounting Officer</w:t>
            </w:r>
            <w:r>
              <w:rPr>
                <w:rFonts w:ascii="Arial" w:cs="Arial" w:eastAsia="Arial" w:hAnsi="Arial"/>
                <w:sz w:val="17"/>
                <w:szCs w:val="17"/>
                <w:color w:val="auto"/>
              </w:rPr>
              <w:t>)</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Chairman of the Board</w:t>
            </w:r>
          </w:p>
        </w:tc>
        <w:tc>
          <w:tcPr>
            <w:tcW w:w="1980" w:type="dxa"/>
            <w:vAlign w:val="bottom"/>
          </w:tcPr>
          <w:p>
            <w:pPr>
              <w:jc w:val="right"/>
              <w:ind w:right="196"/>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Gregory L. Verdine,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right"/>
              <w:ind w:right="196"/>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Peter Kolchinsky,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right"/>
              <w:ind w:right="196"/>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Koji Miura</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right"/>
              <w:ind w:right="196"/>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Ken Takanashi</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Date</w:t>
            </w:r>
          </w:p>
        </w:tc>
      </w:tr>
      <w:tr>
        <w:trPr>
          <w:trHeight w:val="385"/>
        </w:trPr>
        <w:tc>
          <w:tcPr>
            <w:tcW w:w="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right"/>
              <w:ind w:right="199"/>
              <w:spacing w:after="0"/>
              <w:rPr>
                <w:sz w:val="20"/>
                <w:szCs w:val="20"/>
                <w:color w:val="auto"/>
              </w:rPr>
            </w:pPr>
            <w:r>
              <w:rPr>
                <w:rFonts w:ascii="Arial" w:cs="Arial" w:eastAsia="Arial" w:hAnsi="Arial"/>
                <w:sz w:val="17"/>
                <w:szCs w:val="17"/>
                <w:color w:val="auto"/>
              </w:rPr>
              <w:t>, 2015</w:t>
            </w:r>
          </w:p>
        </w:tc>
      </w:tr>
      <w:tr>
        <w:trPr>
          <w:trHeight w:val="198"/>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Masaharu Tanaka</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403"/>
        </w:trPr>
        <w:tc>
          <w:tcPr>
            <w:tcW w:w="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right"/>
              <w:ind w:right="199"/>
              <w:spacing w:after="0"/>
              <w:rPr>
                <w:sz w:val="20"/>
                <w:szCs w:val="20"/>
                <w:color w:val="auto"/>
              </w:rPr>
            </w:pPr>
            <w:r>
              <w:rPr>
                <w:rFonts w:ascii="Arial" w:cs="Arial" w:eastAsia="Arial" w:hAnsi="Arial"/>
                <w:sz w:val="17"/>
                <w:szCs w:val="17"/>
                <w:color w:val="auto"/>
              </w:rPr>
              <w:t>, 2015</w:t>
            </w:r>
          </w:p>
        </w:tc>
      </w:tr>
      <w:tr>
        <w:trPr>
          <w:trHeight w:val="198"/>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Takeshi Wada,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r>
        <w:trPr>
          <w:trHeight w:val="406"/>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93"/>
        </w:trPr>
        <w:tc>
          <w:tcPr>
            <w:tcW w:w="72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Form of Underwriting Agreement.</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3.1*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Memorandum of Association and Articles of Association.</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3.2*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Memorandum of Association and Articles of Association to become effective as of the closing of this offering.</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4.1*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Specimen Ordinary Share Certificate.</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4.2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Investors’ Rights Agreement by and among the Registrant and certain of its shareholders, dated as of August 14, 2015.</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5.1*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Opinion of Mintz, Levin, Cohn, Ferris, Glovsky, and Popeo, P.C.</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WAVE Life Sciences Pte. Ltd. 2014 Equity Incentive Plan and forms of agreement thereunder.</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Lease Agreement by and among Harvard Real Estate—Allston, Inc., Shin Nippon Biomedical Laboratories Ltd. dated June 25,</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2009.</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10.3</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Sub-Lease Agreement by and among SNBL USA, Ltd. and Ontorii, Inc. (now WAVE USA) dated as of January 1, 2010.</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10.4</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to Office Space Sub-Lease by and among SNBL USA, Ltd, Ontorii, Inc. (now WAVE USA) and Harvard Real Estate—</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Allston, Inc., dated as of January 1, 2010.</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10.5</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Amendment 1 to the Commercial Lease Agreement, by and between SNBL USA, Ltd. and Ontorii, Inc. (now WAVE USA) dated as</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 July 1, 2011.</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10.6*</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Okinawa Health Biotechnology R&amp;D Center Lease Agreement by and between WAVE Life Sciences (Japan).</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Lease Agreement by and between the Registrant and King 733 Concord LLC dated as of April 6, 2015.</w:t>
            </w:r>
          </w:p>
        </w:tc>
      </w:tr>
      <w:tr>
        <w:trPr>
          <w:trHeight w:val="281"/>
        </w:trPr>
        <w:tc>
          <w:tcPr>
            <w:tcW w:w="1500" w:type="dxa"/>
            <w:vAlign w:val="bottom"/>
            <w:gridSpan w:val="2"/>
          </w:tcPr>
          <w:p>
            <w:pPr>
              <w:spacing w:after="0"/>
              <w:rPr>
                <w:sz w:val="20"/>
                <w:szCs w:val="20"/>
                <w:color w:val="auto"/>
              </w:rPr>
            </w:pPr>
            <w:r>
              <w:rPr>
                <w:rFonts w:ascii="Arial" w:cs="Arial" w:eastAsia="Arial" w:hAnsi="Arial"/>
                <w:sz w:val="17"/>
                <w:szCs w:val="17"/>
                <w:color w:val="auto"/>
              </w:rPr>
              <w:t>10.8†*</w:t>
            </w:r>
          </w:p>
        </w:tc>
        <w:tc>
          <w:tcPr>
            <w:tcW w:w="9920" w:type="dxa"/>
            <w:vAlign w:val="bottom"/>
          </w:tcPr>
          <w:p>
            <w:pPr>
              <w:spacing w:after="0"/>
              <w:rPr>
                <w:sz w:val="20"/>
                <w:szCs w:val="20"/>
                <w:color w:val="auto"/>
              </w:rPr>
            </w:pPr>
            <w:r>
              <w:rPr>
                <w:rFonts w:ascii="Arial" w:cs="Arial" w:eastAsia="Arial" w:hAnsi="Arial"/>
                <w:sz w:val="17"/>
                <w:szCs w:val="17"/>
                <w:color w:val="auto"/>
              </w:rPr>
              <w:t>Master Sponsored Research Agreement by and between the Registrant and The Children’s Hospital of Philadelphia, dated as of</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April 1, 2015.</w:t>
            </w:r>
          </w:p>
        </w:tc>
      </w:tr>
      <w:tr>
        <w:trPr>
          <w:trHeight w:val="281"/>
        </w:trPr>
        <w:tc>
          <w:tcPr>
            <w:tcW w:w="1500" w:type="dxa"/>
            <w:vAlign w:val="bottom"/>
            <w:gridSpan w:val="2"/>
          </w:tcPr>
          <w:p>
            <w:pPr>
              <w:spacing w:after="0"/>
              <w:rPr>
                <w:sz w:val="20"/>
                <w:szCs w:val="20"/>
                <w:color w:val="auto"/>
              </w:rPr>
            </w:pPr>
            <w:r>
              <w:rPr>
                <w:rFonts w:ascii="Arial" w:cs="Arial" w:eastAsia="Arial" w:hAnsi="Arial"/>
                <w:sz w:val="17"/>
                <w:szCs w:val="17"/>
                <w:color w:val="auto"/>
              </w:rPr>
              <w:t>10.9†*</w:t>
            </w:r>
          </w:p>
        </w:tc>
        <w:tc>
          <w:tcPr>
            <w:tcW w:w="9920" w:type="dxa"/>
            <w:vAlign w:val="bottom"/>
          </w:tcPr>
          <w:p>
            <w:pPr>
              <w:spacing w:after="0"/>
              <w:rPr>
                <w:sz w:val="20"/>
                <w:szCs w:val="20"/>
                <w:color w:val="auto"/>
              </w:rPr>
            </w:pPr>
            <w:r>
              <w:rPr>
                <w:rFonts w:ascii="Arial" w:cs="Arial" w:eastAsia="Arial" w:hAnsi="Arial"/>
                <w:sz w:val="17"/>
                <w:szCs w:val="17"/>
                <w:color w:val="auto"/>
              </w:rPr>
              <w:t>Research Agreement between the Registrant and the Chancellor, Masters, and Scholars of the University of Oxford dated as of</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March 2015.</w:t>
            </w:r>
          </w:p>
        </w:tc>
      </w:tr>
      <w:tr>
        <w:trPr>
          <w:trHeight w:val="297"/>
        </w:trPr>
        <w:tc>
          <w:tcPr>
            <w:tcW w:w="1500" w:type="dxa"/>
            <w:vAlign w:val="bottom"/>
            <w:gridSpan w:val="2"/>
          </w:tcPr>
          <w:p>
            <w:pPr>
              <w:spacing w:after="0"/>
              <w:rPr>
                <w:sz w:val="20"/>
                <w:szCs w:val="20"/>
                <w:color w:val="auto"/>
              </w:rPr>
            </w:pPr>
            <w:r>
              <w:rPr>
                <w:rFonts w:ascii="Arial" w:cs="Arial" w:eastAsia="Arial" w:hAnsi="Arial"/>
                <w:sz w:val="17"/>
                <w:szCs w:val="17"/>
                <w:color w:val="auto"/>
              </w:rPr>
              <w:t>10.10†*</w:t>
            </w:r>
          </w:p>
        </w:tc>
        <w:tc>
          <w:tcPr>
            <w:tcW w:w="9920" w:type="dxa"/>
            <w:vAlign w:val="bottom"/>
          </w:tcPr>
          <w:p>
            <w:pPr>
              <w:spacing w:after="0"/>
              <w:rPr>
                <w:sz w:val="20"/>
                <w:szCs w:val="20"/>
                <w:color w:val="auto"/>
              </w:rPr>
            </w:pPr>
            <w:r>
              <w:rPr>
                <w:rFonts w:ascii="Arial" w:cs="Arial" w:eastAsia="Arial" w:hAnsi="Arial"/>
                <w:sz w:val="17"/>
                <w:szCs w:val="17"/>
                <w:color w:val="auto"/>
              </w:rPr>
              <w:t>Co-Exclusive License Agreement between the Registrant and Max-Planck-Innovation GmbH dated as of June 8,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Deed of Indemnity by and between the Registrant and each of its directors and officers.</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Employment Agreement by and between the Registrant and Paul B. Bolno, M.D., dated as of December 12, 2013.</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10.13+</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Employment Agreement by and between the Registrant and Roberto Guerciolini dated as of March 10,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10.14+</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Offer Letter by and between the Registrant and Chandra Vargeese, Ph.D., dated as of July 18, 2014.</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10.15+</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Offer Letter by and between the Registrant and Christopher Francis, Ph.D., dated as of March 20, 2014.</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10.16+</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Consulting Agreement by and between the Ontorii (now WAVE, USA) and Gregory Verdine, dated as of April 1, 2012.</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10.17+</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Nominee Director Fee Agreement by and between the Registrant and Miura &amp; Associates Management Consultants Pte. Ltd.,</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dated as of October 23, 2012.</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21.1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Subsidiaries of the Registrant.</w:t>
            </w:r>
          </w:p>
        </w:tc>
      </w:tr>
      <w:tr>
        <w:trPr>
          <w:trHeight w:val="207"/>
        </w:trPr>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92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15"/>
                <w:szCs w:val="15"/>
                <w:color w:val="auto"/>
              </w:rPr>
            </w:pPr>
          </w:p>
        </w:tc>
        <w:tc>
          <w:tcPr>
            <w:tcW w:w="9700" w:type="dxa"/>
            <w:vAlign w:val="bottom"/>
          </w:tcPr>
          <w:p>
            <w:pPr>
              <w:ind w:left="4460"/>
              <w:spacing w:after="0"/>
              <w:rPr>
                <w:sz w:val="20"/>
                <w:szCs w:val="20"/>
                <w:color w:val="auto"/>
              </w:rPr>
            </w:pPr>
            <w:r>
              <w:rPr>
                <w:rFonts w:ascii="Arial" w:cs="Arial" w:eastAsia="Arial" w:hAnsi="Arial"/>
                <w:sz w:val="14"/>
                <w:szCs w:val="14"/>
                <w:b w:val="1"/>
                <w:bCs w:val="1"/>
                <w:color w:val="auto"/>
              </w:rPr>
              <w:t>Description</w:t>
            </w:r>
          </w:p>
        </w:tc>
      </w:tr>
      <w:tr>
        <w:trPr>
          <w:trHeight w:val="293"/>
        </w:trPr>
        <w:tc>
          <w:tcPr>
            <w:tcW w:w="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23.1*</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23.2*</w:t>
            </w:r>
          </w:p>
        </w:tc>
        <w:tc>
          <w:tcPr>
            <w:tcW w:w="520" w:type="dxa"/>
            <w:vAlign w:val="bottom"/>
          </w:tcPr>
          <w:p>
            <w:pPr>
              <w:spacing w:after="0"/>
              <w:rPr>
                <w:sz w:val="24"/>
                <w:szCs w:val="24"/>
                <w:color w:val="auto"/>
              </w:rPr>
            </w:pPr>
          </w:p>
        </w:tc>
        <w:tc>
          <w:tcPr>
            <w:tcW w:w="10180" w:type="dxa"/>
            <w:vAlign w:val="bottom"/>
            <w:gridSpan w:val="2"/>
          </w:tcPr>
          <w:p>
            <w:pPr>
              <w:ind w:left="480"/>
              <w:spacing w:after="0"/>
              <w:rPr>
                <w:sz w:val="20"/>
                <w:szCs w:val="20"/>
                <w:color w:val="auto"/>
              </w:rPr>
            </w:pPr>
            <w:r>
              <w:rPr>
                <w:rFonts w:ascii="Arial" w:cs="Arial" w:eastAsia="Arial" w:hAnsi="Arial"/>
                <w:sz w:val="17"/>
                <w:szCs w:val="17"/>
                <w:color w:val="auto"/>
              </w:rPr>
              <w:t>Consent of Mintz, Levin, Cohn, Ferris, Glovsky, and Popeo, P.C. (included in Exhibit 5.1).</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24.1*</w:t>
            </w:r>
          </w:p>
        </w:tc>
        <w:tc>
          <w:tcPr>
            <w:tcW w:w="520" w:type="dxa"/>
            <w:vAlign w:val="bottom"/>
          </w:tcPr>
          <w:p>
            <w:pPr>
              <w:spacing w:after="0"/>
              <w:rPr>
                <w:sz w:val="24"/>
                <w:szCs w:val="24"/>
                <w:color w:val="auto"/>
              </w:rPr>
            </w:pPr>
          </w:p>
        </w:tc>
        <w:tc>
          <w:tcPr>
            <w:tcW w:w="10180" w:type="dxa"/>
            <w:vAlign w:val="bottom"/>
            <w:gridSpan w:val="2"/>
          </w:tcPr>
          <w:p>
            <w:pPr>
              <w:ind w:left="480"/>
              <w:spacing w:after="0"/>
              <w:rPr>
                <w:sz w:val="20"/>
                <w:szCs w:val="20"/>
                <w:color w:val="auto"/>
              </w:rPr>
            </w:pPr>
            <w:r>
              <w:rPr>
                <w:rFonts w:ascii="Arial" w:cs="Arial" w:eastAsia="Arial" w:hAnsi="Arial"/>
                <w:sz w:val="17"/>
                <w:szCs w:val="17"/>
                <w:color w:val="auto"/>
              </w:rPr>
              <w:t>Power of Attorney (included on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To be filed by amendment.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340" w:right="540" w:hanging="196"/>
        <w:spacing w:after="0" w:line="258"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this exhibit. Omitted portion have been filed separately with the Securities and Exchange Commission.</w:t>
      </w:r>
    </w:p>
    <w:p>
      <w:pPr>
        <w:sectPr>
          <w:pgSz w:w="11900" w:h="16838" w:orient="portrait"/>
          <w:cols w:equalWidth="0" w:num="1">
            <w:col w:w="11420"/>
          </w:cols>
          <w:pgMar w:left="240" w:top="459"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WAVE LIFE SCIENCES PTE. LTD.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10220"/>
          </w:cols>
          <w:pgMar w:left="1440" w:top="121" w:right="2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540" w:type="dxa"/>
            <w:vAlign w:val="bottom"/>
            <w:gridSpan w:val="4"/>
          </w:tcPr>
          <w:p>
            <w:pPr>
              <w:jc w:val="right"/>
              <w:ind w:right="4720"/>
              <w:spacing w:after="0"/>
              <w:rPr>
                <w:sz w:val="20"/>
                <w:szCs w:val="20"/>
                <w:color w:val="auto"/>
              </w:rPr>
            </w:pPr>
            <w:r>
              <w:rPr>
                <w:rFonts w:ascii="Arial" w:cs="Arial" w:eastAsia="Arial" w:hAnsi="Arial"/>
                <w:sz w:val="18"/>
                <w:szCs w:val="18"/>
                <w:color w:val="auto"/>
                <w:w w:val="94"/>
              </w:rPr>
              <w:t>TABLE OF CONTENTS</w:t>
            </w:r>
          </w:p>
        </w:tc>
        <w:tc>
          <w:tcPr>
            <w:tcW w:w="0" w:type="dxa"/>
            <w:vAlign w:val="bottom"/>
          </w:tcPr>
          <w:p>
            <w:pPr>
              <w:spacing w:after="0"/>
              <w:rPr>
                <w:sz w:val="1"/>
                <w:szCs w:val="1"/>
                <w:color w:val="auto"/>
              </w:rPr>
            </w:pPr>
          </w:p>
        </w:tc>
      </w:tr>
      <w:tr>
        <w:trPr>
          <w:trHeight w:val="412"/>
        </w:trPr>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1.</w:t>
            </w:r>
          </w:p>
        </w:tc>
        <w:tc>
          <w:tcPr>
            <w:tcW w:w="4460" w:type="dxa"/>
            <w:vAlign w:val="bottom"/>
            <w:gridSpan w:val="2"/>
            <w:vMerge w:val="restart"/>
          </w:tcPr>
          <w:p>
            <w:pPr>
              <w:ind w:left="200"/>
              <w:spacing w:after="0"/>
              <w:rPr>
                <w:sz w:val="20"/>
                <w:szCs w:val="20"/>
                <w:color w:val="auto"/>
              </w:rPr>
            </w:pPr>
            <w:r>
              <w:rPr>
                <w:rFonts w:ascii="Arial" w:cs="Arial" w:eastAsia="Arial" w:hAnsi="Arial"/>
                <w:sz w:val="18"/>
                <w:szCs w:val="18"/>
                <w:color w:val="auto"/>
              </w:rPr>
              <w:t>Definitions</w:t>
            </w:r>
          </w:p>
        </w:tc>
        <w:tc>
          <w:tcPr>
            <w:tcW w:w="182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340" w:type="dxa"/>
            <w:vAlign w:val="bottom"/>
            <w:vMerge w:val="continue"/>
          </w:tcPr>
          <w:p>
            <w:pPr>
              <w:spacing w:after="0"/>
              <w:rPr>
                <w:sz w:val="19"/>
                <w:szCs w:val="19"/>
                <w:color w:val="auto"/>
              </w:rPr>
            </w:pPr>
          </w:p>
        </w:tc>
        <w:tc>
          <w:tcPr>
            <w:tcW w:w="446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2.</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Registration Rights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w:t>
            </w:r>
          </w:p>
        </w:tc>
        <w:tc>
          <w:tcPr>
            <w:tcW w:w="3720" w:type="dxa"/>
            <w:vAlign w:val="bottom"/>
          </w:tcPr>
          <w:p>
            <w:pPr>
              <w:ind w:left="240"/>
              <w:spacing w:after="0"/>
              <w:rPr>
                <w:sz w:val="20"/>
                <w:szCs w:val="20"/>
                <w:color w:val="auto"/>
              </w:rPr>
            </w:pPr>
            <w:r>
              <w:rPr>
                <w:rFonts w:ascii="Arial" w:cs="Arial" w:eastAsia="Arial" w:hAnsi="Arial"/>
                <w:sz w:val="18"/>
                <w:szCs w:val="18"/>
                <w:color w:val="auto"/>
              </w:rPr>
              <w:t>Demand Registration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2.2</w:t>
            </w:r>
          </w:p>
        </w:tc>
        <w:tc>
          <w:tcPr>
            <w:tcW w:w="3720" w:type="dxa"/>
            <w:vAlign w:val="bottom"/>
          </w:tcPr>
          <w:p>
            <w:pPr>
              <w:ind w:left="240"/>
              <w:spacing w:after="0"/>
              <w:rPr>
                <w:sz w:val="20"/>
                <w:szCs w:val="20"/>
                <w:color w:val="auto"/>
              </w:rPr>
            </w:pPr>
            <w:r>
              <w:rPr>
                <w:rFonts w:ascii="Arial" w:cs="Arial" w:eastAsia="Arial" w:hAnsi="Arial"/>
                <w:sz w:val="18"/>
                <w:szCs w:val="18"/>
                <w:color w:val="auto"/>
              </w:rPr>
              <w:t>Company Registration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2.3</w:t>
            </w:r>
          </w:p>
        </w:tc>
        <w:tc>
          <w:tcPr>
            <w:tcW w:w="3720" w:type="dxa"/>
            <w:vAlign w:val="bottom"/>
          </w:tcPr>
          <w:p>
            <w:pPr>
              <w:ind w:left="240"/>
              <w:spacing w:after="0"/>
              <w:rPr>
                <w:sz w:val="20"/>
                <w:szCs w:val="20"/>
                <w:color w:val="auto"/>
              </w:rPr>
            </w:pPr>
            <w:r>
              <w:rPr>
                <w:rFonts w:ascii="Arial" w:cs="Arial" w:eastAsia="Arial" w:hAnsi="Arial"/>
                <w:sz w:val="18"/>
                <w:szCs w:val="18"/>
                <w:color w:val="auto"/>
              </w:rPr>
              <w:t>Underwriting Requirements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2.4</w:t>
            </w:r>
          </w:p>
        </w:tc>
        <w:tc>
          <w:tcPr>
            <w:tcW w:w="3720" w:type="dxa"/>
            <w:vAlign w:val="bottom"/>
          </w:tcPr>
          <w:p>
            <w:pPr>
              <w:ind w:left="240"/>
              <w:spacing w:after="0"/>
              <w:rPr>
                <w:sz w:val="20"/>
                <w:szCs w:val="20"/>
                <w:color w:val="auto"/>
              </w:rPr>
            </w:pPr>
            <w:r>
              <w:rPr>
                <w:rFonts w:ascii="Arial" w:cs="Arial" w:eastAsia="Arial" w:hAnsi="Arial"/>
                <w:sz w:val="18"/>
                <w:szCs w:val="18"/>
                <w:color w:val="auto"/>
              </w:rPr>
              <w:t>Obligations of the Company</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2.5</w:t>
            </w:r>
          </w:p>
        </w:tc>
        <w:tc>
          <w:tcPr>
            <w:tcW w:w="3720" w:type="dxa"/>
            <w:vAlign w:val="bottom"/>
          </w:tcPr>
          <w:p>
            <w:pPr>
              <w:ind w:left="240"/>
              <w:spacing w:after="0"/>
              <w:rPr>
                <w:sz w:val="20"/>
                <w:szCs w:val="20"/>
                <w:color w:val="auto"/>
              </w:rPr>
            </w:pPr>
            <w:r>
              <w:rPr>
                <w:rFonts w:ascii="Arial" w:cs="Arial" w:eastAsia="Arial" w:hAnsi="Arial"/>
                <w:sz w:val="18"/>
                <w:szCs w:val="18"/>
                <w:color w:val="auto"/>
              </w:rPr>
              <w:t>Furnish Information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2.6</w:t>
            </w:r>
          </w:p>
        </w:tc>
        <w:tc>
          <w:tcPr>
            <w:tcW w:w="3720" w:type="dxa"/>
            <w:vAlign w:val="bottom"/>
          </w:tcPr>
          <w:p>
            <w:pPr>
              <w:ind w:left="240"/>
              <w:spacing w:after="0"/>
              <w:rPr>
                <w:sz w:val="20"/>
                <w:szCs w:val="20"/>
                <w:color w:val="auto"/>
              </w:rPr>
            </w:pPr>
            <w:r>
              <w:rPr>
                <w:rFonts w:ascii="Arial" w:cs="Arial" w:eastAsia="Arial" w:hAnsi="Arial"/>
                <w:sz w:val="18"/>
                <w:szCs w:val="18"/>
                <w:color w:val="auto"/>
              </w:rPr>
              <w:t>Expenses of Registration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2.7</w:t>
            </w:r>
          </w:p>
        </w:tc>
        <w:tc>
          <w:tcPr>
            <w:tcW w:w="3720" w:type="dxa"/>
            <w:vAlign w:val="bottom"/>
          </w:tcPr>
          <w:p>
            <w:pPr>
              <w:ind w:left="240"/>
              <w:spacing w:after="0"/>
              <w:rPr>
                <w:sz w:val="20"/>
                <w:szCs w:val="20"/>
                <w:color w:val="auto"/>
              </w:rPr>
            </w:pPr>
            <w:r>
              <w:rPr>
                <w:rFonts w:ascii="Arial" w:cs="Arial" w:eastAsia="Arial" w:hAnsi="Arial"/>
                <w:sz w:val="18"/>
                <w:szCs w:val="18"/>
                <w:color w:val="auto"/>
              </w:rPr>
              <w:t>Delay of Registration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2.8</w:t>
            </w:r>
          </w:p>
        </w:tc>
        <w:tc>
          <w:tcPr>
            <w:tcW w:w="372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2.9</w:t>
            </w:r>
          </w:p>
        </w:tc>
        <w:tc>
          <w:tcPr>
            <w:tcW w:w="3720" w:type="dxa"/>
            <w:vAlign w:val="bottom"/>
          </w:tcPr>
          <w:p>
            <w:pPr>
              <w:ind w:left="240"/>
              <w:spacing w:after="0"/>
              <w:rPr>
                <w:sz w:val="20"/>
                <w:szCs w:val="20"/>
                <w:color w:val="auto"/>
              </w:rPr>
            </w:pPr>
            <w:r>
              <w:rPr>
                <w:rFonts w:ascii="Arial" w:cs="Arial" w:eastAsia="Arial" w:hAnsi="Arial"/>
                <w:sz w:val="18"/>
                <w:szCs w:val="18"/>
                <w:color w:val="auto"/>
              </w:rPr>
              <w:t>Reports Under Exchange Act</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2.10</w:t>
            </w:r>
          </w:p>
        </w:tc>
        <w:tc>
          <w:tcPr>
            <w:tcW w:w="3720" w:type="dxa"/>
            <w:vAlign w:val="bottom"/>
          </w:tcPr>
          <w:p>
            <w:pPr>
              <w:ind w:left="240"/>
              <w:spacing w:after="0"/>
              <w:rPr>
                <w:sz w:val="20"/>
                <w:szCs w:val="20"/>
                <w:color w:val="auto"/>
              </w:rPr>
            </w:pPr>
            <w:r>
              <w:rPr>
                <w:rFonts w:ascii="Arial" w:cs="Arial" w:eastAsia="Arial" w:hAnsi="Arial"/>
                <w:sz w:val="18"/>
                <w:szCs w:val="18"/>
                <w:color w:val="auto"/>
                <w:w w:val="93"/>
              </w:rPr>
              <w:t>Limitations on Subsequent Registration Rights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2.11</w:t>
            </w:r>
          </w:p>
        </w:tc>
        <w:tc>
          <w:tcPr>
            <w:tcW w:w="3720" w:type="dxa"/>
            <w:vAlign w:val="bottom"/>
          </w:tcPr>
          <w:p>
            <w:pPr>
              <w:ind w:left="240"/>
              <w:spacing w:after="0"/>
              <w:rPr>
                <w:sz w:val="20"/>
                <w:szCs w:val="20"/>
                <w:color w:val="auto"/>
              </w:rPr>
            </w:pPr>
            <w:r>
              <w:rPr>
                <w:rFonts w:ascii="Arial" w:cs="Arial" w:eastAsia="Arial" w:hAnsi="Arial"/>
                <w:sz w:val="18"/>
                <w:szCs w:val="18"/>
                <w:color w:val="auto"/>
              </w:rPr>
              <w:t>“Market Stand off” Agreement</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2.12</w:t>
            </w:r>
          </w:p>
        </w:tc>
        <w:tc>
          <w:tcPr>
            <w:tcW w:w="3720" w:type="dxa"/>
            <w:vAlign w:val="bottom"/>
          </w:tcPr>
          <w:p>
            <w:pPr>
              <w:ind w:left="240"/>
              <w:spacing w:after="0"/>
              <w:rPr>
                <w:sz w:val="20"/>
                <w:szCs w:val="20"/>
                <w:color w:val="auto"/>
              </w:rPr>
            </w:pPr>
            <w:r>
              <w:rPr>
                <w:rFonts w:ascii="Arial" w:cs="Arial" w:eastAsia="Arial" w:hAnsi="Arial"/>
                <w:sz w:val="18"/>
                <w:szCs w:val="18"/>
                <w:color w:val="auto"/>
              </w:rPr>
              <w:t>Restrictions on Transfer</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2.13</w:t>
            </w:r>
          </w:p>
        </w:tc>
        <w:tc>
          <w:tcPr>
            <w:tcW w:w="3720" w:type="dxa"/>
            <w:vAlign w:val="bottom"/>
          </w:tcPr>
          <w:p>
            <w:pPr>
              <w:ind w:left="240"/>
              <w:spacing w:after="0"/>
              <w:rPr>
                <w:sz w:val="20"/>
                <w:szCs w:val="20"/>
                <w:color w:val="auto"/>
              </w:rPr>
            </w:pPr>
            <w:r>
              <w:rPr>
                <w:rFonts w:ascii="Arial" w:cs="Arial" w:eastAsia="Arial" w:hAnsi="Arial"/>
                <w:sz w:val="18"/>
                <w:szCs w:val="18"/>
                <w:color w:val="auto"/>
              </w:rPr>
              <w:t>Termination of Registration Rights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Information and Observer Rights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3.1</w:t>
            </w:r>
          </w:p>
        </w:tc>
        <w:tc>
          <w:tcPr>
            <w:tcW w:w="3720" w:type="dxa"/>
            <w:vAlign w:val="bottom"/>
          </w:tcPr>
          <w:p>
            <w:pPr>
              <w:ind w:left="240"/>
              <w:spacing w:after="0"/>
              <w:rPr>
                <w:sz w:val="20"/>
                <w:szCs w:val="20"/>
                <w:color w:val="auto"/>
              </w:rPr>
            </w:pPr>
            <w:r>
              <w:rPr>
                <w:rFonts w:ascii="Arial" w:cs="Arial" w:eastAsia="Arial" w:hAnsi="Arial"/>
                <w:sz w:val="18"/>
                <w:szCs w:val="18"/>
                <w:color w:val="auto"/>
              </w:rPr>
              <w:t>Delivery of Financial Statements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3.2</w:t>
            </w:r>
          </w:p>
        </w:tc>
        <w:tc>
          <w:tcPr>
            <w:tcW w:w="3720" w:type="dxa"/>
            <w:vAlign w:val="bottom"/>
          </w:tcPr>
          <w:p>
            <w:pPr>
              <w:ind w:left="240"/>
              <w:spacing w:after="0"/>
              <w:rPr>
                <w:sz w:val="20"/>
                <w:szCs w:val="20"/>
                <w:color w:val="auto"/>
              </w:rPr>
            </w:pPr>
            <w:r>
              <w:rPr>
                <w:rFonts w:ascii="Arial" w:cs="Arial" w:eastAsia="Arial" w:hAnsi="Arial"/>
                <w:sz w:val="18"/>
                <w:szCs w:val="18"/>
                <w:color w:val="auto"/>
              </w:rPr>
              <w:t>Inspection</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3.3</w:t>
            </w:r>
          </w:p>
        </w:tc>
        <w:tc>
          <w:tcPr>
            <w:tcW w:w="3720" w:type="dxa"/>
            <w:vAlign w:val="bottom"/>
          </w:tcPr>
          <w:p>
            <w:pPr>
              <w:ind w:left="240"/>
              <w:spacing w:after="0"/>
              <w:rPr>
                <w:sz w:val="20"/>
                <w:szCs w:val="20"/>
                <w:color w:val="auto"/>
              </w:rPr>
            </w:pPr>
            <w:r>
              <w:rPr>
                <w:rFonts w:ascii="Arial" w:cs="Arial" w:eastAsia="Arial" w:hAnsi="Arial"/>
                <w:sz w:val="18"/>
                <w:szCs w:val="18"/>
                <w:color w:val="auto"/>
              </w:rPr>
              <w:t>Termination of Information Rights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3.4</w:t>
            </w:r>
          </w:p>
        </w:tc>
        <w:tc>
          <w:tcPr>
            <w:tcW w:w="372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Rights to Future Share Issuances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4.1</w:t>
            </w:r>
          </w:p>
        </w:tc>
        <w:tc>
          <w:tcPr>
            <w:tcW w:w="3720" w:type="dxa"/>
            <w:vAlign w:val="bottom"/>
          </w:tcPr>
          <w:p>
            <w:pPr>
              <w:ind w:left="240"/>
              <w:spacing w:after="0"/>
              <w:rPr>
                <w:sz w:val="20"/>
                <w:szCs w:val="20"/>
                <w:color w:val="auto"/>
              </w:rPr>
            </w:pPr>
            <w:r>
              <w:rPr>
                <w:rFonts w:ascii="Arial" w:cs="Arial" w:eastAsia="Arial" w:hAnsi="Arial"/>
                <w:sz w:val="18"/>
                <w:szCs w:val="18"/>
                <w:color w:val="auto"/>
              </w:rPr>
              <w:t>Right of First Offer</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4.2</w:t>
            </w:r>
          </w:p>
        </w:tc>
        <w:tc>
          <w:tcPr>
            <w:tcW w:w="372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Additional Covenants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5.1</w:t>
            </w:r>
          </w:p>
        </w:tc>
        <w:tc>
          <w:tcPr>
            <w:tcW w:w="37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5.2</w:t>
            </w:r>
          </w:p>
        </w:tc>
        <w:tc>
          <w:tcPr>
            <w:tcW w:w="3720" w:type="dxa"/>
            <w:vAlign w:val="bottom"/>
          </w:tcPr>
          <w:p>
            <w:pPr>
              <w:ind w:left="240"/>
              <w:spacing w:after="0"/>
              <w:rPr>
                <w:sz w:val="20"/>
                <w:szCs w:val="20"/>
                <w:color w:val="auto"/>
              </w:rPr>
            </w:pPr>
            <w:r>
              <w:rPr>
                <w:rFonts w:ascii="Arial" w:cs="Arial" w:eastAsia="Arial" w:hAnsi="Arial"/>
                <w:sz w:val="18"/>
                <w:szCs w:val="18"/>
                <w:color w:val="auto"/>
              </w:rPr>
              <w:t>Board Matters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5.3</w:t>
            </w:r>
          </w:p>
        </w:tc>
        <w:tc>
          <w:tcPr>
            <w:tcW w:w="3720" w:type="dxa"/>
            <w:vAlign w:val="bottom"/>
          </w:tcPr>
          <w:p>
            <w:pPr>
              <w:ind w:left="240"/>
              <w:spacing w:after="0"/>
              <w:rPr>
                <w:sz w:val="20"/>
                <w:szCs w:val="20"/>
                <w:color w:val="auto"/>
              </w:rPr>
            </w:pPr>
            <w:r>
              <w:rPr>
                <w:rFonts w:ascii="Arial" w:cs="Arial" w:eastAsia="Arial" w:hAnsi="Arial"/>
                <w:sz w:val="18"/>
                <w:szCs w:val="18"/>
                <w:color w:val="auto"/>
              </w:rPr>
              <w:t>Successor Indemnification</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5.4</w:t>
            </w:r>
          </w:p>
        </w:tc>
        <w:tc>
          <w:tcPr>
            <w:tcW w:w="3720" w:type="dxa"/>
            <w:vAlign w:val="bottom"/>
          </w:tcPr>
          <w:p>
            <w:pPr>
              <w:ind w:left="240"/>
              <w:spacing w:after="0"/>
              <w:rPr>
                <w:sz w:val="20"/>
                <w:szCs w:val="20"/>
                <w:color w:val="auto"/>
              </w:rPr>
            </w:pPr>
            <w:r>
              <w:rPr>
                <w:rFonts w:ascii="Arial" w:cs="Arial" w:eastAsia="Arial" w:hAnsi="Arial"/>
                <w:sz w:val="18"/>
                <w:szCs w:val="18"/>
                <w:color w:val="auto"/>
              </w:rPr>
              <w:t>U.S. Tax Matters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5.5</w:t>
            </w:r>
          </w:p>
        </w:tc>
        <w:tc>
          <w:tcPr>
            <w:tcW w:w="3720" w:type="dxa"/>
            <w:vAlign w:val="bottom"/>
          </w:tcPr>
          <w:p>
            <w:pPr>
              <w:ind w:left="240"/>
              <w:spacing w:after="0"/>
              <w:rPr>
                <w:sz w:val="20"/>
                <w:szCs w:val="20"/>
                <w:color w:val="auto"/>
              </w:rPr>
            </w:pPr>
            <w:r>
              <w:rPr>
                <w:rFonts w:ascii="Arial" w:cs="Arial" w:eastAsia="Arial" w:hAnsi="Arial"/>
                <w:sz w:val="18"/>
                <w:szCs w:val="18"/>
                <w:color w:val="auto"/>
              </w:rPr>
              <w:t>FCPA</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5.6</w:t>
            </w:r>
          </w:p>
        </w:tc>
        <w:tc>
          <w:tcPr>
            <w:tcW w:w="3720" w:type="dxa"/>
            <w:vAlign w:val="bottom"/>
          </w:tcPr>
          <w:p>
            <w:pPr>
              <w:ind w:left="240"/>
              <w:spacing w:after="0"/>
              <w:rPr>
                <w:sz w:val="20"/>
                <w:szCs w:val="20"/>
                <w:color w:val="auto"/>
              </w:rPr>
            </w:pPr>
            <w:r>
              <w:rPr>
                <w:rFonts w:ascii="Arial" w:cs="Arial" w:eastAsia="Arial" w:hAnsi="Arial"/>
                <w:sz w:val="18"/>
                <w:szCs w:val="18"/>
                <w:color w:val="auto"/>
              </w:rPr>
              <w:t>Termination of Covenants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Miscellaneous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6.1</w:t>
            </w:r>
          </w:p>
        </w:tc>
        <w:tc>
          <w:tcPr>
            <w:tcW w:w="372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6.2</w:t>
            </w:r>
          </w:p>
        </w:tc>
        <w:tc>
          <w:tcPr>
            <w:tcW w:w="372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6.3</w:t>
            </w:r>
          </w:p>
        </w:tc>
        <w:tc>
          <w:tcPr>
            <w:tcW w:w="372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6.4</w:t>
            </w:r>
          </w:p>
        </w:tc>
        <w:tc>
          <w:tcPr>
            <w:tcW w:w="3720" w:type="dxa"/>
            <w:vAlign w:val="bottom"/>
          </w:tcPr>
          <w:p>
            <w:pPr>
              <w:ind w:left="240"/>
              <w:spacing w:after="0"/>
              <w:rPr>
                <w:sz w:val="20"/>
                <w:szCs w:val="20"/>
                <w:color w:val="auto"/>
              </w:rPr>
            </w:pPr>
            <w:r>
              <w:rPr>
                <w:rFonts w:ascii="Arial" w:cs="Arial" w:eastAsia="Arial" w:hAnsi="Arial"/>
                <w:sz w:val="18"/>
                <w:szCs w:val="18"/>
                <w:color w:val="auto"/>
              </w:rPr>
              <w:t>Titles and Subtitles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6.5</w:t>
            </w:r>
          </w:p>
        </w:tc>
        <w:tc>
          <w:tcPr>
            <w:tcW w:w="3720" w:type="dxa"/>
            <w:vAlign w:val="bottom"/>
          </w:tcPr>
          <w:p>
            <w:pPr>
              <w:ind w:left="240"/>
              <w:spacing w:after="0"/>
              <w:rPr>
                <w:sz w:val="20"/>
                <w:szCs w:val="20"/>
                <w:color w:val="auto"/>
              </w:rPr>
            </w:pPr>
            <w:r>
              <w:rPr>
                <w:rFonts w:ascii="Arial" w:cs="Arial" w:eastAsia="Arial" w:hAnsi="Arial"/>
                <w:sz w:val="18"/>
                <w:szCs w:val="18"/>
                <w:color w:val="auto"/>
              </w:rPr>
              <w:t>Notices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6.6</w:t>
            </w:r>
          </w:p>
        </w:tc>
        <w:tc>
          <w:tcPr>
            <w:tcW w:w="3720" w:type="dxa"/>
            <w:vAlign w:val="bottom"/>
          </w:tcPr>
          <w:p>
            <w:pPr>
              <w:ind w:left="240"/>
              <w:spacing w:after="0"/>
              <w:rPr>
                <w:sz w:val="20"/>
                <w:szCs w:val="20"/>
                <w:color w:val="auto"/>
              </w:rPr>
            </w:pPr>
            <w:r>
              <w:rPr>
                <w:rFonts w:ascii="Arial" w:cs="Arial" w:eastAsia="Arial" w:hAnsi="Arial"/>
                <w:sz w:val="18"/>
                <w:szCs w:val="18"/>
                <w:color w:val="auto"/>
              </w:rPr>
              <w:t>Amendments and Waivers</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6.7</w:t>
            </w:r>
          </w:p>
        </w:tc>
        <w:tc>
          <w:tcPr>
            <w:tcW w:w="372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6"/>
        </w:trPr>
        <w:tc>
          <w:tcPr>
            <w:tcW w:w="840" w:type="dxa"/>
            <w:vAlign w:val="bottom"/>
          </w:tcPr>
          <w:p>
            <w:pPr>
              <w:ind w:left="5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Aggregation of Shares</w:t>
            </w:r>
          </w:p>
        </w:tc>
        <w:tc>
          <w:tcPr>
            <w:tcW w:w="6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0" w:type="dxa"/>
            <w:vAlign w:val="bottom"/>
          </w:tcPr>
          <w:p>
            <w:pPr>
              <w:ind w:left="54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Additional Investors</w:t>
            </w:r>
          </w:p>
        </w:tc>
        <w:tc>
          <w:tcPr>
            <w:tcW w:w="6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gridSpan w:val="2"/>
          </w:tcPr>
          <w:p>
            <w:pPr>
              <w:ind w:left="540"/>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Entire Agreement</w:t>
            </w:r>
          </w:p>
        </w:tc>
        <w:tc>
          <w:tcPr>
            <w:tcW w:w="6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gridSpan w:val="2"/>
          </w:tcPr>
          <w:p>
            <w:pPr>
              <w:ind w:left="540"/>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Dispute Resolution</w:t>
            </w:r>
          </w:p>
        </w:tc>
        <w:tc>
          <w:tcPr>
            <w:tcW w:w="6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40" w:type="dxa"/>
            <w:vAlign w:val="bottom"/>
            <w:gridSpan w:val="2"/>
          </w:tcPr>
          <w:p>
            <w:pPr>
              <w:ind w:left="540"/>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Delays or Omissions</w:t>
            </w:r>
          </w:p>
        </w:tc>
        <w:tc>
          <w:tcPr>
            <w:tcW w:w="6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140" w:type="dxa"/>
            <w:vAlign w:val="bottom"/>
          </w:tcPr>
          <w:p>
            <w:pPr>
              <w:ind w:left="360"/>
              <w:spacing w:after="0"/>
              <w:rPr>
                <w:sz w:val="20"/>
                <w:szCs w:val="20"/>
                <w:color w:val="auto"/>
              </w:rPr>
            </w:pPr>
            <w:r>
              <w:rPr>
                <w:rFonts w:ascii="Arial" w:cs="Arial" w:eastAsia="Arial" w:hAnsi="Arial"/>
                <w:sz w:val="18"/>
                <w:szCs w:val="18"/>
                <w:color w:val="auto"/>
              </w:rPr>
              <w:t>Schedule of Investors</w:t>
            </w:r>
          </w:p>
        </w:tc>
        <w:tc>
          <w:tcPr>
            <w:tcW w:w="6860" w:type="dxa"/>
            <w:vAlign w:val="bottom"/>
          </w:tcPr>
          <w:p>
            <w:pPr>
              <w:spacing w:after="0"/>
              <w:rPr>
                <w:sz w:val="24"/>
                <w:szCs w:val="24"/>
                <w:color w:val="auto"/>
              </w:rPr>
            </w:pPr>
          </w:p>
        </w:tc>
      </w:tr>
      <w:tr>
        <w:trPr>
          <w:trHeight w:val="385"/>
        </w:trPr>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860" w:type="dxa"/>
            <w:vAlign w:val="bottom"/>
          </w:tcPr>
          <w:p>
            <w:pPr>
              <w:jc w:val="right"/>
              <w:ind w:right="5470"/>
              <w:spacing w:after="0"/>
              <w:rPr>
                <w:sz w:val="20"/>
                <w:szCs w:val="20"/>
                <w:color w:val="auto"/>
              </w:rPr>
            </w:pPr>
            <w:r>
              <w:rPr>
                <w:rFonts w:ascii="Arial" w:cs="Arial" w:eastAsia="Arial" w:hAnsi="Arial"/>
                <w:sz w:val="18"/>
                <w:szCs w:val="18"/>
                <w:color w:val="auto"/>
              </w:rPr>
              <w:t>ii</w:t>
            </w:r>
          </w:p>
        </w:tc>
      </w:tr>
    </w:tbl>
    <w:p>
      <w:pPr>
        <w:jc w:val="right"/>
        <w:ind w:right="5470"/>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WAVE LIFE SCIENCES PTE.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INVESTORS’ RIGHTS AGREEMENT</w:t>
      </w:r>
    </w:p>
    <w:p>
      <w:pPr>
        <w:spacing w:after="0" w:line="207"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color w:val="auto"/>
        </w:rPr>
        <w:t>THIS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14</w:t>
      </w:r>
      <w:r>
        <w:rPr>
          <w:rFonts w:ascii="Arial" w:cs="Arial" w:eastAsia="Arial" w:hAnsi="Arial"/>
          <w:sz w:val="15"/>
          <w:szCs w:val="15"/>
          <w:color w:val="auto"/>
        </w:rPr>
        <w:t>th</w:t>
      </w:r>
      <w:r>
        <w:rPr>
          <w:rFonts w:ascii="Arial" w:cs="Arial" w:eastAsia="Arial" w:hAnsi="Arial"/>
          <w:sz w:val="18"/>
          <w:szCs w:val="18"/>
          <w:color w:val="auto"/>
        </w:rPr>
        <w:t xml:space="preserve"> day of August, 2015, by and among Wave Life Sciences Pte. Ltd., a company incorporated in Singapore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right="120" w:firstLine="913"/>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Ordinary Shares and possess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rights, rights of first offer, and other rights pursuant to an Amended and Restated Shareholders Agreement dated as of January 16, 2015 between the Company and such Investors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and</w:t>
      </w:r>
    </w:p>
    <w:p>
      <w:pPr>
        <w:spacing w:after="0" w:line="176" w:lineRule="exact"/>
        <w:rPr>
          <w:sz w:val="20"/>
          <w:szCs w:val="20"/>
          <w:color w:val="auto"/>
        </w:rPr>
      </w:pPr>
    </w:p>
    <w:p>
      <w:pPr>
        <w:ind w:right="100" w:firstLine="913"/>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are holders of at least seventy-five percent (75%) of the Company’s Ordinary Shares and desire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Agreement in its entirety and to accept the rights created pursuant to this Agreement in lieu of the rights granted to them under the Shareholders Agreement; and</w:t>
      </w:r>
    </w:p>
    <w:p>
      <w:pPr>
        <w:spacing w:after="0" w:line="176"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B Preferred Share Subscription Agreement of even date herewith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certain of the Investors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under which certain of the Company’s and such Investors’ obligations are conditioned upon the execution and delivery of this Agreement by such Investors and Existing Investors holding at least seventy-five percent (75%) of the Company’s Ordinary Shares and the Company;</w:t>
      </w:r>
    </w:p>
    <w:p>
      <w:pPr>
        <w:spacing w:after="0" w:line="180"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Existing Investors hereby agree that the Shareholders Agreement shall be superseded and replaced in its entirety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parties to this Agreement further agree as follows:</w:t>
      </w:r>
    </w:p>
    <w:p>
      <w:pPr>
        <w:spacing w:after="0" w:line="314"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sz w:val="20"/>
          <w:szCs w:val="20"/>
          <w:color w:val="auto"/>
        </w:rPr>
      </w:pPr>
    </w:p>
    <w:p>
      <w:pPr>
        <w:ind w:right="180" w:firstLine="913"/>
        <w:spacing w:after="0" w:line="261"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80"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1.2 “</w:t>
      </w:r>
      <w:r>
        <w:rPr>
          <w:rFonts w:ascii="Arial" w:cs="Arial" w:eastAsia="Arial" w:hAnsi="Arial"/>
          <w:sz w:val="16"/>
          <w:szCs w:val="16"/>
          <w:b w:val="1"/>
          <w:bCs w:val="1"/>
          <w:color w:val="auto"/>
        </w:rPr>
        <w:t>Damages</w:t>
      </w:r>
      <w:r>
        <w:rPr>
          <w:rFonts w:ascii="Arial" w:cs="Arial" w:eastAsia="Arial" w:hAnsi="Arial"/>
          <w:sz w:val="16"/>
          <w:szCs w:val="16"/>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w:t>
      </w:r>
    </w:p>
    <w:p>
      <w:pPr>
        <w:spacing w:after="0" w:line="1" w:lineRule="exact"/>
        <w:rPr>
          <w:sz w:val="20"/>
          <w:szCs w:val="20"/>
          <w:color w:val="auto"/>
        </w:rPr>
      </w:pPr>
    </w:p>
    <w:p>
      <w:pPr>
        <w:ind w:right="280" w:firstLine="8"/>
        <w:spacing w:after="0" w:line="255" w:lineRule="auto"/>
        <w:tabs>
          <w:tab w:leader="none" w:pos="2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w:t>
      </w:r>
    </w:p>
    <w:p>
      <w:pPr>
        <w:sectPr>
          <w:pgSz w:w="11900" w:h="16838" w:orient="portrait"/>
          <w:cols w:equalWidth="0" w:num="1">
            <w:col w:w="11420"/>
          </w:cols>
          <w:pgMar w:left="240" w:top="270" w:right="239" w:bottom="1440" w:gutter="0" w:footer="0" w:header="0"/>
        </w:sectPr>
      </w:pPr>
    </w:p>
    <w:bookmarkStart w:id="196" w:name="page197"/>
    <w:bookmarkEnd w:id="19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7" w:lineRule="exact"/>
        <w:rPr>
          <w:sz w:val="20"/>
          <w:szCs w:val="20"/>
          <w:color w:val="auto"/>
        </w:rPr>
      </w:pPr>
    </w:p>
    <w:p>
      <w:pPr>
        <w:ind w:right="740" w:firstLine="913"/>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Ordinary Shares, including options and warrants.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1.4 “</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right="80" w:firstLine="913"/>
        <w:spacing w:after="0" w:line="303" w:lineRule="auto"/>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color w:val="auto"/>
        </w:rPr>
        <w:t>Excluded Registration</w:t>
      </w:r>
      <w:r>
        <w:rPr>
          <w:rFonts w:ascii="Arial" w:cs="Arial" w:eastAsia="Arial" w:hAnsi="Arial"/>
          <w:sz w:val="16"/>
          <w:szCs w:val="16"/>
          <w:color w:val="auto"/>
        </w:rPr>
        <w:t>” means (i) a registration relating to the sale of securities to employees of the Company or a subsidiary pursuant to a share option, share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Ordinary Shares being registered is Ordinary Shares issuable upon conversion of debt securities that are also being registered.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Fidelity</w:t>
      </w:r>
      <w:r>
        <w:rPr>
          <w:rFonts w:ascii="Arial" w:cs="Arial" w:eastAsia="Arial" w:hAnsi="Arial"/>
          <w:sz w:val="18"/>
          <w:szCs w:val="18"/>
          <w:color w:val="auto"/>
        </w:rPr>
        <w:t>” means Fidelity Management &amp; Research Company and its Affiliates.</w:t>
      </w:r>
    </w:p>
    <w:p>
      <w:pPr>
        <w:spacing w:after="0" w:line="225" w:lineRule="exact"/>
        <w:rPr>
          <w:sz w:val="20"/>
          <w:szCs w:val="20"/>
          <w:color w:val="auto"/>
        </w:rPr>
      </w:pPr>
    </w:p>
    <w:p>
      <w:pPr>
        <w:jc w:val="both"/>
        <w:ind w:right="320" w:firstLine="913"/>
        <w:spacing w:after="0" w:line="314" w:lineRule="auto"/>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color w:val="auto"/>
        </w:rPr>
        <w:t>FOIA Party</w:t>
      </w:r>
      <w:r>
        <w:rPr>
          <w:rFonts w:ascii="Arial" w:cs="Arial" w:eastAsia="Arial" w:hAnsi="Arial"/>
          <w:sz w:val="16"/>
          <w:szCs w:val="16"/>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16"/>
          <w:szCs w:val="16"/>
          <w:b w:val="1"/>
          <w:bCs w:val="1"/>
          <w:color w:val="auto"/>
        </w:rPr>
        <w:t>FOIA</w:t>
      </w:r>
      <w:r>
        <w:rPr>
          <w:rFonts w:ascii="Arial" w:cs="Arial" w:eastAsia="Arial" w:hAnsi="Arial"/>
          <w:sz w:val="16"/>
          <w:szCs w:val="16"/>
          <w:color w:val="auto"/>
        </w:rPr>
        <w:t>”), any state public records access law, any state or other jurisdiction’s laws similar in intent or effect to FOIA, or any other similar statutory or regulatory requirement.</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Foresite</w:t>
      </w:r>
      <w:r>
        <w:rPr>
          <w:rFonts w:ascii="Arial" w:cs="Arial" w:eastAsia="Arial" w:hAnsi="Arial"/>
          <w:sz w:val="18"/>
          <w:szCs w:val="18"/>
          <w:color w:val="auto"/>
        </w:rPr>
        <w:t>” means Foresite Capital Fund III, L.P.</w:t>
      </w:r>
    </w:p>
    <w:p>
      <w:pPr>
        <w:spacing w:after="0" w:line="225"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140" w:firstLine="913"/>
        <w:spacing w:after="0" w:line="347"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b w:val="1"/>
          <w:bCs w:val="1"/>
          <w:color w:val="auto"/>
        </w:rPr>
        <w:t>Form S-3</w:t>
      </w:r>
      <w:r>
        <w:rPr>
          <w:rFonts w:ascii="Arial" w:cs="Arial" w:eastAsia="Arial" w:hAnsi="Arial"/>
          <w:sz w:val="16"/>
          <w:szCs w:val="16"/>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ind w:right="80" w:firstLine="913"/>
        <w:spacing w:after="0" w:line="313"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color w:val="auto"/>
        </w:rPr>
        <w:t>Immediate Family Member</w:t>
      </w:r>
      <w:r>
        <w:rPr>
          <w:rFonts w:ascii="Arial" w:cs="Arial" w:eastAsia="Arial" w:hAnsi="Arial"/>
          <w:sz w:val="17"/>
          <w:szCs w:val="17"/>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97" w:name="page198"/>
    <w:bookmarkEnd w:id="19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1.14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Investor Ordinary Shares</w:t>
      </w:r>
      <w:r>
        <w:rPr>
          <w:rFonts w:ascii="Arial" w:cs="Arial" w:eastAsia="Arial" w:hAnsi="Arial"/>
          <w:sz w:val="18"/>
          <w:szCs w:val="18"/>
          <w:color w:val="auto"/>
        </w:rPr>
        <w:t>” means the Ordinary Shares held by the Investors on the date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Ordinary Shares under the Securities Act.</w:t>
      </w:r>
    </w:p>
    <w:p>
      <w:pPr>
        <w:spacing w:after="0" w:line="225" w:lineRule="exact"/>
        <w:rPr>
          <w:sz w:val="20"/>
          <w:szCs w:val="20"/>
          <w:color w:val="auto"/>
        </w:rPr>
      </w:pPr>
    </w:p>
    <w:p>
      <w:pPr>
        <w:ind w:right="80" w:firstLine="913"/>
        <w:spacing w:after="0" w:line="347"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b w:val="1"/>
          <w:bCs w:val="1"/>
          <w:color w:val="auto"/>
        </w:rPr>
        <w:t>Jennison</w:t>
      </w:r>
      <w:r>
        <w:rPr>
          <w:rFonts w:ascii="Arial" w:cs="Arial" w:eastAsia="Arial" w:hAnsi="Arial"/>
          <w:sz w:val="16"/>
          <w:szCs w:val="16"/>
          <w:color w:val="auto"/>
        </w:rPr>
        <w:t>” means “(i) Jennison Global Healthcare Master Fund, Ltd. and (ii) without duplication of the immediately preceding clause (i), each Investor that is an advisory client of Jennison Associates LLC and each successor or affiliated investment advisor to each such Investor.</w:t>
      </w:r>
    </w:p>
    <w:p>
      <w:pPr>
        <w:spacing w:after="0" w:line="116"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Major Investor</w:t>
      </w:r>
      <w:r>
        <w:rPr>
          <w:rFonts w:ascii="Arial" w:cs="Arial" w:eastAsia="Arial" w:hAnsi="Arial"/>
          <w:sz w:val="17"/>
          <w:szCs w:val="17"/>
          <w:color w:val="auto"/>
        </w:rPr>
        <w:t>” means any Investor that, individually or together with such Investor’s Affiliates, holds at least 300,000 shares of Registrable Securities (as adjusted for any share split, share dividend, combination, or other recapitalization or reclassification effected after the date hereof), and each of Jennison and New Leaf for so long as such Investors holds the number of shares of Registrable Securities it holds on the date hereof (as adjusted for any share split, share dividend, combination, or other recapitalization or reclassification effected after the date hereof).</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New Leaf</w:t>
      </w:r>
      <w:r>
        <w:rPr>
          <w:rFonts w:ascii="Arial" w:cs="Arial" w:eastAsia="Arial" w:hAnsi="Arial"/>
          <w:sz w:val="18"/>
          <w:szCs w:val="18"/>
          <w:color w:val="auto"/>
        </w:rPr>
        <w:t>” means New Leaf Growth Fund I, L.P.</w:t>
      </w:r>
    </w:p>
    <w:p>
      <w:pPr>
        <w:spacing w:after="0" w:line="225"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in the Company’s share capital.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(i) the Ordinary Shares issuable or issued upon conversion of the Series B Preferred Shares and (ii) the Investor Ordinary Shares; excluding in all cases, however, any Registrable Securities sold by a Person in a transaction in which the </w:t>
      </w:r>
      <w:r>
        <w:rPr>
          <w:rFonts w:ascii="Arial" w:cs="Arial" w:eastAsia="Arial" w:hAnsi="Arial"/>
          <w:sz w:val="18"/>
          <w:szCs w:val="18"/>
          <w:b w:val="1"/>
          <w:bCs w:val="1"/>
          <w:color w:val="auto"/>
        </w:rPr>
        <w:t>applicable</w:t>
      </w:r>
      <w:r>
        <w:rPr>
          <w:rFonts w:ascii="Arial" w:cs="Arial" w:eastAsia="Arial" w:hAnsi="Arial"/>
          <w:sz w:val="18"/>
          <w:szCs w:val="18"/>
          <w:color w:val="auto"/>
        </w:rPr>
        <w:t xml:space="preserve"> rights under this Agreement are not assigned pursuant to </w:t>
      </w:r>
      <w:r>
        <w:rPr>
          <w:rFonts w:ascii="Arial" w:cs="Arial" w:eastAsia="Arial" w:hAnsi="Arial"/>
          <w:sz w:val="18"/>
          <w:szCs w:val="18"/>
          <w:u w:val="single" w:color="auto"/>
          <w:color w:val="auto"/>
        </w:rPr>
        <w:t>Subsection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of this Agreement.</w:t>
      </w:r>
    </w:p>
    <w:p>
      <w:pPr>
        <w:spacing w:after="0" w:line="180" w:lineRule="exact"/>
        <w:rPr>
          <w:sz w:val="20"/>
          <w:szCs w:val="20"/>
          <w:color w:val="auto"/>
        </w:rPr>
      </w:pPr>
    </w:p>
    <w:p>
      <w:pPr>
        <w:ind w:right="20" w:firstLine="913"/>
        <w:spacing w:after="0" w:line="313" w:lineRule="auto"/>
        <w:rPr>
          <w:sz w:val="20"/>
          <w:szCs w:val="20"/>
          <w:color w:val="auto"/>
        </w:rPr>
      </w:pPr>
      <w:r>
        <w:rPr>
          <w:rFonts w:ascii="Arial" w:cs="Arial" w:eastAsia="Arial" w:hAnsi="Arial"/>
          <w:sz w:val="17"/>
          <w:szCs w:val="17"/>
          <w:color w:val="auto"/>
        </w:rPr>
        <w:t>1.24 “</w:t>
      </w:r>
      <w:r>
        <w:rPr>
          <w:rFonts w:ascii="Arial" w:cs="Arial" w:eastAsia="Arial" w:hAnsi="Arial"/>
          <w:sz w:val="17"/>
          <w:szCs w:val="17"/>
          <w:b w:val="1"/>
          <w:bCs w:val="1"/>
          <w:color w:val="auto"/>
        </w:rPr>
        <w:t>Registrable Securities then outstanding</w:t>
      </w:r>
      <w:r>
        <w:rPr>
          <w:rFonts w:ascii="Arial" w:cs="Arial" w:eastAsia="Arial" w:hAnsi="Arial"/>
          <w:sz w:val="17"/>
          <w:szCs w:val="17"/>
          <w:color w:val="auto"/>
        </w:rPr>
        <w:t>” means the number of shares determined by adding the number of Ordinary Shares in issue that are Registrable Securities and the number of Ordinary Shares issuable upon conversion of the Series B Preferred Shares in issue.</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0" w:right="339" w:bottom="1440" w:gutter="0" w:footer="0" w:header="0"/>
        </w:sectPr>
      </w:pPr>
    </w:p>
    <w:bookmarkStart w:id="198" w:name="page199"/>
    <w:bookmarkEnd w:id="198"/>
    <w:p>
      <w:pPr>
        <w:ind w:right="6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1.25 “</w:t>
      </w:r>
      <w:r>
        <w:rPr>
          <w:rFonts w:ascii="Arial" w:cs="Arial" w:eastAsia="Arial" w:hAnsi="Arial"/>
          <w:sz w:val="18"/>
          <w:szCs w:val="18"/>
          <w:b w:val="1"/>
          <w:bCs w:val="1"/>
          <w:color w:val="auto"/>
        </w:rPr>
        <w:t>Restated Articles</w:t>
      </w:r>
      <w:r>
        <w:rPr>
          <w:rFonts w:ascii="Arial" w:cs="Arial" w:eastAsia="Arial" w:hAnsi="Arial"/>
          <w:sz w:val="18"/>
          <w:szCs w:val="18"/>
          <w:color w:val="auto"/>
        </w:rPr>
        <w:t>” means the Company’s Memorandum of Association and Articles of Association that took effect on or about the date of the Subscription Agreement.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1.26 “</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xml:space="preserve"> hereof.</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share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B Preferred Shares</w:t>
      </w:r>
      <w:r>
        <w:rPr>
          <w:rFonts w:ascii="Arial" w:cs="Arial" w:eastAsia="Arial" w:hAnsi="Arial"/>
          <w:sz w:val="18"/>
          <w:szCs w:val="18"/>
          <w:color w:val="auto"/>
        </w:rPr>
        <w:t>” means the Company’s Series B Preferred Shares.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Capitalized terms not otherwise defined in this Agreement shall have the meanings ascribed to them in the Subscription Agreement.</w:t>
      </w:r>
    </w:p>
    <w:p>
      <w:pPr>
        <w:spacing w:after="0" w:line="374"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92"/>
        <w:spacing w:after="0" w:line="270" w:lineRule="auto"/>
        <w:tabs>
          <w:tab w:leader="none" w:pos="1728"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Form S-1 Demand</w:t>
      </w:r>
      <w:r>
        <w:rPr>
          <w:rFonts w:ascii="Arial" w:cs="Arial" w:eastAsia="Arial" w:hAnsi="Arial"/>
          <w:sz w:val="17"/>
          <w:szCs w:val="17"/>
          <w:color w:val="auto"/>
        </w:rPr>
        <w:t>. If at any time after one hundred eighty (180) days after the effective date of the registration statement for the IPO, the Company receives a request from Holders of fifty percent (50%) of the Registrable Securities then outstanding that the Company file a Form S-1 registration statement with respect to fifty percent (50%) of the Registrable Securities then outstanding having an anticipated aggregate offering price, net of Selling Expenses, of at least $25 million), then the Company shall (x)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99" w:name="page200"/>
    <w:bookmarkEnd w:id="199"/>
    <w:p>
      <w:pPr>
        <w:ind w:left="-8" w:right="80" w:firstLine="1492"/>
        <w:spacing w:after="0" w:line="288" w:lineRule="auto"/>
        <w:tabs>
          <w:tab w:leader="none" w:pos="1730"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S-3 Demand</w:t>
      </w:r>
      <w:r>
        <w:rPr>
          <w:rFonts w:ascii="Arial" w:cs="Arial" w:eastAsia="Arial" w:hAnsi="Arial"/>
          <w:sz w:val="16"/>
          <w:szCs w:val="16"/>
          <w:color w:val="auto"/>
        </w:rPr>
        <w:t>. If at any time when it is eligible to use a Form S-3 registration statement, the Company receives a request from Holders of at least thirty percent (30%) of the Registrable Securities then outstanding that the Company file a Form S-3 registration statement with respect to Registrable Securities of such Holders having an anticipated aggregate offering price, net of Selling Expenses, of at least $5 million, then the Company shall</w:t>
      </w:r>
    </w:p>
    <w:p>
      <w:pPr>
        <w:ind w:left="-8" w:right="40" w:firstLine="8"/>
        <w:spacing w:after="0" w:line="253" w:lineRule="auto"/>
        <w:tabs>
          <w:tab w:leader="none" w:pos="2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8" w:right="40" w:firstLine="1492"/>
        <w:spacing w:after="0" w:line="289" w:lineRule="auto"/>
        <w:tabs>
          <w:tab w:leader="none" w:pos="17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a certificate signed by the Company’s chief executive officer stating that in the good faith judgment of the Company’s Board of Directors it would be materially detrimental to the Company and its shareholders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not invoke this right more than once in any twelve (12) month period.</w:t>
      </w:r>
    </w:p>
    <w:p>
      <w:pPr>
        <w:spacing w:after="0" w:line="166" w:lineRule="exact"/>
        <w:rPr>
          <w:rFonts w:ascii="Arial" w:cs="Arial" w:eastAsia="Arial" w:hAnsi="Arial"/>
          <w:sz w:val="16"/>
          <w:szCs w:val="16"/>
          <w:color w:val="auto"/>
        </w:rPr>
      </w:pPr>
    </w:p>
    <w:p>
      <w:pPr>
        <w:ind w:left="-8" w:firstLine="1492"/>
        <w:spacing w:after="0" w:line="269" w:lineRule="auto"/>
        <w:tabs>
          <w:tab w:leader="none" w:pos="173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The Company shall not be obligated to effect, or to take any action to effect, any registration (i) after the Company has effected one registration pursuant to </w:t>
      </w:r>
      <w:r>
        <w:rPr>
          <w:rFonts w:ascii="Arial" w:cs="Arial" w:eastAsia="Arial" w:hAnsi="Arial"/>
          <w:sz w:val="17"/>
          <w:szCs w:val="17"/>
          <w:u w:val="single" w:color="auto"/>
          <w:color w:val="auto"/>
        </w:rPr>
        <w:t>Subsection 2.1(a)</w:t>
      </w:r>
      <w:r>
        <w:rPr>
          <w:rFonts w:ascii="Arial" w:cs="Arial" w:eastAsia="Arial" w:hAnsi="Arial"/>
          <w:sz w:val="17"/>
          <w:szCs w:val="17"/>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The Company shall not be obligated to effect, or to take any action to effect, any registration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commercially reasonable efforts to cause such registration statement to become effective; or (ii) if the Company has effected one registration pursuant to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within the twelve (12) month period immediately preceding the date of such request. A registration shall not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in which case such withdrawn registration statement shall be counted as “effected” for purposes of this </w:t>
      </w:r>
      <w:r>
        <w:rPr>
          <w:rFonts w:ascii="Arial" w:cs="Arial" w:eastAsia="Arial" w:hAnsi="Arial"/>
          <w:sz w:val="17"/>
          <w:szCs w:val="17"/>
          <w:u w:val="single" w:color="auto"/>
          <w:color w:val="auto"/>
        </w:rPr>
        <w:t>Subsection 2.1(d)</w:t>
      </w:r>
      <w:r>
        <w:rPr>
          <w:rFonts w:ascii="Arial" w:cs="Arial" w:eastAsia="Arial" w:hAnsi="Arial"/>
          <w:sz w:val="17"/>
          <w:szCs w:val="17"/>
          <w:color w:val="auto"/>
        </w:rPr>
        <w:t>.</w:t>
      </w:r>
    </w:p>
    <w:p>
      <w:pPr>
        <w:spacing w:after="0" w:line="1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200" w:name="page201"/>
    <w:bookmarkEnd w:id="200"/>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xml:space="preserve">. If the Company proposes to register (including, for this purpose, a registration effected by the Company for shareholders other than the Holders) any of its Ordinary Shares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8"/>
          <w:szCs w:val="18"/>
          <w:u w:val="single" w:color="auto"/>
          <w:color w:val="auto"/>
        </w:rPr>
        <w:t>Subsection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3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17" w:lineRule="exact"/>
        <w:rPr>
          <w:sz w:val="20"/>
          <w:szCs w:val="20"/>
          <w:color w:val="auto"/>
        </w:rPr>
      </w:pPr>
    </w:p>
    <w:p>
      <w:pPr>
        <w:ind w:right="140" w:firstLine="1492"/>
        <w:spacing w:after="0" w:line="283" w:lineRule="auto"/>
        <w:tabs>
          <w:tab w:leader="none" w:pos="172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w:t>
      </w:r>
    </w:p>
    <w:p>
      <w:pPr>
        <w:spacing w:after="0" w:line="2" w:lineRule="exact"/>
        <w:rPr>
          <w:rFonts w:ascii="Arial" w:cs="Arial" w:eastAsia="Arial" w:hAnsi="Arial"/>
          <w:sz w:val="16"/>
          <w:szCs w:val="16"/>
          <w:color w:val="auto"/>
        </w:rPr>
      </w:pPr>
    </w:p>
    <w:p>
      <w:pPr>
        <w:ind w:left="440" w:hanging="432"/>
        <w:spacing w:after="0"/>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shares.</w:t>
      </w:r>
    </w:p>
    <w:p>
      <w:pPr>
        <w:spacing w:after="0" w:line="210" w:lineRule="exact"/>
        <w:rPr>
          <w:rFonts w:ascii="Arial" w:cs="Arial" w:eastAsia="Arial" w:hAnsi="Arial"/>
          <w:sz w:val="18"/>
          <w:szCs w:val="18"/>
          <w:color w:val="auto"/>
        </w:rPr>
      </w:pPr>
    </w:p>
    <w:p>
      <w:pPr>
        <w:ind w:right="180" w:firstLine="1492"/>
        <w:spacing w:after="0" w:line="257" w:lineRule="auto"/>
        <w:tabs>
          <w:tab w:leader="none" w:pos="173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In connection with any offering involving an underwriting of the Company’s share capital pursuant to </w:t>
      </w:r>
      <w:r>
        <w:rPr>
          <w:rFonts w:ascii="Arial" w:cs="Arial" w:eastAsia="Arial" w:hAnsi="Arial"/>
          <w:sz w:val="18"/>
          <w:szCs w:val="18"/>
          <w:u w:val="single" w:color="auto"/>
          <w:color w:val="auto"/>
        </w:rPr>
        <w:t>Subsection 2.2</w:t>
      </w:r>
      <w:r>
        <w:rPr>
          <w:rFonts w:ascii="Arial" w:cs="Arial" w:eastAsia="Arial" w:hAnsi="Arial"/>
          <w:sz w:val="18"/>
          <w:szCs w:val="18"/>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shareholders to be included in such offering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01" w:name="page202"/>
    <w:bookmarkEnd w:id="20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shareholder’s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shareholders,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78"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170" w:lineRule="exact"/>
        <w:rPr>
          <w:sz w:val="20"/>
          <w:szCs w:val="20"/>
          <w:color w:val="auto"/>
        </w:rPr>
      </w:pPr>
    </w:p>
    <w:p>
      <w:pPr>
        <w:ind w:right="40" w:firstLine="1492"/>
        <w:spacing w:after="0" w:line="271" w:lineRule="auto"/>
        <w:tabs>
          <w:tab w:leader="none" w:pos="172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eighty (180)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one hundred eighty (180) day period shall be extended for a period of time equal to the period the Holder refrains, at the request of an underwriter of Ordinary Shares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eighty (180) day period shall be extended for up to eighteen (18) days, if necessary, to keep the registration statement effective until all such Registrable Securities are sold;</w:t>
      </w:r>
    </w:p>
    <w:p>
      <w:pPr>
        <w:spacing w:after="0" w:line="178" w:lineRule="exact"/>
        <w:rPr>
          <w:rFonts w:ascii="Arial" w:cs="Arial" w:eastAsia="Arial" w:hAnsi="Arial"/>
          <w:sz w:val="17"/>
          <w:szCs w:val="17"/>
          <w:color w:val="auto"/>
        </w:rPr>
      </w:pPr>
    </w:p>
    <w:p>
      <w:pPr>
        <w:ind w:right="60" w:firstLine="1492"/>
        <w:spacing w:after="0" w:line="264" w:lineRule="auto"/>
        <w:tabs>
          <w:tab w:leader="none" w:pos="173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02" w:name="page203"/>
    <w:bookmarkEnd w:id="202"/>
    <w:p>
      <w:pPr>
        <w:jc w:val="both"/>
        <w:ind w:right="700" w:firstLine="1492"/>
        <w:spacing w:after="0" w:line="342" w:lineRule="auto"/>
        <w:tabs>
          <w:tab w:leader="none" w:pos="1728"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ind w:right="140" w:firstLine="1492"/>
        <w:spacing w:after="0" w:line="259" w:lineRule="auto"/>
        <w:tabs>
          <w:tab w:leader="none" w:pos="17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6" w:lineRule="exact"/>
        <w:rPr>
          <w:rFonts w:ascii="Arial" w:cs="Arial" w:eastAsia="Arial" w:hAnsi="Arial"/>
          <w:sz w:val="18"/>
          <w:szCs w:val="18"/>
          <w:color w:val="auto"/>
        </w:rPr>
      </w:pPr>
    </w:p>
    <w:p>
      <w:pPr>
        <w:ind w:right="100" w:firstLine="1492"/>
        <w:spacing w:after="0" w:line="277" w:lineRule="auto"/>
        <w:tabs>
          <w:tab w:leader="none" w:pos="172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jc w:val="both"/>
        <w:ind w:firstLine="1492"/>
        <w:spacing w:after="0" w:line="264" w:lineRule="auto"/>
        <w:tabs>
          <w:tab w:leader="none" w:pos="170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1" w:lineRule="exact"/>
        <w:rPr>
          <w:rFonts w:ascii="Arial" w:cs="Arial" w:eastAsia="Arial" w:hAnsi="Arial"/>
          <w:sz w:val="18"/>
          <w:szCs w:val="18"/>
          <w:color w:val="auto"/>
        </w:rPr>
      </w:pPr>
    </w:p>
    <w:p>
      <w:pPr>
        <w:ind w:right="580" w:firstLine="1492"/>
        <w:spacing w:after="0" w:line="277" w:lineRule="auto"/>
        <w:tabs>
          <w:tab w:leader="none" w:pos="17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100" w:firstLine="1492"/>
        <w:spacing w:after="0" w:line="297" w:lineRule="auto"/>
        <w:tabs>
          <w:tab w:leader="none" w:pos="173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8" w:lineRule="exact"/>
        <w:rPr>
          <w:rFonts w:ascii="Arial" w:cs="Arial" w:eastAsia="Arial" w:hAnsi="Arial"/>
          <w:sz w:val="16"/>
          <w:szCs w:val="16"/>
          <w:color w:val="auto"/>
        </w:rPr>
      </w:pPr>
    </w:p>
    <w:p>
      <w:pPr>
        <w:ind w:right="80" w:firstLine="1492"/>
        <w:spacing w:after="0" w:line="277" w:lineRule="auto"/>
        <w:tabs>
          <w:tab w:leader="none" w:pos="16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70" w:lineRule="exact"/>
        <w:rPr>
          <w:rFonts w:ascii="Arial" w:cs="Arial" w:eastAsia="Arial" w:hAnsi="Arial"/>
          <w:sz w:val="18"/>
          <w:szCs w:val="18"/>
          <w:color w:val="auto"/>
        </w:rPr>
      </w:pPr>
    </w:p>
    <w:p>
      <w:pPr>
        <w:ind w:right="120" w:firstLine="1492"/>
        <w:spacing w:after="0" w:line="277" w:lineRule="auto"/>
        <w:tabs>
          <w:tab w:leader="none" w:pos="16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3" w:name="page204"/>
    <w:bookmarkEnd w:id="203"/>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all registration, filing, and qualification fees; printers’ and accounting fees; fees and disbursements of counsel for the Company; and the reasonable fees and disbursements, not to exceed $25,000,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Subsections</w:t>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79" w:lineRule="exact"/>
        <w:rPr>
          <w:sz w:val="20"/>
          <w:szCs w:val="20"/>
          <w:color w:val="auto"/>
        </w:rPr>
      </w:pPr>
    </w:p>
    <w:p>
      <w:pPr>
        <w:ind w:right="540" w:firstLine="913"/>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right="240" w:firstLine="1492"/>
        <w:spacing w:after="0" w:line="297" w:lineRule="auto"/>
        <w:tabs>
          <w:tab w:leader="none" w:pos="172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selling Holder, and the partners, members, officers, directors, and shareholders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04" w:name="page205"/>
    <w:bookmarkEnd w:id="204"/>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Damages may result, as such expenses are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agreement contained in this </w:t>
      </w:r>
      <w:r>
        <w:rPr>
          <w:rFonts w:ascii="Arial" w:cs="Arial" w:eastAsia="Arial" w:hAnsi="Arial"/>
          <w:sz w:val="18"/>
          <w:szCs w:val="18"/>
          <w:u w:val="single" w:color="auto"/>
          <w:color w:val="auto"/>
        </w:rPr>
        <w:t>Subsection 2.8(a)</w:t>
      </w:r>
      <w:r>
        <w:rPr>
          <w:rFonts w:ascii="Arial" w:cs="Arial" w:eastAsia="Arial" w:hAnsi="Arial"/>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88" w:lineRule="exact"/>
        <w:rPr>
          <w:sz w:val="20"/>
          <w:szCs w:val="20"/>
          <w:color w:val="auto"/>
        </w:rPr>
      </w:pPr>
    </w:p>
    <w:p>
      <w:pPr>
        <w:ind w:firstLine="1492"/>
        <w:spacing w:after="0" w:line="269" w:lineRule="auto"/>
        <w:tabs>
          <w:tab w:leader="none" w:pos="173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2.8(b)</w:t>
      </w:r>
      <w:r>
        <w:rPr>
          <w:rFonts w:ascii="Arial" w:cs="Arial" w:eastAsia="Arial" w:hAnsi="Arial"/>
          <w:sz w:val="17"/>
          <w:szCs w:val="17"/>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aggregate amounts payable by any Holder by way of indemnity or contribution under </w:t>
      </w:r>
      <w:r>
        <w:rPr>
          <w:rFonts w:ascii="Arial" w:cs="Arial" w:eastAsia="Arial" w:hAnsi="Arial"/>
          <w:sz w:val="17"/>
          <w:szCs w:val="17"/>
          <w:u w:val="single" w:color="auto"/>
          <w:color w:val="auto"/>
        </w:rPr>
        <w:t>Subsections 2.8(b)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2.8(d)</w:t>
      </w:r>
      <w:r>
        <w:rPr>
          <w:rFonts w:ascii="Arial" w:cs="Arial" w:eastAsia="Arial" w:hAnsi="Arial"/>
          <w:sz w:val="17"/>
          <w:szCs w:val="17"/>
          <w:color w:val="auto"/>
        </w:rPr>
        <w:t xml:space="preserve"> exceed the proceeds from the offering received by such Holder (net of any Selling Expenses paid by such Holder), except in the case of fraud or willful misconduct by such Holder.</w:t>
      </w:r>
    </w:p>
    <w:p>
      <w:pPr>
        <w:spacing w:after="0" w:line="179" w:lineRule="exact"/>
        <w:rPr>
          <w:rFonts w:ascii="Arial" w:cs="Arial" w:eastAsia="Arial" w:hAnsi="Arial"/>
          <w:sz w:val="17"/>
          <w:szCs w:val="17"/>
          <w:color w:val="auto"/>
        </w:rPr>
      </w:pPr>
    </w:p>
    <w:p>
      <w:pPr>
        <w:ind w:firstLine="1492"/>
        <w:spacing w:after="0" w:line="269" w:lineRule="auto"/>
        <w:tabs>
          <w:tab w:leader="none" w:pos="172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05" w:name="page206"/>
    <w:bookmarkEnd w:id="205"/>
    <w:p>
      <w:pPr>
        <w:ind w:right="80" w:firstLine="1492"/>
        <w:spacing w:after="0" w:line="269" w:lineRule="auto"/>
        <w:tabs>
          <w:tab w:leader="none" w:pos="1738" w:val="left"/>
        </w:tabs>
        <w:numPr>
          <w:ilvl w:val="1"/>
          <w:numId w:val="1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provides for indemnification in such case, or</w:t>
      </w:r>
    </w:p>
    <w:p>
      <w:pPr>
        <w:spacing w:after="0" w:line="2" w:lineRule="exact"/>
        <w:rPr>
          <w:rFonts w:ascii="Arial" w:cs="Arial" w:eastAsia="Arial" w:hAnsi="Arial"/>
          <w:sz w:val="17"/>
          <w:szCs w:val="17"/>
          <w:color w:val="auto"/>
        </w:rPr>
      </w:pPr>
    </w:p>
    <w:p>
      <w:pPr>
        <w:ind w:firstLine="8"/>
        <w:spacing w:after="0" w:line="267" w:lineRule="auto"/>
        <w:tabs>
          <w:tab w:leader="none" w:pos="26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contribution under the Securities Act may be required on the part of any party hereto for which indemnification is provided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when combined with the amounts paid or payable by such Holder pursuant to </w:t>
      </w:r>
      <w:r>
        <w:rPr>
          <w:rFonts w:ascii="Arial" w:cs="Arial" w:eastAsia="Arial" w:hAnsi="Arial"/>
          <w:sz w:val="17"/>
          <w:szCs w:val="17"/>
          <w:u w:val="single" w:color="auto"/>
          <w:color w:val="auto"/>
        </w:rPr>
        <w:t>Subsection 2.8(b)</w:t>
      </w:r>
      <w:r>
        <w:rPr>
          <w:rFonts w:ascii="Arial" w:cs="Arial" w:eastAsia="Arial" w:hAnsi="Arial"/>
          <w:sz w:val="17"/>
          <w:szCs w:val="17"/>
          <w:color w:val="auto"/>
        </w:rPr>
        <w:t>, exceed the proceeds from the offering received by such Holder (net of any Selling Expenses paid by such Holder), except in the case of willful misconduct or fraud by such Holder.</w:t>
      </w:r>
    </w:p>
    <w:p>
      <w:pPr>
        <w:spacing w:after="0" w:line="183" w:lineRule="exact"/>
        <w:rPr>
          <w:rFonts w:ascii="Arial" w:cs="Arial" w:eastAsia="Arial" w:hAnsi="Arial"/>
          <w:sz w:val="17"/>
          <w:szCs w:val="17"/>
          <w:color w:val="auto"/>
        </w:rPr>
      </w:pPr>
    </w:p>
    <w:p>
      <w:pPr>
        <w:jc w:val="both"/>
        <w:ind w:right="280" w:firstLine="1492"/>
        <w:spacing w:after="0" w:line="264" w:lineRule="auto"/>
        <w:tabs>
          <w:tab w:leader="none" w:pos="172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jc w:val="both"/>
        <w:ind w:right="440" w:firstLine="1492"/>
        <w:spacing w:after="0" w:line="264" w:lineRule="auto"/>
        <w:tabs>
          <w:tab w:leader="none" w:pos="170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 3, the Company shall: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06" w:name="page207"/>
    <w:bookmarkEnd w:id="206"/>
    <w:p>
      <w:pPr>
        <w:ind w:firstLine="1492"/>
        <w:spacing w:after="0" w:line="277" w:lineRule="auto"/>
        <w:tabs>
          <w:tab w:leader="none" w:pos="17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firstLine="1492"/>
        <w:spacing w:after="0" w:line="308" w:lineRule="auto"/>
        <w:tabs>
          <w:tab w:leader="none" w:pos="173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46" w:lineRule="exact"/>
        <w:rPr>
          <w:rFonts w:ascii="Arial" w:cs="Arial" w:eastAsia="Arial" w:hAnsi="Arial"/>
          <w:sz w:val="17"/>
          <w:szCs w:val="17"/>
          <w:color w:val="auto"/>
        </w:rPr>
      </w:pPr>
    </w:p>
    <w:p>
      <w:pPr>
        <w:ind w:firstLine="1492"/>
        <w:spacing w:after="0" w:line="272" w:lineRule="auto"/>
        <w:tabs>
          <w:tab w:leader="none" w:pos="172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 3 (at any time after the Company so qualifies);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 3 (at any time after the Company so qualifies to use such form).</w:t>
      </w:r>
    </w:p>
    <w:p>
      <w:pPr>
        <w:spacing w:after="0" w:line="178"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limitation shall not apply to any additional Investor who becomes a party to this Agreement in accordance with </w:t>
      </w:r>
      <w:r>
        <w:rPr>
          <w:rFonts w:ascii="Arial" w:cs="Arial" w:eastAsia="Arial" w:hAnsi="Arial"/>
          <w:sz w:val="17"/>
          <w:szCs w:val="17"/>
          <w:u w:val="single" w:color="auto"/>
          <w:color w:val="auto"/>
        </w:rPr>
        <w:t>Subsection 6.9</w:t>
      </w:r>
      <w:r>
        <w:rPr>
          <w:rFonts w:ascii="Arial" w:cs="Arial" w:eastAsia="Arial" w:hAnsi="Arial"/>
          <w:sz w:val="17"/>
          <w:szCs w:val="17"/>
          <w:color w:val="auto"/>
        </w:rPr>
        <w:t>.</w:t>
      </w:r>
    </w:p>
    <w:p>
      <w:pPr>
        <w:spacing w:after="0" w:line="178"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 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registration by the Company of its Ordinary Shares or any other equity securities under the Securities Act on a registration statement on Form S-1 or Form S-3, and ending on the date specified by the Company and the managing underwriter (such period not to exceed one hundred eighty (180) days in the case of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07" w:name="page208"/>
    <w:bookmarkEnd w:id="20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provisions or amendments thereto), or ninety (90) days in the case of any registration other than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Ordinary Shares or any securities convertible into or exercisable or exchangeable (directly or indirectly) for Ordinary Shares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Ordinary Shares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only apply to the IPO and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and shall be applicable to the Holders only if all officers and directors are subject to the same restrictions. The underwriters in connection with such registration are intended third 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sz w:val="20"/>
          <w:szCs w:val="20"/>
          <w:color w:val="auto"/>
        </w:rPr>
      </w:pPr>
    </w:p>
    <w:p>
      <w:pPr>
        <w:ind w:right="100" w:firstLine="1492"/>
        <w:spacing w:after="0" w:line="257" w:lineRule="auto"/>
        <w:tabs>
          <w:tab w:leader="none" w:pos="172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Registrable Securities held by such Holder to agree to take and hold such securities subject to the provisions and upon the conditions specified in this Agreement.</w:t>
      </w:r>
    </w:p>
    <w:p>
      <w:pPr>
        <w:spacing w:after="0" w:line="188" w:lineRule="exact"/>
        <w:rPr>
          <w:rFonts w:ascii="Arial" w:cs="Arial" w:eastAsia="Arial" w:hAnsi="Arial"/>
          <w:sz w:val="18"/>
          <w:szCs w:val="18"/>
          <w:color w:val="auto"/>
        </w:rPr>
      </w:pPr>
    </w:p>
    <w:p>
      <w:pPr>
        <w:ind w:right="100" w:firstLine="1492"/>
        <w:spacing w:after="0" w:line="286" w:lineRule="auto"/>
        <w:tabs>
          <w:tab w:leader="none" w:pos="173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Each certificate, instrument, or book entry representing (i) the Registrable Securities, and (ii) any other securities issued in respect of the securities referenced in clauses (i) and (ii), upon any share split, share dividend, recapitalization, merger, consolidation, or similar event, shall (unless otherwise permitted by the provisions of </w:t>
      </w:r>
      <w:r>
        <w:rPr>
          <w:rFonts w:ascii="Arial" w:cs="Arial" w:eastAsia="Arial" w:hAnsi="Arial"/>
          <w:sz w:val="17"/>
          <w:szCs w:val="17"/>
          <w:u w:val="single" w:color="auto"/>
          <w:color w:val="auto"/>
        </w:rPr>
        <w:t>Subsection 2.12(c)</w:t>
      </w:r>
      <w:r>
        <w:rPr>
          <w:rFonts w:ascii="Arial" w:cs="Arial" w:eastAsia="Arial" w:hAnsi="Arial"/>
          <w:sz w:val="17"/>
          <w:szCs w:val="17"/>
          <w:color w:val="auto"/>
        </w:rPr>
        <w:t>) be notated with a legend substantially in the following form:</w:t>
      </w:r>
    </w:p>
    <w:p>
      <w:pPr>
        <w:spacing w:after="0" w:line="57"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08" w:name="page209"/>
    <w:bookmarkEnd w:id="208"/>
    <w:p>
      <w:pPr>
        <w:ind w:lef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REPRESENTED HEREBY MAY BE TRANSFERRED ONLY IN ACCORDANCE WITH THE TERMS OF AN AGREEMENT BETWEEN THE COMPANY AND THE SHAREHOLDER, A COPY OF WHICH IS ON FILE WITH THE SECRETARY OF THE COMPANY.</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0" w:lineRule="exact"/>
        <w:rPr>
          <w:sz w:val="20"/>
          <w:szCs w:val="20"/>
          <w:color w:val="auto"/>
        </w:rPr>
      </w:pPr>
    </w:p>
    <w:p>
      <w:pPr>
        <w:ind w:right="20" w:firstLine="1492"/>
        <w:spacing w:after="0" w:line="267" w:lineRule="auto"/>
        <w:tabs>
          <w:tab w:leader="none" w:pos="172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The holder of such Restricted Securities, by acceptance of ownership thereof, agrees to comply in all respects with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transferee agrees in writing to be subject to the terms of this </w:t>
      </w:r>
      <w:r>
        <w:rPr>
          <w:rFonts w:ascii="Arial" w:cs="Arial" w:eastAsia="Arial" w:hAnsi="Arial"/>
          <w:sz w:val="17"/>
          <w:szCs w:val="17"/>
          <w:u w:val="single" w:color="auto"/>
          <w:color w:val="auto"/>
        </w:rPr>
        <w:t>Subsection 2.12</w:t>
      </w:r>
      <w:r>
        <w:rPr>
          <w:rFonts w:ascii="Arial" w:cs="Arial" w:eastAsia="Arial" w:hAnsi="Arial"/>
          <w:sz w:val="17"/>
          <w:szCs w:val="17"/>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7"/>
          <w:szCs w:val="17"/>
          <w:u w:val="single" w:color="auto"/>
          <w:color w:val="auto"/>
        </w:rPr>
        <w:t>Subsection 2.12(b)</w:t>
      </w:r>
      <w:r>
        <w:rPr>
          <w:rFonts w:ascii="Arial" w:cs="Arial" w:eastAsia="Arial" w:hAnsi="Arial"/>
          <w:sz w:val="17"/>
          <w:szCs w:val="17"/>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93"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left="1740" w:hanging="248"/>
        <w:spacing w:after="0"/>
        <w:tabs>
          <w:tab w:leader="none" w:pos="17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Restated Articles;</w:t>
      </w:r>
    </w:p>
    <w:p>
      <w:pPr>
        <w:spacing w:after="0" w:line="225" w:lineRule="exact"/>
        <w:rPr>
          <w:rFonts w:ascii="Arial" w:cs="Arial" w:eastAsia="Arial" w:hAnsi="Arial"/>
          <w:sz w:val="18"/>
          <w:szCs w:val="18"/>
          <w:color w:val="auto"/>
        </w:rPr>
      </w:pPr>
    </w:p>
    <w:p>
      <w:pPr>
        <w:ind w:right="160" w:firstLine="1492"/>
        <w:spacing w:after="0" w:line="308" w:lineRule="auto"/>
        <w:tabs>
          <w:tab w:leader="none" w:pos="17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such time after the restrictions contemplated by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have lapsed when as Rule 144 or another similar exemption under the Securities Act is available for the sale of all of such Holder’s shares without limitation during a three-month period without registration; and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4" w:right="339" w:bottom="1440" w:gutter="0" w:footer="0" w:header="0"/>
        </w:sectPr>
      </w:pPr>
    </w:p>
    <w:bookmarkStart w:id="209" w:name="page210"/>
    <w:bookmarkEnd w:id="209"/>
    <w:p>
      <w:pPr>
        <w:ind w:left="1740" w:hanging="248"/>
        <w:spacing w:after="0"/>
        <w:tabs>
          <w:tab w:leader="none" w:pos="17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third anniversary of the IPO.</w:t>
      </w:r>
    </w:p>
    <w:p>
      <w:pPr>
        <w:spacing w:after="0" w:line="373"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Major Investor is a competitor of the Company, provided further that neither Foresite, Fidelity Jennison nor New Leaf may be determined to be a competitor of the Company in any event for any purposes hereunder:</w:t>
      </w:r>
    </w:p>
    <w:p>
      <w:pPr>
        <w:spacing w:after="0" w:line="181" w:lineRule="exact"/>
        <w:rPr>
          <w:sz w:val="20"/>
          <w:szCs w:val="20"/>
          <w:color w:val="auto"/>
        </w:rPr>
      </w:pPr>
    </w:p>
    <w:p>
      <w:pPr>
        <w:ind w:firstLine="1492"/>
        <w:spacing w:after="0" w:line="312" w:lineRule="auto"/>
        <w:tabs>
          <w:tab w:leader="none" w:pos="172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twenty (120) days after the end of each fiscal year of the Company (i) a balance sheet as of the end of such year, (ii) statements of income and of cash flows for such year, and (iii) a statement of shareholders’ equity as of the end of such year, all such financial statements audited and certified by independent public accountants of nationally recognized standing selected by the Company;</w:t>
      </w:r>
    </w:p>
    <w:p>
      <w:pPr>
        <w:spacing w:after="0" w:line="146" w:lineRule="exact"/>
        <w:rPr>
          <w:rFonts w:ascii="Arial" w:cs="Arial" w:eastAsia="Arial" w:hAnsi="Arial"/>
          <w:sz w:val="16"/>
          <w:szCs w:val="16"/>
          <w:color w:val="auto"/>
        </w:rPr>
      </w:pPr>
    </w:p>
    <w:p>
      <w:pPr>
        <w:ind w:right="300" w:firstLine="1492"/>
        <w:spacing w:after="0" w:line="259" w:lineRule="auto"/>
        <w:tabs>
          <w:tab w:leader="none" w:pos="173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 five (45) days after the end of each of the first three (3) quarters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86" w:lineRule="exact"/>
        <w:rPr>
          <w:rFonts w:ascii="Arial" w:cs="Arial" w:eastAsia="Arial" w:hAnsi="Arial"/>
          <w:sz w:val="18"/>
          <w:szCs w:val="18"/>
          <w:color w:val="auto"/>
        </w:rPr>
      </w:pPr>
    </w:p>
    <w:p>
      <w:pPr>
        <w:ind w:right="380" w:firstLine="1492"/>
        <w:spacing w:after="0" w:line="264" w:lineRule="auto"/>
        <w:tabs>
          <w:tab w:leader="none" w:pos="17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soon as practicable, but in any event thirty (30) days before the end of each fiscal year, a budget and business plan for the next fiscal year (collectively, the “</w:t>
      </w:r>
      <w:r>
        <w:rPr>
          <w:rFonts w:ascii="Arial" w:cs="Arial" w:eastAsia="Arial" w:hAnsi="Arial"/>
          <w:sz w:val="18"/>
          <w:szCs w:val="18"/>
          <w:b w:val="1"/>
          <w:bCs w:val="1"/>
          <w:color w:val="auto"/>
        </w:rPr>
        <w:t>Budget</w:t>
      </w:r>
      <w:r>
        <w:rPr>
          <w:rFonts w:ascii="Arial" w:cs="Arial" w:eastAsia="Arial" w:hAnsi="Arial"/>
          <w:sz w:val="18"/>
          <w:szCs w:val="18"/>
          <w:color w:val="auto"/>
        </w:rPr>
        <w:t>”), prepared on a monthly basis, including balance sheets, income statements, and statements of cash flow for such months and, promptly after prepared, any other budgets or revised budgets prepared by the Company;</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of the Company and its results of operation for the periods specified therein; and</w:t>
      </w:r>
    </w:p>
    <w:p>
      <w:pPr>
        <w:spacing w:after="0" w:line="225" w:lineRule="exact"/>
        <w:rPr>
          <w:rFonts w:ascii="Arial" w:cs="Arial" w:eastAsia="Arial" w:hAnsi="Arial"/>
          <w:sz w:val="18"/>
          <w:szCs w:val="18"/>
          <w:color w:val="auto"/>
        </w:rPr>
      </w:pPr>
    </w:p>
    <w:p>
      <w:pPr>
        <w:ind w:right="460" w:firstLine="1492"/>
        <w:spacing w:after="0" w:line="286" w:lineRule="auto"/>
        <w:tabs>
          <w:tab w:leader="none" w:pos="172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provide information the disclosure of which would adversely affect the attorney-client privilege between the Company and its counsel.</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addition, for so long as each of Foresite and Fidelity, respectively, remains a Major Investor and is bound by confidentiality obligations to the Company, the Company shall deliver to such Major Investor copies of all presentations, meeting agendas, notices, minutes, consents and other materials that it provides to the Company’s Board of Directors within two (2) business days of and in the same manner that such materials are provided to the Board of Directors, unless the Company reasonably determines that such disclosure would adversely affect the attorney-client privilege between the Company and its counsel. Notwithstanding the foregoing,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10" w:name="page211"/>
    <w:bookmarkEnd w:id="210"/>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shall not be obligated to provide the information referenced in the immediately preceding sentence to Foresite at any time that Foresite has the right to exclusively designate the Series B Designee (as such term is defined in the Voting Agreement) to the Company’s Board of Directors.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The Company shall permit each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of Directors has not reasonably determined that such Major Investor is a competitor of the Company, and provided further that neither Foresite, Fidelity, Jennison nor New Leaf may be determined to be a competitor of the Company in any event for any purposes hereunder),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to provide access to any information the disclosure of which would adversely affect the attorney-client privilege between the Company and its counsel.</w:t>
      </w:r>
    </w:p>
    <w:p>
      <w:pPr>
        <w:spacing w:after="0" w:line="16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Termination of Information Rights</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and be of no further force or effect (i) immediately before the consummation of the IPO, (ii) when the Company first becomes subject to the periodic reporting requirements of</w:t>
      </w:r>
    </w:p>
    <w:p>
      <w:pPr>
        <w:ind w:right="420"/>
        <w:spacing w:after="0" w:line="261" w:lineRule="auto"/>
        <w:rPr>
          <w:sz w:val="20"/>
          <w:szCs w:val="20"/>
          <w:color w:val="auto"/>
        </w:rPr>
      </w:pPr>
      <w:r>
        <w:rPr>
          <w:rFonts w:ascii="Arial" w:cs="Arial" w:eastAsia="Arial" w:hAnsi="Arial"/>
          <w:sz w:val="18"/>
          <w:szCs w:val="18"/>
          <w:color w:val="auto"/>
        </w:rPr>
        <w:t>Section 12(g) or 15(d) of the Exchange Act, or (iii) upon a Deemed Liquidation Event, as such term is defined in the Restated Articles, whichever event occurs first.</w:t>
      </w:r>
    </w:p>
    <w:p>
      <w:pPr>
        <w:spacing w:after="0" w:line="184"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Subsection 3.5</w:t>
      </w:r>
      <w:r>
        <w:rPr>
          <w:rFonts w:ascii="Arial" w:cs="Arial" w:eastAsia="Arial" w:hAnsi="Arial"/>
          <w:sz w:val="17"/>
          <w:szCs w:val="17"/>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Investor may disclose confidential information (i) to its attorneys, accountants, consultants, and other professionals to the extent necessary to obtain their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11" w:name="page212"/>
    <w:bookmarkEnd w:id="211"/>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 3.5</w:t>
      </w:r>
      <w:r>
        <w:rPr>
          <w:rFonts w:ascii="Arial" w:cs="Arial" w:eastAsia="Arial" w:hAnsi="Arial"/>
          <w:sz w:val="16"/>
          <w:szCs w:val="16"/>
          <w:color w:val="auto"/>
        </w:rPr>
        <w:t xml:space="preserve">; (iii) to any existing Affiliate, partner, member, shareholder, or wholly owned subsidiary of such Investor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informs such Person that such information is confidential and directs such Person to maintain the confidentiality of such information; or (iv) as may otherwise be required by law, provided that the Investor promptly notifies the Company of such disclosure and takes reasonable steps to minimize the extent of any such required disclosure.</w:t>
      </w:r>
    </w:p>
    <w:p>
      <w:pPr>
        <w:spacing w:after="0" w:line="307"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Rights to Future Share Issuances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and (ii)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w:t>
      </w:r>
    </w:p>
    <w:p>
      <w:pPr>
        <w:ind w:right="40" w:firstLine="8"/>
        <w:spacing w:after="0" w:line="292" w:lineRule="auto"/>
        <w:tabs>
          <w:tab w:leader="none" w:pos="25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is not a competitor (provided that neither Foresite, Fidelity nor Jennison may be determined to be a competitor of the Company in any event for any purpose hereunder) or FOIA Party, unless such party’s purchase of New Securities is otherwise consented to by the Board of Directors and (y) agrees to enter into this Agreement and the Voting Agreement (as defined in the Subscription Agreement), as an “</w:t>
      </w:r>
      <w:r>
        <w:rPr>
          <w:rFonts w:ascii="Arial" w:cs="Arial" w:eastAsia="Arial" w:hAnsi="Arial"/>
          <w:sz w:val="16"/>
          <w:szCs w:val="16"/>
          <w:b w:val="1"/>
          <w:bCs w:val="1"/>
          <w:color w:val="auto"/>
        </w:rPr>
        <w:t>Investor</w:t>
      </w:r>
      <w:r>
        <w:rPr>
          <w:rFonts w:ascii="Arial" w:cs="Arial" w:eastAsia="Arial" w:hAnsi="Arial"/>
          <w:sz w:val="16"/>
          <w:szCs w:val="16"/>
          <w:color w:val="auto"/>
        </w:rPr>
        <w:t>” under each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competitor or FOIA Party shall not be entitled to any rights as a Major Investor under </w:t>
      </w:r>
      <w:r>
        <w:rPr>
          <w:rFonts w:ascii="Arial" w:cs="Arial" w:eastAsia="Arial" w:hAnsi="Arial"/>
          <w:sz w:val="16"/>
          <w:szCs w:val="16"/>
          <w:u w:val="single" w:color="auto"/>
          <w:color w:val="auto"/>
        </w:rPr>
        <w:t>Subsections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hereof, and provided further that neither Foresite nor any of its Affiliates, Fidelity nor Jennison may be determined to be a competitor of the Company in any event for any purposes hereunder).</w:t>
      </w:r>
    </w:p>
    <w:p>
      <w:pPr>
        <w:spacing w:after="0" w:line="158" w:lineRule="exact"/>
        <w:rPr>
          <w:rFonts w:ascii="Arial" w:cs="Arial" w:eastAsia="Arial" w:hAnsi="Arial"/>
          <w:sz w:val="16"/>
          <w:szCs w:val="16"/>
          <w:color w:val="auto"/>
        </w:rPr>
      </w:pPr>
    </w:p>
    <w:p>
      <w:pPr>
        <w:ind w:right="340" w:firstLine="1492"/>
        <w:spacing w:after="0" w:line="347" w:lineRule="auto"/>
        <w:tabs>
          <w:tab w:leader="none" w:pos="172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Company shall give notice (the “</w:t>
      </w:r>
      <w:r>
        <w:rPr>
          <w:rFonts w:ascii="Arial" w:cs="Arial" w:eastAsia="Arial" w:hAnsi="Arial"/>
          <w:sz w:val="16"/>
          <w:szCs w:val="16"/>
          <w:b w:val="1"/>
          <w:bCs w:val="1"/>
          <w:color w:val="auto"/>
        </w:rPr>
        <w:t>Offer Notice</w:t>
      </w:r>
      <w:r>
        <w:rPr>
          <w:rFonts w:ascii="Arial" w:cs="Arial" w:eastAsia="Arial" w:hAnsi="Arial"/>
          <w:sz w:val="16"/>
          <w:szCs w:val="16"/>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20" w:lineRule="exact"/>
        <w:rPr>
          <w:rFonts w:ascii="Arial" w:cs="Arial" w:eastAsia="Arial" w:hAnsi="Arial"/>
          <w:sz w:val="16"/>
          <w:szCs w:val="16"/>
          <w:color w:val="auto"/>
        </w:rPr>
      </w:pPr>
    </w:p>
    <w:p>
      <w:pPr>
        <w:ind w:firstLine="1492"/>
        <w:spacing w:after="0" w:line="270" w:lineRule="auto"/>
        <w:tabs>
          <w:tab w:leader="none" w:pos="1738" w:val="left"/>
        </w:tabs>
        <w:numPr>
          <w:ilvl w:val="1"/>
          <w:numId w:val="141"/>
        </w:numPr>
        <w:rPr>
          <w:rFonts w:ascii="Arial" w:cs="Arial" w:eastAsia="Arial" w:hAnsi="Arial"/>
          <w:sz w:val="17"/>
          <w:szCs w:val="17"/>
          <w:color w:val="auto"/>
        </w:rPr>
      </w:pPr>
      <w:r>
        <w:rPr>
          <w:rFonts w:ascii="Arial" w:cs="Arial" w:eastAsia="Arial" w:hAnsi="Arial"/>
          <w:sz w:val="17"/>
          <w:szCs w:val="17"/>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Ordinary Shares then held by such Major Investor (including all Ordinary Shares then issuable (directly or indirectly) upon conversion and/or exercise, as applicable, of the Series B Preferred Shares and any other Derivative Securities then held by such Major Investor) bears to the total Ordinary Shares of the Company then outstanding (assuming full conversion and/or exercise, as applicable, of all Series B Preferred Shares and other Derivative Securities). At the expiration of such twenty (20) day period, the Company shall promptly notify each Major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Ordinary Shares issued and held,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12" w:name="page213"/>
    <w:bookmarkEnd w:id="212"/>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issuable (directly or indirectly) upon conversion and/or exercise, as applicable, of all Series B Preferred Shares and any other Derivative Securities then held, by such Fully Exercising Investor bears to the Ordinary Shares issued and held, or issuable (directly or indirectly) upon conversion and/or exercise, as applicable, of the Series B Preferred Shares and any other Derivative Securities then held, by all Fully Exercising Investors who wish to purchase such unsubscribed shares. The closing of any sale pursuant to this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shall occur within the later of one hundred and twenty (120) days of the date that the Offer Notice is given and the date of initial sale of New Securities pursuant to </w:t>
      </w:r>
      <w:r>
        <w:rPr>
          <w:rFonts w:ascii="Arial" w:cs="Arial" w:eastAsia="Arial" w:hAnsi="Arial"/>
          <w:sz w:val="17"/>
          <w:szCs w:val="17"/>
          <w:u w:val="single" w:color="auto"/>
          <w:color w:val="auto"/>
        </w:rPr>
        <w:t>Subsection 4.1(c)</w:t>
      </w:r>
      <w:r>
        <w:rPr>
          <w:rFonts w:ascii="Arial" w:cs="Arial" w:eastAsia="Arial" w:hAnsi="Arial"/>
          <w:sz w:val="17"/>
          <w:szCs w:val="17"/>
          <w:color w:val="auto"/>
        </w:rPr>
        <w:t>.</w:t>
      </w:r>
    </w:p>
    <w:p>
      <w:pPr>
        <w:spacing w:after="0" w:line="173" w:lineRule="exact"/>
        <w:rPr>
          <w:sz w:val="20"/>
          <w:szCs w:val="20"/>
          <w:color w:val="auto"/>
        </w:rPr>
      </w:pPr>
    </w:p>
    <w:p>
      <w:pPr>
        <w:ind w:right="160" w:firstLine="1492"/>
        <w:spacing w:after="0" w:line="273" w:lineRule="auto"/>
        <w:tabs>
          <w:tab w:leader="none" w:pos="172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7"/>
          <w:szCs w:val="17"/>
          <w:u w:val="single" w:color="auto"/>
          <w:color w:val="auto"/>
        </w:rPr>
        <w:t>Subsection 4.1</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300" w:firstLine="921"/>
        <w:spacing w:after="0" w:line="277" w:lineRule="auto"/>
        <w:tabs>
          <w:tab w:leader="none" w:pos="11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right of first offer in this Subsection 4.1 shall not be applicable to (i) Exempted Securities (as defined in the Company’s Certificate of Incorporation); and (ii) Ordinary Shares issued in the IPO.</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Restated Articles, whichever event occurs first and, as to each Major Investor, in accordance with </w:t>
      </w:r>
      <w:r>
        <w:rPr>
          <w:rFonts w:ascii="Arial" w:cs="Arial" w:eastAsia="Arial" w:hAnsi="Arial"/>
          <w:sz w:val="18"/>
          <w:szCs w:val="18"/>
          <w:u w:val="single" w:color="auto"/>
          <w:color w:val="auto"/>
        </w:rPr>
        <w:t>Subsection 4.1(e)</w:t>
      </w:r>
      <w:r>
        <w:rPr>
          <w:rFonts w:ascii="Arial" w:cs="Arial" w:eastAsia="Arial" w:hAnsi="Arial"/>
          <w:sz w:val="18"/>
          <w:szCs w:val="18"/>
          <w:color w:val="auto"/>
        </w:rPr>
        <w:t>.</w:t>
      </w:r>
    </w:p>
    <w:p>
      <w:pPr>
        <w:spacing w:after="0" w:line="335"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shall use its commercially reasonable efforts to obtain, within ninety (90) days of the date hereof, from financially sound and reputable insurers Directors and Officers liability insurance in an amount and on terms and conditions satisfactory to the Board of Directors, and will use commercially reasonable efforts to cause such insurance to be maintained until such time as the Board of Directors determines that such insurance should be discontinued. Such insurance shall not be cancelable by the Company without prior approval by the Board of Directors.</w:t>
      </w:r>
    </w:p>
    <w:p>
      <w:pPr>
        <w:spacing w:after="0" w:line="154"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Board Matters</w:t>
      </w:r>
      <w:r>
        <w:rPr>
          <w:rFonts w:ascii="Arial" w:cs="Arial" w:eastAsia="Arial" w:hAnsi="Arial"/>
          <w:sz w:val="17"/>
          <w:szCs w:val="17"/>
          <w:color w:val="auto"/>
        </w:rPr>
        <w:t>. Unless otherwise determined by the vote of a majority of the directors then in office, the Board of Directors shall meet at least quarterly in accordance with an agreed-upon schedule. The Company shall reimburse the non-employee directors for all reasonable out-of-pocket travel expenses incurred (consistent with the Company’s travel policy) in connection with attending meetings of the Board of Directors.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3" w:name="page214"/>
    <w:bookmarkEnd w:id="213"/>
    <w:p>
      <w:pPr>
        <w:ind w:right="4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5.3 </w:t>
      </w:r>
      <w:r>
        <w:rPr>
          <w:rFonts w:ascii="Arial" w:cs="Arial" w:eastAsia="Arial" w:hAnsi="Arial"/>
          <w:sz w:val="16"/>
          <w:szCs w:val="16"/>
          <w:u w:val="single" w:color="auto"/>
          <w:color w:val="auto"/>
        </w:rPr>
        <w:t>Successor Indemnification</w:t>
      </w:r>
      <w:r>
        <w:rPr>
          <w:rFonts w:ascii="Arial" w:cs="Arial" w:eastAsia="Arial" w:hAnsi="Arial"/>
          <w:sz w:val="16"/>
          <w:szCs w:val="16"/>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Restated Articles, or elsewhere, as the case may be.</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U.S. Tax Matters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Immediately after the Completion, to the Company’s knowledge (after consultation with its tax advisors), neither the Company nor any subsidiary of the Company shall be a “Controlled Foreign Corporation” (a “</w:t>
      </w:r>
      <w:r>
        <w:rPr>
          <w:rFonts w:ascii="Arial" w:cs="Arial" w:eastAsia="Arial" w:hAnsi="Arial"/>
          <w:sz w:val="16"/>
          <w:szCs w:val="16"/>
          <w:b w:val="1"/>
          <w:bCs w:val="1"/>
          <w:color w:val="auto"/>
        </w:rPr>
        <w:t>CFC</w:t>
      </w:r>
      <w:r>
        <w:rPr>
          <w:rFonts w:ascii="Arial" w:cs="Arial" w:eastAsia="Arial" w:hAnsi="Arial"/>
          <w:sz w:val="16"/>
          <w:szCs w:val="16"/>
          <w:color w:val="auto"/>
        </w:rPr>
        <w:t>”) as defined in the U.S. Internal Revenue Code of 1986, as amended (or any successor thereto) (the “</w:t>
      </w:r>
      <w:r>
        <w:rPr>
          <w:rFonts w:ascii="Arial" w:cs="Arial" w:eastAsia="Arial" w:hAnsi="Arial"/>
          <w:sz w:val="16"/>
          <w:szCs w:val="16"/>
          <w:b w:val="1"/>
          <w:bCs w:val="1"/>
          <w:color w:val="auto"/>
        </w:rPr>
        <w:t>Code</w:t>
      </w:r>
      <w:r>
        <w:rPr>
          <w:rFonts w:ascii="Arial" w:cs="Arial" w:eastAsia="Arial" w:hAnsi="Arial"/>
          <w:sz w:val="16"/>
          <w:szCs w:val="16"/>
          <w:color w:val="auto"/>
        </w:rPr>
        <w:t>”). The Company shall make due inquiry with its tax advisors on at least an annual basis regarding the Company’s status as a CFC and, if it is determined that the Company is or may be a CFC, regarding whether any portion of the Company’s income is “Subpart F Income” (as defined in Section 952 of the Code). No later than sixty (60) days following the end of each taxable year of the Company, the Company shall provide to the Investors the Company’s capitalization table as of the end of the last day of such taxable year. In addition, the Company shall provide the Investors with reasonable access to such other Company information as may be necessary for the Investors to determine the Company’s status as a CFC and to determine whether any Investor is required to report its pro rata portion of the Company’s “Subpart F Income” on its United States federal income tax return, or to allow the Investors to otherwise comply with applicable United States federal income tax laws. In the event that the Company is determined by its Company’s tax advisors, or by counsel or accountants for any Investor, to be a CFC, the Company agrees to use commercially reasonable efforts (consistent with the Company’s overall business objectives and strategies) to (i) avoid generating Subpart F Income; and (ii) annually make dividend distributions to each Investor, to the extent permitted by law and subject to available cash, in a per share amount calculated by reference to fifty percent (50%) of any income of the Company that would have been deemed distributed per share to the Investors pursuant to Section 951(a) of the Code.</w:t>
      </w:r>
    </w:p>
    <w:p>
      <w:pPr>
        <w:spacing w:after="0" w:line="175"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After consultation with its tax advisors, the Company does not believe that it or any of its subsidiaries is currently a “passive foreign investment company” within the meaning of Section 1297 of the Code (“</w:t>
      </w:r>
      <w:r>
        <w:rPr>
          <w:rFonts w:ascii="Arial" w:cs="Arial" w:eastAsia="Arial" w:hAnsi="Arial"/>
          <w:sz w:val="18"/>
          <w:szCs w:val="18"/>
          <w:b w:val="1"/>
          <w:bCs w:val="1"/>
          <w:color w:val="auto"/>
        </w:rPr>
        <w:t>PFIC</w:t>
      </w:r>
      <w:r>
        <w:rPr>
          <w:rFonts w:ascii="Arial" w:cs="Arial" w:eastAsia="Arial" w:hAnsi="Arial"/>
          <w:sz w:val="18"/>
          <w:szCs w:val="18"/>
          <w:color w:val="auto"/>
        </w:rPr>
        <w:t>”). The Company shall use commercially reasonable efforts to avoid being a PFIC within the meaning of Section 1297 of the Code, taking into account the Company’s overall business objectives and strategies. In connection with any “Qualified Electing Fund” election made by any Investor (or its beneficial owners) pursuant to Section 1295 of the Code or any “Protective Statement” filed by any Investor (or its beneficial owners) pursuant to U.S. Treasury Regulation Section 1.1295-3, as amended (or any successor thereto), the Company shall provide an annual information statement to such Investor, as required by the applicable Treasury Regulations in form and substance as soon as reasonably practicable following the end of each taxable year of such Investor (but in no event later than ninety (90) days following the end of each such taxable year), and shall provide such Investor with access to such other Company information as may be required for purposes of filing United States federal income tax returns of the Investors (or their beneficial owners) in connection with such “Qualified Electing Fund” election or “Protective Statement”. In the event that any Investor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14" w:name="page215"/>
    <w:bookmarkEnd w:id="21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its beneficial owners) has made a “Qualified Electing Fund” election and must include in its gross income for a particular taxable year its pro rata share of the Company’s (or any Company subsidiary’s) earnings and profits pursuant to Section 1293 of the Code, as amended (or any successor thereto), the Company agrees to make a dividend distribution to such Investor (no later than ninety (90) days following the end of such Investor’s taxable year or, if later, sixty (60) days after the Company is informed by such Investor that it (or any of its beneficial owners) has been required to recognize such an income inclusion) in an amount equal to fifty percent (50%) of the amount that would be included by such Investor (or its beneficial owners) if such person were a “United States person” as such term is defined in Section 7701(a)(30) of the Code and had such person made a valid and timely “Qualified Electing Fund” election which was applicable to such taxable year.</w:t>
      </w:r>
    </w:p>
    <w:p>
      <w:pPr>
        <w:spacing w:after="0" w:line="189"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The Company shall take such actions, including making an election to be treated as a corporation or refraining from making an election to be treated as a partnership, as may be required to ensure that at all times the Company is treated as a corporation for United States federal income tax purposes.</w:t>
      </w:r>
    </w:p>
    <w:p>
      <w:pPr>
        <w:spacing w:after="0" w:line="12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Company shall make due inquiry with its tax advisors (and shall cooperate with the Investors’ tax advisors with respect to such inquiry) on at least an annual basis regarding whether any Investor’s (or any of its beneficial owners’) direct or indirect interest in the Company is subject to the reporting requirements of either or both of Sections 6038 and 6038B of the Code (and the Company shall duly inform the Investors of the results of such determination), and in the event that any Investor’s (or any of its beneficial owners’) direct or indirect interest in Company is determined by the Company’s tax advisors or such Investor’s tax advisors to be subject to the reporting requirements of either or both of Sections 6038 and 6038B of the Code, the Company agrees, upon a request from such Investor, to provide such information to such Investor as may be necessary to fulfil such Investor’s (or its beneficial owners’) obligations thereunder.</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further covenants and agrees that to the extent it has any U.S. tax reporting compliance obligations, it shall engage, within ninety</w:t>
      </w:r>
    </w:p>
    <w:p>
      <w:pPr>
        <w:spacing w:after="0" w:line="46" w:lineRule="exact"/>
        <w:rPr>
          <w:sz w:val="20"/>
          <w:szCs w:val="20"/>
          <w:color w:val="auto"/>
        </w:rPr>
      </w:pPr>
    </w:p>
    <w:p>
      <w:pPr>
        <w:ind w:right="380" w:firstLine="8"/>
        <w:spacing w:after="0" w:line="261" w:lineRule="auto"/>
        <w:tabs>
          <w:tab w:leader="none" w:pos="34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days following the date upon which the facts and circumstances triggering such tax compliance reporting obligations arise, with a reputable U.S. tax advisory firm to assist the Company with such U.S. tax reporting and compliance obligations.</w:t>
      </w:r>
    </w:p>
    <w:p>
      <w:pPr>
        <w:spacing w:after="0" w:line="184"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FCPA</w:t>
      </w:r>
      <w:r>
        <w:rPr>
          <w:rFonts w:ascii="Arial" w:cs="Arial" w:eastAsia="Arial" w:hAnsi="Arial"/>
          <w:sz w:val="17"/>
          <w:szCs w:val="17"/>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“FCPA”)),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15" w:name="page216"/>
    <w:bookmarkEnd w:id="215"/>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Subscription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78"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The covenants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shall terminate and be of no further force or effect (i) immediately before the consummation of the IPO, or (ii) when the Company first becomes subject to the periodic reporting requirements of Section 12(g) or 15(d) of the Exchange Act, or (iii) upon a Deemed Liquidation Event, as such term is defined in the Restated Articles, whichever event occurs first.</w:t>
      </w:r>
    </w:p>
    <w:p>
      <w:pPr>
        <w:spacing w:after="0" w:line="314"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100,000 shares of Registrable Securities (subject to appropriate adjustment for share splits, share dividends, combinations, and other recapitalizations);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For the purposes of determining the number of shares of Registrable Securities held by a transferee, the holdings of a transferee (1) that is an Affiliate or shareholder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Singapore.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6" w:name="page217"/>
    <w:bookmarkEnd w:id="216"/>
    <w:p>
      <w:pPr>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or to the principal office of the Company and to the attention of the Chief Executive Officer, in the case of the Company, or to such email address, or address as subsequently modified by written notice given in accordance with this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6.5</w:t>
      </w:r>
      <w:r>
        <w:rPr>
          <w:rFonts w:ascii="Arial" w:cs="Arial" w:eastAsia="Arial" w:hAnsi="Arial"/>
          <w:sz w:val="17"/>
          <w:szCs w:val="17"/>
          <w:color w:val="auto"/>
        </w:rPr>
        <w:t>. If notice is given to the Company, a copy shall also be sent to Mintz, Levin, Cohn, Ferris, Glovsky and Popeo, P.C., One Financial Center, Boston, MA 02111, Attn: William C. Hicks, Esq. and if notice is given to Investors, a copy shall also be given to Gunderson Dettmer Stough Villeneuve Franklin &amp; Hachigian, LLP, Attn: Brian Patterson.</w:t>
      </w:r>
    </w:p>
    <w:p>
      <w:pPr>
        <w:spacing w:after="0" w:line="17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in its sole discretion waive compliance with </w:t>
      </w:r>
      <w:r>
        <w:rPr>
          <w:rFonts w:ascii="Arial" w:cs="Arial" w:eastAsia="Arial" w:hAnsi="Arial"/>
          <w:sz w:val="17"/>
          <w:szCs w:val="17"/>
          <w:u w:val="single" w:color="auto"/>
          <w:color w:val="auto"/>
        </w:rPr>
        <w:t>Subsection 2.12(c)</w:t>
      </w:r>
      <w:r>
        <w:rPr>
          <w:rFonts w:ascii="Arial" w:cs="Arial" w:eastAsia="Arial" w:hAnsi="Arial"/>
          <w:sz w:val="17"/>
          <w:szCs w:val="17"/>
          <w:color w:val="auto"/>
        </w:rPr>
        <w:t xml:space="preserve"> (and the Company’s failure to object promptly in writing after notification of a proposed assignment allegedly in violation of </w:t>
      </w:r>
      <w:r>
        <w:rPr>
          <w:rFonts w:ascii="Arial" w:cs="Arial" w:eastAsia="Arial" w:hAnsi="Arial"/>
          <w:sz w:val="17"/>
          <w:szCs w:val="17"/>
          <w:u w:val="single" w:color="auto"/>
          <w:color w:val="auto"/>
        </w:rPr>
        <w:t>Subsection 2.12(c)</w:t>
      </w:r>
      <w:r>
        <w:rPr>
          <w:rFonts w:ascii="Arial" w:cs="Arial" w:eastAsia="Arial" w:hAnsi="Arial"/>
          <w:sz w:val="17"/>
          <w:szCs w:val="17"/>
          <w:color w:val="auto"/>
        </w:rPr>
        <w:t xml:space="preserve"> shall be deemed to be a waiver);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provision hereof may be waived by any waiving party on such party’s own behalf, without the consent of any other party. Notwithstanding the foregoing, (i)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that if Investors waiving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 particular transaction purchase securities in such transaction, any non-waiving Investors shall have the right to purchase a pro rata portion (relative to the amount of such securities purchased by the waiving Investors) of such securities on the same terms and conditions), (ii) no waiver or amendment of </w:t>
      </w:r>
      <w:r>
        <w:rPr>
          <w:rFonts w:ascii="Arial" w:cs="Arial" w:eastAsia="Arial" w:hAnsi="Arial"/>
          <w:sz w:val="17"/>
          <w:szCs w:val="17"/>
          <w:u w:val="single" w:color="auto"/>
          <w:color w:val="auto"/>
        </w:rPr>
        <w:t>Subsections 2.11 and 3.1</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that is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17" w:name="page218"/>
    <w:bookmarkEnd w:id="217"/>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adverse to Fidelity shall be effective as to Fidelity without the prior written consent of Fidelity, so long as Fidelity is a Major Investor, (iii) no waiver or amendment of </w:t>
      </w:r>
      <w:r>
        <w:rPr>
          <w:rFonts w:ascii="Arial" w:cs="Arial" w:eastAsia="Arial" w:hAnsi="Arial"/>
          <w:sz w:val="16"/>
          <w:szCs w:val="16"/>
          <w:u w:val="single" w:color="auto"/>
          <w:color w:val="auto"/>
        </w:rPr>
        <w:t>Subsections 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that is adverse to Foresite shall be effective as to Foresite without the prior written consent of Foresite, so long as Foresite is a Major Investor, (iv) no waiver or amendment of </w:t>
      </w:r>
      <w:r>
        <w:rPr>
          <w:rFonts w:ascii="Arial" w:cs="Arial" w:eastAsia="Arial" w:hAnsi="Arial"/>
          <w:sz w:val="16"/>
          <w:szCs w:val="16"/>
          <w:u w:val="single" w:color="auto"/>
          <w:color w:val="auto"/>
        </w:rPr>
        <w:t>Subsections 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that is adverse to Jennison shall be effective as to Jennison without the prior written consent of Jennison, so long as Jennison is a Major Investor, (v) no waiver or amendment of </w:t>
      </w:r>
      <w:r>
        <w:rPr>
          <w:rFonts w:ascii="Arial" w:cs="Arial" w:eastAsia="Arial" w:hAnsi="Arial"/>
          <w:sz w:val="16"/>
          <w:szCs w:val="16"/>
          <w:u w:val="single" w:color="auto"/>
          <w:color w:val="auto"/>
        </w:rPr>
        <w:t>Subsection</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3.1</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that is adverse to New Leaf shall be effective as to New Leaf, so long as New Leaf is a Major Investor and (vi) the definition of “Major Investor” may not be changed without the consent of (a) Fidelity for so long as Fidelity is a Major Investor and (b) Jennison for so long as Jennison is a Major Investor.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64"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4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if the Company issues additional shares of the Company’s Series B Preferred Shares after the date hereof, any purchaser of such Series B Preferred Shares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88"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any Schedules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and the other Voting Agreement (as defined in the Subscription Agreement), the Shareholders Agreement shall be deemed superseded and replaced in its entirety by this Agreement, and shall be of no further force or effect.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18" w:name="page219"/>
    <w:bookmarkEnd w:id="218"/>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controversy or claim arising out of or in connection with this Agreement, including any question regarding its existence, validity, interpretation, performance, breach or termination, shall be referred to and finally resolved by binding arbitration in Singapore in accordance with the Arbitration Rules of the Singapore International Arbitration Centre (the SIAC Rules) for the time being in force, which rules are deemed to be incorporated by reference. The place of arbitration shall be Singapore. The number of arbitrators shall be one (1), whose appointment shall be in accordance with the SIAC Rules. The award shall be final and binding on the parties, and judgment upon any award may be entered and enforced in any court having jurisdiction.</w:t>
      </w:r>
    </w:p>
    <w:p>
      <w:pPr>
        <w:spacing w:after="0" w:line="19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Each Investor irrevocably agrees that, in the event of multiple disputes involving the same or substantially the same facts or issues between the Company and the Investors, the Company may, in order to facilitate the comprehensive resolution of related disputes, apply to the arbitrator first appointed to hear any such dispute to consolidate the arbitration with any other arbitration or proposed arbitration involving the Investor and relating to this Agreement. Such arbitrator shall not consolidate such arbitrations unless it determines that (a) there are issues of fact or law common to the arbitrations in questions so that a consolidated proceeding would be more efficient than separate proceedings, and (b) no party would be prejudiced as a result of such consolidation through undue delay or otherwise.</w:t>
      </w:r>
    </w:p>
    <w:p>
      <w:pPr>
        <w:spacing w:after="0" w:line="193"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WAVE LIFE SCIENCES PTE. LTD.</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Bolno, M.D.</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B. Bolno, M.D.</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11"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500"/>
          </w:cols>
          <w:pgMar w:left="1160" w:top="274"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Foresite Capital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Foresite Capital Management III,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29210</wp:posOffset>
            </wp:positionV>
            <wp:extent cx="28987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23495</wp:posOffset>
            </wp:positionV>
            <wp:extent cx="25215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880"/>
          </w:cols>
          <w:pgMar w:left="700" w:top="274" w:right="31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760"/>
        <w:spacing w:after="0"/>
        <w:rPr>
          <w:sz w:val="20"/>
          <w:szCs w:val="20"/>
          <w:color w:val="auto"/>
        </w:rPr>
      </w:pPr>
      <w:r>
        <w:rPr>
          <w:rFonts w:ascii="Arial" w:cs="Arial" w:eastAsia="Arial" w:hAnsi="Arial"/>
          <w:sz w:val="18"/>
          <w:szCs w:val="18"/>
          <w:b w:val="1"/>
          <w:bCs w:val="1"/>
          <w:color w:val="auto"/>
        </w:rPr>
        <w:t>Fidelity Select Portfolios: Biotechnology Portfolio</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Zambello</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Zambello</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Deputy Treasurer</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Fidelity Advisor Series VII: Fidelity Advisor Biotechnology</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Zambello</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Zambello</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Deputy Treasurer</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RA CAPITAL HEALTHCARE FUND, L.P.</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RA Capital Management, LLC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9759"/>
          </w:cols>
          <w:pgMar w:left="700" w:top="274" w:right="1440"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BLACKWELL PARTNERS LLC – SERIES A</w:t>
      </w:r>
    </w:p>
    <w:p>
      <w:pPr>
        <w:spacing w:after="0" w:line="24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Koehrsen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Eric M. Koehrsen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Investment Manager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DUMAC,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Authorized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5715</wp:posOffset>
            </wp:positionV>
            <wp:extent cx="25215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0"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Jannine M. Lall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Jannine M. Lall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Assistant Treasurer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DUMAC,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Authorized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5715</wp:posOffset>
            </wp:positionV>
            <wp:extent cx="25215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0"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9980"/>
          </w:cols>
          <w:pgMar w:left="700" w:top="274" w:right="121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New Leaf Growth Fund I,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New Leaf Growth Associates I, L.P.</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Its: General Partner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New Leaf Venture Management III, L.L.C.</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Its: General Partner</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Slutzkin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Craig L. Slutzkin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8-12-15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180340</wp:posOffset>
            </wp:positionV>
            <wp:extent cx="28987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Redmile Capital Fund, LP</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Managing Member of the General Partner and the</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5715</wp:posOffset>
            </wp:positionV>
            <wp:extent cx="25215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580"/>
          </w:cols>
          <w:pgMar w:left="700" w:top="274" w:right="61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720"/>
        <w:spacing w:after="0"/>
        <w:rPr>
          <w:sz w:val="20"/>
          <w:szCs w:val="20"/>
          <w:color w:val="auto"/>
        </w:rPr>
      </w:pPr>
      <w:r>
        <w:rPr>
          <w:rFonts w:ascii="Arial" w:cs="Arial" w:eastAsia="Arial" w:hAnsi="Arial"/>
          <w:sz w:val="18"/>
          <w:szCs w:val="18"/>
          <w:b w:val="1"/>
          <w:bCs w:val="1"/>
          <w:color w:val="auto"/>
        </w:rPr>
        <w:t>Redmile Capital Offshore Fund,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Green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Jeremy Green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 of the Investment Manager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203835</wp:posOffset>
            </wp:positionV>
            <wp:extent cx="289877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340"/>
        <w:spacing w:after="0"/>
        <w:rPr>
          <w:sz w:val="20"/>
          <w:szCs w:val="20"/>
          <w:color w:val="auto"/>
        </w:rPr>
      </w:pPr>
      <w:r>
        <w:rPr>
          <w:rFonts w:ascii="Arial" w:cs="Arial" w:eastAsia="Arial" w:hAnsi="Arial"/>
          <w:sz w:val="18"/>
          <w:szCs w:val="18"/>
          <w:b w:val="1"/>
          <w:bCs w:val="1"/>
          <w:color w:val="auto"/>
        </w:rPr>
        <w:t>Redmile Special Opportunities Fund,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Green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Jeremy Green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 of the Investment Manager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203835</wp:posOffset>
            </wp:positionV>
            <wp:extent cx="289877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540"/>
        <w:spacing w:after="0"/>
        <w:rPr>
          <w:sz w:val="20"/>
          <w:szCs w:val="20"/>
          <w:color w:val="auto"/>
        </w:rPr>
      </w:pPr>
      <w:r>
        <w:rPr>
          <w:rFonts w:ascii="Arial" w:cs="Arial" w:eastAsia="Arial" w:hAnsi="Arial"/>
          <w:sz w:val="18"/>
          <w:szCs w:val="18"/>
          <w:b w:val="1"/>
          <w:bCs w:val="1"/>
          <w:color w:val="auto"/>
        </w:rPr>
        <w:t>Redmile Capital Offshore Fund II,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Green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Jeremy Green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 of the Investment Manager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203835</wp:posOffset>
            </wp:positionV>
            <wp:extent cx="28987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Redmile Biotechnologies Investments I AF, LP</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Managing Member of the Mngt. Co./Investment</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5715</wp:posOffset>
            </wp:positionV>
            <wp:extent cx="252158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460"/>
          </w:cols>
          <w:pgMar w:left="700" w:top="274" w:right="7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860"/>
        <w:spacing w:after="0"/>
        <w:rPr>
          <w:sz w:val="20"/>
          <w:szCs w:val="20"/>
          <w:color w:val="auto"/>
        </w:rPr>
      </w:pPr>
      <w:r>
        <w:rPr>
          <w:rFonts w:ascii="Arial" w:cs="Arial" w:eastAsia="Arial" w:hAnsi="Arial"/>
          <w:sz w:val="18"/>
          <w:szCs w:val="18"/>
          <w:b w:val="1"/>
          <w:bCs w:val="1"/>
          <w:color w:val="auto"/>
        </w:rPr>
        <w:t>Cormorant Global Healthcare Master Fund,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Bihua Chen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Bihua Chen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 of the General Partner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August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880"/>
        <w:spacing w:after="0"/>
        <w:rPr>
          <w:sz w:val="20"/>
          <w:szCs w:val="20"/>
          <w:color w:val="auto"/>
        </w:rPr>
      </w:pPr>
      <w:r>
        <w:rPr>
          <w:rFonts w:ascii="Arial" w:cs="Arial" w:eastAsia="Arial" w:hAnsi="Arial"/>
          <w:sz w:val="18"/>
          <w:szCs w:val="18"/>
          <w:b w:val="1"/>
          <w:bCs w:val="1"/>
          <w:color w:val="auto"/>
        </w:rPr>
        <w:t>Clough Investment Partners I,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Gillis</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J. Gillis</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Compliance Officer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800"/>
        <w:spacing w:after="0"/>
        <w:rPr>
          <w:sz w:val="20"/>
          <w:szCs w:val="20"/>
          <w:color w:val="auto"/>
        </w:rPr>
      </w:pPr>
      <w:r>
        <w:rPr>
          <w:rFonts w:ascii="Arial" w:cs="Arial" w:eastAsia="Arial" w:hAnsi="Arial"/>
          <w:sz w:val="18"/>
          <w:szCs w:val="18"/>
          <w:b w:val="1"/>
          <w:bCs w:val="1"/>
          <w:color w:val="auto"/>
        </w:rPr>
        <w:t>Clough Investment Partners II,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Gillis</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J. Gillis</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Compliance Officer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2800"/>
        <w:spacing w:after="0"/>
        <w:rPr>
          <w:sz w:val="20"/>
          <w:szCs w:val="20"/>
          <w:color w:val="auto"/>
        </w:rPr>
      </w:pPr>
      <w:r>
        <w:rPr>
          <w:rFonts w:ascii="Arial" w:cs="Arial" w:eastAsia="Arial" w:hAnsi="Arial"/>
          <w:sz w:val="18"/>
          <w:szCs w:val="18"/>
          <w:b w:val="1"/>
          <w:bCs w:val="1"/>
          <w:color w:val="auto"/>
        </w:rPr>
        <w:t>Leerink Holdings LLC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4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A.G. Gerhold</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Timothy A.G. Gerhold</w:t>
            </w: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Counsel</w:t>
            </w: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Dated:</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8/12/2015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Copy to:</w:t>
      </w:r>
    </w:p>
    <w:p>
      <w:pPr>
        <w:spacing w:after="0" w:line="13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280"/>
        <w:spacing w:after="0"/>
        <w:rPr>
          <w:sz w:val="20"/>
          <w:szCs w:val="20"/>
          <w:color w:val="auto"/>
        </w:rPr>
      </w:pPr>
      <w:r>
        <w:rPr>
          <w:rFonts w:ascii="Arial" w:cs="Arial" w:eastAsia="Arial" w:hAnsi="Arial"/>
          <w:sz w:val="18"/>
          <w:szCs w:val="18"/>
          <w:b w:val="1"/>
          <w:bCs w:val="1"/>
          <w:color w:val="auto"/>
        </w:rPr>
        <w:t>Leerink Swann Co-Investment Fund, LLC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Leerink</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Jeffrey A. Leerink</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w:t>
            </w:r>
          </w:p>
        </w:tc>
      </w:tr>
    </w:tbl>
    <w:p>
      <w:pPr>
        <w:spacing w:after="0" w:line="10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8/12/2015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Jennison Global Healthcare Master Fund,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By: Jennison Associates LLC, as the Investment Manager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of Jennison Global Healthcare Master Fund, Ltd.</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Chan</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Chan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of Jennison Associates LLC</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12,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SNBL USA,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Ryoichi Nagata</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Ryoichi Nagata</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jc w:val="right"/>
        <w:ind w:right="1240"/>
        <w:spacing w:after="0"/>
        <w:rPr>
          <w:sz w:val="20"/>
          <w:szCs w:val="20"/>
          <w:color w:val="auto"/>
        </w:rPr>
      </w:pPr>
      <w:r>
        <w:rPr>
          <w:rFonts w:ascii="Arial" w:cs="Arial" w:eastAsia="Arial" w:hAnsi="Arial"/>
          <w:sz w:val="18"/>
          <w:szCs w:val="18"/>
          <w:b w:val="1"/>
          <w:bCs w:val="1"/>
          <w:color w:val="auto"/>
        </w:rPr>
        <w:t>Shin Nippon Biomedical Laboratories, Ltd.</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Ryoichi Nagata</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Ryoichi Nagata</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 and CEO</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214630</wp:posOffset>
            </wp:positionV>
            <wp:extent cx="289877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960"/>
          </w:cols>
          <w:pgMar w:left="700" w:top="274" w:right="2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5"/>
          <w:szCs w:val="15"/>
          <w:b w:val="1"/>
          <w:bCs w:val="1"/>
          <w:color w:val="auto"/>
        </w:rPr>
        <w:t>Kagoshima Shinsangyo Sousei Investment Limited</w:t>
      </w:r>
    </w:p>
    <w:p>
      <w:pPr>
        <w:spacing w:after="0" w:line="6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Masaharu Tanaka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Masaharu Tanaka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10280"/>
          </w:cols>
          <w:pgMar w:left="700" w:top="274" w:right="91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Gregory L. Verdine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-116205</wp:posOffset>
            </wp:positionV>
            <wp:extent cx="289877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Gregory L. Verdine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-130810</wp:posOffset>
            </wp:positionV>
            <wp:extent cx="28987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9759"/>
          </w:cols>
          <w:pgMar w:left="700" w:top="274" w:right="1440"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Takeshi Wada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-116205</wp:posOffset>
            </wp:positionV>
            <wp:extent cx="28987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Takeshi Wada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-130810</wp:posOffset>
            </wp:positionV>
            <wp:extent cx="28987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 Aug.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-130175</wp:posOffset>
            </wp:positionV>
            <wp:extent cx="28987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9759"/>
          </w:cols>
          <w:pgMar w:left="700" w:top="274" w:right="1440"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Paul B. Bolno, M.D.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-116205</wp:posOffset>
            </wp:positionV>
            <wp:extent cx="28987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Paul B. Bolno, M.D.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-130810</wp:posOffset>
            </wp:positionV>
            <wp:extent cx="28987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238125</wp:posOffset>
            </wp:positionV>
            <wp:extent cx="289877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Address</w:t>
      </w:r>
    </w:p>
    <w:p>
      <w:pPr>
        <w:spacing w:after="0" w:line="15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INVESTORS’ RIGHTS AGREEMENT</w:t>
      </w:r>
    </w:p>
    <w:p>
      <w:pPr>
        <w:sectPr>
          <w:pgSz w:w="11900" w:h="16838" w:orient="portrait"/>
          <w:cols w:equalWidth="0" w:num="1">
            <w:col w:w="9759"/>
          </w:cols>
          <w:pgMar w:left="700" w:top="274" w:right="1440" w:bottom="1440" w:gutter="0" w:footer="0" w:header="0"/>
        </w:sectPr>
      </w:pPr>
    </w:p>
    <w:bookmarkStart w:id="243" w:name="page244"/>
    <w:bookmarkEnd w:id="24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Foresite Capital Fund III,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101 California Street, Suite 4100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Dennis D. 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Select Portfolios: Biotechnology Portfolio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Lerman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Advisor Series VII: Fidelity Advisor Biotechnology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State Street Bank &amp;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02206</w:t>
      </w:r>
    </w:p>
    <w:p>
      <w:pPr>
        <w:spacing w:after="0" w:line="9" w:lineRule="exact"/>
        <w:rPr>
          <w:sz w:val="20"/>
          <w:szCs w:val="20"/>
          <w:color w:val="auto"/>
        </w:rPr>
      </w:pPr>
    </w:p>
    <w:p>
      <w:pPr>
        <w:ind w:right="3759"/>
        <w:spacing w:after="0" w:line="261" w:lineRule="auto"/>
        <w:rPr>
          <w:sz w:val="20"/>
          <w:szCs w:val="20"/>
          <w:color w:val="auto"/>
        </w:rPr>
      </w:pPr>
      <w:r>
        <w:rPr>
          <w:rFonts w:ascii="Arial" w:cs="Arial" w:eastAsia="Arial" w:hAnsi="Arial"/>
          <w:sz w:val="18"/>
          <w:szCs w:val="18"/>
          <w:color w:val="auto"/>
        </w:rPr>
        <w:t>Attn: Bangle &amp; Co fbo Fidelity Advisor Series VII: Fidelity Advisor Biotechnology Fund Email: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 Capital Healthcare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 Park Plaza,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778-2500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Blackwell Partners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 Park Plaza,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Leaf Growth Fund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 Times Square, Suite 3502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Craig L. Slutzkin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ectPr>
          <w:pgSz w:w="11900" w:h="16838" w:orient="portrait"/>
          <w:cols w:equalWidth="0" w:num="1">
            <w:col w:w="10219"/>
          </w:cols>
          <w:pgMar w:left="240" w:top="270" w:right="1440"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Redmile Capital Offshore Fund,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Special Opportunities Fund,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Capital Offshore Fund II,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Redmile Biotechnologies Investments I AF, 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Bld. D,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Cormorant Global Healthcare Master Fund, LP</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Clough Investment Partners II, L.P.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One Post Office Square, 40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Swann Co-Investment Fund,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Jennison Global Healthcare Master Fund,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 Jennison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466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219"/>
          </w:cols>
          <w:pgMar w:left="240" w:top="270" w:right="1440"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SNBL USA,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6605 Merrill Creek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WA 98203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Shin Nippon Biomedical Laboratories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6605 Merrill Creek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WA 98203</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Kagoshima Shinsangyo Sousei Investment Limited Partnership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6-1-20 Nanei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Kagoshim City, Kagoshima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821-0122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099-260-3311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Gregory L. Verdine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500 Atlantic Avenue, 18P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Takeshi Wada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4-11-42-301 Asahi Cho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Kashiwa, Chiba 277-0852,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B. Bolno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113 W. Chestnut Hill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219"/>
          </w:cols>
          <w:pgMar w:left="240" w:top="270" w:right="1440"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WAVE LIFE SCIENCES PTE. LTD.</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2014 EQUITY INCENTIVE PLAN</w:t>
      </w:r>
    </w:p>
    <w:p>
      <w:pPr>
        <w:spacing w:after="0" w:line="211" w:lineRule="exact"/>
        <w:rPr>
          <w:sz w:val="20"/>
          <w:szCs w:val="20"/>
          <w:color w:val="auto"/>
        </w:rPr>
      </w:pPr>
    </w:p>
    <w:p>
      <w:pPr>
        <w:ind w:left="180" w:hanging="172"/>
        <w:spacing w:after="0"/>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Purpose; Eligibility</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General Purpose</w:t>
      </w:r>
      <w:r>
        <w:rPr>
          <w:rFonts w:ascii="Arial" w:cs="Arial" w:eastAsia="Arial" w:hAnsi="Arial"/>
          <w:sz w:val="16"/>
          <w:szCs w:val="16"/>
          <w:color w:val="auto"/>
        </w:rPr>
        <w:t>. The name of this plan is the Wave Life Sciences Pte. Ltd. 2014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The purposes of the Plan are to</w:t>
      </w:r>
    </w:p>
    <w:p>
      <w:pPr>
        <w:spacing w:after="0" w:line="46" w:lineRule="exact"/>
        <w:rPr>
          <w:sz w:val="20"/>
          <w:szCs w:val="20"/>
          <w:color w:val="auto"/>
        </w:rPr>
      </w:pPr>
    </w:p>
    <w:p>
      <w:pPr>
        <w:ind w:right="560" w:firstLine="8"/>
        <w:spacing w:after="0" w:line="255" w:lineRule="auto"/>
        <w:tabs>
          <w:tab w:leader="none" w:pos="21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provide eligible Employees, Consultants, and Directors with the opportunity to acquire a proprietary interest, or otherwise increase their proprietary interest, in the Company as an incentive for them to remain in the service of Wave Life Sciences Pte. Ltd., a corporation formed in Singapore (the “</w:t>
      </w:r>
      <w:r>
        <w:rPr>
          <w:rFonts w:ascii="Arial" w:cs="Arial" w:eastAsia="Arial" w:hAnsi="Arial"/>
          <w:sz w:val="18"/>
          <w:szCs w:val="18"/>
          <w:u w:val="single" w:color="auto"/>
          <w:color w:val="auto"/>
        </w:rPr>
        <w:t>Company</w:t>
      </w:r>
      <w:r>
        <w:rPr>
          <w:rFonts w:ascii="Arial" w:cs="Arial" w:eastAsia="Arial" w:hAnsi="Arial"/>
          <w:sz w:val="18"/>
          <w:szCs w:val="18"/>
          <w:color w:val="auto"/>
        </w:rPr>
        <w:t>”), and any Affiliate; and (ii) promote the success of the Company’s business.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Eligible Award Recipients</w:t>
      </w:r>
      <w:r>
        <w:rPr>
          <w:rFonts w:ascii="Arial" w:cs="Arial" w:eastAsia="Arial" w:hAnsi="Arial"/>
          <w:sz w:val="16"/>
          <w:szCs w:val="16"/>
          <w:color w:val="auto"/>
        </w:rPr>
        <w:t>. The persons eligible to receive Awards are the Employees, Consultants, and Directors of the Company and its Affiliates.</w:t>
      </w:r>
    </w:p>
    <w:p>
      <w:pPr>
        <w:spacing w:after="0" w:line="24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Available Awards</w:t>
      </w:r>
      <w:r>
        <w:rPr>
          <w:rFonts w:ascii="Arial" w:cs="Arial" w:eastAsia="Arial" w:hAnsi="Arial"/>
          <w:sz w:val="18"/>
          <w:szCs w:val="18"/>
          <w:color w:val="auto"/>
        </w:rPr>
        <w:t>. Awards that may be granted under the Plan include: (a) Incentive Share Options; (b) Non-qualified Share Options; (c) Share Appreciation Rights; and (d) Restricted Awards.</w:t>
      </w:r>
    </w:p>
    <w:p>
      <w:pPr>
        <w:spacing w:after="0" w:line="279" w:lineRule="exact"/>
        <w:rPr>
          <w:sz w:val="20"/>
          <w:szCs w:val="20"/>
          <w:color w:val="auto"/>
        </w:rPr>
      </w:pPr>
    </w:p>
    <w:p>
      <w:pPr>
        <w:ind w:left="180" w:hanging="172"/>
        <w:spacing w:after="0"/>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corporation or other entity that, directly or through one or more intermediaries, controls, is controlled by or is under common control with, the Company.</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related to or implicated by the administration of the Plan under (i) applicable laws of the Republic of Singapore, including but not limited to, the Singaporean Equity Remuneration Incentive Scheme and the Income Tax Act of Singapore; (ii) applicable laws of the United States, including but not limited to, United States federal and state securities laws and the Code; (iii) applicable laws of Japan, including but not limited to, the Financial Instruments and Exchange Act of Japan; (iv) any stock exchange or quotation system on which the Ordinary Shares are listed or quoted; and (v) the applicable laws of any foreign country or jurisdiction where Awards are granted under the Plan.</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right granted under the Plan, including an Incentive Share Option, a Non-qualified Share Option, a Share Appreciation Right, or a Restricted Award.</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at any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With respect to any Employee or Consultant: (a) if the Employee or Consultant is a party to an employment or service agreement with the Company or its Affiliates and such agreement provides for a definition of Cause, the definition contained therein; or (b) if no such agreement exists, or if such agreement does not define Cause: (i) the commission of, or plea of guilty or no contest to, a felony or a</w:t>
      </w:r>
    </w:p>
    <w:p>
      <w:pPr>
        <w:sectPr>
          <w:pgSz w:w="11900" w:h="16838" w:orient="portrait"/>
          <w:cols w:equalWidth="0" w:num="1">
            <w:col w:w="11420"/>
          </w:cols>
          <w:pgMar w:left="240" w:top="121" w:right="239" w:bottom="1440" w:gutter="0" w:footer="0" w:header="0"/>
        </w:sectPr>
      </w:pPr>
    </w:p>
    <w:bookmarkStart w:id="247" w:name="page248"/>
    <w:bookmarkEnd w:id="247"/>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crime involving fraud, embezzlement or any other act of moral turpitude or the commission of any other act involving willful malfeasance or material fiduciary breach with respect to the Company or an Affiliate; (ii) conduct that results in or is reasonably likely to result in harm to the reputation or business of the Company or any of its Affiliates; (iii) gross negligence or willful misconduct with respect to the Company or an Affiliate; (iv) material breach of any employment, consulting, advisory, nondisclosure, non-solicitation, non-competition or similar agreement with the Company or its Affiliates; or (v) material violation of state or federal securities laws.</w:t>
      </w:r>
    </w:p>
    <w:p>
      <w:pPr>
        <w:spacing w:after="0" w:line="188" w:lineRule="exact"/>
        <w:rPr>
          <w:sz w:val="20"/>
          <w:szCs w:val="20"/>
          <w:color w:val="auto"/>
        </w:rPr>
      </w:pPr>
    </w:p>
    <w:p>
      <w:pPr>
        <w:ind w:right="500" w:firstLine="913"/>
        <w:spacing w:after="0" w:line="264" w:lineRule="auto"/>
        <w:rPr>
          <w:sz w:val="20"/>
          <w:szCs w:val="20"/>
          <w:color w:val="auto"/>
        </w:rPr>
      </w:pPr>
      <w:r>
        <w:rPr>
          <w:rFonts w:ascii="Arial" w:cs="Arial" w:eastAsia="Arial" w:hAnsi="Arial"/>
          <w:sz w:val="18"/>
          <w:szCs w:val="18"/>
          <w:color w:val="auto"/>
        </w:rPr>
        <w:t>With respect to any Director, a determination by a majority of the disinterested Board members that the Director has engaged in any of the following: (a) gross misconduct or neglect; (b) false or fraudulent misrepresentation inducing the Director’s appointment; or (c) willful conversion of corporate funds.</w:t>
      </w:r>
    </w:p>
    <w:p>
      <w:pPr>
        <w:spacing w:after="0" w:line="181"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The Committee, in its absolute discretion, shall determine the effect of all matters and questions relating to whether a Participant has been discharged for Cause.</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it may be amended from time to time. Any reference to a section of the Code shall be deemed to include a reference to any regulations promulgated thereunder.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means a committee of one or more members of the Board appointed by the Board to administer the Plan in accordance with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3.3</w:t>
      </w:r>
      <w:r>
        <w:rPr>
          <w:rFonts w:ascii="Arial" w:cs="Arial" w:eastAsia="Arial" w:hAnsi="Arial"/>
          <w:sz w:val="16"/>
          <w:szCs w:val="16"/>
          <w:color w:val="auto"/>
        </w:rPr>
        <w: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Wave Life Sciences Pte. Ltd., a corporation formed in Singapore, and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individual who is engaged by the Company or any Affiliate to render consulting or advisory services.</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Service</w:t>
      </w:r>
      <w:r>
        <w:rPr>
          <w:rFonts w:ascii="Arial" w:cs="Arial" w:eastAsia="Arial" w:hAnsi="Arial"/>
          <w:sz w:val="16"/>
          <w:szCs w:val="16"/>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there is no interruption or termination of the Participant’s Continuous Service;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any Award is subject to Section 409A of the Code, this sentence shall only be given effect to the extent consistent with Section 409A of the Code.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14.8</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means that the Participant is unable to engage in any substantial gainful activity by reason of any medically determinable physical or mental impairment;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for purposes of determining the term of an Incentive Share Option pursuant to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6.10</w:t>
      </w:r>
      <w:r>
        <w:rPr>
          <w:rFonts w:ascii="Arial" w:cs="Arial" w:eastAsia="Arial" w:hAnsi="Arial"/>
          <w:sz w:val="16"/>
          <w:szCs w:val="16"/>
          <w:color w:val="auto"/>
        </w:rPr>
        <w:t xml:space="preserve"> hereof,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48" w:name="page249"/>
    <w:bookmarkEnd w:id="248"/>
    <w:p>
      <w:pPr>
        <w:ind w:right="1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an Incentive Share Option pursuant to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6.10</w:t>
      </w:r>
      <w:r>
        <w:rPr>
          <w:rFonts w:ascii="Arial" w:cs="Arial" w:eastAsia="Arial" w:hAnsi="Arial"/>
          <w:sz w:val="18"/>
          <w:szCs w:val="18"/>
          <w:color w:val="auto"/>
        </w:rPr>
        <w:t xml:space="preserve"> hereof within the meaning of Section 22(e)(3) of the Code, the Committee may rely on any determination that a Participant is disabled for purposes of benefits under any long-term disability plan maintained by the Company or any Affiliate in which a Participant participates.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Disqualifying Disposition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14.8</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as of which this Plan is adopted by the Board.</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person, including an Officer or Director, employed by the Company or an Affiliate;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determining eligibility to receive Incentive Share Options, an Employee shall mean an employee of the Company or a parent or subsidiary corporation within the meaning of Section 424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means, as of any date, the value of an Ordinary Share as determined below. If an Ordinary Share is listed on any established stock exchange or a national market system, including without limitation, the New York Stock Exchange or the NASDAQ Stock Market, the Fair Market Value shall be the closing price of an Ordinary Share (or if no sales were reported the closing price on the date immediately preceding such date) as quoted on such exchange or system on the day of determination,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 the absence of an established market for an Ordinary Share, the Fair Market Value shall be determined in good faith by the Committee and such determination shall be conclusive and binding on all persons.</w:t>
      </w:r>
    </w:p>
    <w:p>
      <w:pPr>
        <w:spacing w:after="0" w:line="158"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Share Option</w:t>
      </w:r>
      <w:r>
        <w:rPr>
          <w:rFonts w:ascii="Arial" w:cs="Arial" w:eastAsia="Arial" w:hAnsi="Arial"/>
          <w:sz w:val="18"/>
          <w:szCs w:val="18"/>
          <w:color w:val="auto"/>
        </w:rPr>
        <w:t>” means an Option intended to qualify as an incentive stock option within the meaning of Section 422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is a “non-employee director” within the meaning of Rule 16b-3.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Non-qualified Share Option</w:t>
      </w:r>
      <w:r>
        <w:rPr>
          <w:rFonts w:ascii="Arial" w:cs="Arial" w:eastAsia="Arial" w:hAnsi="Arial"/>
          <w:sz w:val="17"/>
          <w:szCs w:val="17"/>
          <w:color w:val="auto"/>
        </w:rPr>
        <w:t>” means an Option that by its terms does not qualify or is not intended to qualify as an Incentive Share Option.</w:t>
      </w:r>
    </w:p>
    <w:p>
      <w:pPr>
        <w:spacing w:after="0" w:line="23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Incentive Share Option or a Non-qualified Share Option granted pursuant to the Plan.</w:t>
      </w:r>
    </w:p>
    <w:p>
      <w:pPr>
        <w:spacing w:after="0" w:line="225"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 3</w:t>
      </w:r>
    </w:p>
    <w:p>
      <w:pPr>
        <w:sectPr>
          <w:pgSz w:w="11900" w:h="16838" w:orient="portrait"/>
          <w:cols w:equalWidth="0" w:num="1">
            <w:col w:w="11420"/>
          </w:cols>
          <w:pgMar w:left="240" w:top="270" w:right="239" w:bottom="1440" w:gutter="0" w:footer="0" w:header="0"/>
        </w:sectPr>
      </w:pPr>
    </w:p>
    <w:bookmarkStart w:id="249" w:name="page250"/>
    <w:bookmarkEnd w:id="2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means the price at which an Ordinary Share may be purchased upon the exercise of an Option.</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ordinary shares in the capital of the Company, or such other securities of the Company as may be designated by the Committee from time to time in substitution thereof.</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to whom an Award is granted pursuant to the Plan or, if applicable, such other person who holds an outstanding Award.</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means the following if prior approval is obtained from the Committee in its sole and absolute discretion: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and (b) such other transferees as may be permitted by the Committee in its sole discretion.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Wave Life Sciences Pte. Ltd. 2014 Equity Incentive Plan, as amended and/or amended and restated from time to time.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Award</w:t>
      </w:r>
      <w:r>
        <w:rPr>
          <w:rFonts w:ascii="Arial" w:cs="Arial" w:eastAsia="Arial" w:hAnsi="Arial"/>
          <w:sz w:val="18"/>
          <w:szCs w:val="18"/>
          <w:color w:val="auto"/>
        </w:rPr>
        <w:t xml:space="preserve">” means any Award granted pursuant to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7.2(a)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7.2(a)</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1" w:lineRule="exact"/>
        <w:rPr>
          <w:sz w:val="20"/>
          <w:szCs w:val="20"/>
          <w:color w:val="auto"/>
        </w:rPr>
      </w:pPr>
    </w:p>
    <w:p>
      <w:pPr>
        <w:jc w:val="both"/>
        <w:ind w:right="18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 Appreciation Right</w:t>
      </w:r>
      <w:r>
        <w:rPr>
          <w:rFonts w:ascii="Arial" w:cs="Arial" w:eastAsia="Arial" w:hAnsi="Arial"/>
          <w:sz w:val="16"/>
          <w:szCs w:val="16"/>
          <w:color w:val="auto"/>
        </w:rPr>
        <w:t xml:space="preserve">” means the right pursuant to an Award granted under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7.1</w:t>
      </w:r>
      <w:r>
        <w:rPr>
          <w:rFonts w:ascii="Arial" w:cs="Arial" w:eastAsia="Arial" w:hAnsi="Arial"/>
          <w:sz w:val="16"/>
          <w:szCs w:val="16"/>
          <w:color w:val="auto"/>
        </w:rPr>
        <w:t xml:space="preserve"> to receive, upon exercise, an amount payable in cash or shares equal to the number of shares subject to the Share Appreciation Right that is being exercised multiplied by the excess of (a) the Fair Market Value of an Ordinary Share on the date the Award is exercised, over (b) the exercise price specified in the Share Appreciation Right Award Agreement.</w:t>
      </w:r>
    </w:p>
    <w:p>
      <w:pPr>
        <w:spacing w:after="0" w:line="146"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means a person who owns (or is deemed to own pursuant to Section 424(d) of the Code) more than 10% of the total combined voting power of all classes of shares of the Company or of any of its Affiliates.</w:t>
      </w:r>
    </w:p>
    <w:p>
      <w:pPr>
        <w:spacing w:after="0" w:line="279" w:lineRule="exact"/>
        <w:rPr>
          <w:sz w:val="20"/>
          <w:szCs w:val="20"/>
          <w:color w:val="auto"/>
        </w:rPr>
      </w:pPr>
    </w:p>
    <w:p>
      <w:pPr>
        <w:ind w:left="180" w:hanging="172"/>
        <w:spacing w:after="0"/>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50" w:name="page251"/>
    <w:bookmarkEnd w:id="250"/>
    <w:p>
      <w:pPr>
        <w:ind w:left="1740" w:hanging="248"/>
        <w:spacing w:after="0"/>
        <w:tabs>
          <w:tab w:leader="none" w:pos="17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construe and interpret the Plan and apply its provisions;</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promulgate, amend, and rescind rules and regulations relating to the administration of the Plan;</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carry out the purposes of the Plan;</w:t>
      </w:r>
    </w:p>
    <w:p>
      <w:pPr>
        <w:spacing w:after="0" w:line="236" w:lineRule="exact"/>
        <w:rPr>
          <w:rFonts w:ascii="Arial" w:cs="Arial" w:eastAsia="Arial" w:hAnsi="Arial"/>
          <w:sz w:val="17"/>
          <w:szCs w:val="17"/>
          <w:color w:val="auto"/>
        </w:rPr>
      </w:pPr>
    </w:p>
    <w:p>
      <w:pPr>
        <w:ind w:left="1740" w:hanging="248"/>
        <w:spacing w:after="0"/>
        <w:tabs>
          <w:tab w:leader="none" w:pos="17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 and the applicable Grant Date;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from time to time to select, subject to the limitations set forth in this Plan, those Participants to whom Awards shall be granted;</w:t>
      </w:r>
    </w:p>
    <w:p>
      <w:pPr>
        <w:spacing w:after="0" w:line="236" w:lineRule="exact"/>
        <w:rPr>
          <w:rFonts w:ascii="Arial" w:cs="Arial" w:eastAsia="Arial" w:hAnsi="Arial"/>
          <w:sz w:val="17"/>
          <w:szCs w:val="17"/>
          <w:color w:val="auto"/>
        </w:rPr>
      </w:pPr>
    </w:p>
    <w:p>
      <w:pPr>
        <w:ind w:left="1720" w:hanging="228"/>
        <w:spacing w:after="0"/>
        <w:tabs>
          <w:tab w:leader="none" w:pos="17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determine the number of Ordinary Shares to be made subject to each Award;</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determine whether each Option is to be an Incentive Share Option or a Non-qualified Share Option;</w:t>
      </w:r>
    </w:p>
    <w:p>
      <w:pPr>
        <w:spacing w:after="0" w:line="225" w:lineRule="exact"/>
        <w:rPr>
          <w:rFonts w:ascii="Arial" w:cs="Arial" w:eastAsia="Arial" w:hAnsi="Arial"/>
          <w:sz w:val="18"/>
          <w:szCs w:val="18"/>
          <w:color w:val="auto"/>
        </w:rPr>
      </w:pPr>
    </w:p>
    <w:p>
      <w:pPr>
        <w:ind w:right="260" w:firstLine="1492"/>
        <w:spacing w:after="0" w:line="277" w:lineRule="auto"/>
        <w:tabs>
          <w:tab w:leader="none" w:pos="17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170" w:lineRule="exact"/>
        <w:rPr>
          <w:rFonts w:ascii="Arial" w:cs="Arial" w:eastAsia="Arial" w:hAnsi="Arial"/>
          <w:sz w:val="18"/>
          <w:szCs w:val="18"/>
          <w:color w:val="auto"/>
        </w:rPr>
      </w:pPr>
    </w:p>
    <w:p>
      <w:pPr>
        <w:ind w:right="760" w:firstLine="1492"/>
        <w:spacing w:after="0" w:line="342" w:lineRule="auto"/>
        <w:tabs>
          <w:tab w:leader="none" w:pos="169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to amend any outstanding Awards, including for the purpose of modifying the time or manner of vesting, or the term of any outstanding Award;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amendment shall be subject to the Participant’s consent if required pursuant to </w:t>
      </w:r>
      <w:r>
        <w:rPr>
          <w:rFonts w:ascii="Arial" w:cs="Arial" w:eastAsia="Arial" w:hAnsi="Arial"/>
          <w:sz w:val="16"/>
          <w:szCs w:val="16"/>
          <w:b w:val="1"/>
          <w:bCs w:val="1"/>
          <w:i w:val="1"/>
          <w:iCs w:val="1"/>
          <w:color w:val="auto"/>
        </w:rPr>
        <w:t>Section 13</w:t>
      </w:r>
      <w:r>
        <w:rPr>
          <w:rFonts w:ascii="Arial" w:cs="Arial" w:eastAsia="Arial" w:hAnsi="Arial"/>
          <w:sz w:val="16"/>
          <w:szCs w:val="16"/>
          <w:color w:val="auto"/>
        </w:rPr>
        <w:t>.5</w:t>
      </w:r>
    </w:p>
    <w:p>
      <w:pPr>
        <w:spacing w:after="0" w:line="123" w:lineRule="exact"/>
        <w:rPr>
          <w:rFonts w:ascii="Arial" w:cs="Arial" w:eastAsia="Arial" w:hAnsi="Arial"/>
          <w:sz w:val="16"/>
          <w:szCs w:val="16"/>
          <w:color w:val="auto"/>
        </w:rPr>
      </w:pPr>
    </w:p>
    <w:p>
      <w:pPr>
        <w:ind w:right="60" w:firstLine="1492"/>
        <w:spacing w:after="0" w:line="277" w:lineRule="auto"/>
        <w:tabs>
          <w:tab w:leader="none" w:pos="169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make decisions with respect to outstanding Awards that may become necessary upon a change in corporate control or an event that triggers anti-dilution adjustments;</w:t>
      </w:r>
    </w:p>
    <w:p>
      <w:pPr>
        <w:spacing w:after="0" w:line="170" w:lineRule="exact"/>
        <w:rPr>
          <w:rFonts w:ascii="Arial" w:cs="Arial" w:eastAsia="Arial" w:hAnsi="Arial"/>
          <w:sz w:val="18"/>
          <w:szCs w:val="18"/>
          <w:color w:val="auto"/>
        </w:rPr>
      </w:pPr>
    </w:p>
    <w:p>
      <w:pPr>
        <w:ind w:right="700" w:firstLine="1492"/>
        <w:spacing w:after="0" w:line="277" w:lineRule="auto"/>
        <w:tabs>
          <w:tab w:leader="none" w:pos="17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interpret, administer, reconcile any inconsistency in, correct any defect in and/or supply any omission in the Plan and any instrument or agreement relating to, or Award granted under, the Plan;</w:t>
      </w:r>
    </w:p>
    <w:p>
      <w:pPr>
        <w:spacing w:after="0" w:line="170" w:lineRule="exact"/>
        <w:rPr>
          <w:rFonts w:ascii="Arial" w:cs="Arial" w:eastAsia="Arial" w:hAnsi="Arial"/>
          <w:sz w:val="18"/>
          <w:szCs w:val="18"/>
          <w:color w:val="auto"/>
        </w:rPr>
      </w:pPr>
    </w:p>
    <w:p>
      <w:pPr>
        <w:ind w:left="1700" w:hanging="208"/>
        <w:spacing w:after="0"/>
        <w:tabs>
          <w:tab w:leader="none" w:pos="17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exercise discretion to make any and all other determinations which it determines to be necessary or advisable for the administration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Plan; and</w:t>
      </w:r>
    </w:p>
    <w:p>
      <w:pPr>
        <w:spacing w:after="0" w:line="210" w:lineRule="exact"/>
        <w:rPr>
          <w:rFonts w:ascii="Arial" w:cs="Arial" w:eastAsia="Arial" w:hAnsi="Arial"/>
          <w:sz w:val="16"/>
          <w:szCs w:val="16"/>
          <w:color w:val="auto"/>
        </w:rPr>
      </w:pPr>
    </w:p>
    <w:p>
      <w:pPr>
        <w:ind w:left="1800" w:hanging="308"/>
        <w:spacing w:after="0"/>
        <w:tabs>
          <w:tab w:leader="none" w:pos="18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adopt sub-plans that, when taken together with the Plan, shall constitute the Plan for those certain tax residents identified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sub-plan.</w:t>
      </w:r>
    </w:p>
    <w:p>
      <w:pPr>
        <w:spacing w:after="0" w:line="21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The Committee also may modify the purchase price or the exercise price of any outstanding Award,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modification affects a repricing, shareholder approval shall be required before the repricing is effective.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Committee Decisions Final</w:t>
      </w:r>
      <w:r>
        <w:rPr>
          <w:rFonts w:ascii="Arial" w:cs="Arial" w:eastAsia="Arial" w:hAnsi="Arial"/>
          <w:sz w:val="18"/>
          <w:szCs w:val="18"/>
          <w:color w:val="auto"/>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Delegation</w:t>
      </w:r>
      <w:r>
        <w:rPr>
          <w:rFonts w:ascii="Arial" w:cs="Arial" w:eastAsia="Arial" w:hAnsi="Arial"/>
          <w:sz w:val="18"/>
          <w:szCs w:val="18"/>
          <w:color w:val="auto"/>
        </w:rPr>
        <w:t>. The Committee, or if no Committee has been appointed, the Board, may delegate administration of the Plan to a committee or committees of one or more members of the Board, and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251" w:name="page252"/>
    <w:bookmarkEnd w:id="251"/>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w:t>
      </w:r>
      <w:r>
        <w:rPr>
          <w:rFonts w:ascii="Arial" w:cs="Arial" w:eastAsia="Arial" w:hAnsi="Arial"/>
          <w:sz w:val="16"/>
          <w:szCs w:val="16"/>
          <w:u w:val="single" w:color="auto"/>
          <w:color w:val="auto"/>
        </w:rPr>
        <w:t>Committee</w:t>
      </w:r>
      <w:r>
        <w:rPr>
          <w:rFonts w:ascii="Arial" w:cs="Arial" w:eastAsia="Arial" w:hAnsi="Arial"/>
          <w:sz w:val="16"/>
          <w:szCs w:val="16"/>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Applicable Laws and such resolutions, not inconsistent with the provisions of the Plan, as may be adopted from time to time by the Board. The Board may abolish the Committee at any time and revest in the Board the administration of the Plan.</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Indemnification</w:t>
      </w:r>
      <w:r>
        <w:rPr>
          <w:rFonts w:ascii="Arial" w:cs="Arial" w:eastAsia="Arial" w:hAnsi="Arial"/>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Arial" w:cs="Arial" w:eastAsia="Arial" w:hAnsi="Arial"/>
          <w:sz w:val="17"/>
          <w:szCs w:val="17"/>
          <w:i w:val="1"/>
          <w:iCs w:val="1"/>
          <w:color w:val="auto"/>
        </w:rPr>
        <w:t>provided, however</w:t>
      </w:r>
      <w:r>
        <w:rPr>
          <w:rFonts w:ascii="Arial" w:cs="Arial" w:eastAsia="Arial" w:hAnsi="Arial"/>
          <w:sz w:val="17"/>
          <w:szCs w:val="17"/>
          <w:color w:val="auto"/>
        </w:rPr>
        <w:t>, that within 60 days after institution of any such action, suit or proceeding, such Committee shall, in writing, offer the Company the opportunity at its own expense to handle and defend such action, suit or proceeding.</w:t>
      </w:r>
    </w:p>
    <w:p>
      <w:pPr>
        <w:spacing w:after="0" w:line="286"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 Subject to adjustment in accordance with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a total of 879,800 Ordinary Shares shall be available for the grant of Awards under the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During the terms of the Awards, the Company shall keep available at all times the number of Ordinary Shares required to satisfy such Awards.</w:t>
      </w:r>
    </w:p>
    <w:p>
      <w:pPr>
        <w:spacing w:after="0" w:line="21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4.2 Ordinary Shares available for distribution under the Plan may consist, in whole or in part, of authorized and unissued shares, treasury shares or shares reacquired by the Company in any manner.</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4.3 Any Ordinary Shares subject to an Award that is canceled, forfeited or expires prior to exercise or realization, either in full or in part, shall again become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share-settled Share Appreciation Right or other Awards that were not issued upon the settlement of the Award.</w:t>
      </w:r>
    </w:p>
    <w:p>
      <w:pPr>
        <w:spacing w:after="0" w:line="296" w:lineRule="exact"/>
        <w:rPr>
          <w:sz w:val="20"/>
          <w:szCs w:val="20"/>
          <w:color w:val="auto"/>
        </w:rPr>
      </w:pPr>
    </w:p>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 for Specific Awards</w:t>
      </w:r>
      <w:r>
        <w:rPr>
          <w:rFonts w:ascii="Arial" w:cs="Arial" w:eastAsia="Arial" w:hAnsi="Arial"/>
          <w:sz w:val="18"/>
          <w:szCs w:val="18"/>
          <w:color w:val="auto"/>
        </w:rPr>
        <w:t>. Incentive Share Options may be granted only to Employees who are tax residents of the United States and shall not include Employees who are solely Officers and Directors. Awards other than Incentive Share Options may be granted to Employees, Consultants and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52" w:name="page253"/>
    <w:bookmarkEnd w:id="25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6"/>
          <w:szCs w:val="16"/>
          <w:u w:val="single" w:color="auto"/>
          <w:color w:val="auto"/>
        </w:rPr>
        <w:t>Ten Percent Shareholders</w:t>
      </w:r>
      <w:r>
        <w:rPr>
          <w:rFonts w:ascii="Arial" w:cs="Arial" w:eastAsia="Arial" w:hAnsi="Arial"/>
          <w:sz w:val="16"/>
          <w:szCs w:val="16"/>
          <w:color w:val="auto"/>
        </w:rPr>
        <w:t>. A Ten Percent Shareholder shall not be granted an Incentive Share Option unless the Option Exercise Price is at least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 of the Fair Market Value of an Ordinary Share at the Grant Date and the Option is not exercisable after the expiration of five years from the Grant Date.</w:t>
      </w:r>
    </w:p>
    <w:p>
      <w:pPr>
        <w:spacing w:after="0" w:line="234" w:lineRule="exact"/>
        <w:rPr>
          <w:sz w:val="20"/>
          <w:szCs w:val="20"/>
          <w:color w:val="auto"/>
        </w:rPr>
      </w:pPr>
    </w:p>
    <w:p>
      <w:pPr>
        <w:ind w:firstLine="8"/>
        <w:spacing w:after="0" w:line="290" w:lineRule="auto"/>
        <w:tabs>
          <w:tab w:leader="none" w:pos="18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Option Provisions</w:t>
      </w:r>
      <w:r>
        <w:rPr>
          <w:rFonts w:ascii="Arial" w:cs="Arial" w:eastAsia="Arial" w:hAnsi="Arial"/>
          <w:sz w:val="16"/>
          <w:szCs w:val="16"/>
          <w:color w:val="auto"/>
        </w:rPr>
        <w:t xml:space="preserve">. Each Option granted under the Plan shall be evidenced by an Award Agreement. Each Option so granted shall be subject to the conditions set forth in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6</w:t>
      </w:r>
      <w:r>
        <w:rPr>
          <w:rFonts w:ascii="Arial" w:cs="Arial" w:eastAsia="Arial" w:hAnsi="Arial"/>
          <w:sz w:val="16"/>
          <w:szCs w:val="16"/>
          <w:color w:val="auto"/>
        </w:rPr>
        <w:t>, and to such other conditions not inconsistent with the Plan as may be reflected in the applicable Award Agreement. All Options shall be separately designated Incentive Share Options or Non-qualified Share Options at the time of grant, and, if certificates are issued, a separate certificate or certificates will be issued for Ordinary Shares purchased on exercise of each type of Option. Notwithstanding the foregoing, the Company shall have no liability to any Participant or any other person if an Option designated as an Incentive Share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62" w:lineRule="exact"/>
        <w:rPr>
          <w:sz w:val="20"/>
          <w:szCs w:val="20"/>
          <w:color w:val="auto"/>
        </w:rPr>
      </w:pPr>
    </w:p>
    <w:p>
      <w:pPr>
        <w:jc w:val="both"/>
        <w:ind w:right="660" w:firstLine="456"/>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Subject to the provisions of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5.2</w:t>
      </w:r>
      <w:r>
        <w:rPr>
          <w:rFonts w:ascii="Arial" w:cs="Arial" w:eastAsia="Arial" w:hAnsi="Arial"/>
          <w:sz w:val="17"/>
          <w:szCs w:val="17"/>
          <w:color w:val="auto"/>
        </w:rPr>
        <w:t xml:space="preserve"> regarding Ten Percent Shareholders, no Incentive Share Option shall be exercisable after the expiration of 10 years from the Grant Date. The term of a Non-qualified Share Option granted under the Plan shall be determined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no Non-qualified Share Option shall be exercisable after the expiration of 10 years from the Grant Date.</w:t>
      </w:r>
    </w:p>
    <w:p>
      <w:pPr>
        <w:spacing w:after="0" w:line="158"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Price of An Incentive Share Option</w:t>
      </w:r>
      <w:r>
        <w:rPr>
          <w:rFonts w:ascii="Arial" w:cs="Arial" w:eastAsia="Arial" w:hAnsi="Arial"/>
          <w:sz w:val="16"/>
          <w:szCs w:val="16"/>
          <w:color w:val="auto"/>
        </w:rPr>
        <w:t xml:space="preserve">. Subject to the provisions of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5.2</w:t>
      </w:r>
      <w:r>
        <w:rPr>
          <w:rFonts w:ascii="Arial" w:cs="Arial" w:eastAsia="Arial" w:hAnsi="Arial"/>
          <w:sz w:val="16"/>
          <w:szCs w:val="16"/>
          <w:color w:val="auto"/>
        </w:rPr>
        <w:t xml:space="preserve"> regarding Ten Percent Shareholders, the Option Exercise Price of each Incentive Share Option shall be not less than 100% of the Fair Market Value of an Ordinary Share subject to the Option on the Grant Date. Notwithstanding the foregoing, an Incentive Share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5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Exercise Price of a Non-qualified Share Option</w:t>
      </w:r>
      <w:r>
        <w:rPr>
          <w:rFonts w:ascii="Arial" w:cs="Arial" w:eastAsia="Arial" w:hAnsi="Arial"/>
          <w:sz w:val="18"/>
          <w:szCs w:val="18"/>
          <w:color w:val="auto"/>
        </w:rPr>
        <w:t>. The Option Exercise Price of each Non-qualified Share Option shall be not less than 100% of the Fair Market Value of an Ordinary Share subject to the Option on the Grant Date. Notwithstanding the foregoing, a Non-qualified Share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Consideration</w:t>
      </w:r>
      <w:r>
        <w:rPr>
          <w:rFonts w:ascii="Arial" w:cs="Arial" w:eastAsia="Arial" w:hAnsi="Arial"/>
          <w:sz w:val="16"/>
          <w:szCs w:val="16"/>
          <w:color w:val="auto"/>
        </w:rPr>
        <w:t>. The Option Exercise Price of an Ordinary Share acquired pursuant to an Option shall be paid, to the extent permitted by Applicable Laws, either (a) in cash or by certified or bank check at the time the Option is exercised; or (b) in the discretion of the Committee, upon such terms as the Committee shall approve, the Option Exercise Price may be paid: (i) by reduction in the number of Ordinary Shares otherwise deliverable upon exercise of such Option with a Fair Market Value equal to the aggregate Option Exercise Price at the time of exercise; (ii) in accordance with a cashless exercise program established with a securities brokerage firm, or (iii) in any other form of legal consideration that may be acceptable to the Committee.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53" w:name="page254"/>
    <w:bookmarkEnd w:id="253"/>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Transferability of An Incentive Share Option</w:t>
      </w:r>
      <w:r>
        <w:rPr>
          <w:rFonts w:ascii="Arial" w:cs="Arial" w:eastAsia="Arial" w:hAnsi="Arial"/>
          <w:sz w:val="18"/>
          <w:szCs w:val="18"/>
          <w:color w:val="auto"/>
        </w:rPr>
        <w:t>. An Incentive Share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Transferability of a Non-qualified Share Option</w:t>
      </w:r>
      <w:r>
        <w:rPr>
          <w:rFonts w:ascii="Arial" w:cs="Arial" w:eastAsia="Arial" w:hAnsi="Arial"/>
          <w:sz w:val="18"/>
          <w:szCs w:val="18"/>
          <w:color w:val="auto"/>
        </w:rPr>
        <w:t>. A Non-qualified Share Option may, in the sole discretion of the Committee, be transferable to a Permitted Transferee, upon written approval by the Committee to the extent provided in the Award Agreement. If the Non-qualified Share Option does not provide for transferability, then the Non-qualified Share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Vesting of Options</w:t>
      </w:r>
      <w:r>
        <w:rPr>
          <w:rFonts w:ascii="Arial" w:cs="Arial" w:eastAsia="Arial" w:hAnsi="Arial"/>
          <w:sz w:val="18"/>
          <w:szCs w:val="18"/>
          <w:color w:val="auto"/>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an Ordinary Share. The Committee may, but shall not be required to, provide for an acceleration of vesting and exercisability in the terms of any Award Agreement upon the occurrence of a specified event.</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Termination of Continuous Service</w:t>
      </w:r>
      <w:r>
        <w:rPr>
          <w:rFonts w:ascii="Arial" w:cs="Arial" w:eastAsia="Arial" w:hAnsi="Arial"/>
          <w:sz w:val="17"/>
          <w:szCs w:val="17"/>
          <w:color w:val="auto"/>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Arial" w:cs="Arial" w:eastAsia="Arial" w:hAnsi="Arial"/>
          <w:sz w:val="17"/>
          <w:szCs w:val="17"/>
          <w:i w:val="1"/>
          <w:iCs w:val="1"/>
          <w:color w:val="auto"/>
        </w:rPr>
        <w:t>provided that</w:t>
      </w:r>
      <w:r>
        <w:rPr>
          <w:rFonts w:ascii="Arial" w:cs="Arial" w:eastAsia="Arial" w:hAnsi="Arial"/>
          <w:sz w:val="17"/>
          <w:szCs w:val="17"/>
          <w:color w:val="auto"/>
        </w:rPr>
        <w:t>, if the termination of Continuous Service is by the Company for Cause, all outstanding Options (whether or not vested) shall immediately terminate and cease to be exercisable.</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xml:space="preserve">. An Optionholder’s Award Agreement may also provide that if the exercise of the Option following the termination of the Optionholder’s Continuous Service for any reason would be prohibited at any time because the issuance of Ordinary Shares would violate the registration requirements under the Securities Act or any other Applicable Laws, then the Option shall terminate on the earlier of (a) the expiration of the term of the Option in accordance with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6.1</w:t>
      </w:r>
      <w:r>
        <w:rPr>
          <w:rFonts w:ascii="Arial" w:cs="Arial" w:eastAsia="Arial" w:hAnsi="Arial"/>
          <w:sz w:val="16"/>
          <w:szCs w:val="16"/>
          <w:color w:val="auto"/>
        </w:rPr>
        <w:t>;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5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Disability of Optionholder</w:t>
      </w:r>
      <w:r>
        <w:rPr>
          <w:rFonts w:ascii="Arial" w:cs="Arial" w:eastAsia="Arial" w:hAnsi="Arial"/>
          <w:sz w:val="16"/>
          <w:szCs w:val="16"/>
          <w:color w:val="auto"/>
        </w:rPr>
        <w:t>. Unless otherwise provided in an Award Agreement, in the event that an Optionholder’s Continuous Service terminates as a result of the Optionholder’s Disability, the Optionholder may exercise his or her Option (to the extent that the Optionholder was entitled to exercise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54" w:name="page255"/>
    <w:bookmarkEnd w:id="2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Option as of the date of termination), but only within such period of time ending on the earlier of (a) the date 12 months following such termination; or</w:t>
      </w:r>
    </w:p>
    <w:p>
      <w:pPr>
        <w:spacing w:after="0" w:line="46" w:lineRule="exact"/>
        <w:rPr>
          <w:sz w:val="20"/>
          <w:szCs w:val="20"/>
          <w:color w:val="auto"/>
        </w:rPr>
      </w:pPr>
    </w:p>
    <w:p>
      <w:pPr>
        <w:ind w:right="260" w:firstLine="8"/>
        <w:spacing w:after="0" w:line="261" w:lineRule="auto"/>
        <w:tabs>
          <w:tab w:leader="none" w:pos="2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expiration of the term of the Option as set forth in the Award Agreement. If, after termination, the Optionholder does not exercise his or her Option within the time specified herein or in the Award Agreement, the Option shall terminate.</w:t>
      </w:r>
    </w:p>
    <w:p>
      <w:pPr>
        <w:spacing w:after="0" w:line="18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Death of Optionholder</w:t>
      </w:r>
      <w:r>
        <w:rPr>
          <w:rFonts w:ascii="Arial" w:cs="Arial" w:eastAsia="Arial" w:hAnsi="Arial"/>
          <w:sz w:val="17"/>
          <w:szCs w:val="17"/>
          <w:color w:val="auto"/>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spacing w:after="0" w:line="17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Incentive Share Option $100,000 Limitation</w:t>
      </w:r>
      <w:r>
        <w:rPr>
          <w:rFonts w:ascii="Arial" w:cs="Arial" w:eastAsia="Arial" w:hAnsi="Arial"/>
          <w:sz w:val="17"/>
          <w:szCs w:val="17"/>
          <w:color w:val="auto"/>
        </w:rPr>
        <w:t>. To the extent that the aggregate Fair Market Value (determined at the time of grant) of an Ordinary Share with respect to which Incentive Share Options are exercisable for the first time by any Optionholder during any calendar year (under all plans of the Company and its Affiliates) exceeds U.S. $100,000, the Options or portions thereof which exceed such limit (according to the order in which they were granted in accordance with Section 422(d) of the Code) shall be treated as Non-qualified Share Options.</w:t>
      </w:r>
    </w:p>
    <w:p>
      <w:pPr>
        <w:spacing w:after="0" w:line="280" w:lineRule="exact"/>
        <w:rPr>
          <w:sz w:val="20"/>
          <w:szCs w:val="20"/>
          <w:color w:val="auto"/>
        </w:rPr>
      </w:pPr>
    </w:p>
    <w:p>
      <w:pPr>
        <w:ind w:left="460" w:right="8120" w:hanging="452"/>
        <w:spacing w:after="0" w:line="422" w:lineRule="auto"/>
        <w:tabs>
          <w:tab w:leader="none" w:pos="184"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Provisions of Awards Other Than Options</w:t>
      </w:r>
      <w:r>
        <w:rPr>
          <w:rFonts w:ascii="Arial" w:cs="Arial" w:eastAsia="Arial" w:hAnsi="Arial"/>
          <w:sz w:val="16"/>
          <w:szCs w:val="16"/>
          <w:color w:val="auto"/>
        </w:rPr>
        <w:t xml:space="preserve">. 7.1 </w:t>
      </w:r>
      <w:r>
        <w:rPr>
          <w:rFonts w:ascii="Arial" w:cs="Arial" w:eastAsia="Arial" w:hAnsi="Arial"/>
          <w:sz w:val="16"/>
          <w:szCs w:val="16"/>
          <w:u w:val="single" w:color="auto"/>
          <w:color w:val="auto"/>
        </w:rPr>
        <w:t>Share Appreciation Rights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1492"/>
        <w:spacing w:after="0" w:line="312" w:lineRule="auto"/>
        <w:tabs>
          <w:tab w:leader="none" w:pos="1728"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Each Share Appreciation Right granted under the Plan shall be evidenced by an Award Agreement. Each Share Appreciation Right so granted shall be subject to the conditions set forth in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7.1</w:t>
      </w:r>
      <w:r>
        <w:rPr>
          <w:rFonts w:ascii="Arial" w:cs="Arial" w:eastAsia="Arial" w:hAnsi="Arial"/>
          <w:sz w:val="16"/>
          <w:szCs w:val="16"/>
          <w:color w:val="auto"/>
        </w:rPr>
        <w:t>, and to such other conditions not inconsistent with the Plan as may be reflected in the applicable Award Agreement. Share Appreciation Rights may be granted alone or in tandem with an Option granted under the Plan.</w:t>
      </w:r>
    </w:p>
    <w:p>
      <w:pPr>
        <w:spacing w:after="0" w:line="146" w:lineRule="exact"/>
        <w:rPr>
          <w:rFonts w:ascii="Arial" w:cs="Arial" w:eastAsia="Arial" w:hAnsi="Arial"/>
          <w:sz w:val="16"/>
          <w:szCs w:val="16"/>
          <w:color w:val="auto"/>
        </w:rPr>
      </w:pPr>
    </w:p>
    <w:p>
      <w:pPr>
        <w:jc w:val="both"/>
        <w:ind w:right="20" w:firstLine="1492"/>
        <w:spacing w:after="0" w:line="264" w:lineRule="auto"/>
        <w:tabs>
          <w:tab w:leader="none" w:pos="1738"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Grant Requirements</w:t>
      </w:r>
      <w:r>
        <w:rPr>
          <w:rFonts w:ascii="Arial" w:cs="Arial" w:eastAsia="Arial" w:hAnsi="Arial"/>
          <w:sz w:val="18"/>
          <w:szCs w:val="18"/>
          <w:color w:val="auto"/>
        </w:rPr>
        <w:t>. Any Share Appreciation Right that relates to a Non-qualified Share Option may be granted at the same time the Option is granted or at any time thereafter but before the exercise or expiration of the Option. Any Share Appreciation Right that relates to an Incentive Share Option must be granted at the same time the Incentive Share Option is granted.</w:t>
      </w:r>
    </w:p>
    <w:p>
      <w:pPr>
        <w:spacing w:after="0" w:line="181" w:lineRule="exact"/>
        <w:rPr>
          <w:rFonts w:ascii="Arial" w:cs="Arial" w:eastAsia="Arial" w:hAnsi="Arial"/>
          <w:sz w:val="18"/>
          <w:szCs w:val="18"/>
          <w:color w:val="auto"/>
        </w:rPr>
      </w:pPr>
    </w:p>
    <w:p>
      <w:pPr>
        <w:ind w:right="560" w:firstLine="1492"/>
        <w:spacing w:after="0" w:line="308" w:lineRule="auto"/>
        <w:tabs>
          <w:tab w:leader="none" w:pos="1728" w:val="left"/>
        </w:tabs>
        <w:numPr>
          <w:ilvl w:val="1"/>
          <w:numId w:val="156"/>
        </w:numPr>
        <w:rPr>
          <w:rFonts w:ascii="Arial" w:cs="Arial" w:eastAsia="Arial" w:hAnsi="Arial"/>
          <w:sz w:val="17"/>
          <w:szCs w:val="17"/>
          <w:color w:val="auto"/>
        </w:rPr>
      </w:pPr>
      <w:r>
        <w:rPr>
          <w:rFonts w:ascii="Arial" w:cs="Arial" w:eastAsia="Arial" w:hAnsi="Arial"/>
          <w:sz w:val="17"/>
          <w:szCs w:val="17"/>
          <w:u w:val="single" w:color="auto"/>
          <w:color w:val="auto"/>
        </w:rPr>
        <w:t>Term of Share Appreciation Rights</w:t>
      </w:r>
      <w:r>
        <w:rPr>
          <w:rFonts w:ascii="Arial" w:cs="Arial" w:eastAsia="Arial" w:hAnsi="Arial"/>
          <w:sz w:val="17"/>
          <w:szCs w:val="17"/>
          <w:color w:val="auto"/>
        </w:rPr>
        <w:t xml:space="preserve">. The term of a Share Appreciation Right granted under the Plan shall be determined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no Share Appreciation Right shall be exercisable later than the tenth anniversary of the Grant Date.</w:t>
      </w:r>
    </w:p>
    <w:p>
      <w:pPr>
        <w:spacing w:after="0" w:line="146" w:lineRule="exact"/>
        <w:rPr>
          <w:rFonts w:ascii="Arial" w:cs="Arial" w:eastAsia="Arial" w:hAnsi="Arial"/>
          <w:sz w:val="17"/>
          <w:szCs w:val="17"/>
          <w:color w:val="auto"/>
        </w:rPr>
      </w:pPr>
    </w:p>
    <w:p>
      <w:pPr>
        <w:ind w:right="160" w:firstLine="1492"/>
        <w:spacing w:after="0" w:line="297" w:lineRule="auto"/>
        <w:tabs>
          <w:tab w:leader="none" w:pos="1738"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Vesting of Share Appreciation Rights</w:t>
      </w:r>
      <w:r>
        <w:rPr>
          <w:rFonts w:ascii="Arial" w:cs="Arial" w:eastAsia="Arial" w:hAnsi="Arial"/>
          <w:sz w:val="16"/>
          <w:szCs w:val="16"/>
          <w:color w:val="auto"/>
        </w:rPr>
        <w:t>. Each Share Appreciation Right may, but need not, vest and therefore become exercisable in periodic installments that may, but need not, be equal. The Share Appreciation Right may be subject to such other terms and conditions on the time or times when it may be exercised as the Committee may deem appropriate. The vesting provisions of individual Share Appreciation Rights may vary. No Share Appreciation Right may be exercised for a fraction of an Ordinary Share. The Committee may, but shall not be required to, provide for an acceleration of vesting and exercisability in the terms of any Share Appreciation Right upon the occurrence of a specified event.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55" w:name="page256"/>
    <w:bookmarkEnd w:id="255"/>
    <w:p>
      <w:pPr>
        <w:ind w:right="160" w:firstLine="1492"/>
        <w:spacing w:after="0" w:line="286" w:lineRule="auto"/>
        <w:tabs>
          <w:tab w:leader="none" w:pos="1728"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w:t>
      </w:r>
      <w:r>
        <w:rPr>
          <w:rFonts w:ascii="Arial" w:cs="Arial" w:eastAsia="Arial" w:hAnsi="Arial"/>
          <w:sz w:val="17"/>
          <w:szCs w:val="17"/>
          <w:color w:val="auto"/>
        </w:rPr>
        <w:t>. Upon exercise of a Share Appreciation Right, the holder shall be entitled to receive from the Company an amount equal to the number of Ordinary Shares subject to the Share Appreciation Right that is being exercised multiplied by the excess of (i) the Fair Market Value of an Ordinary Share on the date the Award is exercised, over (ii) the exercise price specified in the Share Appreciation Right or related Option.</w:t>
      </w:r>
    </w:p>
    <w:p>
      <w:pPr>
        <w:spacing w:after="0" w:line="165" w:lineRule="exact"/>
        <w:rPr>
          <w:rFonts w:ascii="Arial" w:cs="Arial" w:eastAsia="Arial" w:hAnsi="Arial"/>
          <w:sz w:val="17"/>
          <w:szCs w:val="17"/>
          <w:color w:val="auto"/>
        </w:rPr>
      </w:pPr>
    </w:p>
    <w:p>
      <w:pPr>
        <w:ind w:right="40" w:firstLine="1492"/>
        <w:spacing w:after="0" w:line="272" w:lineRule="auto"/>
        <w:tabs>
          <w:tab w:leader="none" w:pos="1708"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of a Share Appreciation Right shall be determined by the Committee, but shall not be less than 100% of the Fair Market Value of one Ordinary Share on the Grant Date of such Share Appreciation Right. A Share Appreciation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Share Appreciation Right, by its terms, shall be exercisable only when the Fair Market Value per Ordinary Share subject to the Share Appreciation Right and related Option exceeds the exercise price per share thereof and no Share Appreciation Rights may be granted in tandem with an Option unless the Committee determines that the requirements of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7.1(b)</w:t>
      </w:r>
      <w:r>
        <w:rPr>
          <w:rFonts w:ascii="Arial" w:cs="Arial" w:eastAsia="Arial" w:hAnsi="Arial"/>
          <w:sz w:val="17"/>
          <w:szCs w:val="17"/>
          <w:color w:val="auto"/>
        </w:rPr>
        <w:t xml:space="preserve"> are satisfied.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Restricted Awards</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General</w:t>
      </w:r>
      <w:r>
        <w:rPr>
          <w:rFonts w:ascii="Arial" w:cs="Arial" w:eastAsia="Arial" w:hAnsi="Arial"/>
          <w:sz w:val="17"/>
          <w:szCs w:val="17"/>
          <w:color w:val="auto"/>
        </w:rPr>
        <w:t>. A Restricted Award is an Award of actual Ordinary Shares (“</w:t>
      </w:r>
      <w:r>
        <w:rPr>
          <w:rFonts w:ascii="Arial" w:cs="Arial" w:eastAsia="Arial" w:hAnsi="Arial"/>
          <w:sz w:val="17"/>
          <w:szCs w:val="17"/>
          <w:u w:val="single" w:color="auto"/>
          <w:color w:val="auto"/>
        </w:rPr>
        <w:t>Restricted Share</w:t>
      </w:r>
      <w:r>
        <w:rPr>
          <w:rFonts w:ascii="Arial" w:cs="Arial" w:eastAsia="Arial" w:hAnsi="Arial"/>
          <w:sz w:val="17"/>
          <w:szCs w:val="17"/>
          <w:color w:val="auto"/>
        </w:rPr>
        <w:t>”) or hypothetical Ordinary Share units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Share Units</w:t>
      </w:r>
      <w:r>
        <w:rPr>
          <w:rFonts w:ascii="Arial" w:cs="Arial" w:eastAsia="Arial" w:hAnsi="Arial"/>
          <w:sz w:val="16"/>
          <w:szCs w:val="16"/>
          <w:color w:val="auto"/>
        </w:rPr>
        <w:t>”) having a value equal to the Fair Market Value of an identical number of Ordinary Shares, which may, but need not, provide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Restricted Award may not be sold, assigned, transferred or otherwise disposed of, pledged or hypothecated as collateral for a loan or as security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any obligation or for any other purpose for such period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as the Committee shall determine. Each Restricted Award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granted under the Plan shall be evidenced by an Award Agreement. Each Restricted Award so granted shall be subject to the conditions set forth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Section </w:t>
      </w:r>
      <w:r>
        <w:rPr>
          <w:rFonts w:ascii="Arial" w:cs="Arial" w:eastAsia="Arial" w:hAnsi="Arial"/>
          <w:sz w:val="18"/>
          <w:szCs w:val="18"/>
          <w:b w:val="1"/>
          <w:bCs w:val="1"/>
          <w:color w:val="auto"/>
        </w:rPr>
        <w:t>7.2</w:t>
      </w:r>
      <w:r>
        <w:rPr>
          <w:rFonts w:ascii="Arial" w:cs="Arial" w:eastAsia="Arial" w:hAnsi="Arial"/>
          <w:sz w:val="18"/>
          <w:szCs w:val="18"/>
          <w:color w:val="auto"/>
        </w:rPr>
        <w:t>, and to such other conditions not inconsistent with the Plan as may be reflected in the applicable Award Agreement.</w:t>
      </w:r>
    </w:p>
    <w:p>
      <w:pPr>
        <w:spacing w:after="0" w:line="319" w:lineRule="exact"/>
        <w:rPr>
          <w:sz w:val="20"/>
          <w:szCs w:val="20"/>
          <w:color w:val="auto"/>
        </w:rPr>
      </w:pPr>
    </w:p>
    <w:p>
      <w:pPr>
        <w:ind w:left="1740" w:hanging="248"/>
        <w:spacing w:after="0"/>
        <w:tabs>
          <w:tab w:leader="none" w:pos="174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Restricted Share and Restricted Share Units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80" w:hanging="449"/>
        <w:spacing w:after="0" w:line="270" w:lineRule="auto"/>
        <w:tabs>
          <w:tab w:leader="none" w:pos="228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Each Participant granted Restricted Share shall execute and deliver to the Company an Award Agreement with respect to the Restricted Share setting forth the restrictions and other terms and conditions applicable to such Restricted Share. If the Committee determines that the Restricted Share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share power with respect to the Restricted Share covered by such agreement. If a Participant fails to execute an agreement evidencing an Award of Restricted Share and, if applicable, an escrow agreement and Share power, the Award shall be null and void. Subject to the restrictions set forth in the Award, the Participant generally shall have the rights and privileges of a shareholder as to such Restricted Share, including the right to vote such Restricted Share and the right to receive dividends.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56" w:name="page257"/>
    <w:bookmarkEnd w:id="256"/>
    <w:p>
      <w:pPr>
        <w:ind w:left="2220" w:right="60" w:hanging="449"/>
        <w:spacing w:after="0" w:line="255" w:lineRule="auto"/>
        <w:tabs>
          <w:tab w:leader="none" w:pos="22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conditions of a grant of Restricted Share Units shall be reflected in an Award Agreement. No Ordinary Shares shall be issued at the time a Restricted Share Unit is granted, and the Company will not be required to set aside a fund for the payment of any such Award. A Participant shall have no voting rights with respect to any Restricted Share Units granted hereunder. At the discretion of the Committee, each Restricted Share Unit (representing one Ordinary Share) may be credited with cash paid by the Company in respect of one Ordinary Share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Dividend Equivalents shall be paid only upon the vesting of a Restricted Share Unit and in accordance with Section 409A of the Code if paid to a tax resident of the United States.</w:t>
      </w:r>
    </w:p>
    <w:p>
      <w:pPr>
        <w:spacing w:after="0" w:line="297" w:lineRule="exact"/>
        <w:rPr>
          <w:rFonts w:ascii="Arial" w:cs="Arial" w:eastAsia="Arial" w:hAnsi="Arial"/>
          <w:sz w:val="18"/>
          <w:szCs w:val="18"/>
          <w:color w:val="auto"/>
        </w:rPr>
      </w:pPr>
    </w:p>
    <w:p>
      <w:pPr>
        <w:ind w:left="1680" w:hanging="248"/>
        <w:spacing w:after="0"/>
        <w:tabs>
          <w:tab w:leader="none" w:pos="168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20" w:right="60" w:hanging="449"/>
        <w:spacing w:after="0" w:line="272" w:lineRule="auto"/>
        <w:tabs>
          <w:tab w:leader="none" w:pos="222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Restricted Share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share certificate; (B) the shares shall be subject to the restrictions on transferability set forth in the Award Agreement; (C) the shares shall be subject to forfeiture to the extent provided in the applicable Award Agreement; and (D) to the extent such shares are forfeited, the share certificates shall be returned to the Company, and all rights of the Participant to such shares and as a shareholder with respect to such shares shall terminate without further obligation on the part of the Company.</w:t>
      </w:r>
    </w:p>
    <w:p>
      <w:pPr>
        <w:spacing w:after="0" w:line="83" w:lineRule="exact"/>
        <w:rPr>
          <w:sz w:val="20"/>
          <w:szCs w:val="20"/>
          <w:color w:val="auto"/>
        </w:rPr>
      </w:pPr>
    </w:p>
    <w:p>
      <w:pPr>
        <w:ind w:left="2220" w:right="60" w:hanging="449"/>
        <w:spacing w:after="0" w:line="257" w:lineRule="auto"/>
        <w:tabs>
          <w:tab w:leader="none" w:pos="2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Restricted Share Units awarded to any Participant shall be subject to (A) forfeiture until the expiration of the Restricted Period, to the extent provided in the applicable Award Agreement, and to the extent such Restricted Share Units are forfeited, all rights of the Participant to such Restricted Share Units, including Dividend Equivalents, shall terminate without further obligation on the part of the Company; and (B) such other terms and conditions as may be set forth in the applicable Award Agreement.</w:t>
      </w:r>
    </w:p>
    <w:p>
      <w:pPr>
        <w:spacing w:after="0" w:line="93" w:lineRule="exact"/>
        <w:rPr>
          <w:rFonts w:ascii="Arial" w:cs="Arial" w:eastAsia="Arial" w:hAnsi="Arial"/>
          <w:sz w:val="18"/>
          <w:szCs w:val="18"/>
          <w:color w:val="auto"/>
        </w:rPr>
      </w:pPr>
    </w:p>
    <w:p>
      <w:pPr>
        <w:ind w:left="2220" w:hanging="449"/>
        <w:spacing w:after="0" w:line="286" w:lineRule="auto"/>
        <w:tabs>
          <w:tab w:leader="none" w:pos="22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Committee shall have the authority to remove any or all of the restrictions on the Restricted Share, Restricted Share Units whenever it may determine that, by reason of changes in Applicable Laws or other changes in circumstances arising after the date the Restricted Share or Restricted Share Units are granted, such action is appropriate.</w:t>
      </w:r>
    </w:p>
    <w:p>
      <w:pPr>
        <w:spacing w:after="0" w:line="166" w:lineRule="exact"/>
        <w:rPr>
          <w:sz w:val="20"/>
          <w:szCs w:val="20"/>
          <w:color w:val="auto"/>
        </w:rPr>
      </w:pPr>
    </w:p>
    <w:p>
      <w:pPr>
        <w:jc w:val="both"/>
        <w:ind w:left="-60" w:right="40" w:firstLine="1492"/>
        <w:spacing w:after="0" w:line="259" w:lineRule="auto"/>
        <w:tabs>
          <w:tab w:leader="none" w:pos="1678"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With respect to Restricted Awards, the Restricted Period shall commence on the Grant Date and end at the time or times set forth on a schedule established by the Committee in the applicable Award Agreement. No Restricted Award may be granted or settled for a fraction of an Ordinary Share. The Committee may, but shall not be required to, provide for an acceleration of vesting in the terms of any Award Agreement upon the occurrence of a specified event.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300" w:top="274" w:right="299" w:bottom="1440" w:gutter="0" w:footer="0" w:header="0"/>
        </w:sectPr>
      </w:pPr>
    </w:p>
    <w:bookmarkStart w:id="257" w:name="page258"/>
    <w:bookmarkEnd w:id="257"/>
    <w:p>
      <w:pPr>
        <w:ind w:left="-8" w:firstLine="1492"/>
        <w:spacing w:after="0" w:line="268" w:lineRule="auto"/>
        <w:tabs>
          <w:tab w:leader="none" w:pos="1720"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Restricted Shares; Settlement of Restricted Share Units</w:t>
      </w:r>
      <w:r>
        <w:rPr>
          <w:rFonts w:ascii="Arial" w:cs="Arial" w:eastAsia="Arial" w:hAnsi="Arial"/>
          <w:sz w:val="17"/>
          <w:szCs w:val="17"/>
          <w:color w:val="auto"/>
        </w:rPr>
        <w:t xml:space="preserve">. Upon the expiration of the Restricted Period with respect to any Restricted Shares, the restrictions set forth in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7.2(c)</w:t>
      </w:r>
      <w:r>
        <w:rPr>
          <w:rFonts w:ascii="Arial" w:cs="Arial" w:eastAsia="Arial" w:hAnsi="Arial"/>
          <w:sz w:val="17"/>
          <w:szCs w:val="17"/>
          <w:color w:val="auto"/>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share certificate evidencing the Restricted Shares which have not then been forfeited and with respect to which the Restricted Period has expired (to the nearest full share) and any cash dividends or share dividends credited to the Participant’s account with respect to such Restricted Shares and the interest thereon, if any. Upon the expiration of the Restricted Period with respect to any outstanding Restricted Share Units unless payment is further deferred in compliance with Applicable Laws including, but not limited to Section 409A of the Code, the Company shall deliver to the Participant, or his or her beneficiary, without charge, one Ordinary Share for each outstanding vested Restricted Share Unit and cash equal to any Dividend Equivalents credited with respect to each such vested Restricted Share Unit in accordance with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7.2(b)(ii)</w:t>
      </w:r>
      <w:r>
        <w:rPr>
          <w:rFonts w:ascii="Arial" w:cs="Arial" w:eastAsia="Arial" w:hAnsi="Arial"/>
          <w:sz w:val="17"/>
          <w:szCs w:val="17"/>
          <w:color w:val="auto"/>
        </w:rPr>
        <w:t xml:space="preserve"> hereof and the interest thereon or, at the discretion of the Committee, in Ordinary Shares having a Fair Market Value equal to such Dividend Equivalents and the interest thereon, if 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explicitly provided in the applicable Award Agreement, the Committee may, in its sole discretion, elect to pay cash or part cash and part Ordinary Shares in lieu of delivering only Ordinary Shares for vested Restricted Share Units. If a cash payment is made in lieu of delivering Ordinary Shares, the amount of such payment shall be equal to the Fair Market Value of an Ordinary Share as of the date on which the Restricted Period lapsed in the case of Restricted Share Units.</w:t>
      </w:r>
    </w:p>
    <w:p>
      <w:pPr>
        <w:spacing w:after="0" w:line="185" w:lineRule="exact"/>
        <w:rPr>
          <w:rFonts w:ascii="Arial" w:cs="Arial" w:eastAsia="Arial" w:hAnsi="Arial"/>
          <w:sz w:val="17"/>
          <w:szCs w:val="17"/>
          <w:color w:val="auto"/>
        </w:rPr>
      </w:pPr>
    </w:p>
    <w:p>
      <w:pPr>
        <w:ind w:left="-8" w:right="400" w:firstLine="1492"/>
        <w:spacing w:after="0" w:line="277" w:lineRule="auto"/>
        <w:tabs>
          <w:tab w:leader="none" w:pos="1700"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Share Restrictions</w:t>
      </w:r>
      <w:r>
        <w:rPr>
          <w:rFonts w:ascii="Arial" w:cs="Arial" w:eastAsia="Arial" w:hAnsi="Arial"/>
          <w:sz w:val="18"/>
          <w:szCs w:val="18"/>
          <w:color w:val="auto"/>
        </w:rPr>
        <w:t>. Each certificate representing Restricted Share awarded under the Plan shall bear a legend in such form as the Company deems appropriate.</w:t>
      </w:r>
    </w:p>
    <w:p>
      <w:pPr>
        <w:spacing w:after="0" w:line="170" w:lineRule="exact"/>
        <w:rPr>
          <w:rFonts w:ascii="Arial" w:cs="Arial" w:eastAsia="Arial" w:hAnsi="Arial"/>
          <w:sz w:val="18"/>
          <w:szCs w:val="18"/>
          <w:color w:val="auto"/>
        </w:rPr>
      </w:pPr>
    </w:p>
    <w:p>
      <w:pPr>
        <w:ind w:left="-8" w:right="140" w:firstLine="8"/>
        <w:spacing w:after="0" w:line="270" w:lineRule="auto"/>
        <w:tabs>
          <w:tab w:leader="none" w:pos="172"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Securities Law Compliance</w:t>
      </w:r>
      <w:r>
        <w:rPr>
          <w:rFonts w:ascii="Arial" w:cs="Arial" w:eastAsia="Arial" w:hAnsi="Arial"/>
          <w:sz w:val="17"/>
          <w:szCs w:val="17"/>
          <w:color w:val="auto"/>
        </w:rPr>
        <w:t xml:space="preserve">. Each Award Agreement shall provide that no Ordinary Shares shall be purchased or sold thereunder unless and until (a) any then Applicable Laws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Ordinary Shares upon exercise of the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undertaking shall not require the Company to register the Ordinary Shares, the Plan or any Award under the Securities Act with the U.S Securities and Exchange Commission or with any state securities commission or stock exchange or under any other Applicable Laws. If, after reasonable efforts, the Company is unable to obtain from any such regulatory commission or agency the authority which counsel for the Company deems necessary for the lawful issuance and sale of Ordinary Shares under the Plan, the Company shall be relieved from any liability for failure to issue and sell Ordinary Shares upon exercise of such Awards unless and until such authority is obtained.</w:t>
      </w:r>
    </w:p>
    <w:p>
      <w:pPr>
        <w:spacing w:after="0" w:line="177" w:lineRule="exact"/>
        <w:rPr>
          <w:rFonts w:ascii="Arial" w:cs="Arial" w:eastAsia="Arial" w:hAnsi="Arial"/>
          <w:sz w:val="17"/>
          <w:szCs w:val="17"/>
          <w:color w:val="auto"/>
        </w:rPr>
      </w:pPr>
    </w:p>
    <w:p>
      <w:pPr>
        <w:ind w:left="-8" w:right="20" w:firstLine="8"/>
        <w:spacing w:after="0" w:line="277" w:lineRule="auto"/>
        <w:tabs>
          <w:tab w:leader="none" w:pos="17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Use of Proceeds from Shares</w:t>
      </w:r>
      <w:r>
        <w:rPr>
          <w:rFonts w:ascii="Arial" w:cs="Arial" w:eastAsia="Arial" w:hAnsi="Arial"/>
          <w:sz w:val="18"/>
          <w:szCs w:val="18"/>
          <w:color w:val="auto"/>
        </w:rPr>
        <w:t>. Proceeds from the sale of Ordinary Shares pursuant to Awards, or upon exercise thereof, shall constitute general funds of the Company.</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52"/>
          </w:cols>
          <w:pgMar w:left="248" w:top="274" w:right="299" w:bottom="1440" w:gutter="0" w:footer="0" w:header="0"/>
        </w:sectPr>
      </w:pPr>
    </w:p>
    <w:bookmarkStart w:id="258" w:name="page259"/>
    <w:bookmarkEnd w:id="258"/>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 </w:t>
      </w:r>
      <w:r>
        <w:rPr>
          <w:rFonts w:ascii="Arial" w:cs="Arial" w:eastAsia="Arial" w:hAnsi="Arial"/>
          <w:sz w:val="18"/>
          <w:szCs w:val="18"/>
          <w:u w:val="single" w:color="auto"/>
          <w:color w:val="auto"/>
        </w:rPr>
        <w:t>Acceleration of Exercisability and Vesting</w:t>
      </w:r>
      <w:r>
        <w:rPr>
          <w:rFonts w:ascii="Arial" w:cs="Arial" w:eastAsia="Arial" w:hAnsi="Arial"/>
          <w:sz w:val="18"/>
          <w:szCs w:val="18"/>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Shareholder Rights</w:t>
      </w:r>
      <w:r>
        <w:rPr>
          <w:rFonts w:ascii="Arial" w:cs="Arial" w:eastAsia="Arial" w:hAnsi="Arial"/>
          <w:sz w:val="16"/>
          <w:szCs w:val="16"/>
          <w:color w:val="auto"/>
        </w:rPr>
        <w:t xml:space="preserve">. Except as provided in the Plan or an Award Agreement, no Participant shall be deemed to be the holder of, or to have any of the rights of a holder with respect to, any Ordinary Shares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Ordinary Shares are issued, except as provided in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hereof.</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Employment or Other Service Rights</w:t>
      </w:r>
      <w:r>
        <w:rPr>
          <w:rFonts w:ascii="Arial" w:cs="Arial" w:eastAsia="Arial" w:hAnsi="Arial"/>
          <w:sz w:val="18"/>
          <w:szCs w:val="18"/>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Articles of Association of the Company or an Affiliate, and any applicable provisions of the corporate law of the state in which the Company or the Affiliate is incorporated, as the case may be.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Transfer; Approved Leave of Absence</w:t>
      </w:r>
      <w:r>
        <w:rPr>
          <w:rFonts w:ascii="Arial" w:cs="Arial" w:eastAsia="Arial" w:hAnsi="Arial"/>
          <w:sz w:val="18"/>
          <w:szCs w:val="18"/>
          <w:color w:val="auto"/>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Applicable Laws, including but not limited to Section 409A of the Code if the applicable Award is subject thereto.</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Withholding Obligations</w:t>
      </w:r>
      <w:r>
        <w:rPr>
          <w:rFonts w:ascii="Arial" w:cs="Arial" w:eastAsia="Arial" w:hAnsi="Arial"/>
          <w:sz w:val="18"/>
          <w:szCs w:val="18"/>
          <w:color w:val="auto"/>
        </w:rPr>
        <w:t xml:space="preserve">. To the extent provided by the terms of an Award Agreement and subject to the discretion of the Committee, the Participant may satisfy any foreign, federal, state or local tax withholding obligation relating to the exercise or acquisition of Ordinary Shares under an Award by any of the following means (in addition to the Company’s right to withhold from any compensation paid to the Participant by the Company) or by a combination of such means: (a) tendering a cash payment; (b) authorizing the Company to withhold Ordinary Shares from the Ordinary Shares otherwise issuable to the Participant as a result of the exercise or acquisition of Ordinary Shares under the 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Ordinary Shares are withheld with a value exceeding the minimum amount of tax required to be withheld by Applicable Laws; or (c) delivering to the Company previously owned and unencumbered Ordinary Shares of the Company.</w:t>
      </w:r>
    </w:p>
    <w:p>
      <w:pPr>
        <w:spacing w:after="0" w:line="189" w:lineRule="exact"/>
        <w:rPr>
          <w:sz w:val="20"/>
          <w:szCs w:val="20"/>
          <w:color w:val="auto"/>
        </w:rPr>
      </w:pPr>
    </w:p>
    <w:p>
      <w:pPr>
        <w:ind w:right="120" w:firstLine="8"/>
        <w:spacing w:after="0" w:line="302" w:lineRule="auto"/>
        <w:tabs>
          <w:tab w:leader="none" w:pos="263"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Shares</w:t>
      </w:r>
      <w:r>
        <w:rPr>
          <w:rFonts w:ascii="Arial" w:cs="Arial" w:eastAsia="Arial" w:hAnsi="Arial"/>
          <w:sz w:val="16"/>
          <w:szCs w:val="16"/>
          <w:color w:val="auto"/>
        </w:rPr>
        <w:t>. In the event of changes in the outstanding Ordinary Shares or in the capital structure of the Company by reason of any share or extraordinary cash dividend, share split, reverse share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Share Appreciation Rights, the maximum number of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9" w:name="page260"/>
    <w:bookmarkEnd w:id="259"/>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Ordinary Shares subject to all Awards stated in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4</w:t>
      </w:r>
      <w:r>
        <w:rPr>
          <w:rFonts w:ascii="Arial" w:cs="Arial" w:eastAsia="Arial" w:hAnsi="Arial"/>
          <w:sz w:val="16"/>
          <w:szCs w:val="16"/>
          <w:color w:val="auto"/>
        </w:rPr>
        <w:t xml:space="preserve"> will be equitably adjusted or substituted, as to the number, price or kind of an Ordinary Share or other consideration subject to such Awards to the extent necessary to preserve the economic intent of such Award. In the case of adjustments made pursuant to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unless the Committee specifically determines that such adjustment is in the best interests of the Company or its Affiliates, the Committee shall, in the case of Incentive Share Options, ensure that any adjustments under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will not constitute a modification, extension or renewal of the Incentive Share Options within the meaning of Section 424(h)(3) of the Code and in the case of Non-qualified Share Options, ensure that any adjustments under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will not constitute a modification of such Non-qualified Share Options within the meaning of Section 409A of the Code. The Company shall give each Participant notice of an adjustment hereunder and, upon notice, such adjustment shall be conclusive and binding for all purposes.</w:t>
      </w:r>
    </w:p>
    <w:p>
      <w:pPr>
        <w:spacing w:after="0" w:line="274" w:lineRule="exact"/>
        <w:rPr>
          <w:sz w:val="20"/>
          <w:szCs w:val="20"/>
          <w:color w:val="auto"/>
        </w:rPr>
      </w:pPr>
    </w:p>
    <w:p>
      <w:pPr>
        <w:ind w:left="280" w:hanging="272"/>
        <w:spacing w:after="0"/>
        <w:tabs>
          <w:tab w:leader="none" w:pos="2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Effect of Corporate Transaction</w:t>
      </w:r>
      <w:r>
        <w:rPr>
          <w:rFonts w:ascii="Arial" w:cs="Arial" w:eastAsia="Arial" w:hAnsi="Arial"/>
          <w:sz w:val="18"/>
          <w:szCs w:val="18"/>
          <w:color w:val="auto"/>
        </w:rPr>
        <w:t>.</w:t>
      </w:r>
    </w:p>
    <w:p>
      <w:pPr>
        <w:spacing w:after="0" w:line="117"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7"/>
          <w:szCs w:val="17"/>
          <w:color w:val="auto"/>
        </w:rPr>
        <w:t>12.1 The obligations of the Company under the Plan and the Award Agreements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 (a “Corporate Transaction”).</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12.2 In the event of a Corporate Transaction, the Board may take one or more of the following actions with respect to Options and Share Appreciation Rights: (i) make appropriate provision for the continuation of the Option or Share Appreciation Right by substituting on an equitable basis for the Ordinary Shares then subject to such Option or Share Appreciation Right either the consideration payable with respect to the outstanding Ordinary Shares in connection with the Corporate Transaction or securities of any successor or acquiring entity; (ii) require that Participants surrender their outstanding Options or Share Appreciation Rights in exchange for a payment by the Company, in cash or Ordinary Shares as determined by the Board, in an amount equal to the amount by which the then Fair Market Value of the Ordinary Shares subject to such vested Option or Share Appreciation Right exceeds the Exercise Price; or (iii) after giving Participants an opportunity to exercise to the extent vested their outstanding Options or Share Appreciation Rights, terminate any or all unexercised Options and Share Appreciation Rights at such time as the Board deems appropriate. Such surrender or termination shall take place as of the date of the Corporate Transaction or such other date as the Board may specify.</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12.3 In the event of a Corporate Transaction with respect to outstanding Restricted Awards, the Board, shall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Corporate Transaction or securities of any successor or acquiring entity. In lieu of the foregoing, in connection with any Corporate Transaction, the Board may provide that, upon consummation of the Corporate Transaction, each outstanding Restricted Award shall be terminated in exchange for payment of an amount equal to the consideration payable upon consummation of such Corporate Transaction to a holder of the number of Ordinary Shares comprising such Restricted Award to then extent then vested.</w:t>
      </w:r>
    </w:p>
    <w:p>
      <w:pPr>
        <w:spacing w:after="0" w:line="297"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Awards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60" w:name="page261"/>
    <w:bookmarkEnd w:id="260"/>
    <w:p>
      <w:pPr>
        <w:ind w:right="60" w:firstLine="456"/>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13.1 </w:t>
      </w:r>
      <w:r>
        <w:rPr>
          <w:rFonts w:ascii="Arial" w:cs="Arial" w:eastAsia="Arial" w:hAnsi="Arial"/>
          <w:sz w:val="17"/>
          <w:szCs w:val="17"/>
          <w:u w:val="single" w:color="auto"/>
          <w:color w:val="auto"/>
        </w:rPr>
        <w:t>Amendment of Plan</w:t>
      </w:r>
      <w:r>
        <w:rPr>
          <w:rFonts w:ascii="Arial" w:cs="Arial" w:eastAsia="Arial" w:hAnsi="Arial"/>
          <w:sz w:val="17"/>
          <w:szCs w:val="17"/>
          <w:color w:val="auto"/>
        </w:rPr>
        <w:t xml:space="preserve">. The Board at any time, and from time to time, may amend or terminate the Plan. However, except as provided in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11</w:t>
      </w:r>
      <w:r>
        <w:rPr>
          <w:rFonts w:ascii="Arial" w:cs="Arial" w:eastAsia="Arial" w:hAnsi="Arial"/>
          <w:sz w:val="17"/>
          <w:szCs w:val="17"/>
          <w:color w:val="auto"/>
        </w:rPr>
        <w:t xml:space="preserve"> relating to adjustments upon changes in Ordinary Shares and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13.3</w:t>
      </w:r>
      <w:r>
        <w:rPr>
          <w:rFonts w:ascii="Arial" w:cs="Arial" w:eastAsia="Arial" w:hAnsi="Arial"/>
          <w:sz w:val="17"/>
          <w:szCs w:val="17"/>
          <w:color w:val="auto"/>
        </w:rPr>
        <w:t>,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Board may, in its sole discretion, submit any other amendment to the Plan for shareholder approval, including, but not limited to, amendments to the Plan intended to satisfy the requirements of Section 162(m) of the Code regarding the exclusion of performance-based compensation from the limit on corporate deductibility of compensation paid to certain executive officers.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Contemplated Amendments</w:t>
      </w:r>
      <w:r>
        <w:rPr>
          <w:rFonts w:ascii="Arial" w:cs="Arial" w:eastAsia="Arial" w:hAnsi="Arial"/>
          <w:sz w:val="18"/>
          <w:szCs w:val="18"/>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relating to Incentive Share Options or to the nonqualified deferred compensation provisions of Section 409A of the Code and/or to bring the Plan and/or Awards granted under it into compliance therewith.</w:t>
      </w:r>
    </w:p>
    <w:p>
      <w:pPr>
        <w:spacing w:after="0" w:line="1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No Impairment of Rights</w:t>
      </w:r>
      <w:r>
        <w:rPr>
          <w:rFonts w:ascii="Arial" w:cs="Arial" w:eastAsia="Arial" w:hAnsi="Arial"/>
          <w:sz w:val="16"/>
          <w:szCs w:val="16"/>
          <w:color w:val="auto"/>
        </w:rPr>
        <w:t>. Rights under any Award granted before amendment of the Plan shall not adversely affect the Participant’s material rights by any amendment of the Plan unless (a) the Company requests the consent of the Participant; and (b) the Participant consents in writing.</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Amendment of Awards</w:t>
      </w:r>
      <w:r>
        <w:rPr>
          <w:rFonts w:ascii="Arial" w:cs="Arial" w:eastAsia="Arial" w:hAnsi="Arial"/>
          <w:sz w:val="18"/>
          <w:szCs w:val="18"/>
          <w:color w:val="auto"/>
        </w:rPr>
        <w:t xml:space="preserve">. The Committee at any time, and from time to time, may amend the terms of any one or more Awards;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Committee may not affect any amendment which would adversely affect the Participant’s material rights under any Award unless (a) the Company requests the consent of the Participant; and (b) the Participant consents in writing.</w:t>
      </w:r>
    </w:p>
    <w:p>
      <w:pPr>
        <w:spacing w:after="0" w:line="289" w:lineRule="exact"/>
        <w:rPr>
          <w:sz w:val="20"/>
          <w:szCs w:val="20"/>
          <w:color w:val="auto"/>
        </w:rPr>
      </w:pPr>
    </w:p>
    <w:p>
      <w:pPr>
        <w:ind w:left="280" w:hanging="272"/>
        <w:spacing w:after="0"/>
        <w:tabs>
          <w:tab w:leader="none" w:pos="28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Other Compensation Arrangements</w:t>
      </w:r>
      <w:r>
        <w:rPr>
          <w:rFonts w:ascii="Arial" w:cs="Arial" w:eastAsia="Arial" w:hAnsi="Arial"/>
          <w:sz w:val="18"/>
          <w:szCs w:val="18"/>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Recapitalizations and Reorganizations</w:t>
      </w:r>
      <w:r>
        <w:rPr>
          <w:rFonts w:ascii="Arial" w:cs="Arial" w:eastAsia="Arial" w:hAnsi="Arial"/>
          <w:sz w:val="16"/>
          <w:szCs w:val="16"/>
          <w:color w:val="auto"/>
        </w:rPr>
        <w:t xml:space="preserve">. Each Award Agreement shall contain provisions required to reflect the provisions of </w:t>
      </w:r>
      <w:r>
        <w:rPr>
          <w:rFonts w:ascii="Arial" w:cs="Arial" w:eastAsia="Arial" w:hAnsi="Arial"/>
          <w:sz w:val="16"/>
          <w:szCs w:val="16"/>
          <w:b w:val="1"/>
          <w:bCs w:val="1"/>
          <w:i w:val="1"/>
          <w:iCs w:val="1"/>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and </w:t>
      </w:r>
      <w:r>
        <w:rPr>
          <w:rFonts w:ascii="Arial" w:cs="Arial" w:eastAsia="Arial" w:hAnsi="Arial"/>
          <w:sz w:val="16"/>
          <w:szCs w:val="16"/>
          <w:b w:val="1"/>
          <w:bCs w:val="1"/>
          <w:color w:val="auto"/>
        </w:rPr>
        <w:t>12</w:t>
      </w:r>
      <w:r>
        <w:rPr>
          <w:rFonts w:ascii="Arial" w:cs="Arial" w:eastAsia="Arial" w:hAnsi="Arial"/>
          <w:sz w:val="16"/>
          <w:szCs w:val="16"/>
          <w:color w:val="auto"/>
        </w:rPr>
        <w:t>.</w:t>
      </w:r>
    </w:p>
    <w:p>
      <w:pPr>
        <w:spacing w:after="0" w:line="25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Delivery</w:t>
      </w:r>
      <w:r>
        <w:rPr>
          <w:rFonts w:ascii="Arial" w:cs="Arial" w:eastAsia="Arial" w:hAnsi="Arial"/>
          <w:sz w:val="18"/>
          <w:szCs w:val="18"/>
          <w:color w:val="auto"/>
        </w:rPr>
        <w:t>. Upon exercise of a right granted under this Plan, the Company shall issue Ordinary Shares or pay any amounts due within a reasonable period of time thereafter. Subject to any statutory or regulatory obligations the Company may otherwise have, for purposes of this Plan, 30 days shall be considered a reasonable period of time.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0" w:right="319" w:bottom="1440" w:gutter="0" w:footer="0" w:header="0"/>
        </w:sectPr>
      </w:pPr>
    </w:p>
    <w:bookmarkStart w:id="261" w:name="page262"/>
    <w:bookmarkEnd w:id="261"/>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14.5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Ordinary Shares shall be issued or delivered pursuant to the Plan. The Committee shall determine whether cash, additional Awards or other securities or property shall be issued or paid in lieu of fractional Ordinary Shares or whether any fractional shares should be rounded, forfeited or otherwise eliminated.</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Agreements authorized under the Plan may contain such other provisions not inconsistent with this Plan, including, without limitation, restrictions upon the exercise of the Awards, as the Committee may deem advisable.</w:t>
      </w:r>
    </w:p>
    <w:p>
      <w:pPr>
        <w:spacing w:after="0" w:line="17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u w:val="single" w:color="auto"/>
          <w:color w:val="auto"/>
        </w:rPr>
        <w:t>Section 409A</w:t>
      </w:r>
      <w:r>
        <w:rPr>
          <w:rFonts w:ascii="Arial" w:cs="Arial" w:eastAsia="Arial" w:hAnsi="Arial"/>
          <w:sz w:val="17"/>
          <w:szCs w:val="17"/>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6 month period immediately following the Participant’s termination of Continuous Service shall instead be paid on the first payroll date after the 6 month anniversary of the Participant’s separation from service (or the Participant’s death, if earlier). Notwithstanding the foregoing, neither the Company nor the Committee shall have any obligation to take any action to prevent the assessment of any excise tax or penalty on any Participant under Section 409A of the Code and neither the Company nor the Committee will have any liability to any Participant for such tax or penalty.</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u w:val="single" w:color="auto"/>
          <w:color w:val="auto"/>
        </w:rPr>
        <w:t>Disqualifying Dispositions</w:t>
      </w:r>
      <w:r>
        <w:rPr>
          <w:rFonts w:ascii="Arial" w:cs="Arial" w:eastAsia="Arial" w:hAnsi="Arial"/>
          <w:sz w:val="17"/>
          <w:szCs w:val="17"/>
          <w:color w:val="auto"/>
        </w:rPr>
        <w:t>. Any Participant who shall make a “disposition” (as defined in Section 424 of the Code) of all or any portion of Ordinary Shares acquired upon exercise of an Incentive Share Option within two years from the Grant Date of such Incentive Share Option or within one year after the issuance of the Ordinary Shares acquired upon exercise of such Incentive Share Option (a “</w:t>
      </w:r>
      <w:r>
        <w:rPr>
          <w:rFonts w:ascii="Arial" w:cs="Arial" w:eastAsia="Arial" w:hAnsi="Arial"/>
          <w:sz w:val="17"/>
          <w:szCs w:val="17"/>
          <w:u w:val="single" w:color="auto"/>
          <w:color w:val="auto"/>
        </w:rPr>
        <w:t>Disqualifying Disposition</w:t>
      </w:r>
      <w:r>
        <w:rPr>
          <w:rFonts w:ascii="Arial" w:cs="Arial" w:eastAsia="Arial" w:hAnsi="Arial"/>
          <w:sz w:val="17"/>
          <w:szCs w:val="17"/>
          <w:color w:val="auto"/>
        </w:rPr>
        <w:t>”) shall be required to immediately advise the Company in writing as to the occurrence of the sale and the price realized upon the sale of such Ordinary Shares.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14.9</w:t>
      </w:r>
      <w:r>
        <w:rPr>
          <w:rFonts w:ascii="Arial" w:cs="Arial" w:eastAsia="Arial" w:hAnsi="Arial"/>
          <w:sz w:val="18"/>
          <w:szCs w:val="18"/>
          <w:color w:val="auto"/>
        </w:rPr>
        <w:t xml:space="preserve"> such provision to the extent possible shall be interpreted and/or deemed amended so as to avoid such conflict.</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Expenses</w:t>
      </w:r>
      <w:r>
        <w:rPr>
          <w:rFonts w:ascii="Arial" w:cs="Arial" w:eastAsia="Arial" w:hAnsi="Arial"/>
          <w:sz w:val="18"/>
          <w:szCs w:val="18"/>
          <w:color w:val="auto"/>
        </w:rPr>
        <w:t>. The costs of administering the Plan shall be paid by the Company.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62" w:name="page263"/>
    <w:bookmarkEnd w:id="262"/>
    <w:p>
      <w:pPr>
        <w:ind w:right="1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Plan Headings</w:t>
      </w:r>
      <w:r>
        <w:rPr>
          <w:rFonts w:ascii="Arial" w:cs="Arial" w:eastAsia="Arial" w:hAnsi="Arial"/>
          <w:sz w:val="18"/>
          <w:szCs w:val="18"/>
          <w:color w:val="auto"/>
        </w:rPr>
        <w:t>. The headings in the Plan are for purposes of convenience only and are not intended to define or limit the construction of the provisions hereof.</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 xml:space="preserve">14.14 </w:t>
      </w:r>
      <w:r>
        <w:rPr>
          <w:rFonts w:ascii="Arial" w:cs="Arial" w:eastAsia="Arial" w:hAnsi="Arial"/>
          <w:sz w:val="17"/>
          <w:szCs w:val="17"/>
          <w:u w:val="single" w:color="auto"/>
          <w:color w:val="auto"/>
        </w:rPr>
        <w:t>Non-Uniform Treatment</w:t>
      </w:r>
      <w:r>
        <w:rPr>
          <w:rFonts w:ascii="Arial" w:cs="Arial" w:eastAsia="Arial" w:hAnsi="Arial"/>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66" w:lineRule="exact"/>
        <w:rPr>
          <w:sz w:val="20"/>
          <w:szCs w:val="20"/>
          <w:color w:val="auto"/>
        </w:rPr>
      </w:pPr>
    </w:p>
    <w:p>
      <w:pPr>
        <w:ind w:firstLine="8"/>
        <w:spacing w:after="0" w:line="264" w:lineRule="auto"/>
        <w:tabs>
          <w:tab w:leader="none" w:pos="27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Effective Date of Plan</w:t>
      </w:r>
      <w:r>
        <w:rPr>
          <w:rFonts w:ascii="Arial" w:cs="Arial" w:eastAsia="Arial" w:hAnsi="Arial"/>
          <w:sz w:val="18"/>
          <w:szCs w:val="18"/>
          <w:color w:val="auto"/>
        </w:rPr>
        <w:t>. The Plan shall become effective as of the Effective Date, but no Award shall be exercised (or, in the case of a Restricted Share Award, shall be granted) unless and until the Plan has been approved by the shareholders of the Company, which approval shall be within 12 months before or after the date the Plan is adopted by the Board.</w:t>
      </w:r>
    </w:p>
    <w:p>
      <w:pPr>
        <w:spacing w:after="0" w:line="181" w:lineRule="exact"/>
        <w:rPr>
          <w:rFonts w:ascii="Arial" w:cs="Arial" w:eastAsia="Arial" w:hAnsi="Arial"/>
          <w:sz w:val="18"/>
          <w:szCs w:val="18"/>
          <w:color w:val="auto"/>
        </w:rPr>
      </w:pPr>
    </w:p>
    <w:p>
      <w:pPr>
        <w:jc w:val="both"/>
        <w:ind w:right="280" w:firstLine="8"/>
        <w:spacing w:after="0" w:line="312" w:lineRule="auto"/>
        <w:tabs>
          <w:tab w:leader="none" w:pos="270"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Termination or Suspension of the Plan</w:t>
      </w:r>
      <w:r>
        <w:rPr>
          <w:rFonts w:ascii="Arial" w:cs="Arial" w:eastAsia="Arial" w:hAnsi="Arial"/>
          <w:sz w:val="16"/>
          <w:szCs w:val="16"/>
          <w:color w:val="auto"/>
        </w:rPr>
        <w:t>. The Plan shall terminate automatically on the tenth (10</w:t>
      </w:r>
      <w:r>
        <w:rPr>
          <w:rFonts w:ascii="Arial" w:cs="Arial" w:eastAsia="Arial" w:hAnsi="Arial"/>
          <w:sz w:val="13"/>
          <w:szCs w:val="13"/>
          <w:color w:val="auto"/>
        </w:rPr>
        <w:t>th</w:t>
      </w:r>
      <w:r>
        <w:rPr>
          <w:rFonts w:ascii="Arial" w:cs="Arial" w:eastAsia="Arial" w:hAnsi="Arial"/>
          <w:sz w:val="16"/>
          <w:szCs w:val="16"/>
          <w:color w:val="auto"/>
        </w:rPr>
        <w:t xml:space="preserve">) anniversary of the Effective Date. No Award shall be granted pursuant to the Plan after such date, but Awards theretofore granted may extend beyond that date. The Board may suspend or terminate the Plan at any earlier date pursuant to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13.1</w:t>
      </w:r>
      <w:r>
        <w:rPr>
          <w:rFonts w:ascii="Arial" w:cs="Arial" w:eastAsia="Arial" w:hAnsi="Arial"/>
          <w:sz w:val="16"/>
          <w:szCs w:val="16"/>
          <w:color w:val="auto"/>
        </w:rPr>
        <w:t xml:space="preserve"> hereof. No Awards may be granted under the Plan while the Plan is suspended or after it is terminated</w:t>
      </w:r>
    </w:p>
    <w:p>
      <w:pPr>
        <w:spacing w:after="0" w:line="146" w:lineRule="exact"/>
        <w:rPr>
          <w:rFonts w:ascii="Arial" w:cs="Arial" w:eastAsia="Arial" w:hAnsi="Arial"/>
          <w:sz w:val="16"/>
          <w:szCs w:val="16"/>
          <w:color w:val="auto"/>
        </w:rPr>
      </w:pPr>
    </w:p>
    <w:p>
      <w:pPr>
        <w:ind w:right="160" w:firstLine="8"/>
        <w:spacing w:after="0" w:line="264" w:lineRule="auto"/>
        <w:tabs>
          <w:tab w:leader="none" w:pos="27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applicable laws of the Republic of Singapore, including but not limited to, the Singaporean Equity Remuneration Incentive Scheme and the Income Tax Act of Singapore, shall govern all questions concerning the construction, validity and interpretation of this Plan unless this Plan so specifies the interpretation of other Applicable Laws then, in such case, those Applicable Laws shall govern.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Harvard Real Estate Services ● Holyoke Center, Suite 800</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Cambridge, Massachusetts 02138-3826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LEASE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HARVARD REAL ESTATE – ALLSTON,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Landlord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SNBL USA,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Tenant</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0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8920" w:type="dxa"/>
            <w:vAlign w:val="bottom"/>
            <w:gridSpan w:val="36"/>
          </w:tcPr>
          <w:p>
            <w:pPr>
              <w:spacing w:after="0"/>
              <w:rPr>
                <w:sz w:val="20"/>
                <w:szCs w:val="20"/>
                <w:color w:val="auto"/>
              </w:rPr>
            </w:pPr>
            <w:r>
              <w:rPr>
                <w:rFonts w:ascii="Arial" w:cs="Arial" w:eastAsia="Arial" w:hAnsi="Arial"/>
                <w:sz w:val="18"/>
                <w:szCs w:val="18"/>
                <w:b w:val="1"/>
                <w:bCs w:val="1"/>
                <w:color w:val="auto"/>
              </w:rPr>
              <w:t>ARTICLE 1.0 PARTIES, PREMISES, AND 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1.1</w:t>
            </w:r>
          </w:p>
        </w:tc>
        <w:tc>
          <w:tcPr>
            <w:tcW w:w="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18"/>
                <w:szCs w:val="18"/>
                <w:color w:val="auto"/>
              </w:rPr>
              <w:t>Parties, Premises, Term, Rent</w:t>
            </w:r>
          </w:p>
        </w:tc>
        <w:tc>
          <w:tcPr>
            <w:tcW w:w="430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8"/>
              </w:rPr>
              <w:t>Section 1.2</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Other Definitions</w:t>
            </w:r>
          </w:p>
        </w:tc>
        <w:tc>
          <w:tcPr>
            <w:tcW w:w="594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w w:val="88"/>
              </w:rPr>
              <w:t>Section 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gridSpan w:val="33"/>
          </w:tcPr>
          <w:p>
            <w:pPr>
              <w:spacing w:after="0" w:line="196" w:lineRule="exact"/>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84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b w:val="1"/>
                <w:bCs w:val="1"/>
                <w:color w:val="auto"/>
                <w:w w:val="99"/>
              </w:rPr>
              <w:t>ARTICLE 2.0 LEASING CLAUSES</w:t>
            </w:r>
          </w:p>
        </w:tc>
        <w:tc>
          <w:tcPr>
            <w:tcW w:w="60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2.1</w:t>
            </w: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8"/>
              </w:rPr>
              <w:t>Grant of Lease</w:t>
            </w:r>
          </w:p>
        </w:tc>
        <w:tc>
          <w:tcPr>
            <w:tcW w:w="698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w w:val="91"/>
              </w:rPr>
              <w:t>Section 2.2</w:t>
            </w:r>
          </w:p>
        </w:tc>
        <w:tc>
          <w:tcPr>
            <w:tcW w:w="20" w:type="dxa"/>
            <w:vAlign w:val="bottom"/>
          </w:tcPr>
          <w:p>
            <w:pPr>
              <w:spacing w:after="0"/>
              <w:rPr>
                <w:sz w:val="17"/>
                <w:szCs w:val="17"/>
                <w:color w:val="auto"/>
              </w:rPr>
            </w:pPr>
          </w:p>
        </w:tc>
        <w:tc>
          <w:tcPr>
            <w:tcW w:w="8060" w:type="dxa"/>
            <w:vAlign w:val="bottom"/>
            <w:gridSpan w:val="33"/>
          </w:tcPr>
          <w:p>
            <w:pPr>
              <w:spacing w:after="0" w:line="196" w:lineRule="exact"/>
              <w:rPr>
                <w:sz w:val="20"/>
                <w:szCs w:val="20"/>
                <w:color w:val="auto"/>
              </w:rPr>
            </w:pPr>
            <w:r>
              <w:rPr>
                <w:rFonts w:ascii="Arial" w:cs="Arial" w:eastAsia="Arial" w:hAnsi="Arial"/>
                <w:sz w:val="18"/>
                <w:szCs w:val="18"/>
                <w:color w:val="auto"/>
              </w:rPr>
              <w:t>Encumbrances, Common Facilities, Exceptions, and Reservations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2.3</w:t>
            </w:r>
          </w:p>
        </w:tc>
        <w:tc>
          <w:tcPr>
            <w:tcW w:w="2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rPr>
              <w:t>Use</w:t>
            </w:r>
          </w:p>
        </w:tc>
        <w:tc>
          <w:tcPr>
            <w:tcW w:w="33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2.4</w:t>
            </w:r>
          </w:p>
        </w:tc>
        <w:tc>
          <w:tcPr>
            <w:tcW w:w="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5"/>
              </w:rPr>
              <w:t>Lease Term, Possession</w:t>
            </w:r>
          </w:p>
        </w:tc>
        <w:tc>
          <w:tcPr>
            <w:tcW w:w="6340" w:type="dxa"/>
            <w:vAlign w:val="bottom"/>
            <w:gridSpan w:val="1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6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b w:val="1"/>
                <w:bCs w:val="1"/>
                <w:color w:val="auto"/>
                <w:w w:val="99"/>
              </w:rPr>
              <w:t>ARTICLE 3.0 RENT</w:t>
            </w:r>
          </w:p>
        </w:tc>
        <w:tc>
          <w:tcPr>
            <w:tcW w:w="7280" w:type="dxa"/>
            <w:vAlign w:val="bottom"/>
            <w:gridSpan w:val="2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Section 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9"/>
              </w:rPr>
              <w:t>Payment of Rent, General</w:t>
            </w:r>
          </w:p>
        </w:tc>
        <w:tc>
          <w:tcPr>
            <w:tcW w:w="618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88"/>
              </w:rPr>
              <w:t>Independent Covenant to Pay Rent</w:t>
            </w:r>
          </w:p>
        </w:tc>
        <w:tc>
          <w:tcPr>
            <w:tcW w:w="538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Application of Payments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Late Payments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w w:val="91"/>
              </w:rPr>
              <w:t>Section 3.2</w:t>
            </w:r>
          </w:p>
        </w:tc>
        <w:tc>
          <w:tcPr>
            <w:tcW w:w="20" w:type="dxa"/>
            <w:vAlign w:val="bottom"/>
          </w:tcPr>
          <w:p>
            <w:pPr>
              <w:spacing w:after="0"/>
              <w:rPr>
                <w:sz w:val="17"/>
                <w:szCs w:val="17"/>
                <w:color w:val="auto"/>
              </w:rPr>
            </w:pPr>
          </w:p>
        </w:tc>
        <w:tc>
          <w:tcPr>
            <w:tcW w:w="8060" w:type="dxa"/>
            <w:vAlign w:val="bottom"/>
            <w:gridSpan w:val="33"/>
          </w:tcPr>
          <w:p>
            <w:pPr>
              <w:spacing w:after="0" w:line="196" w:lineRule="exact"/>
              <w:rPr>
                <w:sz w:val="20"/>
                <w:szCs w:val="20"/>
                <w:color w:val="auto"/>
              </w:rPr>
            </w:pPr>
            <w:r>
              <w:rPr>
                <w:rFonts w:ascii="Arial" w:cs="Arial" w:eastAsia="Arial" w:hAnsi="Arial"/>
                <w:sz w:val="18"/>
                <w:szCs w:val="18"/>
                <w:color w:val="auto"/>
              </w:rPr>
              <w:t>Basic Rent</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2"/>
              </w:rPr>
              <w:t>Proration for Partial Months</w:t>
            </w:r>
          </w:p>
        </w:tc>
        <w:tc>
          <w:tcPr>
            <w:tcW w:w="586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3.2.3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Basic Rent</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3.3</w:t>
            </w: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Additional Rent</w:t>
            </w:r>
          </w:p>
        </w:tc>
        <w:tc>
          <w:tcPr>
            <w:tcW w:w="686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3.4</w:t>
            </w:r>
          </w:p>
        </w:tc>
        <w:tc>
          <w:tcPr>
            <w:tcW w:w="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2"/>
              </w:rPr>
              <w:t>Expense Allocation</w:t>
            </w:r>
          </w:p>
        </w:tc>
        <w:tc>
          <w:tcPr>
            <w:tcW w:w="662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3"/>
              </w:rPr>
              <w:t>Quiet Enjoyment</w:t>
            </w:r>
          </w:p>
        </w:tc>
        <w:tc>
          <w:tcPr>
            <w:tcW w:w="66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Landlord Services</w:t>
            </w:r>
          </w:p>
        </w:tc>
        <w:tc>
          <w:tcPr>
            <w:tcW w:w="6580" w:type="dxa"/>
            <w:vAlign w:val="bottom"/>
            <w:gridSpan w:val="1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8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b w:val="1"/>
                <w:bCs w:val="1"/>
                <w:color w:val="auto"/>
                <w:w w:val="99"/>
              </w:rPr>
              <w:t>ARTICLE 5.0 COVENANTS</w:t>
            </w:r>
          </w:p>
        </w:tc>
        <w:tc>
          <w:tcPr>
            <w:tcW w:w="66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Section 5.1</w:t>
            </w:r>
          </w:p>
        </w:tc>
        <w:tc>
          <w:tcPr>
            <w:tcW w:w="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7"/>
              </w:rPr>
              <w:t>Tenant’s Covenants</w:t>
            </w:r>
          </w:p>
        </w:tc>
        <w:tc>
          <w:tcPr>
            <w:tcW w:w="66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4"/>
              </w:rPr>
              <w:t>Consumption of Utilities</w:t>
            </w:r>
          </w:p>
        </w:tc>
        <w:tc>
          <w:tcPr>
            <w:tcW w:w="610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7"/>
              </w:rPr>
              <w:t>Care of Premises</w:t>
            </w:r>
          </w:p>
        </w:tc>
        <w:tc>
          <w:tcPr>
            <w:tcW w:w="6660" w:type="dxa"/>
            <w:vAlign w:val="bottom"/>
            <w:gridSpan w:val="2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Sidewalks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Overloading, Nuisance, Flammables, Increase in Insurance Premiums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top w:val="single" w:sz="8" w:color="auto"/>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0"/>
              </w:rPr>
              <w:t>No Obstruction; Rules and Regulations</w:t>
            </w:r>
          </w:p>
        </w:tc>
        <w:tc>
          <w:tcPr>
            <w:tcW w:w="2180" w:type="dxa"/>
            <w:vAlign w:val="bottom"/>
            <w:tcBorders>
              <w:top w:val="single" w:sz="8" w:color="auto"/>
            </w:tcBorders>
            <w:gridSpan w:val="4"/>
          </w:tcPr>
          <w:p>
            <w:pPr>
              <w:spacing w:after="0"/>
              <w:rPr>
                <w:sz w:val="17"/>
                <w:szCs w:val="17"/>
                <w:color w:val="auto"/>
              </w:rPr>
            </w:pPr>
          </w:p>
        </w:tc>
        <w:tc>
          <w:tcPr>
            <w:tcW w:w="28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0"/>
              </w:rPr>
              <w:t>Janitorial Service</w:t>
            </w:r>
          </w:p>
        </w:tc>
        <w:tc>
          <w:tcPr>
            <w:tcW w:w="66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Compliance with Laws; Safety; Health</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gridSpan w:val="7"/>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Landlord’s Consent Required for Tenant’s Construction Work</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rPr>
              <w:t>5.1.9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8"/>
              </w:rPr>
              <w:t>Licenses and Permits</w:t>
            </w:r>
          </w:p>
        </w:tc>
        <w:tc>
          <w:tcPr>
            <w:tcW w:w="2900" w:type="dxa"/>
            <w:vAlign w:val="bottom"/>
            <w:tcBorders>
              <w:top w:val="single" w:sz="8" w:color="auto"/>
            </w:tcBorders>
            <w:gridSpan w:val="12"/>
          </w:tcPr>
          <w:p>
            <w:pPr>
              <w:spacing w:after="0"/>
              <w:rPr>
                <w:sz w:val="17"/>
                <w:szCs w:val="17"/>
                <w:color w:val="auto"/>
              </w:rPr>
            </w:pPr>
          </w:p>
        </w:tc>
        <w:tc>
          <w:tcPr>
            <w:tcW w:w="346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2"/>
              </w:rPr>
              <w:t>No Violation, No Disturbance</w:t>
            </w:r>
          </w:p>
        </w:tc>
        <w:tc>
          <w:tcPr>
            <w:tcW w:w="57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20" w:type="dxa"/>
            <w:vAlign w:val="bottom"/>
          </w:tcPr>
          <w:p>
            <w:pPr>
              <w:ind w:left="360"/>
              <w:spacing w:after="0" w:line="196" w:lineRule="exact"/>
              <w:rPr>
                <w:sz w:val="20"/>
                <w:szCs w:val="20"/>
                <w:color w:val="auto"/>
              </w:rPr>
            </w:pPr>
            <w:r>
              <w:rPr>
                <w:rFonts w:ascii="Arial" w:cs="Arial" w:eastAsia="Arial" w:hAnsi="Arial"/>
                <w:sz w:val="18"/>
                <w:szCs w:val="18"/>
                <w:color w:val="auto"/>
                <w:w w:val="87"/>
              </w:rPr>
              <w:t>5.1.11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Use, Continuous Use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Keys</w:t>
            </w:r>
          </w:p>
        </w:tc>
        <w:tc>
          <w:tcPr>
            <w:tcW w:w="1140" w:type="dxa"/>
            <w:vAlign w:val="bottom"/>
            <w:tcBorders>
              <w:top w:val="single" w:sz="8" w:color="auto"/>
            </w:tcBorders>
            <w:gridSpan w:val="13"/>
          </w:tcPr>
          <w:p>
            <w:pPr>
              <w:spacing w:after="0"/>
              <w:rPr>
                <w:sz w:val="17"/>
                <w:szCs w:val="17"/>
                <w:color w:val="auto"/>
              </w:rPr>
            </w:pPr>
          </w:p>
        </w:tc>
        <w:tc>
          <w:tcPr>
            <w:tcW w:w="63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Security Alarm</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380" w:type="dxa"/>
            <w:vAlign w:val="bottom"/>
            <w:gridSpan w:val="1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9"/>
              </w:rPr>
              <w:t>Hazardous Materials</w:t>
            </w:r>
          </w:p>
        </w:tc>
        <w:tc>
          <w:tcPr>
            <w:tcW w:w="63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Glass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380" w:type="dxa"/>
            <w:vAlign w:val="bottom"/>
            <w:gridSpan w:val="1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0"/>
              </w:rPr>
              <w:t>No Interference</w:t>
            </w:r>
          </w:p>
        </w:tc>
        <w:tc>
          <w:tcPr>
            <w:tcW w:w="676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4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91"/>
              </w:rPr>
              <w:t>5.1.17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gridSpan w:val="32"/>
          </w:tcPr>
          <w:p>
            <w:pPr>
              <w:spacing w:after="0" w:line="196" w:lineRule="exact"/>
              <w:rPr>
                <w:sz w:val="20"/>
                <w:szCs w:val="20"/>
                <w:color w:val="auto"/>
              </w:rPr>
            </w:pPr>
            <w:r>
              <w:rPr>
                <w:rFonts w:ascii="Arial" w:cs="Arial" w:eastAsia="Arial" w:hAnsi="Arial"/>
                <w:sz w:val="18"/>
                <w:szCs w:val="18"/>
                <w:color w:val="auto"/>
              </w:rPr>
              <w:t>Energy Conservation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07"/>
        </w:trPr>
        <w:tc>
          <w:tcPr>
            <w:tcW w:w="8540" w:type="dxa"/>
            <w:vAlign w:val="bottom"/>
            <w:gridSpan w:val="40"/>
          </w:tcPr>
          <w:p>
            <w:pPr>
              <w:spacing w:after="0"/>
              <w:rPr>
                <w:sz w:val="20"/>
                <w:szCs w:val="20"/>
                <w:color w:val="auto"/>
              </w:rPr>
            </w:pPr>
            <w:r>
              <w:rPr>
                <w:rFonts w:ascii="Arial" w:cs="Arial" w:eastAsia="Arial" w:hAnsi="Arial"/>
                <w:sz w:val="18"/>
                <w:szCs w:val="18"/>
                <w:b w:val="1"/>
                <w:bCs w:val="1"/>
                <w:color w:val="auto"/>
              </w:rPr>
              <w:t>ARTICLE 6.0 TENANT’S DEFAULT</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6.1 Event of Default; Termination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6.2 Tenant’s Obligations After Termination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270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1"/>
              </w:rPr>
              <w:t>Section 6.3 Landlord’s Right to Relet</w:t>
            </w:r>
          </w:p>
        </w:tc>
        <w:tc>
          <w:tcPr>
            <w:tcW w:w="5840" w:type="dxa"/>
            <w:vAlign w:val="bottom"/>
            <w:gridSpan w:val="2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92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1"/>
              </w:rPr>
              <w:t>Section 6.4 Landlord’s Other Remedies</w:t>
            </w:r>
          </w:p>
        </w:tc>
        <w:tc>
          <w:tcPr>
            <w:tcW w:w="5620" w:type="dxa"/>
            <w:vAlign w:val="bottom"/>
            <w:gridSpan w:val="1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6.5 Right to Equitable Relief</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6.6 Landlord’s Right To Cure Tenant’s Breach</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24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9"/>
              </w:rPr>
              <w:t>Section 6.7 Enforcement Costs</w:t>
            </w:r>
          </w:p>
        </w:tc>
        <w:tc>
          <w:tcPr>
            <w:tcW w:w="1680" w:type="dxa"/>
            <w:vAlign w:val="bottom"/>
            <w:tcBorders>
              <w:top w:val="single" w:sz="8" w:color="auto"/>
            </w:tcBorders>
            <w:gridSpan w:val="16"/>
          </w:tcPr>
          <w:p>
            <w:pPr>
              <w:spacing w:after="0"/>
              <w:rPr>
                <w:sz w:val="17"/>
                <w:szCs w:val="17"/>
                <w:color w:val="auto"/>
              </w:rPr>
            </w:pPr>
          </w:p>
        </w:tc>
        <w:tc>
          <w:tcPr>
            <w:tcW w:w="4620" w:type="dxa"/>
            <w:vAlign w:val="bottom"/>
            <w:gridSpan w:val="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b w:val="1"/>
                <w:bCs w:val="1"/>
                <w:color w:val="auto"/>
              </w:rPr>
              <w:t>ARTICLE 7.0 LANDLORD’S DEFAULT</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200" w:type="dxa"/>
            <w:vAlign w:val="bottom"/>
            <w:tcBorders>
              <w:top w:val="single" w:sz="8" w:color="auto"/>
            </w:tcBorders>
            <w:gridSpan w:val="26"/>
          </w:tcPr>
          <w:p>
            <w:pPr>
              <w:spacing w:after="0" w:line="196" w:lineRule="exact"/>
              <w:rPr>
                <w:sz w:val="20"/>
                <w:szCs w:val="20"/>
                <w:color w:val="auto"/>
              </w:rPr>
            </w:pPr>
            <w:r>
              <w:rPr>
                <w:rFonts w:ascii="Arial" w:cs="Arial" w:eastAsia="Arial" w:hAnsi="Arial"/>
                <w:sz w:val="18"/>
                <w:szCs w:val="18"/>
                <w:color w:val="auto"/>
              </w:rPr>
              <w:t>Section 7.1 Landlord’s Default</w:t>
            </w:r>
          </w:p>
        </w:tc>
        <w:tc>
          <w:tcPr>
            <w:tcW w:w="5340" w:type="dxa"/>
            <w:vAlign w:val="bottom"/>
            <w:gridSpan w:val="14"/>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2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b w:val="1"/>
                <w:bCs w:val="1"/>
                <w:color w:val="auto"/>
              </w:rPr>
              <w:t>ARTICLE 8.0 SECURITY</w:t>
            </w:r>
          </w:p>
        </w:tc>
        <w:tc>
          <w:tcPr>
            <w:tcW w:w="6320" w:type="dxa"/>
            <w:vAlign w:val="bottom"/>
            <w:gridSpan w:val="25"/>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328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92"/>
              </w:rPr>
              <w:t>Section 8.1 Security Deposit; Amount, Form</w:t>
            </w:r>
          </w:p>
        </w:tc>
        <w:tc>
          <w:tcPr>
            <w:tcW w:w="5260" w:type="dxa"/>
            <w:vAlign w:val="bottom"/>
            <w:gridSpan w:val="1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8.2 Use of Security Deposit Upon a Breach or Event of Default</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b w:val="1"/>
                <w:bCs w:val="1"/>
                <w:color w:val="auto"/>
              </w:rPr>
              <w:t>ARTICLE 9.0 GENERAL MATTERS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94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Section 9.1 Broker</w:t>
            </w:r>
          </w:p>
        </w:tc>
        <w:tc>
          <w:tcPr>
            <w:tcW w:w="5600" w:type="dxa"/>
            <w:vAlign w:val="bottom"/>
            <w:gridSpan w:val="17"/>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142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Section 9.2 Notices</w:t>
            </w:r>
          </w:p>
        </w:tc>
        <w:tc>
          <w:tcPr>
            <w:tcW w:w="7120" w:type="dxa"/>
            <w:vAlign w:val="bottom"/>
            <w:gridSpan w:val="3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9.4 Harvard Name</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860" w:type="dxa"/>
            <w:vAlign w:val="bottom"/>
            <w:gridSpan w:val="2"/>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9.5 Casualty and Eminent Domain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8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9.6 Indemnification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860" w:type="dxa"/>
            <w:vAlign w:val="bottom"/>
            <w:gridSpan w:val="2"/>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9.7 Insurance</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900" w:type="dxa"/>
            <w:vAlign w:val="bottom"/>
            <w:tcBorders>
              <w:right w:val="single" w:sz="8" w:color="auto"/>
            </w:tcBorders>
            <w:gridSpan w:val="3"/>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9.8 Interruption in Services and Utilities, Selection of Power Providers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680" w:type="dxa"/>
            <w:vAlign w:val="bottom"/>
            <w:tcBorders>
              <w:top w:val="single" w:sz="8" w:color="auto"/>
            </w:tcBorders>
            <w:gridSpan w:val="38"/>
          </w:tcPr>
          <w:p>
            <w:pPr>
              <w:spacing w:after="0" w:line="196" w:lineRule="exact"/>
              <w:rPr>
                <w:sz w:val="20"/>
                <w:szCs w:val="20"/>
                <w:color w:val="auto"/>
              </w:rPr>
            </w:pPr>
            <w:r>
              <w:rPr>
                <w:rFonts w:ascii="Arial" w:cs="Arial" w:eastAsia="Arial" w:hAnsi="Arial"/>
                <w:sz w:val="18"/>
                <w:szCs w:val="18"/>
                <w:color w:val="auto"/>
              </w:rPr>
              <w:t>Section 9.9 Time to Commence Actions; No Jury Trial</w:t>
            </w:r>
          </w:p>
        </w:tc>
        <w:tc>
          <w:tcPr>
            <w:tcW w:w="2860" w:type="dxa"/>
            <w:vAlign w:val="bottom"/>
            <w:gridSpan w:val="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160" w:type="dxa"/>
            <w:vAlign w:val="bottom"/>
            <w:tcBorders>
              <w:top w:val="single" w:sz="8" w:color="auto"/>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8"/>
              </w:rPr>
              <w:t>Section 9.10 Sale of Premises</w:t>
            </w:r>
          </w:p>
        </w:tc>
        <w:tc>
          <w:tcPr>
            <w:tcW w:w="1780" w:type="dxa"/>
            <w:vAlign w:val="bottom"/>
            <w:tcBorders>
              <w:top w:val="single" w:sz="8" w:color="auto"/>
            </w:tcBorders>
            <w:gridSpan w:val="19"/>
          </w:tcPr>
          <w:p>
            <w:pPr>
              <w:spacing w:after="0"/>
              <w:rPr>
                <w:sz w:val="17"/>
                <w:szCs w:val="17"/>
                <w:color w:val="auto"/>
              </w:rPr>
            </w:pPr>
          </w:p>
        </w:tc>
        <w:tc>
          <w:tcPr>
            <w:tcW w:w="4600" w:type="dxa"/>
            <w:vAlign w:val="bottom"/>
            <w:gridSpan w:val="7"/>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240" w:type="dxa"/>
            <w:vAlign w:val="bottom"/>
            <w:tcBorders>
              <w:bottom w:val="single" w:sz="8" w:color="auto"/>
            </w:tcBorders>
            <w:gridSpan w:val="34"/>
          </w:tcPr>
          <w:p>
            <w:pPr>
              <w:spacing w:after="0" w:line="196" w:lineRule="exact"/>
              <w:rPr>
                <w:sz w:val="20"/>
                <w:szCs w:val="20"/>
                <w:color w:val="auto"/>
              </w:rPr>
            </w:pPr>
            <w:r>
              <w:rPr>
                <w:rFonts w:ascii="Arial" w:cs="Arial" w:eastAsia="Arial" w:hAnsi="Arial"/>
                <w:sz w:val="18"/>
                <w:szCs w:val="18"/>
                <w:color w:val="auto"/>
                <w:w w:val="91"/>
              </w:rPr>
              <w:t>Section 9.11 Effect of Unavoidable Delays; Force Majeure</w:t>
            </w:r>
          </w:p>
        </w:tc>
        <w:tc>
          <w:tcPr>
            <w:tcW w:w="4300" w:type="dxa"/>
            <w:vAlign w:val="bottom"/>
            <w:gridSpan w:val="6"/>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9.13 Assignment or Subletting</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344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90"/>
              </w:rPr>
              <w:t>Section 9.14 Amendment; No Oral Agreements</w:t>
            </w:r>
          </w:p>
        </w:tc>
        <w:tc>
          <w:tcPr>
            <w:tcW w:w="5100" w:type="dxa"/>
            <w:vAlign w:val="bottom"/>
            <w:gridSpan w:val="11"/>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9.15 No Waiver, No Exhaustion of Landlord’s Rights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60" w:type="dxa"/>
            <w:vAlign w:val="bottom"/>
            <w:tcBorders>
              <w:top w:val="single" w:sz="8" w:color="auto"/>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0"/>
              </w:rPr>
              <w:t>Section 9.16 Estoppel Certificates</w:t>
            </w:r>
          </w:p>
        </w:tc>
        <w:tc>
          <w:tcPr>
            <w:tcW w:w="1960" w:type="dxa"/>
            <w:vAlign w:val="bottom"/>
            <w:tcBorders>
              <w:top w:val="single" w:sz="8" w:color="auto"/>
            </w:tcBorders>
            <w:gridSpan w:val="18"/>
          </w:tcPr>
          <w:p>
            <w:pPr>
              <w:spacing w:after="0"/>
              <w:rPr>
                <w:sz w:val="17"/>
                <w:szCs w:val="17"/>
                <w:color w:val="auto"/>
              </w:rPr>
            </w:pPr>
          </w:p>
        </w:tc>
        <w:tc>
          <w:tcPr>
            <w:tcW w:w="4120" w:type="dxa"/>
            <w:vAlign w:val="bottom"/>
            <w:gridSpan w:val="4"/>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9.17 Subordination</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292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3"/>
              </w:rPr>
              <w:t>Section 9.18 Joint and Several Liability</w:t>
            </w:r>
          </w:p>
        </w:tc>
        <w:tc>
          <w:tcPr>
            <w:tcW w:w="5620" w:type="dxa"/>
            <w:vAlign w:val="bottom"/>
            <w:gridSpan w:val="1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9.19 Severability</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540" w:type="dxa"/>
            <w:vAlign w:val="bottom"/>
            <w:gridSpan w:val="9"/>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9.20 Representative Capacity</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8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Section 9.21 Cumulative Effect</w:t>
            </w:r>
          </w:p>
        </w:tc>
        <w:tc>
          <w:tcPr>
            <w:tcW w:w="420" w:type="dxa"/>
            <w:vAlign w:val="bottom"/>
            <w:tcBorders>
              <w:top w:val="single" w:sz="8" w:color="auto"/>
            </w:tcBorders>
            <w:gridSpan w:val="3"/>
          </w:tcPr>
          <w:p>
            <w:pPr>
              <w:spacing w:after="0"/>
              <w:rPr>
                <w:sz w:val="17"/>
                <w:szCs w:val="17"/>
                <w:color w:val="auto"/>
              </w:rPr>
            </w:pPr>
          </w:p>
        </w:tc>
        <w:tc>
          <w:tcPr>
            <w:tcW w:w="5840" w:type="dxa"/>
            <w:vAlign w:val="bottom"/>
            <w:gridSpan w:val="2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22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0"/>
              </w:rPr>
              <w:t>Section 9.22 Notice of Lease, Tax Reporting</w:t>
            </w:r>
          </w:p>
        </w:tc>
        <w:tc>
          <w:tcPr>
            <w:tcW w:w="5320" w:type="dxa"/>
            <w:vAlign w:val="bottom"/>
            <w:gridSpan w:val="13"/>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160" w:type="dxa"/>
            <w:vAlign w:val="bottom"/>
            <w:tcBorders>
              <w:bottom w:val="single" w:sz="8" w:color="auto"/>
            </w:tcBorders>
            <w:gridSpan w:val="37"/>
          </w:tcPr>
          <w:p>
            <w:pPr>
              <w:spacing w:after="0" w:line="196" w:lineRule="exact"/>
              <w:rPr>
                <w:sz w:val="20"/>
                <w:szCs w:val="20"/>
                <w:color w:val="auto"/>
              </w:rPr>
            </w:pPr>
            <w:r>
              <w:rPr>
                <w:rFonts w:ascii="Arial" w:cs="Arial" w:eastAsia="Arial" w:hAnsi="Arial"/>
                <w:sz w:val="18"/>
                <w:szCs w:val="18"/>
                <w:color w:val="auto"/>
                <w:w w:val="91"/>
              </w:rPr>
              <w:t>Section 9.23 Access to Premises; Landlord’s Right to Repair and Alter</w:t>
            </w:r>
          </w:p>
        </w:tc>
        <w:tc>
          <w:tcPr>
            <w:tcW w:w="3380" w:type="dxa"/>
            <w:vAlign w:val="bottom"/>
            <w:gridSpan w:val="3"/>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9.24 Yielding Up; Holding Over</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540" w:type="dxa"/>
            <w:vAlign w:val="bottom"/>
            <w:gridSpan w:val="9"/>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9.25 When Lease is Binding on Landlord; PATRIOT ACT; Choice of Law</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940" w:type="dxa"/>
            <w:vAlign w:val="bottom"/>
            <w:tcBorders>
              <w:top w:val="single" w:sz="8" w:color="auto"/>
            </w:tcBorders>
            <w:gridSpan w:val="39"/>
          </w:tcPr>
          <w:p>
            <w:pPr>
              <w:spacing w:after="0" w:line="196" w:lineRule="exact"/>
              <w:rPr>
                <w:sz w:val="20"/>
                <w:szCs w:val="20"/>
                <w:color w:val="auto"/>
              </w:rPr>
            </w:pPr>
            <w:r>
              <w:rPr>
                <w:rFonts w:ascii="Arial" w:cs="Arial" w:eastAsia="Arial" w:hAnsi="Arial"/>
                <w:sz w:val="18"/>
                <w:szCs w:val="18"/>
                <w:color w:val="auto"/>
              </w:rPr>
              <w:t>Section 9.26 Application of Payments; Check Endorsements</w:t>
            </w:r>
          </w:p>
        </w:tc>
        <w:tc>
          <w:tcPr>
            <w:tcW w:w="2600" w:type="dxa"/>
            <w:vAlign w:val="bottom"/>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640" w:type="dxa"/>
            <w:vAlign w:val="bottom"/>
            <w:tcBorders>
              <w:left w:val="single" w:sz="8" w:color="auto"/>
              <w:right w:val="single" w:sz="8" w:color="auto"/>
            </w:tcBorders>
            <w:gridSpan w:val="9"/>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9.27 Roof Rights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9.28 Signage</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1100" w:type="dxa"/>
            <w:vAlign w:val="bottom"/>
            <w:gridSpan w:val="10"/>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b w:val="1"/>
                <w:bCs w:val="1"/>
                <w:color w:val="auto"/>
              </w:rPr>
              <w:t>ARTICLE 10.0 ADDITIONAL PROVISIONS</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560" w:type="dxa"/>
            <w:vAlign w:val="bottom"/>
            <w:tcBorders>
              <w:top w:val="single" w:sz="8" w:color="auto"/>
            </w:tcBorders>
            <w:gridSpan w:val="30"/>
          </w:tcPr>
          <w:p>
            <w:pPr>
              <w:spacing w:after="0" w:line="196" w:lineRule="exact"/>
              <w:rPr>
                <w:sz w:val="20"/>
                <w:szCs w:val="20"/>
                <w:color w:val="auto"/>
              </w:rPr>
            </w:pPr>
            <w:r>
              <w:rPr>
                <w:rFonts w:ascii="Arial" w:cs="Arial" w:eastAsia="Arial" w:hAnsi="Arial"/>
                <w:sz w:val="18"/>
                <w:szCs w:val="18"/>
                <w:color w:val="auto"/>
              </w:rPr>
              <w:t>Section 10.1 Landlord’s Work Letter</w:t>
            </w:r>
          </w:p>
        </w:tc>
        <w:tc>
          <w:tcPr>
            <w:tcW w:w="4980" w:type="dxa"/>
            <w:vAlign w:val="bottom"/>
            <w:gridSpan w:val="1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640" w:type="dxa"/>
            <w:vAlign w:val="bottom"/>
            <w:gridSpan w:val="19"/>
            <w:shd w:val="clear" w:color="auto" w:fill="000000"/>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5260" w:type="dxa"/>
            <w:vAlign w:val="bottom"/>
            <w:gridSpan w:val="1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540" w:type="dxa"/>
            <w:vAlign w:val="bottom"/>
            <w:gridSpan w:val="40"/>
          </w:tcPr>
          <w:p>
            <w:pPr>
              <w:spacing w:after="0" w:line="196" w:lineRule="exact"/>
              <w:rPr>
                <w:sz w:val="20"/>
                <w:szCs w:val="20"/>
                <w:color w:val="auto"/>
              </w:rPr>
            </w:pPr>
            <w:r>
              <w:rPr>
                <w:rFonts w:ascii="Arial" w:cs="Arial" w:eastAsia="Arial" w:hAnsi="Arial"/>
                <w:sz w:val="18"/>
                <w:szCs w:val="18"/>
                <w:color w:val="auto"/>
              </w:rPr>
              <w:t>Section 10.2 Tenant Improvement Allowance</w:t>
            </w:r>
          </w:p>
        </w:tc>
        <w:tc>
          <w:tcPr>
            <w:tcW w:w="2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57" w:right="3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07"/>
        </w:trPr>
        <w:tc>
          <w:tcPr>
            <w:tcW w:w="7700" w:type="dxa"/>
            <w:vAlign w:val="bottom"/>
            <w:gridSpan w:val="9"/>
          </w:tcPr>
          <w:p>
            <w:pPr>
              <w:spacing w:after="0"/>
              <w:rPr>
                <w:sz w:val="20"/>
                <w:szCs w:val="20"/>
                <w:color w:val="auto"/>
              </w:rPr>
            </w:pPr>
            <w:r>
              <w:rPr>
                <w:rFonts w:ascii="Arial" w:cs="Arial" w:eastAsia="Arial" w:hAnsi="Arial"/>
                <w:sz w:val="18"/>
                <w:szCs w:val="18"/>
                <w:b w:val="1"/>
                <w:bCs w:val="1"/>
                <w:color w:val="auto"/>
              </w:rPr>
              <w:t>ARTICLE 11.0 OPTION TO EXTEND LEASE TERM</w:t>
            </w:r>
          </w:p>
        </w:tc>
        <w:tc>
          <w:tcPr>
            <w:tcW w:w="3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284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Section 11.1 Tenant’s Option to Extend</w:t>
            </w:r>
          </w:p>
        </w:tc>
        <w:tc>
          <w:tcPr>
            <w:tcW w:w="1400" w:type="dxa"/>
            <w:vAlign w:val="bottom"/>
            <w:tcBorders>
              <w:top w:val="single" w:sz="8" w:color="auto"/>
            </w:tcBorders>
            <w:gridSpan w:val="2"/>
          </w:tcPr>
          <w:p>
            <w:pPr>
              <w:spacing w:after="0"/>
              <w:rPr>
                <w:sz w:val="17"/>
                <w:szCs w:val="17"/>
                <w:color w:val="auto"/>
              </w:rPr>
            </w:pPr>
          </w:p>
        </w:tc>
        <w:tc>
          <w:tcPr>
            <w:tcW w:w="3460" w:type="dxa"/>
            <w:vAlign w:val="bottom"/>
            <w:gridSpan w:val="2"/>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2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1"/>
              </w:rPr>
              <w:t>Section 11.2 Determination of Rent for the Extension Term</w:t>
            </w:r>
          </w:p>
        </w:tc>
        <w:tc>
          <w:tcPr>
            <w:tcW w:w="3420" w:type="dxa"/>
            <w:vAlign w:val="bottom"/>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11.3</w:t>
            </w:r>
          </w:p>
        </w:tc>
        <w:tc>
          <w:tcPr>
            <w:tcW w:w="146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85"/>
              </w:rPr>
              <w:t>Costs and Expenses</w:t>
            </w:r>
          </w:p>
        </w:tc>
        <w:tc>
          <w:tcPr>
            <w:tcW w:w="5320" w:type="dxa"/>
            <w:vAlign w:val="bottom"/>
            <w:gridSpan w:val="6"/>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Section 11.4</w:t>
            </w:r>
          </w:p>
        </w:tc>
        <w:tc>
          <w:tcPr>
            <w:tcW w:w="2800" w:type="dxa"/>
            <w:vAlign w:val="bottom"/>
            <w:tcBorders>
              <w:bottom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w w:val="91"/>
              </w:rPr>
              <w:t>Continuation of Terms and Conditions</w:t>
            </w:r>
          </w:p>
        </w:tc>
        <w:tc>
          <w:tcPr>
            <w:tcW w:w="3980" w:type="dxa"/>
            <w:vAlign w:val="bottom"/>
            <w:gridSpan w:val="3"/>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w w:val="89"/>
              </w:rPr>
              <w:t>Section 11.5</w:t>
            </w:r>
          </w:p>
        </w:tc>
        <w:tc>
          <w:tcPr>
            <w:tcW w:w="678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Intentionally Omitted</w:t>
            </w: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9"/>
              </w:rPr>
              <w:t>Section 11.6</w:t>
            </w:r>
          </w:p>
        </w:tc>
        <w:tc>
          <w:tcPr>
            <w:tcW w:w="1580" w:type="dxa"/>
            <w:vAlign w:val="bottom"/>
            <w:tcBorders>
              <w:top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Definition</w:t>
            </w:r>
          </w:p>
        </w:tc>
        <w:tc>
          <w:tcPr>
            <w:tcW w:w="5200" w:type="dxa"/>
            <w:vAlign w:val="bottom"/>
            <w:gridSpan w:val="5"/>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680" w:type="dxa"/>
            <w:vAlign w:val="bottom"/>
            <w:gridSpan w:val="2"/>
            <w:shd w:val="clear" w:color="auto" w:fill="000000"/>
          </w:tcPr>
          <w:p>
            <w:pPr>
              <w:spacing w:after="0" w:line="20" w:lineRule="exact"/>
              <w:rPr>
                <w:sz w:val="1"/>
                <w:szCs w:val="1"/>
                <w:color w:val="auto"/>
              </w:rPr>
            </w:pPr>
          </w:p>
        </w:tc>
        <w:tc>
          <w:tcPr>
            <w:tcW w:w="6020" w:type="dxa"/>
            <w:vAlign w:val="bottom"/>
            <w:gridSpan w:val="7"/>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22"/>
        </w:trPr>
        <w:tc>
          <w:tcPr>
            <w:tcW w:w="7700" w:type="dxa"/>
            <w:vAlign w:val="bottom"/>
            <w:gridSpan w:val="9"/>
          </w:tcPr>
          <w:p>
            <w:pPr>
              <w:spacing w:after="0"/>
              <w:rPr>
                <w:sz w:val="20"/>
                <w:szCs w:val="20"/>
                <w:color w:val="auto"/>
              </w:rPr>
            </w:pPr>
            <w:r>
              <w:rPr>
                <w:rFonts w:ascii="Arial" w:cs="Arial" w:eastAsia="Arial" w:hAnsi="Arial"/>
                <w:sz w:val="18"/>
                <w:szCs w:val="18"/>
                <w:color w:val="auto"/>
              </w:rPr>
              <w:t>EXHIBIT A: RULES AND REGULATIONS</w:t>
            </w:r>
          </w:p>
        </w:tc>
        <w:tc>
          <w:tcPr>
            <w:tcW w:w="3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700" w:type="dxa"/>
            <w:vAlign w:val="bottom"/>
            <w:gridSpan w:val="9"/>
          </w:tcPr>
          <w:p>
            <w:pPr>
              <w:spacing w:after="0"/>
              <w:rPr>
                <w:sz w:val="20"/>
                <w:szCs w:val="20"/>
                <w:color w:val="auto"/>
              </w:rPr>
            </w:pPr>
            <w:r>
              <w:rPr>
                <w:rFonts w:ascii="Arial" w:cs="Arial" w:eastAsia="Arial" w:hAnsi="Arial"/>
                <w:sz w:val="18"/>
                <w:szCs w:val="18"/>
                <w:color w:val="auto"/>
              </w:rPr>
              <w:t>EXHIBIT B: INTENTIONALLY DELETED</w:t>
            </w:r>
          </w:p>
        </w:tc>
        <w:tc>
          <w:tcPr>
            <w:tcW w:w="3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700" w:type="dxa"/>
            <w:vAlign w:val="bottom"/>
            <w:gridSpan w:val="9"/>
          </w:tcPr>
          <w:p>
            <w:pPr>
              <w:spacing w:after="0"/>
              <w:rPr>
                <w:sz w:val="20"/>
                <w:szCs w:val="20"/>
                <w:color w:val="auto"/>
              </w:rPr>
            </w:pPr>
            <w:r>
              <w:rPr>
                <w:rFonts w:ascii="Arial" w:cs="Arial" w:eastAsia="Arial" w:hAnsi="Arial"/>
                <w:sz w:val="18"/>
                <w:szCs w:val="18"/>
                <w:color w:val="auto"/>
              </w:rPr>
              <w:t>EXHIBIT C: LANDLORD’S WORK LETTER</w:t>
            </w:r>
          </w:p>
        </w:tc>
        <w:tc>
          <w:tcPr>
            <w:tcW w:w="3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700" w:type="dxa"/>
            <w:vAlign w:val="bottom"/>
            <w:gridSpan w:val="9"/>
          </w:tcPr>
          <w:p>
            <w:pPr>
              <w:spacing w:after="0"/>
              <w:rPr>
                <w:sz w:val="20"/>
                <w:szCs w:val="20"/>
                <w:color w:val="auto"/>
              </w:rPr>
            </w:pPr>
            <w:r>
              <w:rPr>
                <w:rFonts w:ascii="Arial" w:cs="Arial" w:eastAsia="Arial" w:hAnsi="Arial"/>
                <w:sz w:val="18"/>
                <w:szCs w:val="18"/>
                <w:color w:val="auto"/>
              </w:rPr>
              <w:t>EXHIBIT D: DEPICTION OF PREMISES</w:t>
            </w:r>
          </w:p>
        </w:tc>
        <w:tc>
          <w:tcPr>
            <w:tcW w:w="3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700" w:type="dxa"/>
            <w:vAlign w:val="bottom"/>
            <w:gridSpan w:val="9"/>
          </w:tcPr>
          <w:p>
            <w:pPr>
              <w:spacing w:after="0"/>
              <w:rPr>
                <w:sz w:val="20"/>
                <w:szCs w:val="20"/>
                <w:color w:val="auto"/>
              </w:rPr>
            </w:pPr>
            <w:r>
              <w:rPr>
                <w:rFonts w:ascii="Arial" w:cs="Arial" w:eastAsia="Arial" w:hAnsi="Arial"/>
                <w:sz w:val="18"/>
                <w:szCs w:val="18"/>
                <w:color w:val="auto"/>
              </w:rPr>
              <w:t>EXHIBIT E: PROHIBITED USES</w:t>
            </w:r>
          </w:p>
        </w:tc>
        <w:tc>
          <w:tcPr>
            <w:tcW w:w="362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57" w:right="3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and Tenant hereby covenant and agree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1.0 PARTIES, PREMISES, AND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 Parties, Premises, Term, Rent</w:t>
      </w:r>
      <w:r>
        <w:rPr>
          <w:rFonts w:ascii="Arial" w:cs="Arial" w:eastAsia="Arial" w:hAnsi="Arial"/>
          <w:sz w:val="16"/>
          <w:szCs w:val="16"/>
          <w:color w:val="auto"/>
        </w:rPr>
        <w:t>. The parties to this Lease (“Landlord” and “Tenant”) and the premises (“Premises”) leased hereby are as follows:</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Harvard Real Estate – Allston, Inc., a Massachusetts corporation, its successors and assigns.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 SNBL USA, Ltd.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Tenant’s Mailing Address</w:t>
      </w:r>
      <w:r>
        <w:rPr>
          <w:rFonts w:ascii="Arial" w:cs="Arial" w:eastAsia="Arial" w:hAnsi="Arial"/>
          <w:sz w:val="18"/>
          <w:szCs w:val="18"/>
          <w:color w:val="auto"/>
        </w:rPr>
        <w:t>: 6605 Merrill Creek Parkway, Everett, WA 98203, Attn: President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Tenant’s Business Name</w:t>
      </w:r>
      <w:r>
        <w:rPr>
          <w:rFonts w:ascii="Arial" w:cs="Arial" w:eastAsia="Arial" w:hAnsi="Arial"/>
          <w:sz w:val="18"/>
          <w:szCs w:val="18"/>
          <w:color w:val="auto"/>
        </w:rPr>
        <w:t>: 6605 Merrill Creek Parkway, Everett, WA 98203</w:t>
      </w:r>
    </w:p>
    <w:p>
      <w:pPr>
        <w:spacing w:after="0" w:line="225" w:lineRule="exact"/>
        <w:rPr>
          <w:sz w:val="20"/>
          <w:szCs w:val="20"/>
          <w:color w:val="auto"/>
        </w:rPr>
      </w:pPr>
    </w:p>
    <w:p>
      <w:pPr>
        <w:ind w:left="920"/>
        <w:spacing w:after="0"/>
        <w:tabs>
          <w:tab w:leader="none" w:pos="2920" w:val="left"/>
        </w:tabs>
        <w:rPr>
          <w:sz w:val="20"/>
          <w:szCs w:val="20"/>
          <w:color w:val="auto"/>
        </w:rPr>
      </w:pPr>
      <w:r>
        <w:rPr>
          <w:rFonts w:ascii="Arial" w:cs="Arial" w:eastAsia="Arial" w:hAnsi="Arial"/>
          <w:sz w:val="18"/>
          <w:szCs w:val="18"/>
          <w:b w:val="1"/>
          <w:bCs w:val="1"/>
          <w:u w:val="single" w:color="auto"/>
          <w:color w:val="auto"/>
        </w:rPr>
        <w:t>Date of this Lease</w:t>
      </w:r>
      <w:r>
        <w:rPr>
          <w:rFonts w:ascii="Arial" w:cs="Arial" w:eastAsia="Arial" w:hAnsi="Arial"/>
          <w:sz w:val="18"/>
          <w:szCs w:val="18"/>
          <w:color w:val="auto"/>
        </w:rPr>
        <w:t>: June</w:t>
      </w:r>
      <w:r>
        <w:rPr>
          <w:sz w:val="20"/>
          <w:szCs w:val="20"/>
          <w:color w:val="auto"/>
        </w:rPr>
        <w:tab/>
      </w:r>
      <w:r>
        <w:rPr>
          <w:rFonts w:ascii="Arial" w:cs="Arial" w:eastAsia="Arial" w:hAnsi="Arial"/>
          <w:sz w:val="15"/>
          <w:szCs w:val="15"/>
          <w:color w:val="auto"/>
        </w:rPr>
        <w:t>, 2009</w:t>
      </w:r>
    </w:p>
    <w:p>
      <w:pPr>
        <w:spacing w:after="0" w:line="22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u w:val="single" w:color="auto"/>
          <w:color w:val="auto"/>
        </w:rPr>
        <w:t>Premises</w:t>
      </w:r>
      <w:r>
        <w:rPr>
          <w:rFonts w:ascii="Arial" w:cs="Arial" w:eastAsia="Arial" w:hAnsi="Arial"/>
          <w:sz w:val="16"/>
          <w:szCs w:val="16"/>
          <w:color w:val="auto"/>
        </w:rPr>
        <w:t>: Approximately 4,348 rentable square feet located in the Building, as shown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thereto. At any time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Rent Commencement Date, Tenant reserves the right, at Tenant’s sole cost and expense, to have the Premises re-measured, using the BOMA standard for measuring office space, and to submit any proposed recalculation of the Premises rentable square footage to Landlord for Landlord’s review and approval, not to be unreasonably withheld, conditioned or delayed. In the event of an adjustment in the Premises rentable square footage, Landlord and Tenant shall each execute and deliver an amendment to this Lease, adjusting the rentable square footage, Tenant’s Proportionate Share, Basic Rent and the Tenant Improvement Allowance. In the event Landlord has paid to Tenant all or a portion of the Tenant Improvement Allowance as set forth in Section 10.2 hereof in an amount in excess of the adjusted Tenant Improvement Allowance, Tenant shall pay to Landlord, as Additional Rent within thirty (30) days of such adjustment, an amount equal to such excess. In the event Tenant’s re-measurement of the Premises rentable square footage results in an increase in the Tenant Improvement Allowance, the time limit for Tenant to submit a request for reimbursement from the Tenant Improvement Allowance, as set forth in Section 10.2 shall be extended for a period of thirty (30) days following such adjustment of the Tenant Improvement Allowance.</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Land</w:t>
      </w:r>
      <w:r>
        <w:rPr>
          <w:rFonts w:ascii="Arial" w:cs="Arial" w:eastAsia="Arial" w:hAnsi="Arial"/>
          <w:sz w:val="18"/>
          <w:szCs w:val="18"/>
          <w:color w:val="auto"/>
        </w:rPr>
        <w:t>: The land known and numbered as 1320 Soldiers Field Road, Boston, Massachusetts</w:t>
      </w:r>
    </w:p>
    <w:p>
      <w:pPr>
        <w:spacing w:after="0" w:line="225"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b w:val="1"/>
          <w:bCs w:val="1"/>
          <w:u w:val="single" w:color="auto"/>
          <w:color w:val="auto"/>
        </w:rPr>
        <w:t>Lease Commencement Date</w:t>
      </w:r>
      <w:r>
        <w:rPr>
          <w:rFonts w:ascii="Arial" w:cs="Arial" w:eastAsia="Arial" w:hAnsi="Arial"/>
          <w:sz w:val="18"/>
          <w:szCs w:val="18"/>
          <w:color w:val="auto"/>
        </w:rPr>
        <w:t>: The earlier to occur of (a) the date upon which Tenant obtains a building permit for the construction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improvements in accordance with the space plan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or (b) August 1, 2009.</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Lease Expiration Date</w:t>
      </w:r>
      <w:r>
        <w:rPr>
          <w:rFonts w:ascii="Arial" w:cs="Arial" w:eastAsia="Arial" w:hAnsi="Arial"/>
          <w:sz w:val="16"/>
          <w:szCs w:val="16"/>
          <w:color w:val="auto"/>
        </w:rPr>
        <w:t>: The last day of the calendar month in which the tenth (10th) anniversary of the Lease Commencement Date occurs.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68" w:name="page269"/>
    <w:bookmarkEnd w:id="268"/>
    <w:p>
      <w:pPr>
        <w:ind w:right="20" w:firstLine="913"/>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Rent Commencement Date</w:t>
      </w:r>
      <w:r>
        <w:rPr>
          <w:rFonts w:ascii="Arial" w:cs="Arial" w:eastAsia="Arial" w:hAnsi="Arial"/>
          <w:sz w:val="18"/>
          <w:szCs w:val="18"/>
          <w:color w:val="auto"/>
        </w:rPr>
        <w:t>: The earlier to occur of (a) the date four (4) months after the issuance of a certificate of occupancy for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or (b) May 1, 2010.</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Permitted Uses</w:t>
      </w:r>
      <w:r>
        <w:rPr>
          <w:rFonts w:ascii="Arial" w:cs="Arial" w:eastAsia="Arial" w:hAnsi="Arial"/>
          <w:sz w:val="18"/>
          <w:szCs w:val="18"/>
          <w:color w:val="auto"/>
        </w:rPr>
        <w:t>: General office uses, laboratory uses, and no other uses.</w:t>
      </w:r>
    </w:p>
    <w:p>
      <w:pPr>
        <w:spacing w:after="0" w:line="225" w:lineRule="exact"/>
        <w:rPr>
          <w:sz w:val="20"/>
          <w:szCs w:val="20"/>
          <w:color w:val="auto"/>
        </w:rPr>
      </w:pPr>
    </w:p>
    <w:p>
      <w:pPr>
        <w:ind w:right="160" w:firstLine="913"/>
        <w:spacing w:after="0" w:line="347" w:lineRule="auto"/>
        <w:rPr>
          <w:sz w:val="20"/>
          <w:szCs w:val="20"/>
          <w:color w:val="auto"/>
        </w:rPr>
      </w:pPr>
      <w:r>
        <w:rPr>
          <w:rFonts w:ascii="Arial" w:cs="Arial" w:eastAsia="Arial" w:hAnsi="Arial"/>
          <w:sz w:val="16"/>
          <w:szCs w:val="16"/>
          <w:b w:val="1"/>
          <w:bCs w:val="1"/>
          <w:u w:val="single" w:color="auto"/>
          <w:color w:val="auto"/>
        </w:rPr>
        <w:t>Tenant’s Proportionate Share</w:t>
      </w:r>
      <w:r>
        <w:rPr>
          <w:rFonts w:ascii="Arial" w:cs="Arial" w:eastAsia="Arial" w:hAnsi="Arial"/>
          <w:sz w:val="16"/>
          <w:szCs w:val="16"/>
          <w:color w:val="auto"/>
        </w:rPr>
        <w:t>: Twenty three and 56/100 percent (23.56%), which percentage has been determined by dividing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rentable square feet in the Premises by the Total Building Rentable Square Footage and multiplying the resulting quotient by one hundred (100).</w:t>
      </w:r>
    </w:p>
    <w:p>
      <w:pPr>
        <w:spacing w:after="0" w:line="116"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u w:val="single" w:color="auto"/>
          <w:color w:val="auto"/>
        </w:rPr>
        <w:t>Total Building Rentable Square Footage</w:t>
      </w:r>
      <w:r>
        <w:rPr>
          <w:rFonts w:ascii="Arial" w:cs="Arial" w:eastAsia="Arial" w:hAnsi="Arial"/>
          <w:sz w:val="18"/>
          <w:szCs w:val="18"/>
          <w:color w:val="auto"/>
        </w:rPr>
        <w:t>: For purposes of determining Tenant’s Proportionate Share, the Building shall be deemed to contain a</w:t>
      </w:r>
      <w:r>
        <w:rPr>
          <w:rFonts w:ascii="Arial" w:cs="Arial" w:eastAsia="Arial" w:hAnsi="Arial"/>
          <w:sz w:val="18"/>
          <w:szCs w:val="18"/>
          <w:b w:val="1"/>
          <w:bCs w:val="1"/>
          <w:color w:val="auto"/>
        </w:rPr>
        <w:t xml:space="preserve"> </w:t>
      </w:r>
      <w:r>
        <w:rPr>
          <w:rFonts w:ascii="Arial" w:cs="Arial" w:eastAsia="Arial" w:hAnsi="Arial"/>
          <w:sz w:val="18"/>
          <w:szCs w:val="18"/>
          <w:color w:val="auto"/>
        </w:rPr>
        <w:t>total of 18,453 rentable square feet.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1.2 Other Definitions</w:t>
      </w:r>
      <w:r>
        <w:rPr>
          <w:rFonts w:ascii="Arial" w:cs="Arial" w:eastAsia="Arial" w:hAnsi="Arial"/>
          <w:sz w:val="18"/>
          <w:szCs w:val="18"/>
          <w:color w:val="auto"/>
        </w:rPr>
        <w:t>. As used herein, the following terms have the following meanings.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Additional Rent</w:t>
      </w:r>
      <w:r>
        <w:rPr>
          <w:rFonts w:ascii="Arial" w:cs="Arial" w:eastAsia="Arial" w:hAnsi="Arial"/>
          <w:sz w:val="18"/>
          <w:szCs w:val="18"/>
          <w:color w:val="auto"/>
        </w:rPr>
        <w:t>: See Section 3.3</w:t>
      </w:r>
    </w:p>
    <w:p>
      <w:pPr>
        <w:spacing w:after="0" w:line="225" w:lineRule="exact"/>
        <w:rPr>
          <w:sz w:val="20"/>
          <w:szCs w:val="20"/>
          <w:color w:val="auto"/>
        </w:rPr>
      </w:pPr>
    </w:p>
    <w:p>
      <w:pPr>
        <w:ind w:right="40" w:firstLine="913"/>
        <w:spacing w:after="0" w:line="289" w:lineRule="auto"/>
        <w:rPr>
          <w:sz w:val="20"/>
          <w:szCs w:val="20"/>
          <w:color w:val="auto"/>
        </w:rPr>
      </w:pPr>
      <w:r>
        <w:rPr>
          <w:rFonts w:ascii="Arial" w:cs="Arial" w:eastAsia="Arial" w:hAnsi="Arial"/>
          <w:sz w:val="17"/>
          <w:szCs w:val="17"/>
          <w:b w:val="1"/>
          <w:bCs w:val="1"/>
          <w:u w:val="single" w:color="auto"/>
          <w:color w:val="auto"/>
        </w:rPr>
        <w:t>Authorizations</w:t>
      </w:r>
      <w:r>
        <w:rPr>
          <w:rFonts w:ascii="Arial" w:cs="Arial" w:eastAsia="Arial" w:hAnsi="Arial"/>
          <w:sz w:val="17"/>
          <w:szCs w:val="17"/>
          <w:color w:val="auto"/>
        </w:rPr>
        <w:t>: All franchises, licenses, permits, approvals, variances, certificates, special permits, and other consents issued by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Authorities pursuant to Legal Requirements that are or may be required for, or applicable to, the use and occupancy of the Premises, the conduct or continuation of one or more of the Permitted Uses therein, or the repair and restoration of the Premises, the Land, or the Building.</w:t>
      </w:r>
    </w:p>
    <w:p>
      <w:pPr>
        <w:spacing w:after="0" w:line="158"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u w:val="single" w:color="auto"/>
          <w:color w:val="auto"/>
        </w:rPr>
        <w:t>Bankruptcy Code</w:t>
      </w:r>
      <w:r>
        <w:rPr>
          <w:rFonts w:ascii="Arial" w:cs="Arial" w:eastAsia="Arial" w:hAnsi="Arial"/>
          <w:sz w:val="18"/>
          <w:szCs w:val="18"/>
          <w:color w:val="auto"/>
        </w:rPr>
        <w:t>: The federal Bankruptcy Code, 11 U.S.C. Sections 101-151326 &amp; app., as the same may hereafter be amended,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bankruptcy law hereafter enacted.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Basic Rent</w:t>
      </w:r>
      <w:r>
        <w:rPr>
          <w:rFonts w:ascii="Arial" w:cs="Arial" w:eastAsia="Arial" w:hAnsi="Arial"/>
          <w:sz w:val="18"/>
          <w:szCs w:val="18"/>
          <w:color w:val="auto"/>
        </w:rPr>
        <w:t>: See Section 3.2.</w:t>
      </w:r>
    </w:p>
    <w:p>
      <w:pPr>
        <w:spacing w:after="0" w:line="225" w:lineRule="exact"/>
        <w:rPr>
          <w:sz w:val="20"/>
          <w:szCs w:val="20"/>
          <w:color w:val="auto"/>
        </w:rPr>
      </w:pPr>
    </w:p>
    <w:p>
      <w:pPr>
        <w:ind w:right="160" w:firstLine="913"/>
        <w:spacing w:after="0" w:line="313" w:lineRule="auto"/>
        <w:rPr>
          <w:sz w:val="20"/>
          <w:szCs w:val="20"/>
          <w:color w:val="auto"/>
        </w:rPr>
      </w:pPr>
      <w:r>
        <w:rPr>
          <w:rFonts w:ascii="Arial" w:cs="Arial" w:eastAsia="Arial" w:hAnsi="Arial"/>
          <w:sz w:val="17"/>
          <w:szCs w:val="17"/>
          <w:b w:val="1"/>
          <w:bCs w:val="1"/>
          <w:u w:val="single" w:color="auto"/>
          <w:color w:val="auto"/>
        </w:rPr>
        <w:t>Breach</w:t>
      </w:r>
      <w:r>
        <w:rPr>
          <w:rFonts w:ascii="Arial" w:cs="Arial" w:eastAsia="Arial" w:hAnsi="Arial"/>
          <w:sz w:val="17"/>
          <w:szCs w:val="17"/>
          <w:color w:val="auto"/>
        </w:rPr>
        <w:t>: The existence of any failure by Tenant to pay or perform any of its duties under this Lease (whether or not Landlord has given Tenant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such failure), whether or not occurring or ongoing during the period specified in this Lease for Tenant’s cure of such failure.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Broker</w:t>
      </w:r>
      <w:r>
        <w:rPr>
          <w:rFonts w:ascii="Arial" w:cs="Arial" w:eastAsia="Arial" w:hAnsi="Arial"/>
          <w:sz w:val="18"/>
          <w:szCs w:val="18"/>
          <w:color w:val="auto"/>
        </w:rPr>
        <w:t>: Collectively, Jones Lang LaSalle Americas, Inc. and The Columbia Group Realty Advisors, Inc.. See Section 9.1.</w:t>
      </w:r>
    </w:p>
    <w:p>
      <w:pPr>
        <w:spacing w:after="0" w:line="225"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u w:val="single" w:color="auto"/>
          <w:color w:val="auto"/>
        </w:rPr>
        <w:t>Building</w:t>
      </w:r>
      <w:r>
        <w:rPr>
          <w:rFonts w:ascii="Arial" w:cs="Arial" w:eastAsia="Arial" w:hAnsi="Arial"/>
          <w:sz w:val="18"/>
          <w:szCs w:val="18"/>
          <w:color w:val="auto"/>
        </w:rPr>
        <w:t>: The entire building, if any, now or hereafter located on the Land, in which the Premises are located, including all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alterations thereof and equipment and facilities used in connection therewith, whether now or hereafter existing.</w:t>
      </w:r>
    </w:p>
    <w:p>
      <w:pPr>
        <w:spacing w:after="0" w:line="162"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b w:val="1"/>
          <w:bCs w:val="1"/>
          <w:u w:val="single" w:color="auto"/>
          <w:color w:val="auto"/>
        </w:rPr>
        <w:t>Business Day, Business Days</w:t>
      </w:r>
      <w:r>
        <w:rPr>
          <w:rFonts w:ascii="Arial" w:cs="Arial" w:eastAsia="Arial" w:hAnsi="Arial"/>
          <w:sz w:val="18"/>
          <w:szCs w:val="18"/>
          <w:color w:val="auto"/>
        </w:rPr>
        <w:t>: Days other than Saturdays, Sundays, and legal holidays on which banks are closed in the municipality wherein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are located.</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0" w:right="319" w:bottom="1440" w:gutter="0" w:footer="0" w:header="0"/>
        </w:sectPr>
      </w:pPr>
    </w:p>
    <w:bookmarkStart w:id="269" w:name="page270"/>
    <w:bookmarkEnd w:id="269"/>
    <w:p>
      <w:pPr>
        <w:ind w:right="420" w:firstLine="913"/>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Facilities</w:t>
      </w:r>
      <w:r>
        <w:rPr>
          <w:rFonts w:ascii="Arial" w:cs="Arial" w:eastAsia="Arial" w:hAnsi="Arial"/>
          <w:sz w:val="18"/>
          <w:szCs w:val="18"/>
          <w:color w:val="auto"/>
        </w:rPr>
        <w:t>: The facilities that serve the Premises and that are located in the Building or in, on, or above the Land, including alleys,</w:t>
      </w:r>
      <w:r>
        <w:rPr>
          <w:rFonts w:ascii="Arial" w:cs="Arial" w:eastAsia="Arial" w:hAnsi="Arial"/>
          <w:sz w:val="18"/>
          <w:szCs w:val="18"/>
          <w:b w:val="1"/>
          <w:bCs w:val="1"/>
          <w:color w:val="auto"/>
        </w:rPr>
        <w:t xml:space="preserve"> </w:t>
      </w:r>
      <w:r>
        <w:rPr>
          <w:rFonts w:ascii="Arial" w:cs="Arial" w:eastAsia="Arial" w:hAnsi="Arial"/>
          <w:sz w:val="18"/>
          <w:szCs w:val="18"/>
          <w:color w:val="auto"/>
        </w:rPr>
        <w:t>sidewalks, parking areas, driveways, lobbies, hallways, toilets, stairways, shaftways, street entrances, and elevators.</w:t>
      </w:r>
    </w:p>
    <w:p>
      <w:pPr>
        <w:spacing w:after="0" w:line="162"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b w:val="1"/>
          <w:bCs w:val="1"/>
          <w:u w:val="single" w:color="auto"/>
          <w:color w:val="auto"/>
        </w:rPr>
        <w:t>Environmental Law</w:t>
      </w:r>
      <w:r>
        <w:rPr>
          <w:rFonts w:ascii="Arial" w:cs="Arial" w:eastAsia="Arial" w:hAnsi="Arial"/>
          <w:sz w:val="16"/>
          <w:szCs w:val="16"/>
          <w:color w:val="auto"/>
        </w:rPr>
        <w:t>: The following laws (as well as the regulations promulgated with respect to such laws) (i) Federal Water Pollution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 33 U.S.C. Section 1251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(ii) Federal Resource Conservation and Recovery Act (“RCRA”), 42 U.S.C. Section 6901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(iii) Comprehensive Environmental Response, Compensation and Liability Act (“CERCLA”), 42 U.S.C. Section 9601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(iv) Hazardous Materials Transportation Act (“HMTA”), 49 U.S.C. Section 5101 </w:t>
      </w:r>
      <w:r>
        <w:rPr>
          <w:rFonts w:ascii="Arial" w:cs="Arial" w:eastAsia="Arial" w:hAnsi="Arial"/>
          <w:sz w:val="16"/>
          <w:szCs w:val="16"/>
          <w:i w:val="1"/>
          <w:iCs w:val="1"/>
          <w:color w:val="auto"/>
        </w:rPr>
        <w:t>et seq</w:t>
      </w:r>
      <w:r>
        <w:rPr>
          <w:rFonts w:ascii="Arial" w:cs="Arial" w:eastAsia="Arial" w:hAnsi="Arial"/>
          <w:sz w:val="16"/>
          <w:szCs w:val="16"/>
          <w:color w:val="auto"/>
        </w:rPr>
        <w:t>., (v) Massachusetts Oil and Hazardous Material Release Prevention and Response Act, M.G.L. c. 21E (“21E”),</w:t>
      </w:r>
    </w:p>
    <w:p>
      <w:pPr>
        <w:spacing w:after="0" w:line="3" w:lineRule="exact"/>
        <w:rPr>
          <w:sz w:val="20"/>
          <w:szCs w:val="20"/>
          <w:color w:val="auto"/>
        </w:rPr>
      </w:pPr>
    </w:p>
    <w:p>
      <w:pPr>
        <w:ind w:right="160" w:firstLine="8"/>
        <w:spacing w:after="0" w:line="323" w:lineRule="auto"/>
        <w:tabs>
          <w:tab w:leader="none" w:pos="30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Massachusetts Hazardous Waste Management Act, M.G.L c. 21C, and (vii) Massachusetts Clean Waters Act, M.G.L. c. 21, Section 26 </w:t>
      </w:r>
      <w:r>
        <w:rPr>
          <w:rFonts w:ascii="Arial" w:cs="Arial" w:eastAsia="Arial" w:hAnsi="Arial"/>
          <w:sz w:val="16"/>
          <w:szCs w:val="16"/>
          <w:i w:val="1"/>
          <w:iCs w:val="1"/>
          <w:color w:val="auto"/>
        </w:rPr>
        <w:t>et seq</w:t>
      </w:r>
      <w:r>
        <w:rPr>
          <w:rFonts w:ascii="Arial" w:cs="Arial" w:eastAsia="Arial" w:hAnsi="Arial"/>
          <w:sz w:val="16"/>
          <w:szCs w:val="16"/>
          <w:color w:val="auto"/>
        </w:rPr>
        <w:t>., as any of the foregoing may be amended from time to time, as well as other and subsequently enacted or adopted environmental protection Legal Requirements.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An uncured Breach by Tenant that gives Landlord the right to terminate this Lease. See Article 6.0.</w:t>
      </w:r>
    </w:p>
    <w:p>
      <w:pPr>
        <w:spacing w:after="0" w:line="225" w:lineRule="exact"/>
        <w:rPr>
          <w:sz w:val="20"/>
          <w:szCs w:val="20"/>
          <w:color w:val="auto"/>
        </w:rPr>
      </w:pPr>
    </w:p>
    <w:p>
      <w:pPr>
        <w:ind w:right="620" w:firstLine="913"/>
        <w:spacing w:after="0" w:line="282" w:lineRule="auto"/>
        <w:rPr>
          <w:sz w:val="20"/>
          <w:szCs w:val="20"/>
          <w:color w:val="auto"/>
        </w:rPr>
      </w:pPr>
      <w:r>
        <w:rPr>
          <w:rFonts w:ascii="Arial" w:cs="Arial" w:eastAsia="Arial" w:hAnsi="Arial"/>
          <w:sz w:val="18"/>
          <w:szCs w:val="18"/>
          <w:b w:val="1"/>
          <w:bCs w:val="1"/>
          <w:u w:val="single" w:color="auto"/>
          <w:color w:val="auto"/>
        </w:rPr>
        <w:t>Extension Term</w:t>
      </w:r>
      <w:r>
        <w:rPr>
          <w:rFonts w:ascii="Arial" w:cs="Arial" w:eastAsia="Arial" w:hAnsi="Arial"/>
          <w:sz w:val="18"/>
          <w:szCs w:val="18"/>
          <w:color w:val="auto"/>
        </w:rPr>
        <w:t>: A portion of the Lease Term constituting a term of five years commencing on the day immediately following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 if this Lease is validly extended under Article 11.0.</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b w:val="1"/>
          <w:bCs w:val="1"/>
          <w:u w:val="single" w:color="auto"/>
          <w:color w:val="auto"/>
        </w:rPr>
        <w:t>Fiscal Year</w:t>
      </w:r>
      <w:r>
        <w:rPr>
          <w:rFonts w:ascii="Arial" w:cs="Arial" w:eastAsia="Arial" w:hAnsi="Arial"/>
          <w:sz w:val="17"/>
          <w:szCs w:val="17"/>
          <w:color w:val="auto"/>
        </w:rPr>
        <w:t>: Landlord’s annual accounting period ending on June 30 each year, or such other fiscal year as Landlord may from time to time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adopt.</w:t>
      </w:r>
    </w:p>
    <w:p>
      <w:pPr>
        <w:spacing w:after="0" w:line="207" w:lineRule="exact"/>
        <w:rPr>
          <w:sz w:val="20"/>
          <w:szCs w:val="20"/>
          <w:color w:val="auto"/>
        </w:rPr>
      </w:pPr>
    </w:p>
    <w:p>
      <w:pPr>
        <w:jc w:val="both"/>
        <w:ind w:right="300" w:firstLine="913"/>
        <w:spacing w:after="0" w:line="266" w:lineRule="auto"/>
        <w:rPr>
          <w:sz w:val="20"/>
          <w:szCs w:val="20"/>
          <w:color w:val="auto"/>
        </w:rPr>
      </w:pPr>
      <w:r>
        <w:rPr>
          <w:rFonts w:ascii="Arial" w:cs="Arial" w:eastAsia="Arial" w:hAnsi="Arial"/>
          <w:sz w:val="18"/>
          <w:szCs w:val="18"/>
          <w:b w:val="1"/>
          <w:bCs w:val="1"/>
          <w:u w:val="single" w:color="auto"/>
          <w:color w:val="auto"/>
        </w:rPr>
        <w:t>Governmental Authority</w:t>
      </w:r>
      <w:r>
        <w:rPr>
          <w:rFonts w:ascii="Arial" w:cs="Arial" w:eastAsia="Arial" w:hAnsi="Arial"/>
          <w:sz w:val="18"/>
          <w:szCs w:val="18"/>
          <w:color w:val="auto"/>
        </w:rPr>
        <w:t>: The United States of America, The Commonwealth of Massachusetts, the municipality in which the Premises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the county in which said municipality is located, and any political subdivision of any of them and any agency, department, commission, authority, court, board, bureau, or instrumentality of any of them.</w:t>
      </w:r>
    </w:p>
    <w:p>
      <w:pPr>
        <w:spacing w:after="0" w:line="176"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u w:val="single" w:color="auto"/>
          <w:color w:val="auto"/>
        </w:rPr>
        <w:t>Hazardous Material</w:t>
      </w:r>
      <w:r>
        <w:rPr>
          <w:rFonts w:ascii="Arial" w:cs="Arial" w:eastAsia="Arial" w:hAnsi="Arial"/>
          <w:sz w:val="18"/>
          <w:szCs w:val="18"/>
          <w:color w:val="auto"/>
        </w:rPr>
        <w:t>: Any pollutant, contaminant, hazardous or toxic substance, material, or waste or any oil, petroleum, or petroleum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or becomes regulated by any Environmental Law.</w:t>
      </w:r>
    </w:p>
    <w:p>
      <w:pPr>
        <w:spacing w:after="0" w:line="162" w:lineRule="exact"/>
        <w:rPr>
          <w:sz w:val="20"/>
          <w:szCs w:val="20"/>
          <w:color w:val="auto"/>
        </w:rPr>
      </w:pPr>
    </w:p>
    <w:p>
      <w:pPr>
        <w:ind w:right="120" w:firstLine="913"/>
        <w:spacing w:after="0" w:line="281" w:lineRule="auto"/>
        <w:rPr>
          <w:sz w:val="20"/>
          <w:szCs w:val="20"/>
          <w:color w:val="auto"/>
        </w:rPr>
      </w:pPr>
      <w:r>
        <w:rPr>
          <w:rFonts w:ascii="Arial" w:cs="Arial" w:eastAsia="Arial" w:hAnsi="Arial"/>
          <w:sz w:val="17"/>
          <w:szCs w:val="17"/>
          <w:b w:val="1"/>
          <w:bCs w:val="1"/>
          <w:u w:val="single" w:color="auto"/>
          <w:color w:val="auto"/>
        </w:rPr>
        <w:t>Insurance Requirements</w:t>
      </w:r>
      <w:r>
        <w:rPr>
          <w:rFonts w:ascii="Arial" w:cs="Arial" w:eastAsia="Arial" w:hAnsi="Arial"/>
          <w:sz w:val="17"/>
          <w:szCs w:val="17"/>
          <w:color w:val="auto"/>
        </w:rPr>
        <w:t>: All terms and provisions of any policy of insurance maintained by Landlord or Tenant and applicable to all or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 of the Land, the Building, or the Premises, and all requirements of the issuer of any such policy and all orders, rules, regulations, and other requirements of the National Board of Fire Underwriters (and any other body exercising similar functions) applicable to or affecting any condition, operation, use, or occupancy of the Land, the Building, the Premises, the sidewalks adjoining the Land, or any part or parts of either.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70" w:name="page271"/>
    <w:bookmarkEnd w:id="270"/>
    <w:p>
      <w:pPr>
        <w:ind w:right="100" w:firstLine="913"/>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Involuntary Rate</w:t>
      </w:r>
      <w:r>
        <w:rPr>
          <w:rFonts w:ascii="Arial" w:cs="Arial" w:eastAsia="Arial" w:hAnsi="Arial"/>
          <w:sz w:val="18"/>
          <w:szCs w:val="18"/>
          <w:color w:val="auto"/>
        </w:rPr>
        <w:t>: 18% per annum (which is a daily rate of .0493150685%), but if such interest rate should ever exceed that permitted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then the Involuntary Rate shall be the highest interest rate permitted by law.</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Late Payments</w:t>
      </w:r>
      <w:r>
        <w:rPr>
          <w:rFonts w:ascii="Arial" w:cs="Arial" w:eastAsia="Arial" w:hAnsi="Arial"/>
          <w:sz w:val="18"/>
          <w:szCs w:val="18"/>
          <w:color w:val="auto"/>
        </w:rPr>
        <w:t>: See Section 3.1.3.</w:t>
      </w:r>
    </w:p>
    <w:p>
      <w:pPr>
        <w:spacing w:after="0" w:line="225"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 The period commencing on the Lease Commencement Date and ending on the Lease Expiration Date, as may be extended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terminated as set forth herein.</w:t>
      </w:r>
    </w:p>
    <w:p>
      <w:pPr>
        <w:spacing w:after="0" w:line="162"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u w:val="single" w:color="auto"/>
          <w:color w:val="auto"/>
        </w:rPr>
        <w:t>Lease Year</w:t>
      </w:r>
      <w:r>
        <w:rPr>
          <w:rFonts w:ascii="Arial" w:cs="Arial" w:eastAsia="Arial" w:hAnsi="Arial"/>
          <w:sz w:val="18"/>
          <w:szCs w:val="18"/>
          <w:color w:val="auto"/>
        </w:rPr>
        <w:t>: The Year-long period commencing on the Lease Commencement Date and each successive Year-long period of the Lease Term</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an anniversary of the Lease Commencement Date.</w:t>
      </w:r>
    </w:p>
    <w:p>
      <w:pPr>
        <w:spacing w:after="0" w:line="162" w:lineRule="exact"/>
        <w:rPr>
          <w:sz w:val="20"/>
          <w:szCs w:val="20"/>
          <w:color w:val="auto"/>
        </w:rPr>
      </w:pPr>
    </w:p>
    <w:p>
      <w:pPr>
        <w:ind w:right="20" w:firstLine="913"/>
        <w:spacing w:after="0" w:line="303" w:lineRule="auto"/>
        <w:rPr>
          <w:sz w:val="20"/>
          <w:szCs w:val="20"/>
          <w:color w:val="auto"/>
        </w:rPr>
      </w:pPr>
      <w:r>
        <w:rPr>
          <w:rFonts w:ascii="Arial" w:cs="Arial" w:eastAsia="Arial" w:hAnsi="Arial"/>
          <w:sz w:val="16"/>
          <w:szCs w:val="16"/>
          <w:b w:val="1"/>
          <w:bCs w:val="1"/>
          <w:u w:val="single" w:color="auto"/>
          <w:color w:val="auto"/>
        </w:rPr>
        <w:t>Legal Requirements</w:t>
      </w:r>
      <w:r>
        <w:rPr>
          <w:rFonts w:ascii="Arial" w:cs="Arial" w:eastAsia="Arial" w:hAnsi="Arial"/>
          <w:sz w:val="16"/>
          <w:szCs w:val="16"/>
          <w:color w:val="auto"/>
        </w:rPr>
        <w:t>: All statutes, codes, acts, rules, regulations, by-laws, and ordinances, including zoning by-laws and ordinances,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health, and safety codes, historic preservation laws, and environmental protection laws, all executive orders and other administrative orders, the terms and conditions of all Authorizations, and all judgments, decrees, injunctions, and other judicial orders of or by any Governmental Authority that may at any time be applicable to parts or appurtenances of the Premises, the Land, or the Building, or the sidewalks adjoining the Land, or to any condition or use thereof.</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Minimum Liability Insurance Coverage</w:t>
      </w:r>
      <w:r>
        <w:rPr>
          <w:rFonts w:ascii="Arial" w:cs="Arial" w:eastAsia="Arial" w:hAnsi="Arial"/>
          <w:sz w:val="18"/>
          <w:szCs w:val="18"/>
          <w:color w:val="auto"/>
        </w:rPr>
        <w:t>: $2,000,000. See Section 9.7.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A natural person, or a legal entity, such as a corporation, limited, general, or limited liability trust, association, or other business entity.</w:t>
      </w:r>
    </w:p>
    <w:p>
      <w:pPr>
        <w:spacing w:after="0" w:line="248" w:lineRule="exact"/>
        <w:rPr>
          <w:sz w:val="20"/>
          <w:szCs w:val="20"/>
          <w:color w:val="auto"/>
        </w:rPr>
      </w:pPr>
    </w:p>
    <w:p>
      <w:pPr>
        <w:ind w:right="20" w:firstLine="913"/>
        <w:spacing w:after="0" w:line="314" w:lineRule="auto"/>
        <w:rPr>
          <w:sz w:val="20"/>
          <w:szCs w:val="20"/>
          <w:color w:val="auto"/>
        </w:rPr>
      </w:pPr>
      <w:r>
        <w:rPr>
          <w:rFonts w:ascii="Arial" w:cs="Arial" w:eastAsia="Arial" w:hAnsi="Arial"/>
          <w:sz w:val="16"/>
          <w:szCs w:val="16"/>
          <w:b w:val="1"/>
          <w:bCs w:val="1"/>
          <w:u w:val="single" w:color="auto"/>
          <w:color w:val="auto"/>
        </w:rPr>
        <w:t>Prime Rate</w:t>
      </w:r>
      <w:r>
        <w:rPr>
          <w:rFonts w:ascii="Arial" w:cs="Arial" w:eastAsia="Arial" w:hAnsi="Arial"/>
          <w:sz w:val="16"/>
          <w:szCs w:val="16"/>
          <w:color w:val="auto"/>
        </w:rPr>
        <w:t>: The prime commercial rate or “base rate” of interest, so-called, as announced from time to time by State Street Bank and Trust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to be in effect at its principal office in Boston, Massachusetts, or, if discontinued, the “Prime Rate” as calculated and published by </w:t>
      </w:r>
      <w:r>
        <w:rPr>
          <w:rFonts w:ascii="Arial" w:cs="Arial" w:eastAsia="Arial" w:hAnsi="Arial"/>
          <w:sz w:val="16"/>
          <w:szCs w:val="16"/>
          <w:u w:val="single" w:color="auto"/>
          <w:color w:val="auto"/>
        </w:rPr>
        <w:t>The Wall Street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Journal</w:t>
      </w:r>
      <w:r>
        <w:rPr>
          <w:rFonts w:ascii="Arial" w:cs="Arial" w:eastAsia="Arial" w:hAnsi="Arial"/>
          <w:sz w:val="16"/>
          <w:szCs w:val="16"/>
          <w:color w:val="auto"/>
        </w:rPr>
        <w:t>, or if discontinued, such other standard as shall then be recognized by the banking community as having replaced the “prime rate.”</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Removable FETI</w:t>
      </w:r>
      <w:r>
        <w:rPr>
          <w:rFonts w:ascii="Arial" w:cs="Arial" w:eastAsia="Arial" w:hAnsi="Arial"/>
          <w:sz w:val="18"/>
          <w:szCs w:val="18"/>
          <w:color w:val="auto"/>
        </w:rPr>
        <w:t>: See Section 5.1.8 and Section 9.24.1.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 The sum of Basic Rent and Additional Rent.</w:t>
      </w:r>
    </w:p>
    <w:p>
      <w:pPr>
        <w:spacing w:after="0" w:line="225"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u w:val="single" w:color="auto"/>
          <w:color w:val="auto"/>
        </w:rPr>
        <w:t>Rent Payment Address</w:t>
      </w:r>
      <w:r>
        <w:rPr>
          <w:rFonts w:ascii="Arial" w:cs="Arial" w:eastAsia="Arial" w:hAnsi="Arial"/>
          <w:sz w:val="18"/>
          <w:szCs w:val="18"/>
          <w:color w:val="auto"/>
        </w:rPr>
        <w:t>: c/o Harvard Real Estate Services, Holyoke Center, Suite 800, 1350 Massachusetts Avenue, Cambridge, Massachusetts</w:t>
      </w:r>
      <w:r>
        <w:rPr>
          <w:rFonts w:ascii="Arial" w:cs="Arial" w:eastAsia="Arial" w:hAnsi="Arial"/>
          <w:sz w:val="18"/>
          <w:szCs w:val="18"/>
          <w:b w:val="1"/>
          <w:bCs w:val="1"/>
          <w:color w:val="auto"/>
        </w:rPr>
        <w:t xml:space="preserve"> </w:t>
      </w:r>
      <w:r>
        <w:rPr>
          <w:rFonts w:ascii="Arial" w:cs="Arial" w:eastAsia="Arial" w:hAnsi="Arial"/>
          <w:sz w:val="18"/>
          <w:szCs w:val="18"/>
          <w:color w:val="auto"/>
        </w:rPr>
        <w:t>02138-3826.</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Rent Payment Day</w:t>
      </w:r>
      <w:r>
        <w:rPr>
          <w:rFonts w:ascii="Arial" w:cs="Arial" w:eastAsia="Arial" w:hAnsi="Arial"/>
          <w:sz w:val="18"/>
          <w:szCs w:val="18"/>
          <w:color w:val="auto"/>
        </w:rPr>
        <w:t>: See Section 3.1.2.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Rules and Regulations</w:t>
      </w:r>
      <w:r>
        <w:rPr>
          <w:rFonts w:ascii="Arial" w:cs="Arial" w:eastAsia="Arial" w:hAnsi="Arial"/>
          <w:sz w:val="18"/>
          <w:szCs w:val="18"/>
          <w:color w:val="auto"/>
        </w:rPr>
        <w:t>: See Section 5.1.5.</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0" w:right="359" w:bottom="1440" w:gutter="0" w:footer="0" w:header="0"/>
        </w:sectPr>
      </w:pPr>
    </w:p>
    <w:bookmarkStart w:id="271" w:name="page272"/>
    <w:bookmarkEnd w:id="271"/>
    <w:p>
      <w:pPr>
        <w:ind w:left="9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Deposit</w:t>
      </w:r>
      <w:r>
        <w:rPr>
          <w:rFonts w:ascii="Arial" w:cs="Arial" w:eastAsia="Arial" w:hAnsi="Arial"/>
          <w:sz w:val="18"/>
          <w:szCs w:val="18"/>
          <w:color w:val="auto"/>
        </w:rPr>
        <w:t>: $5,800. See Article 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Tenant Construction Work</w:t>
      </w:r>
      <w:r>
        <w:rPr>
          <w:rFonts w:ascii="Arial" w:cs="Arial" w:eastAsia="Arial" w:hAnsi="Arial"/>
          <w:sz w:val="18"/>
          <w:szCs w:val="18"/>
          <w:color w:val="auto"/>
        </w:rPr>
        <w:t>: See Section 5.1.8.</w:t>
      </w:r>
    </w:p>
    <w:p>
      <w:pPr>
        <w:spacing w:after="0" w:line="225"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u w:val="single" w:color="auto"/>
          <w:color w:val="auto"/>
        </w:rPr>
        <w:t>Tenant FETI</w:t>
      </w:r>
      <w:r>
        <w:rPr>
          <w:rFonts w:ascii="Arial" w:cs="Arial" w:eastAsia="Arial" w:hAnsi="Arial"/>
          <w:sz w:val="18"/>
          <w:szCs w:val="18"/>
          <w:color w:val="auto"/>
        </w:rPr>
        <w:t>: Tenant-owned fixtures, tenant-owned built-in equipment, and tenant improvements constructed by Tenant as part of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Work.</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u w:val="single" w:color="auto"/>
          <w:color w:val="auto"/>
        </w:rPr>
        <w:t>Section 1.3 Interpretation</w:t>
      </w:r>
      <w:r>
        <w:rPr>
          <w:rFonts w:ascii="Arial" w:cs="Arial" w:eastAsia="Arial" w:hAnsi="Arial"/>
          <w:sz w:val="16"/>
          <w:szCs w:val="16"/>
          <w:color w:val="auto"/>
        </w:rPr>
        <w:t>. In this Lease, the use of the terms “include” or “including” means “including without limitation.” The article and section headings and captions are for convenience of reference only and shall not define or limit the contents of this Lease nor be used in construing this Lease.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2.0 LEASING CLAUSES</w:t>
      </w:r>
      <w:r>
        <w:rPr>
          <w:rFonts w:ascii="Arial" w:cs="Arial" w:eastAsia="Arial" w:hAnsi="Arial"/>
          <w:sz w:val="18"/>
          <w:szCs w:val="18"/>
          <w:b w:val="1"/>
          <w:bCs w:val="1"/>
          <w:color w:val="auto"/>
        </w:rPr>
        <w:t>.</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Section 2.1 Grant of Lease</w:t>
      </w:r>
      <w:r>
        <w:rPr>
          <w:rFonts w:ascii="Arial" w:cs="Arial" w:eastAsia="Arial" w:hAnsi="Arial"/>
          <w:sz w:val="18"/>
          <w:szCs w:val="18"/>
          <w:color w:val="auto"/>
        </w:rPr>
        <w:t>. Landlord hereby leases unto Tenant, and Tenant hereby takes and hires from Landlord, the Premises on the terms, covenants, provisions, and conditions set forth in this Lease.</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Section 2.2 Encumbrances, Common Facilities, Exceptions, and Reservations</w:t>
      </w:r>
      <w:r>
        <w:rPr>
          <w:rFonts w:ascii="Arial" w:cs="Arial" w:eastAsia="Arial" w:hAnsi="Arial"/>
          <w:sz w:val="16"/>
          <w:szCs w:val="16"/>
          <w:color w:val="auto"/>
        </w:rPr>
        <w:t>. The Premises are hereby leased subject to existing party wall agreements and to all recorded encumbrances. Landlord hereby excepts and reserves unto Landlord the right to place in the Premises (in such a manner as to reduce to a minimum extent practicable the interference with Tenant’s use of the Premises) utility lines, pipes, wires, conduits, and the like (collectively, “</w:t>
      </w:r>
      <w:r>
        <w:rPr>
          <w:rFonts w:ascii="Arial" w:cs="Arial" w:eastAsia="Arial" w:hAnsi="Arial"/>
          <w:sz w:val="16"/>
          <w:szCs w:val="16"/>
          <w:b w:val="1"/>
          <w:bCs w:val="1"/>
          <w:u w:val="single" w:color="auto"/>
          <w:color w:val="auto"/>
        </w:rPr>
        <w:t>Conduits</w:t>
      </w:r>
      <w:r>
        <w:rPr>
          <w:rFonts w:ascii="Arial" w:cs="Arial" w:eastAsia="Arial" w:hAnsi="Arial"/>
          <w:sz w:val="16"/>
          <w:szCs w:val="16"/>
          <w:color w:val="auto"/>
        </w:rPr>
        <w:t>”), to serve portions of the Land or the Building other than the Premises, and to replace, maintain, and repair such Conduits as well as such other Conduits as are located in, on, or over the Premises. As part of this Lease, Tenant shall have the right to the non-exclusive use of the Common Facilities in common with Landlord and others from time to time thereto entitled, including without limitation the exterior loading dock area. Tenant acknowledges that Tenant’s use of the exterior loading dock area shall require Tenant to construct, as part of Tenant’s Work, an exterior entrance door from the Premises to the exterior loading dock area as shown on Exhibit D attached hereto. Tenant shall have the right to use at no additional cost to Tenant (a) four (4) designated parking spaces in the surface parking lot located on the Land for Tenant’s exclusive use; and (b) four (4) unassigned parking spaces in the parking lot located at 1330 Soldiers Field Road for Tenant’s use in common with Landlord and others entitled thereto. Tenant and Tenant’s employees and contractors shall have twenty-four (24)-hour access to the Building and the Premises, seven (7) days per week, in accordance with Landlord’s reasonable rules and regulations.</w:t>
      </w:r>
    </w:p>
    <w:p>
      <w:pPr>
        <w:spacing w:after="0" w:line="173"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u w:val="single" w:color="auto"/>
          <w:color w:val="auto"/>
        </w:rPr>
        <w:t>Section 2.3 Use</w:t>
      </w:r>
      <w:r>
        <w:rPr>
          <w:rFonts w:ascii="Arial" w:cs="Arial" w:eastAsia="Arial" w:hAnsi="Arial"/>
          <w:sz w:val="17"/>
          <w:szCs w:val="17"/>
          <w:color w:val="auto"/>
        </w:rPr>
        <w:t xml:space="preserve">. Tenant shall use the Premises only for the Permitted Uses and no other uses. Tenant shall not use or permit the use of any portion of the Premises for any of the prohibited uses set forth in </w:t>
      </w:r>
      <w:r>
        <w:rPr>
          <w:rFonts w:ascii="Arial" w:cs="Arial" w:eastAsia="Arial" w:hAnsi="Arial"/>
          <w:sz w:val="17"/>
          <w:szCs w:val="17"/>
          <w:u w:val="single" w:color="auto"/>
          <w:color w:val="auto"/>
        </w:rPr>
        <w:t>Exhibit E</w:t>
      </w:r>
      <w:r>
        <w:rPr>
          <w:rFonts w:ascii="Arial" w:cs="Arial" w:eastAsia="Arial" w:hAnsi="Arial"/>
          <w:sz w:val="17"/>
          <w:szCs w:val="17"/>
          <w:color w:val="auto"/>
        </w:rPr>
        <w:t>. Tenant shall not use or permit the use of any portion of the Building for the operation of a bowling alley, adult bookstore, so-called Head Shop, massage parlor, or other enterprise similar to the foregoing, whose business is the sale, rental, or promotion of sexually explicit material, acts or entertainment, nor for the operation of any bar or tavern.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2.4 Lease Term, Possession</w:t>
      </w:r>
      <w:r>
        <w:rPr>
          <w:rFonts w:ascii="Arial" w:cs="Arial" w:eastAsia="Arial" w:hAnsi="Arial"/>
          <w:sz w:val="18"/>
          <w:szCs w:val="18"/>
          <w:color w:val="auto"/>
        </w:rPr>
        <w:t>. Landlord hereby leases the Premises to Tenant for the Lease Term.</w:t>
      </w:r>
    </w:p>
    <w:p>
      <w:pPr>
        <w:spacing w:after="0" w:line="225"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2.4.1 Tenant waives any right to rescind this Lease by reason of, or to recover any damages that may result from, Landlord’s failure to deliver possession of the Premises to Tenant on the Lease Commencement Date. Regardless of the Date of this Lease or the date of delivery of possession of the Premises, Landlord shall have no duty to deliver to Tenant possession of the Premises until the Lease Commencement Date, and the Lease Commencement Date and, if applicable the Rent Commencement Date, shall be deemed postponed until possession is delivered to Tenant. Upon the request of either party, the parties will execute a memorandum confirming the Lease Commencement Date following the delivery of possession of the Premises to Tenant. Notwithstanding the foregoing, and subject to delays due to Force Majeure and any delay caused by Tenant, in the event Landlord fails to deliver possession of the Premises as required by this Lease within 4 calendar months of the Lease Commencement Date, then Tenant may elect, upon not less than thirty</w:t>
      </w:r>
    </w:p>
    <w:p>
      <w:pPr>
        <w:spacing w:after="0" w:line="3" w:lineRule="exact"/>
        <w:rPr>
          <w:sz w:val="20"/>
          <w:szCs w:val="20"/>
          <w:color w:val="auto"/>
        </w:rPr>
      </w:pPr>
    </w:p>
    <w:p>
      <w:pPr>
        <w:jc w:val="both"/>
        <w:ind w:right="40" w:firstLine="8"/>
        <w:spacing w:after="0" w:line="255" w:lineRule="auto"/>
        <w:tabs>
          <w:tab w:leader="none" w:pos="3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days prior written notice to Landlord, given any time prior to the date of such delivery, to terminate this Lease; provided, however, Landlord may negate such termination notice in the event Landlord notifies Tenant in writing that the Premises is available for deliver prior to the expiration of such thirty (30) day period.</w:t>
      </w:r>
    </w:p>
    <w:p>
      <w:pPr>
        <w:spacing w:after="0" w:line="19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2.4.2 If Tenant has possession of any part of the Premises before the Lease Commencement Date, Tenant shall perform and observe all of Tenant’s covenants from and after the date of such possession, except Tenant shall not be required to pay Rent until the Rent Commencement Date, provided however, Tenant shall be required to pay the cost of any utilities used by Tenant, Tenant’s contractors, agents or employees prior to the Rent Commencement Date.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3.0 RENT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3.1 Payment of Rent, General</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Payment of Rent</w:t>
      </w:r>
      <w:r>
        <w:rPr>
          <w:rFonts w:ascii="Arial" w:cs="Arial" w:eastAsia="Arial" w:hAnsi="Arial"/>
          <w:sz w:val="17"/>
          <w:szCs w:val="17"/>
          <w:color w:val="auto"/>
        </w:rPr>
        <w:t>. Commencing on the Rent Commencement Date and continuing through the Lease Term, Tenant has a duty to pay when due (without any notice, demand, offset, deduction, or abatement whatever) the Rent and any other payments to be made under this Lease, and all charges for electricity and other utilities and services that are metered or sub-metered with respect to the Premises or that are separately billed or invoiced to Tenant, Landlord, or the Premises, or that are delivered or attributable to the Premises, including heating, air conditioning, water, sewer use, oil, gas, trash removal, telephone, and other services and utilities, and, if any property of Tenant or any interest of Tenant in the Premises is taxed by a taxing authority, to pay such taxes and impositions when due. Except as may be expressly provided herein, Tenant shall have no right to withhold or abate any payment of Rent or other payment, or to set off any amount against the Rent or other payment then due and payable, or to terminate this Lease, because of any Landlord’s failure or alleged failure to perform its duties under this Lease.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73" w:name="page274"/>
    <w:bookmarkEnd w:id="273"/>
    <w:p>
      <w:pPr>
        <w:ind w:right="20" w:firstLine="913"/>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3.1.2 </w:t>
      </w:r>
      <w:r>
        <w:rPr>
          <w:rFonts w:ascii="Arial" w:cs="Arial" w:eastAsia="Arial" w:hAnsi="Arial"/>
          <w:sz w:val="17"/>
          <w:szCs w:val="17"/>
          <w:u w:val="single" w:color="auto"/>
          <w:color w:val="auto"/>
        </w:rPr>
        <w:t>Application of Payments</w:t>
      </w:r>
      <w:r>
        <w:rPr>
          <w:rFonts w:ascii="Arial" w:cs="Arial" w:eastAsia="Arial" w:hAnsi="Arial"/>
          <w:sz w:val="17"/>
          <w:szCs w:val="17"/>
          <w:color w:val="auto"/>
        </w:rPr>
        <w:t>. All Rent payments are due to Landlord on the first day of each calendar month (the “</w:t>
      </w:r>
      <w:r>
        <w:rPr>
          <w:rFonts w:ascii="Arial" w:cs="Arial" w:eastAsia="Arial" w:hAnsi="Arial"/>
          <w:sz w:val="17"/>
          <w:szCs w:val="17"/>
          <w:b w:val="1"/>
          <w:bCs w:val="1"/>
          <w:u w:val="single" w:color="auto"/>
          <w:color w:val="auto"/>
        </w:rPr>
        <w:t>Rent Payment Day</w:t>
      </w:r>
      <w:r>
        <w:rPr>
          <w:rFonts w:ascii="Arial" w:cs="Arial" w:eastAsia="Arial" w:hAnsi="Arial"/>
          <w:sz w:val="17"/>
          <w:szCs w:val="17"/>
          <w:color w:val="auto"/>
        </w:rPr>
        <w:t>”) unless otherwise specifically provided. In all cases, Tenant shall pay the Rent in United States currency by recent check made payable directly to “Harvard University” without intervening endorsement and shall be delivered in person or mailed to the Rent Payment Address, or such other address as Landlord may from time to time by notice direct. Rent shall be prorated for any partial Lease Year at the end of the Term.</w:t>
      </w:r>
    </w:p>
    <w:p>
      <w:pPr>
        <w:spacing w:after="0" w:line="16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Late Payments</w:t>
      </w:r>
      <w:r>
        <w:rPr>
          <w:rFonts w:ascii="Arial" w:cs="Arial" w:eastAsia="Arial" w:hAnsi="Arial"/>
          <w:sz w:val="18"/>
          <w:szCs w:val="18"/>
          <w:color w:val="auto"/>
        </w:rPr>
        <w:t>. If any installment of Rent or any other payment to be made by Tenant to Landlord under this Lease is not received by Landlord within ten days after the due date, then in such event, Tenant shall pay to Landlord as a late charge to reimburse Landlord for the extra cost associated with such delinquency (“</w:t>
      </w:r>
      <w:r>
        <w:rPr>
          <w:rFonts w:ascii="Arial" w:cs="Arial" w:eastAsia="Arial" w:hAnsi="Arial"/>
          <w:sz w:val="18"/>
          <w:szCs w:val="18"/>
          <w:b w:val="1"/>
          <w:bCs w:val="1"/>
          <w:u w:val="single" w:color="auto"/>
          <w:color w:val="auto"/>
        </w:rPr>
        <w:t>Late Payment</w:t>
      </w:r>
      <w:r>
        <w:rPr>
          <w:rFonts w:ascii="Arial" w:cs="Arial" w:eastAsia="Arial" w:hAnsi="Arial"/>
          <w:sz w:val="18"/>
          <w:szCs w:val="18"/>
          <w:color w:val="auto"/>
        </w:rPr>
        <w:t>”) (i) an amount equal to three percent of the installment of Rent (or other payment) that was not paid when due, plus (ii) interest on the unpaid amount computed at the Involuntary Rate from the due date or date of demand, as the case may be, through the date that the installment (or other payment) is received by Landlord.</w:t>
      </w:r>
    </w:p>
    <w:p>
      <w:pPr>
        <w:spacing w:after="0" w:line="18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u w:val="single" w:color="auto"/>
          <w:color w:val="auto"/>
        </w:rPr>
        <w:t>Section 3.2 Basic Rent</w:t>
      </w:r>
      <w:r>
        <w:rPr>
          <w:rFonts w:ascii="Arial" w:cs="Arial" w:eastAsia="Arial" w:hAnsi="Arial"/>
          <w:sz w:val="18"/>
          <w:szCs w:val="18"/>
          <w:color w:val="auto"/>
        </w:rPr>
        <w:t>. Tenant shall pay rent (“</w:t>
      </w:r>
      <w:r>
        <w:rPr>
          <w:rFonts w:ascii="Arial" w:cs="Arial" w:eastAsia="Arial" w:hAnsi="Arial"/>
          <w:sz w:val="18"/>
          <w:szCs w:val="18"/>
          <w:b w:val="1"/>
          <w:bCs w:val="1"/>
          <w:u w:val="single" w:color="auto"/>
          <w:color w:val="auto"/>
        </w:rPr>
        <w:t>Basic Rent</w:t>
      </w:r>
      <w:r>
        <w:rPr>
          <w:rFonts w:ascii="Arial" w:cs="Arial" w:eastAsia="Arial" w:hAnsi="Arial"/>
          <w:sz w:val="18"/>
          <w:szCs w:val="18"/>
          <w:color w:val="auto"/>
        </w:rPr>
        <w:t>”) annually to Landlord during the Lease Term commencing on the Rent Commencement Date, by equal monthly installment payments in advance, on each Rent Payment Day, each equal to one-twelfth of the applicable annual Basic Rent. Tenant shall pay the first month’s Basic Rent to Landlord on the Rent Commencement Date.</w:t>
      </w:r>
    </w:p>
    <w:p>
      <w:pPr>
        <w:spacing w:after="0" w:line="18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Proration for Partial Months</w:t>
      </w:r>
      <w:r>
        <w:rPr>
          <w:rFonts w:ascii="Arial" w:cs="Arial" w:eastAsia="Arial" w:hAnsi="Arial"/>
          <w:sz w:val="18"/>
          <w:szCs w:val="18"/>
          <w:color w:val="auto"/>
        </w:rPr>
        <w:t>. If the Rent Commencement Date does not occur on the first day of a calendar month, the first monthly installment of Basic Rent shall be appropriately prorated; such prorated monthly installment together with the first full month’s installment of Basic Rent shall be paid to Landlord on the Rent Commencement Date. If the Lease Expiration Date does not occur on the last day of a calendar month, the installment of Basic Rent for such partial month shall be prorated.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Basic Rent</w:t>
      </w:r>
      <w:r>
        <w:rPr>
          <w:rFonts w:ascii="Arial" w:cs="Arial" w:eastAsia="Arial" w:hAnsi="Arial"/>
          <w:sz w:val="18"/>
          <w:szCs w:val="18"/>
          <w:color w:val="auto"/>
        </w:rPr>
        <w:t>. The annual Basic Rent shall be $69,568.00 per annum ($5,797.33 per month).</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Section 3.3 Additional Rent</w:t>
      </w:r>
      <w:r>
        <w:rPr>
          <w:rFonts w:ascii="Arial" w:cs="Arial" w:eastAsia="Arial" w:hAnsi="Arial"/>
          <w:sz w:val="18"/>
          <w:szCs w:val="18"/>
          <w:color w:val="auto"/>
        </w:rPr>
        <w:t>. Unless otherwise expressly stated herein, all payments due to Landlord from Tenant under this Lease, other than Basic Rent, are deemed to be “</w:t>
      </w:r>
      <w:r>
        <w:rPr>
          <w:rFonts w:ascii="Arial" w:cs="Arial" w:eastAsia="Arial" w:hAnsi="Arial"/>
          <w:sz w:val="18"/>
          <w:szCs w:val="18"/>
          <w:b w:val="1"/>
          <w:bCs w:val="1"/>
          <w:u w:val="single" w:color="auto"/>
          <w:color w:val="auto"/>
        </w:rPr>
        <w:t>Additional Rent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3.4 Expense Allocation</w:t>
      </w:r>
      <w:r>
        <w:rPr>
          <w:rFonts w:ascii="Arial" w:cs="Arial" w:eastAsia="Arial" w:hAnsi="Arial"/>
          <w:sz w:val="18"/>
          <w:szCs w:val="18"/>
          <w:color w:val="auto"/>
        </w:rPr>
        <w:t>.</w:t>
      </w:r>
    </w:p>
    <w:p>
      <w:pPr>
        <w:spacing w:after="0" w:line="225" w:lineRule="exact"/>
        <w:rPr>
          <w:sz w:val="20"/>
          <w:szCs w:val="20"/>
          <w:color w:val="auto"/>
        </w:rPr>
      </w:pPr>
    </w:p>
    <w:p>
      <w:pPr>
        <w:ind w:right="240" w:firstLine="1484"/>
        <w:spacing w:after="0" w:line="277"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Additional Charges - General Covenant</w:t>
      </w:r>
      <w:r>
        <w:rPr>
          <w:rFonts w:ascii="Arial" w:cs="Arial" w:eastAsia="Arial" w:hAnsi="Arial"/>
          <w:sz w:val="18"/>
          <w:szCs w:val="18"/>
          <w:color w:val="auto"/>
        </w:rPr>
        <w:t>. Tenant covenants and agrees to pay to Landlord, as Additional Rent, an amount equal to the product of (a) Tenant’s Proportionate Share, and (b) Landlord’s Operating Expenses.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Appropriate adjustments shall be made for any portion of a year at the beginning or end of the Term.</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274" w:name="page275"/>
    <w:bookmarkEnd w:id="274"/>
    <w:p>
      <w:pPr>
        <w:ind w:right="20" w:firstLine="148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3.4.2 </w:t>
      </w:r>
      <w:r>
        <w:rPr>
          <w:rFonts w:ascii="Arial" w:cs="Arial" w:eastAsia="Arial" w:hAnsi="Arial"/>
          <w:sz w:val="17"/>
          <w:szCs w:val="17"/>
          <w:u w:val="single" w:color="auto"/>
          <w:color w:val="auto"/>
        </w:rPr>
        <w:t>Payment</w:t>
      </w:r>
      <w:r>
        <w:rPr>
          <w:rFonts w:ascii="Arial" w:cs="Arial" w:eastAsia="Arial" w:hAnsi="Arial"/>
          <w:sz w:val="17"/>
          <w:szCs w:val="17"/>
          <w:color w:val="auto"/>
        </w:rPr>
        <w:t>. Additional charges for Operating Expenses under this Section 3.4 shall be paid for any portion of a month at the beginning of the Term and thereafter in monthly installments on the first day of each calendar month in amounts reasonably estimated by Landlord for the then current calendar year. Landlord may from time to time revise such estimates based on information affecting the calculation hereunder. Within one hundred twenty (120) days after the end of each calendar year, Landlord will provide Tenant with a statement of the total amount of additional charges for Operating Expenses for such calendar year. Upon issuance of Landlord’s statement, there shall be an adjustment between Landlord and Tenant for the calendar year covered by such statement to the end that Landlord shall have received the exact amount of additional charges shown on the statement. Any overpayments by Tenant hereunder shall be credited against the next payments of Additional Rent due under this Lease, provided there are no outstanding amounts due Landlord under this Lease at such time. Any underpayments by Tenant shall be due and payable within twenty (20) days of delivery of Landlord’s statement. With respect to the calendar year in which the Term ends, the adjustment shall be pro rated for the portion of the year included in the Term, but shall take place nevertheless at the times provided in the preceding sentences. Landlord’s statement with respect to Operating Expenses shall be binding upon, and may not be disputed by, Tenant unless the statement is incorrect and is disputed by Tenant (within 60 days of Tenant’s receipt of Landlord’s statement) by a notice to Landlord (“Tenant’s Dispute Notice”) specifically stating the grounds for dispute. Tenant’s failure so to dispute Landlord’s statement shall constitute a waiver of Tenant’s right to dispute the statement. Notwithstanding any dispute concerning Landlord’s statement, payments shall be made by the parties in accordance with Landlord’s statement at the time and in the manner set forth above, and if necessary there shall be a further adjustment between the parties at the time the dispute is resolved.</w:t>
      </w:r>
    </w:p>
    <w:p>
      <w:pPr>
        <w:spacing w:after="0" w:line="183" w:lineRule="exact"/>
        <w:rPr>
          <w:sz w:val="20"/>
          <w:szCs w:val="20"/>
          <w:color w:val="auto"/>
        </w:rPr>
      </w:pPr>
    </w:p>
    <w:p>
      <w:pPr>
        <w:ind w:firstLine="2396"/>
        <w:spacing w:after="0" w:line="286" w:lineRule="auto"/>
        <w:rPr>
          <w:sz w:val="20"/>
          <w:szCs w:val="20"/>
          <w:color w:val="auto"/>
        </w:rPr>
      </w:pPr>
      <w:r>
        <w:rPr>
          <w:rFonts w:ascii="Arial" w:cs="Arial" w:eastAsia="Arial" w:hAnsi="Arial"/>
          <w:sz w:val="16"/>
          <w:szCs w:val="16"/>
          <w:color w:val="auto"/>
        </w:rPr>
        <w:t xml:space="preserve">3.4.3 </w:t>
      </w:r>
      <w:r>
        <w:rPr>
          <w:rFonts w:ascii="Arial" w:cs="Arial" w:eastAsia="Arial" w:hAnsi="Arial"/>
          <w:sz w:val="16"/>
          <w:szCs w:val="16"/>
          <w:u w:val="single" w:color="auto"/>
          <w:color w:val="auto"/>
        </w:rPr>
        <w:t>“Landlord’s Operating Expenses” - Definition</w:t>
      </w:r>
      <w:r>
        <w:rPr>
          <w:rFonts w:ascii="Arial" w:cs="Arial" w:eastAsia="Arial" w:hAnsi="Arial"/>
          <w:sz w:val="16"/>
          <w:szCs w:val="16"/>
          <w:color w:val="auto"/>
        </w:rPr>
        <w:t>. “Landlord’s Operating Expenses” means all costs of Landlord in owning, servicing, operating, managing, maintaining, and repairing the Land and the Building, and providing services to tenants including, without limitation, the costs of the following (regardless of whether the cost thereof is paid out of any reserves established by Landlord, provided the funding of such reserves shall not be included in Landlord’s Operating Expenses): (i) supplies, materials and equipment purchased or rented, total wage and salary costs paid to, and all contract payments made on account of, all persons engaged in the operation, maintenance, cleaning and repair of the Building and Land, including Social Security, old age and unemployment taxes and so-called “fringe benefits”; (ii) building services furnished to tenants of the Building at Landlord’s expense and maintenance and repair of and services provided to or on behalf of the Building performed by Landlord’s employees or by other persons under contract with Landlord; (iii) utilities consumed and expenses incurred in the operation, maintenance and repair of the Building including, without limitation, oil, gas, electricity (other than electricity to tenants in their Premises if Tenant is directly responsible for payment under this Lease on account of electricity consumed by Tenant), water, sewer and snow removal; (iv) casualty, liability and other insurance in such amounts and insuring such risks as Landlord may from time to time reasonably decide, and unreimbursed costs incurred by Landlord which are subject to an insurance deductible; (v) costs in the nature of common area and facilities costs of the Building including without limitation, operation, maintenance and servicing of the lobby areas, snow plowing and removal, grounds maintenance and the like; (vi) management and building services fees not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75" w:name="page276"/>
    <w:bookmarkEnd w:id="27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exceed five percent (5%) of the aggregate Base Rent and Additional Rent due from all tenants of the Building for the applicable calendar year; and</w:t>
      </w:r>
    </w:p>
    <w:p>
      <w:pPr>
        <w:spacing w:after="0" w:line="35" w:lineRule="exact"/>
        <w:rPr>
          <w:sz w:val="20"/>
          <w:szCs w:val="20"/>
          <w:color w:val="auto"/>
        </w:rPr>
      </w:pPr>
    </w:p>
    <w:p>
      <w:pPr>
        <w:ind w:right="60" w:firstLine="8"/>
        <w:spacing w:after="0" w:line="292" w:lineRule="auto"/>
        <w:tabs>
          <w:tab w:leader="none" w:pos="3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“Landlord’s Taxes” as defined below. Landlord’s Operating Expenses shall also include amortized portion (as set forth below) of only such expenditures for capital improvements and capital equipment that are made by reason of any Legal Requirement or any Insurance Requirement or that are intended or expected to reduce or moderate the Operating Costs of the Land and Building (collectively, the “Capital Costs”). The amortization of Capital Costs shall be made on a straight-line basis over a period equal to the useful life of the capital item replaced, determined in accordance with generally accepted accounting principles, with an interest factor equal to the Prime Rate plus two percentage points (2.00%) existing at the time of the expenditure of the Capital Costs.</w:t>
      </w:r>
    </w:p>
    <w:p>
      <w:pPr>
        <w:spacing w:after="0" w:line="16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Notwithstanding the foregoing, Landlord’s Operating Expenses shall not include:</w:t>
      </w:r>
    </w:p>
    <w:p>
      <w:pPr>
        <w:spacing w:after="0" w:line="225" w:lineRule="exact"/>
        <w:rPr>
          <w:sz w:val="20"/>
          <w:szCs w:val="20"/>
          <w:color w:val="auto"/>
        </w:rPr>
      </w:pPr>
    </w:p>
    <w:p>
      <w:pPr>
        <w:ind w:firstLine="1492"/>
        <w:spacing w:after="0" w:line="264" w:lineRule="auto"/>
        <w:tabs>
          <w:tab w:leader="none" w:pos="17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costs of the initial construction of the Building and costs to repair latent defects in the Building incurred within the first five years after the completion of construction of the Building; and repairs, alterations, additions, improvements or replacements made to comply with the Legal Requirements in effect as of the Lease Commencement Date.</w:t>
      </w:r>
    </w:p>
    <w:p>
      <w:pPr>
        <w:spacing w:after="0" w:line="181" w:lineRule="exact"/>
        <w:rPr>
          <w:rFonts w:ascii="Arial" w:cs="Arial" w:eastAsia="Arial" w:hAnsi="Arial"/>
          <w:sz w:val="18"/>
          <w:szCs w:val="18"/>
          <w:color w:val="auto"/>
        </w:rPr>
      </w:pPr>
    </w:p>
    <w:p>
      <w:pPr>
        <w:ind w:right="320" w:firstLine="1492"/>
        <w:spacing w:after="0" w:line="264" w:lineRule="auto"/>
        <w:tabs>
          <w:tab w:leader="none" w:pos="17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Leasing fees and commissions, reasonable attorney’s fees incurred in connection with leases, rent concessions given by Landlord, build-out allowances, moving expenses reimbursed to tenants; costs (including reasonable attorney’s fees) of removing property of former tenants or occupants of the Building.</w:t>
      </w:r>
    </w:p>
    <w:p>
      <w:pPr>
        <w:spacing w:after="0" w:line="181" w:lineRule="exact"/>
        <w:rPr>
          <w:rFonts w:ascii="Arial" w:cs="Arial" w:eastAsia="Arial" w:hAnsi="Arial"/>
          <w:sz w:val="18"/>
          <w:szCs w:val="18"/>
          <w:color w:val="auto"/>
        </w:rPr>
      </w:pPr>
    </w:p>
    <w:p>
      <w:pPr>
        <w:ind w:right="60" w:firstLine="1492"/>
        <w:spacing w:after="0" w:line="277" w:lineRule="auto"/>
        <w:tabs>
          <w:tab w:leader="none" w:pos="17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Landlord’s interest and principal payment on indebtedness, debt amortization, ground rent, and refinancing costs for any mortgage or any ground lease of the Land or Building.</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cost of any item or service to the extent reimbursed by insurance proceeds of insurance policies required to be maintained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Lease.</w:t>
      </w:r>
    </w:p>
    <w:p>
      <w:pPr>
        <w:spacing w:after="0" w:line="210" w:lineRule="exact"/>
        <w:rPr>
          <w:rFonts w:ascii="Arial" w:cs="Arial" w:eastAsia="Arial" w:hAnsi="Arial"/>
          <w:sz w:val="16"/>
          <w:szCs w:val="16"/>
          <w:color w:val="auto"/>
        </w:rPr>
      </w:pPr>
    </w:p>
    <w:p>
      <w:pPr>
        <w:ind w:firstLine="1492"/>
        <w:spacing w:after="0" w:line="255" w:lineRule="auto"/>
        <w:tabs>
          <w:tab w:leader="none" w:pos="17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cost of repairs, restoration, replacements or other work occasioned by (i) the exercise by governmental authorities of the right of eminent domain, whether such taking be total or partial, to the extent that Landlord is compensated by such governmental authority for such repairs, restoration, replacements or other work, (ii) the adjudicated negligence or adjudicated intentional tort of Landlord, or any representative, contractor, employee or agent of Landlord (including the costs of any deductibles paid by Landlord), and/or (iii) the act of any other tenant in the Building, or any other tenant’s agents, contractors, employees, licensees or invitees to the extent the applicable cost is, in the Landlord’s reasonable judgment, practically recoverable from such person.</w:t>
      </w:r>
    </w:p>
    <w:p>
      <w:pPr>
        <w:spacing w:after="0" w:line="193" w:lineRule="exact"/>
        <w:rPr>
          <w:rFonts w:ascii="Arial" w:cs="Arial" w:eastAsia="Arial" w:hAnsi="Arial"/>
          <w:sz w:val="18"/>
          <w:szCs w:val="18"/>
          <w:color w:val="auto"/>
        </w:rPr>
      </w:pPr>
    </w:p>
    <w:p>
      <w:pPr>
        <w:jc w:val="both"/>
        <w:ind w:right="340" w:firstLine="1492"/>
        <w:spacing w:after="0" w:line="264" w:lineRule="auto"/>
        <w:tabs>
          <w:tab w:leader="none" w:pos="17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Wages, salaries benefits, perquisites and compensation paid or given to (i) executives, shareholders, officers, directors, members, managers or partners of Landlord, (ii) any principal, member or partner of the entity or entities from time to time comprising Landlord, or (iii) employees above the level of Assistant Director.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76" w:name="page277"/>
    <w:bookmarkEnd w:id="276"/>
    <w:p>
      <w:pPr>
        <w:ind w:left="-40" w:right="420" w:firstLine="1492"/>
        <w:spacing w:after="0" w:line="277" w:lineRule="auto"/>
        <w:tabs>
          <w:tab w:leader="none" w:pos="1698"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Non-cash items, such as deductions for depreciation and amortization of the Building and the Building equipment, or interest on capital invested (except to the extent expressly permitted by in this section).</w:t>
      </w:r>
    </w:p>
    <w:p>
      <w:pPr>
        <w:spacing w:after="0" w:line="170" w:lineRule="exact"/>
        <w:rPr>
          <w:rFonts w:ascii="Arial" w:cs="Arial" w:eastAsia="Arial" w:hAnsi="Arial"/>
          <w:sz w:val="18"/>
          <w:szCs w:val="18"/>
          <w:color w:val="auto"/>
        </w:rPr>
      </w:pPr>
    </w:p>
    <w:p>
      <w:pPr>
        <w:ind w:left="-40" w:right="140" w:firstLine="1492"/>
        <w:spacing w:after="0" w:line="277" w:lineRule="auto"/>
        <w:tabs>
          <w:tab w:leader="none" w:pos="169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cost of any service provided to Tenant or other tenants or occupants of the Building for which Landlord is entitled to be directly reimbursed by Tenant or other tenant, as the case may be, (other than as a pro rata share of Operating Expenses).</w:t>
      </w:r>
    </w:p>
    <w:p>
      <w:pPr>
        <w:spacing w:after="0" w:line="170" w:lineRule="exact"/>
        <w:rPr>
          <w:rFonts w:ascii="Arial" w:cs="Arial" w:eastAsia="Arial" w:hAnsi="Arial"/>
          <w:sz w:val="18"/>
          <w:szCs w:val="18"/>
          <w:color w:val="auto"/>
        </w:rPr>
      </w:pPr>
    </w:p>
    <w:p>
      <w:pPr>
        <w:ind w:left="1700" w:hanging="248"/>
        <w:spacing w:after="0"/>
        <w:tabs>
          <w:tab w:leader="none" w:pos="1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Charitable or political contributions and/or trade association dues.</w:t>
      </w:r>
    </w:p>
    <w:p>
      <w:pPr>
        <w:spacing w:after="0" w:line="225" w:lineRule="exact"/>
        <w:rPr>
          <w:rFonts w:ascii="Arial" w:cs="Arial" w:eastAsia="Arial" w:hAnsi="Arial"/>
          <w:sz w:val="18"/>
          <w:szCs w:val="18"/>
          <w:color w:val="auto"/>
        </w:rPr>
      </w:pPr>
    </w:p>
    <w:p>
      <w:pPr>
        <w:ind w:left="-40" w:firstLine="1492"/>
        <w:spacing w:after="0" w:line="264" w:lineRule="auto"/>
        <w:tabs>
          <w:tab w:leader="none" w:pos="178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cost, expense, charge, fine, penalty, assessment, liability, claims or damages related to the existence, testing for, use, generation, disposal, release, discharge, removal, remediation, transportation or storage of Hazardous Materials from the Building or Premises (provided that nothing herein shall affect Tenant’s obligations under Section 5.1.14).</w:t>
      </w:r>
    </w:p>
    <w:p>
      <w:pPr>
        <w:spacing w:after="0" w:line="181" w:lineRule="exact"/>
        <w:rPr>
          <w:rFonts w:ascii="Arial" w:cs="Arial" w:eastAsia="Arial" w:hAnsi="Arial"/>
          <w:sz w:val="18"/>
          <w:szCs w:val="18"/>
          <w:color w:val="auto"/>
        </w:rPr>
      </w:pPr>
    </w:p>
    <w:p>
      <w:pPr>
        <w:ind w:left="1780" w:hanging="328"/>
        <w:spacing w:after="0"/>
        <w:tabs>
          <w:tab w:leader="none" w:pos="17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Interest, penalties or other costs arising out of Landlord’s failure to make timely payments of its obligations.</w:t>
      </w:r>
    </w:p>
    <w:p>
      <w:pPr>
        <w:spacing w:after="0" w:line="225" w:lineRule="exact"/>
        <w:rPr>
          <w:rFonts w:ascii="Arial" w:cs="Arial" w:eastAsia="Arial" w:hAnsi="Arial"/>
          <w:sz w:val="18"/>
          <w:szCs w:val="18"/>
          <w:color w:val="auto"/>
        </w:rPr>
      </w:pPr>
    </w:p>
    <w:p>
      <w:pPr>
        <w:ind w:left="-40" w:right="80" w:firstLine="1492"/>
        <w:spacing w:after="0" w:line="277" w:lineRule="auto"/>
        <w:tabs>
          <w:tab w:leader="none" w:pos="178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Asset management fees and any property management fees of any property management firm based on a rate to the extent in excess of the rate of such fees included in the Operating Expenses.</w:t>
      </w:r>
    </w:p>
    <w:p>
      <w:pPr>
        <w:spacing w:after="0" w:line="170" w:lineRule="exact"/>
        <w:rPr>
          <w:rFonts w:ascii="Arial" w:cs="Arial" w:eastAsia="Arial" w:hAnsi="Arial"/>
          <w:sz w:val="18"/>
          <w:szCs w:val="18"/>
          <w:color w:val="auto"/>
        </w:rPr>
      </w:pPr>
    </w:p>
    <w:p>
      <w:pPr>
        <w:ind w:left="1800" w:hanging="348"/>
        <w:spacing w:after="0"/>
        <w:tabs>
          <w:tab w:leader="none" w:pos="18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Tenant relations costs and other costs incurred in advertising and promotional activities for the Building.</w:t>
      </w:r>
    </w:p>
    <w:p>
      <w:pPr>
        <w:spacing w:after="0" w:line="225" w:lineRule="exact"/>
        <w:rPr>
          <w:rFonts w:ascii="Arial" w:cs="Arial" w:eastAsia="Arial" w:hAnsi="Arial"/>
          <w:sz w:val="18"/>
          <w:szCs w:val="18"/>
          <w:color w:val="auto"/>
        </w:rPr>
      </w:pPr>
    </w:p>
    <w:p>
      <w:pPr>
        <w:jc w:val="both"/>
        <w:ind w:left="-40" w:right="480" w:firstLine="1492"/>
        <w:spacing w:after="0" w:line="286" w:lineRule="auto"/>
        <w:tabs>
          <w:tab w:leader="none" w:pos="178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Costs incurred in connection with the actual or contemplated sale, financing, refinancing, mortgaging, syndicating, selling, or change of any ownership interest in the Building (or any portion thereof) or in any entity comprising Landlord, including, without limitation, brokerage commissions, attorneys, and accountants’ fees, closing costs, title insurance premiums, transfer taxes and interest charges.</w:t>
      </w:r>
    </w:p>
    <w:p>
      <w:pPr>
        <w:spacing w:after="0" w:line="165" w:lineRule="exact"/>
        <w:rPr>
          <w:rFonts w:ascii="Arial" w:cs="Arial" w:eastAsia="Arial" w:hAnsi="Arial"/>
          <w:sz w:val="17"/>
          <w:szCs w:val="17"/>
          <w:color w:val="auto"/>
        </w:rPr>
      </w:pPr>
    </w:p>
    <w:p>
      <w:pPr>
        <w:ind w:left="-40" w:firstLine="1492"/>
        <w:spacing w:after="0" w:line="342" w:lineRule="auto"/>
        <w:tabs>
          <w:tab w:leader="none" w:pos="178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rent, operating expenses and real estate taxes applicable to Landlord’s on-site management or leasing office, or any other offices or spaces of Landlord or any related entity or rental for any space in the Building set aside for conference facilities, storage facilities or exercise facilities.</w:t>
      </w:r>
    </w:p>
    <w:p>
      <w:pPr>
        <w:spacing w:after="0" w:line="123" w:lineRule="exact"/>
        <w:rPr>
          <w:rFonts w:ascii="Arial" w:cs="Arial" w:eastAsia="Arial" w:hAnsi="Arial"/>
          <w:sz w:val="16"/>
          <w:szCs w:val="16"/>
          <w:color w:val="auto"/>
        </w:rPr>
      </w:pPr>
    </w:p>
    <w:p>
      <w:pPr>
        <w:jc w:val="both"/>
        <w:ind w:left="-40" w:right="600" w:firstLine="1492"/>
        <w:spacing w:after="0" w:line="286" w:lineRule="auto"/>
        <w:tabs>
          <w:tab w:leader="none" w:pos="178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Costs of Landlord related to formation and continuing legal qualification of the Landlord entity (and any constituent entities thereof), internal matters including but not limited to preparation of tax returns and financial statements and gathering of data, and any other costs and expenses associated with the operation of the business of the entity or entities which constitute(s) Landlord.</w:t>
      </w:r>
    </w:p>
    <w:p>
      <w:pPr>
        <w:spacing w:after="0" w:line="165" w:lineRule="exact"/>
        <w:rPr>
          <w:rFonts w:ascii="Arial" w:cs="Arial" w:eastAsia="Arial" w:hAnsi="Arial"/>
          <w:sz w:val="17"/>
          <w:szCs w:val="17"/>
          <w:color w:val="auto"/>
        </w:rPr>
      </w:pPr>
    </w:p>
    <w:p>
      <w:pPr>
        <w:ind w:left="1800" w:hanging="348"/>
        <w:spacing w:after="0"/>
        <w:tabs>
          <w:tab w:leader="none" w:pos="18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Landlord vault rental (if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4" w:right="259" w:bottom="1440" w:gutter="0" w:footer="0" w:header="0"/>
        </w:sectPr>
      </w:pPr>
    </w:p>
    <w:bookmarkStart w:id="277" w:name="page278"/>
    <w:bookmarkEnd w:id="277"/>
    <w:p>
      <w:pPr>
        <w:ind w:right="40" w:firstLine="1492"/>
        <w:spacing w:after="0" w:line="264" w:lineRule="auto"/>
        <w:tabs>
          <w:tab w:leader="none" w:pos="1828"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related to any improvements or land not included in the Building, including any allocation of costs incurred on a shared basis, such as centralized accounting costs, unless the allocation is made on a reasonable and consistent basis that fairly reflects the share of any costs actually attributable to the Building.</w:t>
      </w:r>
    </w:p>
    <w:p>
      <w:pPr>
        <w:spacing w:after="0" w:line="181" w:lineRule="exact"/>
        <w:rPr>
          <w:rFonts w:ascii="Arial" w:cs="Arial" w:eastAsia="Arial" w:hAnsi="Arial"/>
          <w:sz w:val="18"/>
          <w:szCs w:val="18"/>
          <w:color w:val="auto"/>
        </w:rPr>
      </w:pPr>
    </w:p>
    <w:p>
      <w:pPr>
        <w:ind w:left="1840" w:hanging="348"/>
        <w:spacing w:after="0"/>
        <w:tabs>
          <w:tab w:leader="none" w:pos="18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Reserves for future Operating Expenses.</w:t>
      </w:r>
    </w:p>
    <w:p>
      <w:pPr>
        <w:spacing w:after="0" w:line="225" w:lineRule="exact"/>
        <w:rPr>
          <w:rFonts w:ascii="Arial" w:cs="Arial" w:eastAsia="Arial" w:hAnsi="Arial"/>
          <w:sz w:val="18"/>
          <w:szCs w:val="18"/>
          <w:color w:val="auto"/>
        </w:rPr>
      </w:pPr>
    </w:p>
    <w:p>
      <w:pPr>
        <w:ind w:right="360" w:firstLine="1492"/>
        <w:spacing w:after="0" w:line="277" w:lineRule="auto"/>
        <w:tabs>
          <w:tab w:leader="none" w:pos="182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Landlord’s general corporate overhead and administrative expenses, but only to the extent included within the management and building service fees described in clause (vi) above so as to eliminate any double counting of such expenses.</w:t>
      </w:r>
    </w:p>
    <w:p>
      <w:pPr>
        <w:spacing w:after="0" w:line="170"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color w:val="auto"/>
        </w:rPr>
        <w:t>“Landlord’s Taxes” means all taxes, assessments and similar charges assessed or imposed for the then current calendar year by any governmental authority attributable to the Building or Land including personal property associated therewith), all reduced by any net amounts received as an abatement or reduction of such taxes, assessments and charges for such year. The amount of any special taxes, special assessments and agreed or governmentally imposed “in lieu of tax” or similar charges shall be included in Landlord’s Taxes for any year but shall be limited to the amount of the installment (plus any interest, other than penalty interest, payable thereon) of such special tax, special assessment or such charge required to be paid during or with respect to the year in question. Landlord’s Taxes include expenses, including reasonable fees of attorneys, appraisers and other consultants, incurred in connection with any efforts to obtain abatements or reduction or to assure maintenance of Landlord’s Taxes for any year wholly or partially included in the Term, whether or not successful and whether or not such efforts involved filing of actual abatement applications or initiation of formal proceedings. Landlord’s Taxes exclude income taxes of general application and all estate, succession, inheritance, transfer taxes, reserves for future Landlord’s Taxes, any personal property taxes attributable to sculptures, paintings or other objects of art, except for objects of art installed in the Common Facilities pursuant to requirements of Governmental Authority, and interest and penalties incurred as a result of Landlord’s late payment. If at any time during the Term there shall be assessed on Landlord, in addition to or lieu of the whole or any part of the ad valorem tax on real or personal property, a capital levy or other tax on the gross rents or other measures of Building operations, or a governmental income, franchise, excise or similar tax, assessment, levy, charge or fee measured by or based, in whole or in part, upon valuation of real estate, gross rents or other measures of building operations or benefits of governmental services furnished to the Building, then any and all of such taxes, assessments, levies, charges and fees, to the extent so measured or based, shall be included within the term Landlord’s Taxes, but only to the extent that the same would be payable if the Building and Land were the only property of Landlord.</w:t>
      </w:r>
    </w:p>
    <w:p>
      <w:pPr>
        <w:spacing w:after="0" w:line="178" w:lineRule="exact"/>
        <w:rPr>
          <w:sz w:val="20"/>
          <w:szCs w:val="20"/>
          <w:color w:val="auto"/>
        </w:rPr>
      </w:pPr>
    </w:p>
    <w:p>
      <w:pPr>
        <w:ind w:right="100" w:firstLine="2396"/>
        <w:spacing w:after="0" w:line="279" w:lineRule="auto"/>
        <w:rPr>
          <w:sz w:val="20"/>
          <w:szCs w:val="20"/>
          <w:color w:val="auto"/>
        </w:rPr>
      </w:pPr>
      <w:r>
        <w:rPr>
          <w:rFonts w:ascii="Arial" w:cs="Arial" w:eastAsia="Arial" w:hAnsi="Arial"/>
          <w:sz w:val="17"/>
          <w:szCs w:val="17"/>
          <w:color w:val="auto"/>
        </w:rPr>
        <w:t>3.4.3.1 If the actual percentage of occupancy of the Building is less than one hundred percent for any Lease Year, including the Lease Year in which the Base Operating Expenses are calculated (based on average occupancy for such Lease Year), the Operating Expenses incurred shall be reasonably projected by Landlord to be the estimated Operating Expenses that would have been incurred if the Building were one hundred percent occupied for such Lease Year (with all tenants paying full rent, as contrasted with free rent, half rent, or like rent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78" w:name="page279"/>
    <w:bookmarkEnd w:id="278"/>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concession) and all services and utilities that are required hereunder to be supplied to tenants were supplied to tenants occupying 100% of the rentable area of the Building and such projected amount shall be included in Operating Expenses for such Lease Year, provided that such amount are determined to have been the variable Operating Expenses for such Lease Year.</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3.4.4 </w:t>
      </w:r>
      <w:r>
        <w:rPr>
          <w:rFonts w:ascii="Arial" w:cs="Arial" w:eastAsia="Arial" w:hAnsi="Arial"/>
          <w:sz w:val="18"/>
          <w:szCs w:val="18"/>
          <w:u w:val="single" w:color="auto"/>
          <w:color w:val="auto"/>
        </w:rPr>
        <w:t>Record Keeping</w:t>
      </w:r>
      <w:r>
        <w:rPr>
          <w:rFonts w:ascii="Arial" w:cs="Arial" w:eastAsia="Arial" w:hAnsi="Arial"/>
          <w:sz w:val="18"/>
          <w:szCs w:val="18"/>
          <w:color w:val="auto"/>
        </w:rPr>
        <w:t>. Landlord shall keep full and accurate books of account covering Landlord’s Operating Expenses. Landlord shall retain the books of account and all supporting documents for at least one year after the expiration of each Fiscal Year. Upon timely delivery of Tenant’s Dispute Notice, Tenant shall have the right at its sole cost, during business hours of Landlord and at the office of Landlord, to inspect Landlord’s books of account and all supporting documents with respect to matters set forth in Landlord’s Operating Expense statement for such Fiscal Year. Such inspection may be made only by a nationally recognized independent certified public accounting firm first approved by Landlord, which approval shall not be unreasonably withheld. As a condition to performing any such inspection, Tenant and its examiners shall be required to execute and deliver to Landlord an agreement, in form reasonably acceptable to Landlord, agreeing to keep confidential any information that it receives or obtains about Landlord or the Building in connection with such inspection.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4.0 LANDLORD’S COVENANTS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Quiet Enjoyment</w:t>
      </w:r>
      <w:r>
        <w:rPr>
          <w:rFonts w:ascii="Arial" w:cs="Arial" w:eastAsia="Arial" w:hAnsi="Arial"/>
          <w:sz w:val="18"/>
          <w:szCs w:val="18"/>
          <w:color w:val="auto"/>
        </w:rPr>
        <w:t>. Landlord covenants with Tenant that Tenant may quietly hold, occupy, and enjoy the Premises during the Lease Term, free from interference by Landlord, or any party claiming by, through or under Landlord, subject nonetheless, to all of the provisions, terms, and conditions of this Lease.</w:t>
      </w:r>
    </w:p>
    <w:p>
      <w:pPr>
        <w:spacing w:after="0" w:line="18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Landlord Services</w:t>
      </w:r>
      <w:r>
        <w:rPr>
          <w:rFonts w:ascii="Arial" w:cs="Arial" w:eastAsia="Arial" w:hAnsi="Arial"/>
          <w:sz w:val="16"/>
          <w:szCs w:val="16"/>
          <w:color w:val="auto"/>
        </w:rPr>
        <w:t>. Landlord shall furnish the following services: (i) water for drinking and for restrooms in the Common Facilities, and, subject to Landlord’s approval, water at Tenant’s expense for any private restrooms and office kitchen requested by Tenant; (ii) janitorial service in the Common Areas on Business Days; and (iii) electricity and gas to the Premises for general office use, in accordance with and subject to the terms and conditions this Lease. In no event shall Landlord be liable for any interruption or failure of any utility service, including, without limitation, water and sewer, except as specifically set forth in Section 9.8.1 hereof. Landlord shall maintain and repair the roof (including roof membrane) and Building structure, the cost of which shall be included in Operating Expenses, provided, however, any replacement of the roof or structural elements of the Building shall be at Landlord’s sole cost and expense and shall not be included in Operating Expenses. Landlord may impose a reasonable charge for any additional utilities or building services, which shall be paid monthly by Tenant as Additional Rent on the same day that the monthly installment of Base Rent is due.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79" w:name="page280"/>
    <w:bookmarkEnd w:id="27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5.0 COVENANTS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 Tenant’s Covenants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Consumption of Utilities</w:t>
      </w:r>
      <w:r>
        <w:rPr>
          <w:rFonts w:ascii="Arial" w:cs="Arial" w:eastAsia="Arial" w:hAnsi="Arial"/>
          <w:sz w:val="16"/>
          <w:szCs w:val="16"/>
          <w:color w:val="auto"/>
        </w:rPr>
        <w:t>. Tenant shall not, without Landlord’s prior written consent in each instance, exceed the capacity of the electrical system serving the Premises, and Landlord may, upon prior notice to Tenant and at Landlord’s sole cost, audit Tenant’s use of electric power to determine Tenant’s compliance herewith. If Landlord, permits such excess usage, Tenant shall pay (as Additional Rent) for the cost of such excess power, together with the cost of installing any additional risers, meters, or other facilities that may be required to furnish or measure such excess power to the Premises. Further, if Tenant requires, consumes, or uses a disproportionate amount of a supplied utility, and it is not separately metered, Tenant shall pay to Landlord as Additional Rent an equitable and reasonable charge for such additional utility use. If Tenant requires, uses, or consumes water for any purpose other than ordinary lavatory and drinking purposes (excluding restaurant-related purposes that require Tenant to have its water use separately metered), Landlord may install a water meter or submeter to measure Tenant’s water consumption. In such event, Tenant shall pay for such meter or sub-meter and at Tenant’s cost, keep such equipment in good working order and repair. Landlord and Tenant acknowledge and agree that electricity for the Premises, including, without limitation, lights, electrical outlets and the heating, ventilation and air conditioning (“HVAC”) systems serving the Premises exclusively, are separately metered. Tenant shall pay, directly to the applicable electric utility provider, all costs of electricity supplied to the Premises, including the HVAC system serving the Premises.</w:t>
      </w:r>
    </w:p>
    <w:p>
      <w:pPr>
        <w:spacing w:after="0" w:line="17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Care of Premises</w:t>
      </w:r>
      <w:r>
        <w:rPr>
          <w:rFonts w:ascii="Arial" w:cs="Arial" w:eastAsia="Arial" w:hAnsi="Arial"/>
          <w:sz w:val="16"/>
          <w:szCs w:val="16"/>
          <w:color w:val="auto"/>
        </w:rPr>
        <w:t>. Damage by fire, other casualty, eminent domain, and reasonable wear and use excepted, Tenant shall keep the Premises (including, without limitation, the HVAC system exclusively serving the Premises) substantially in as good order, repair, and condition as the same are in at the commencement of the Lease Term, or may, in accordance with the terms of this Lease, be put in thereafter; shall keep the Premises clean and neat; and shall conform to Landlord’s reasonable requests from time to time relating to the appearance of the Premises, such requests to be reasonably consistent with keeping the appearance of the Premises to the general standard of similar properties of Landlord in the neighborhood. The exception of reasonable wear and use contained in this Section 5.1.2 shall not be construed to permit Tenant to maintain the Premises in anything less than good, serviceable and tenantable condition. Tenant shall maintain the HVAC system exclusively serving the Premises using a maintenance contractor and annual maintenance plan reasonably approved by Landlord and shall, upon request, provide evidence of such maintenance to Landlord.</w:t>
      </w:r>
    </w:p>
    <w:p>
      <w:pPr>
        <w:spacing w:after="0" w:line="166"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Sidewalks</w:t>
      </w:r>
      <w:r>
        <w:rPr>
          <w:rFonts w:ascii="Arial" w:cs="Arial" w:eastAsia="Arial" w:hAnsi="Arial"/>
          <w:sz w:val="18"/>
          <w:szCs w:val="18"/>
          <w:color w:val="auto"/>
        </w:rPr>
        <w:t>. If the Premises have an exclusive entrance to the Building, Tenant shall keep the sidewalks, driveways, and passageways on or adjacent to the Premises, and the entrance and stairs to the Premises, clean and free of dirt, debris, obstacles, graffiti, snow, ice, and any condition of such sidewalks, driveways, and passageways, that would endanger persons using them.</w:t>
      </w:r>
    </w:p>
    <w:p>
      <w:pPr>
        <w:spacing w:after="0" w:line="181"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Overloading, Nuisance, Flammables, Increase in Insurance Premiums</w:t>
      </w:r>
      <w:r>
        <w:rPr>
          <w:rFonts w:ascii="Arial" w:cs="Arial" w:eastAsia="Arial" w:hAnsi="Arial"/>
          <w:sz w:val="16"/>
          <w:szCs w:val="16"/>
          <w:color w:val="auto"/>
        </w:rPr>
        <w:t>. Tenant shall not injure, nor overload the capacity of, the Building systems and structural components, nor deface the Premises or the Building, nor permit any nuisance on the Premises or the emission therefrom of any objectionable noise or odor, nor permit any use of the Premises that is improper, offensive, contrary to Legal Requirements or Insurance Requirements, or liable to invalidate (or increase the premiums for) any insurance on the Building or its contents or liable to render necessary 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280" w:name="page281"/>
    <w:bookmarkEnd w:id="28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alterations or additions to the Building. If for any reason Tenant’s use of the Premises results in an increase of the premiums for the insurance of Landlord (or any tenant of the Building), Tenant shall reimburse Landlord and such other tenants of the Building for all such insurance premium increases, which shall be due and payable as Additional Rent. Tenant shall not permit any licensees, employees, agents, invitees, or visitors of Tenant to violate any duty of Tenant hereunder, or any of the Rules and Regulations from time to time promulgated by Landlord.</w:t>
      </w:r>
    </w:p>
    <w:p>
      <w:pPr>
        <w:spacing w:after="0" w:line="18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 Obstruction; Rules and Regulations</w:t>
      </w:r>
      <w:r>
        <w:rPr>
          <w:rFonts w:ascii="Arial" w:cs="Arial" w:eastAsia="Arial" w:hAnsi="Arial"/>
          <w:sz w:val="18"/>
          <w:szCs w:val="18"/>
          <w:color w:val="auto"/>
        </w:rPr>
        <w:t xml:space="preserve">. Tenant shall not obstruct in any manner any of the Common Facilities in the Building, or the sidewalks or other approaches to the Building. Tenant shall comply with the Rules and Regulations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including such amendments thereto as Landlord may promulgate from time to time with regard to the care and use of the Premises, the Building, its facilities, and approaches thereto, provided, however, that such amendments to the Rules and Regulations shall not be binding upon Tenant until Tenant has received a written copy of such amendments and further provided that such amendments shall not increase Tenant’s monetary obligations hereunder or have a material adverse effect on Tenant’s Permitted Use of the Premises.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Janitorial Service</w:t>
      </w:r>
      <w:r>
        <w:rPr>
          <w:rFonts w:ascii="Arial" w:cs="Arial" w:eastAsia="Arial" w:hAnsi="Arial"/>
          <w:sz w:val="18"/>
          <w:szCs w:val="18"/>
          <w:color w:val="auto"/>
        </w:rPr>
        <w:t>. Tenant shall provide and pay for all janitorial and cleaning services for the Premises.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Compliance with Laws; Safety; Health</w:t>
      </w:r>
      <w:r>
        <w:rPr>
          <w:rFonts w:ascii="Arial" w:cs="Arial" w:eastAsia="Arial" w:hAnsi="Arial"/>
          <w:sz w:val="16"/>
          <w:szCs w:val="16"/>
          <w:color w:val="auto"/>
        </w:rPr>
        <w:t>. Tenant shall keep the Premises (which shall include Tenant’s exclusive Building entrance) in a safe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sanitary condition and comply with and keep the Premises (which shall include Tenant’s exclusive Building entrance) in compliance with, all Legal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and Insurance Requirements now or hereafter existing and as required by the occupancy or use made of the Premises by Tenant. Tenant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all required repairs, alterations, replacements, or additions in and to the Premises (which shall include Tenant’s exclusive Building entrance) and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install any required devices or equipment. Notwithstanding any contrary provisions of the Americans with Disabilities Act, 42 U.S. Code 12101 et seq., as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amended from time to time (and the regulations and Accessibility Guidelines for Buildings and Facilities issued pursuant thereto)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ADA</w:t>
      </w:r>
      <w:r>
        <w:rPr>
          <w:rFonts w:ascii="Arial" w:cs="Arial" w:eastAsia="Arial" w:hAnsi="Arial"/>
          <w:sz w:val="16"/>
          <w:szCs w:val="16"/>
          <w:color w:val="auto"/>
        </w:rPr>
        <w:t>”), all costs (including reasonable attorney’s fees) associated with alterations to the Premises, and access thereto (which shall include Tenant’s exclusive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Building entrance), whether or not required by ADA or other Legal Requirements, shall be at Tenant’s cost, provided however that Tenant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responsible for such alterations to the Premises which were required due to the work performed by Landlord or another tenant in the Building and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or requested by Tenant. If any of Tenant Construction Work triggers the need for other alterations under either ADA or other Legal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alterations shall be performed by Tenant as part of the Tenant Construction Work (or by Landlord, at Landlord’s election, if the alterations are needed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areas of the Building other than the Premises) in either case at Tenant’s cost. Tenant shall be responsible to ensure that the Premises, and access thereto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include Tenant’s exclusive Building entrance), comply with the ADA. Tenant shall be responsible for obtaining all Authorizations that are needed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Tenant’s use of the Premises.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81" w:name="page282"/>
    <w:bookmarkEnd w:id="281"/>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5.1.8 </w:t>
      </w:r>
      <w:r>
        <w:rPr>
          <w:rFonts w:ascii="Arial" w:cs="Arial" w:eastAsia="Arial" w:hAnsi="Arial"/>
          <w:sz w:val="16"/>
          <w:szCs w:val="16"/>
          <w:u w:val="single" w:color="auto"/>
          <w:color w:val="auto"/>
        </w:rPr>
        <w:t>Landlord’s Consent Required for Tenant Construction Work</w:t>
      </w:r>
      <w:r>
        <w:rPr>
          <w:rFonts w:ascii="Arial" w:cs="Arial" w:eastAsia="Arial" w:hAnsi="Arial"/>
          <w:sz w:val="16"/>
          <w:szCs w:val="16"/>
          <w:color w:val="auto"/>
        </w:rPr>
        <w:t>. Tenant shall not make in or to the Premises or the Building any construction work, alterations, or additions (collectively, “</w:t>
      </w:r>
      <w:r>
        <w:rPr>
          <w:rFonts w:ascii="Arial" w:cs="Arial" w:eastAsia="Arial" w:hAnsi="Arial"/>
          <w:sz w:val="16"/>
          <w:szCs w:val="16"/>
          <w:b w:val="1"/>
          <w:bCs w:val="1"/>
          <w:u w:val="single" w:color="auto"/>
          <w:color w:val="auto"/>
        </w:rPr>
        <w:t>Tenant Construction Work</w:t>
      </w:r>
      <w:r>
        <w:rPr>
          <w:rFonts w:ascii="Arial" w:cs="Arial" w:eastAsia="Arial" w:hAnsi="Arial"/>
          <w:sz w:val="16"/>
          <w:szCs w:val="16"/>
          <w:color w:val="auto"/>
        </w:rPr>
        <w:t>”) or any holes in the walls, partitions, ceilings, or floors, or paint or place therein or thereon any signs, or place therein or thereon any awnings, aerials, flagpoles, or the like, without on each occasion obtaining the prior written consent of Landlord, which consent may not be unreasonably withheld or delayed. Landlord’s consent may be subject to conditions deemed appropriate by Landlord, in its reasonable discretion, including review of plans and specifications, approval of the contractors and subcontractors, and receipt of an architect’s certificate that the work complies with Legal Requirements, an architect’s certificate of completion, and (if required by Legal Requirements) a certificate of the municipal building inspector of final completion. Tenant shall cause any Tenant Construction Work in the Premises to be performed expeditiously, with first-class workmanship and materials and in compliance with all applicable Legal Requirements and Insurance Requirements; shall pay for the same when due; shall remove promptly (and not later than twenty-five days in any event), or bond to Landlord’s satisfaction, any materialmen’s or mechanics liens filed in connection therewith; and shall save Landlord harmless and indemnified from all injury, loss, claims, costs (including reasonable attorney’s fees), or damage to any person or property occasioned by or arising out of such Tenant Construction Work. If Landlord deems it appropriate to supervise any of the Tenant Construction Work, Tenant shall pay the reasonable third-party cost of such supervision. Tenant shall cause contractors employed by Tenant to carry worker’s compensation insurance in accordance with statutory requirements and commercial general liability insurance and automobile liability insurance covering such contractors on or about the Premises (and Landlord at Tenant’s cost may obtain builder’s risk insurance), and such other appropriate insurance coverage in such reasonable amounts as Landlord may reasonably require, and Tenant shall submit certificates evidencing such coverage to Landlord before the commencement of such Tenant Construction Work. Tenant may not grant any security interest in any of the materials installed as a part of the Tenant Construction Work. Nothing in this Section 5.1.8 shall be deemed to waive the requirement that Tenant obtain Landlord’s prior written consent to any such Tenant Construction Work, except as set forth below with respect to Permitted Alterations. Tenant shall provide to Landlord as-built plans of the Premises immediately after the Tenant Construction Work is completed. Tenant shall pay all increases in Real Estate Taxes attributable to the Tenant Construction Work. Landlord’s consent is also required for installation of any Tenant FETI constructed as part of the Tenant Construction Work. At the time of Tenant’s installation of any fixtures or built-in equipment, Tenant may request in writing that Landlord designated such items of Tenant FETI as “</w:t>
      </w:r>
      <w:r>
        <w:rPr>
          <w:rFonts w:ascii="Arial" w:cs="Arial" w:eastAsia="Arial" w:hAnsi="Arial"/>
          <w:sz w:val="16"/>
          <w:szCs w:val="16"/>
          <w:b w:val="1"/>
          <w:bCs w:val="1"/>
          <w:u w:val="single" w:color="auto"/>
          <w:color w:val="auto"/>
        </w:rPr>
        <w:t>Removable FETI</w:t>
      </w:r>
      <w:r>
        <w:rPr>
          <w:rFonts w:ascii="Arial" w:cs="Arial" w:eastAsia="Arial" w:hAnsi="Arial"/>
          <w:sz w:val="16"/>
          <w:szCs w:val="16"/>
          <w:color w:val="auto"/>
        </w:rPr>
        <w:t>” for purposes of Section 9.24.1. Notwithstanding the foregoing, Landlord consent shall not be required for any cosmetic alteration, improvement or work performed by Tenant (the “Permitted Alteration”) which (i) has no adverse effect on the Building’s structure or systems, including, without limitation, the electrical and plumbing systems of the Building; (ii) is not visible from the exterior of the Premises; (iii) does not result in a violation of, or require a change in, any certificate of occupancy for the Building; (iv) does not affect any area of the Building outside of the Premises; and (v) does not cost more than $50,000 in any one instance.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82" w:name="page283"/>
    <w:bookmarkEnd w:id="282"/>
    <w:p>
      <w:pPr>
        <w:ind w:right="8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5.1.9 </w:t>
      </w:r>
      <w:r>
        <w:rPr>
          <w:rFonts w:ascii="Arial" w:cs="Arial" w:eastAsia="Arial" w:hAnsi="Arial"/>
          <w:sz w:val="17"/>
          <w:szCs w:val="17"/>
          <w:u w:val="single" w:color="auto"/>
          <w:color w:val="auto"/>
        </w:rPr>
        <w:t>Licenses and Permits</w:t>
      </w:r>
      <w:r>
        <w:rPr>
          <w:rFonts w:ascii="Arial" w:cs="Arial" w:eastAsia="Arial" w:hAnsi="Arial"/>
          <w:sz w:val="17"/>
          <w:szCs w:val="17"/>
          <w:color w:val="auto"/>
        </w:rPr>
        <w:t>. Tenant shall procure, maintain, and observe any and all licenses, permits, special permits, variances, or other Authorizations required by reason of the Permitted Uses of the Premises by Tenant or any Tenant Construction Work by Tenant that has been consented to by Landlord, and Tenant at its cost shall provide copies of same to Landlord. Nothing herein shall be construed to require Tenant to obtain any licenses, permits, special permits, variances or other Authorizations for the Land or the Building, except such licenses, permits, special permits, variances, approvals or other Authorizations which are directly related to the Tenant’s Work and Tenant’s intended use of the Premises.</w:t>
      </w:r>
    </w:p>
    <w:p>
      <w:pPr>
        <w:spacing w:after="0" w:line="173"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5.1.10 </w:t>
      </w:r>
      <w:r>
        <w:rPr>
          <w:rFonts w:ascii="Arial" w:cs="Arial" w:eastAsia="Arial" w:hAnsi="Arial"/>
          <w:sz w:val="18"/>
          <w:szCs w:val="18"/>
          <w:u w:val="single" w:color="auto"/>
          <w:color w:val="auto"/>
        </w:rPr>
        <w:t>Wireless Interference</w:t>
      </w:r>
      <w:r>
        <w:rPr>
          <w:rFonts w:ascii="Arial" w:cs="Arial" w:eastAsia="Arial" w:hAnsi="Arial"/>
          <w:sz w:val="18"/>
          <w:szCs w:val="18"/>
          <w:color w:val="auto"/>
        </w:rPr>
        <w:t>. If Tenant installs a wireless computer network or other device that radiates electromagnetic waves, Tenant shall ensure that it does not interfere with the wireless networks, cellular telephones, and electronic equipment of Landlord or of other tenants or other third-parties in the vicinity in existence prior to such Tenant’s installation.</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5.1.11 </w:t>
      </w:r>
      <w:r>
        <w:rPr>
          <w:rFonts w:ascii="Arial" w:cs="Arial" w:eastAsia="Arial" w:hAnsi="Arial"/>
          <w:sz w:val="18"/>
          <w:szCs w:val="18"/>
          <w:u w:val="single" w:color="auto"/>
          <w:color w:val="auto"/>
        </w:rPr>
        <w:t>Use, Continuous Use</w:t>
      </w:r>
      <w:r>
        <w:rPr>
          <w:rFonts w:ascii="Arial" w:cs="Arial" w:eastAsia="Arial" w:hAnsi="Arial"/>
          <w:sz w:val="18"/>
          <w:szCs w:val="18"/>
          <w:color w:val="auto"/>
        </w:rPr>
        <w:t>. Tenant may not use all or any part of the Premises in any manner that in Landlord’s reasonable judgment would adversely affect the use and enjoyment of the Building or Land by any other tenant, occupant, visitor, or invitee, the character or reputation of the Building, or publicly embarrass Landlord or any tenant or occupant of the Building. Tenant shall not conduct or permit on or in the Premises any auction sale or “going out of business” sale.</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5.1.12 </w:t>
      </w:r>
      <w:r>
        <w:rPr>
          <w:rFonts w:ascii="Arial" w:cs="Arial" w:eastAsia="Arial" w:hAnsi="Arial"/>
          <w:sz w:val="18"/>
          <w:szCs w:val="18"/>
          <w:u w:val="single" w:color="auto"/>
          <w:color w:val="auto"/>
        </w:rPr>
        <w:t>Keys</w:t>
      </w:r>
      <w:r>
        <w:rPr>
          <w:rFonts w:ascii="Arial" w:cs="Arial" w:eastAsia="Arial" w:hAnsi="Arial"/>
          <w:sz w:val="18"/>
          <w:szCs w:val="18"/>
          <w:color w:val="auto"/>
        </w:rPr>
        <w:t>. Upon expiration or earlier termination of the Lease, Tenant shall deliver the keys of the Premises to Landlord. Tenant shall not change or replace any locks and shall not add new locks without the prior written permission of Landlord. Any additional or replacement locks shall become the property of Landlord and shall not be removed by Tenant.</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5.1.13 </w:t>
      </w:r>
      <w:r>
        <w:rPr>
          <w:rFonts w:ascii="Arial" w:cs="Arial" w:eastAsia="Arial" w:hAnsi="Arial"/>
          <w:sz w:val="18"/>
          <w:szCs w:val="18"/>
          <w:u w:val="single" w:color="auto"/>
          <w:color w:val="auto"/>
        </w:rPr>
        <w:t>Security Alarm</w:t>
      </w:r>
      <w:r>
        <w:rPr>
          <w:rFonts w:ascii="Arial" w:cs="Arial" w:eastAsia="Arial" w:hAnsi="Arial"/>
          <w:sz w:val="18"/>
          <w:szCs w:val="18"/>
          <w:color w:val="auto"/>
        </w:rPr>
        <w:t>. Tenant shall not install any security alarms or systems without prior written consent from Landlord, which consent will not be withheld unreasonably by Landlord. Tenant shall supply Landlord keys, devices, or instructions, as the case may be, for deactivating said security alarms or systems. Tenant shall be responsible for all costs for said security alarms or systems and said alarms or systems shall become part of the real estate at the election of Landlord.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5.1.14 </w:t>
      </w:r>
      <w:r>
        <w:rPr>
          <w:rFonts w:ascii="Arial" w:cs="Arial" w:eastAsia="Arial" w:hAnsi="Arial"/>
          <w:sz w:val="18"/>
          <w:szCs w:val="18"/>
          <w:u w:val="single" w:color="auto"/>
          <w:color w:val="auto"/>
        </w:rPr>
        <w:t>Hazardous Material</w:t>
      </w:r>
      <w:r>
        <w:rPr>
          <w:rFonts w:ascii="Arial" w:cs="Arial" w:eastAsia="Arial" w:hAnsi="Arial"/>
          <w:sz w:val="18"/>
          <w:szCs w:val="18"/>
          <w:color w:val="auto"/>
        </w:rPr>
        <w:t>.</w:t>
      </w:r>
    </w:p>
    <w:p>
      <w:pPr>
        <w:spacing w:after="0" w:line="225" w:lineRule="exact"/>
        <w:rPr>
          <w:sz w:val="20"/>
          <w:szCs w:val="20"/>
          <w:color w:val="auto"/>
        </w:rPr>
      </w:pPr>
    </w:p>
    <w:p>
      <w:pPr>
        <w:ind w:firstLine="1492"/>
        <w:spacing w:after="0" w:line="271" w:lineRule="auto"/>
        <w:tabs>
          <w:tab w:leader="none" w:pos="172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 connection with Tenant’s use of the Premises, Tenant shall only use Hazardous Materials of the kind and in amounts and in the manner customarily found and used in premises used for the Permitted Uses and to maintain and operate the equipment and machines located in the Premises. Without limiting the foregoing, Tenant shall be permitted to use, handle and store Hazardous Materials of the types listed on Schedule 5.1.14 hereof, attached hereto and made a part hereof, in amounts commercially reasonable for Tenant’s Permitted Use. Subject to Landlord’s prior written approval, not to be unreasonably withheld, Schedule 5.1.14 may be updated by Tenant from time to time during the Term. Tenant shall not use, store, handle, treat, transport, release, or dispose of any other Hazardous Materials (other than as listed on Schedule 5.1.14, as the same may be updated from time to time as provided in the preceding sentence) on or about the Premises or the Building or Land without Landlord’s prior written consent, which Landlord may withhold or condition in Landlord’s sole discretion. Any handling, treatment,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83" w:name="page284"/>
    <w:bookmarkEnd w:id="283"/>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transportation, storage, disposal, or use of Hazardous Materials by Tenant in or about the Premises, the Building, or the Land, shall comply with Landlord’s procedures and all applicable Legal Requirements. Tenant shall, within ten Business Days of Landlord’s written request therefore, disclose in writing all Hazardous Materials that are being used by Tenant in the Premises, the nature of such use, and the manner of storage and disposal. Tenant has a duty at its cost to correct any practice and remediate any condition occurring in the Premises after the Lease Commencement Date that is in violation of Environmental Laws, except where caused by negligence or willful misconduct of Landlord, its employees, agents, contractors or invitees.</w:t>
      </w:r>
    </w:p>
    <w:p>
      <w:pPr>
        <w:spacing w:after="0" w:line="158" w:lineRule="exact"/>
        <w:rPr>
          <w:sz w:val="20"/>
          <w:szCs w:val="20"/>
          <w:color w:val="auto"/>
        </w:rPr>
      </w:pPr>
    </w:p>
    <w:p>
      <w:pPr>
        <w:ind w:right="40" w:firstLine="1492"/>
        <w:spacing w:after="0" w:line="255" w:lineRule="auto"/>
        <w:tabs>
          <w:tab w:leader="none" w:pos="173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Tenant shall indemnify, defend with counsel reasonably acceptable to Landlord, and hold Landlord harmless from and against, any liabilities, losses, claims, damages, interest, penalties, fines, reasonable attorney’s fees, investigation and remediation costs, and other costs that result from the use, storage, handling, treatment, transportation, release, threat of release or disposal of Hazardous Materials in or about the Premises, the Building, or the Land in violation of the Environmental Law by Tenant or Tenant’s agents, employees, contractors, or invitees, except to the extent caused by any act or omission of Landlord, its agents, employees, contractors, or invitees and the provisions of this sentence shall survive the expiration or earlier termination of this Lease for the longest period permitted by law.</w:t>
      </w:r>
    </w:p>
    <w:p>
      <w:pPr>
        <w:spacing w:after="0" w:line="193" w:lineRule="exact"/>
        <w:rPr>
          <w:rFonts w:ascii="Arial" w:cs="Arial" w:eastAsia="Arial" w:hAnsi="Arial"/>
          <w:sz w:val="18"/>
          <w:szCs w:val="18"/>
          <w:color w:val="auto"/>
        </w:rPr>
      </w:pPr>
    </w:p>
    <w:p>
      <w:pPr>
        <w:ind w:firstLine="1492"/>
        <w:spacing w:after="0" w:line="259" w:lineRule="auto"/>
        <w:tabs>
          <w:tab w:leader="none" w:pos="172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Tenant shall immediately notify Landlord whenever Tenant discovers that there has been a release, threat of release, or spill of Hazardous Materials in or about the Premises, the Building, or the Land or the occurrence of a violation of Environmental Laws. Tenant shall give notice to Landlord as soon as reasonably practicable of any communication received by Tenant from any Governmental Authority concerning Hazardous Materials that relates to the Premises, the Building, or the Land.</w:t>
      </w:r>
    </w:p>
    <w:p>
      <w:pPr>
        <w:spacing w:after="0" w:line="186" w:lineRule="exact"/>
        <w:rPr>
          <w:rFonts w:ascii="Arial" w:cs="Arial" w:eastAsia="Arial" w:hAnsi="Arial"/>
          <w:sz w:val="18"/>
          <w:szCs w:val="18"/>
          <w:color w:val="auto"/>
        </w:rPr>
      </w:pPr>
    </w:p>
    <w:p>
      <w:pPr>
        <w:ind w:right="100" w:firstLine="1492"/>
        <w:spacing w:after="0" w:line="285" w:lineRule="auto"/>
        <w:tabs>
          <w:tab w:leader="none" w:pos="173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Without imposing any duty on Landlord, Landlord reserves the right to inspect (and cause its representatives and consultants to inspect) from time to time the Premises to determine the existence of any release or threat of release of Hazardous Material in or about the Premises, the Building, or the Land and Tenant’s compliance with Environmental Laws. Tenant will cooperate with Landlord (and Landlord’s representatives and consultants) in connection with the inspection, and will pay for the cost of the inspection if the inspection reveals any (i) reportable spills, releases, or threats of release as a result of Tenant’s use and occupancy of the Premises or otherwise caused by Tenant or its agents, employees, contractors, or invitees or</w:t>
      </w:r>
    </w:p>
    <w:p>
      <w:pPr>
        <w:spacing w:after="0" w:line="2" w:lineRule="exact"/>
        <w:rPr>
          <w:rFonts w:ascii="Arial" w:cs="Arial" w:eastAsia="Arial" w:hAnsi="Arial"/>
          <w:sz w:val="16"/>
          <w:szCs w:val="16"/>
          <w:color w:val="auto"/>
        </w:rPr>
      </w:pPr>
    </w:p>
    <w:p>
      <w:pPr>
        <w:ind w:right="220" w:firstLine="8"/>
        <w:spacing w:after="0" w:line="255" w:lineRule="auto"/>
        <w:tabs>
          <w:tab w:leader="none" w:pos="26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violations of an Environmental Law (whether or not required to be reported by an Environmental Law) occurring as a result of Tenant’s use and occupancy of the Premises or otherwise occurring within the Premises or otherwise caused by Tenant or its agents, employees, contractors, or invitees, that were not previously disclosed by Tenant to Landlord.</w:t>
      </w:r>
    </w:p>
    <w:p>
      <w:pPr>
        <w:spacing w:after="0" w:line="190"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 xml:space="preserve">5.1.15 </w:t>
      </w:r>
      <w:r>
        <w:rPr>
          <w:rFonts w:ascii="Arial" w:cs="Arial" w:eastAsia="Arial" w:hAnsi="Arial"/>
          <w:sz w:val="17"/>
          <w:szCs w:val="17"/>
          <w:u w:val="single" w:color="auto"/>
          <w:color w:val="auto"/>
        </w:rPr>
        <w:t>Glass</w:t>
      </w:r>
      <w:r>
        <w:rPr>
          <w:rFonts w:ascii="Arial" w:cs="Arial" w:eastAsia="Arial" w:hAnsi="Arial"/>
          <w:sz w:val="17"/>
          <w:szCs w:val="17"/>
          <w:color w:val="auto"/>
        </w:rPr>
        <w:t>. Damage by casualty excepted, Tenant shall keep all glass of the Premises, if any, including that in windows, doors, and skylights, whole and in good condition, and shall replace promptly any glass that may be damaged or broken with glass of equal or better quality.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84" w:name="page285"/>
    <w:bookmarkEnd w:id="284"/>
    <w:p>
      <w:pPr>
        <w:ind w:right="2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5.1.16 </w:t>
      </w:r>
      <w:r>
        <w:rPr>
          <w:rFonts w:ascii="Arial" w:cs="Arial" w:eastAsia="Arial" w:hAnsi="Arial"/>
          <w:sz w:val="18"/>
          <w:szCs w:val="18"/>
          <w:u w:val="single" w:color="auto"/>
          <w:color w:val="auto"/>
        </w:rPr>
        <w:t>No Interference</w:t>
      </w:r>
      <w:r>
        <w:rPr>
          <w:rFonts w:ascii="Arial" w:cs="Arial" w:eastAsia="Arial" w:hAnsi="Arial"/>
          <w:sz w:val="18"/>
          <w:szCs w:val="18"/>
          <w:color w:val="auto"/>
        </w:rPr>
        <w:t>. Tenant shall not permit employment of any contractor, worker, or tradesperson in the Premises, if such employment will likely interfere, or cause any conflict, with other contractors, workers, or tradespersons engaged in work in the Building or on the Land, and upon the request of Landlord, Tenant shall cause all such contractors, workers, and tradespersons to leave the Building and Land immediately. Tenant shall submit a list of its proposed contractors and tradespersons to Landlord for Landlord’s prior approval, which approval shall not be unreasonably withheld, conditioned or delayed.</w:t>
      </w:r>
    </w:p>
    <w:p>
      <w:pPr>
        <w:spacing w:after="0" w:line="18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5.1.17 </w:t>
      </w:r>
      <w:r>
        <w:rPr>
          <w:rFonts w:ascii="Arial" w:cs="Arial" w:eastAsia="Arial" w:hAnsi="Arial"/>
          <w:sz w:val="18"/>
          <w:szCs w:val="18"/>
          <w:u w:val="single" w:color="auto"/>
          <w:color w:val="auto"/>
        </w:rPr>
        <w:t>Energy Conservation</w:t>
      </w:r>
      <w:r>
        <w:rPr>
          <w:rFonts w:ascii="Arial" w:cs="Arial" w:eastAsia="Arial" w:hAnsi="Arial"/>
          <w:sz w:val="18"/>
          <w:szCs w:val="18"/>
          <w:color w:val="auto"/>
        </w:rPr>
        <w:t>. Tenant shall comply with, such reasonable policies, programs, and measures that are instituted by Landlord, as may be necessary, required, or expedient for the conservation or preservation of energy or energy services, or as may be necessary or required to comply with applicable Legal Requirements.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6.0 TENANT’S DEFAULT</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6.1 Event of Default; Termination</w:t>
      </w:r>
      <w:r>
        <w:rPr>
          <w:rFonts w:ascii="Arial" w:cs="Arial" w:eastAsia="Arial" w:hAnsi="Arial"/>
          <w:sz w:val="18"/>
          <w:szCs w:val="18"/>
          <w:color w:val="auto"/>
        </w:rPr>
        <w:t>. The occurrence of any of the following shall constitute an “</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under this Lease:</w:t>
      </w:r>
    </w:p>
    <w:p>
      <w:pPr>
        <w:spacing w:after="0" w:line="135" w:lineRule="exact"/>
        <w:rPr>
          <w:sz w:val="20"/>
          <w:szCs w:val="20"/>
          <w:color w:val="auto"/>
        </w:rPr>
      </w:pPr>
    </w:p>
    <w:p>
      <w:pPr>
        <w:ind w:left="900" w:right="120" w:hanging="446"/>
        <w:spacing w:after="0" w:line="259"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Tenant fails to pay to Landlord, within five (5) Business Days after receipt of Landlord’s notice thereof, any payment of Rent or any other payment required by this Lease to be paid to Landlord, provided however, that Landlord shall not be required to give more than two (2) of such notices in any twelve month period, and thereafter, during such twelve month period, any such Breach shall be an Event of Default without the giving of any such notice.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Tenant fails to maintain the insurance that this Lease requires Tenant to maintain; or uses the Premises for uses other than the Permitted Uses.</w:t>
      </w:r>
    </w:p>
    <w:p>
      <w:pPr>
        <w:spacing w:after="0" w:line="153" w:lineRule="exact"/>
        <w:rPr>
          <w:rFonts w:ascii="Arial" w:cs="Arial" w:eastAsia="Arial" w:hAnsi="Arial"/>
          <w:sz w:val="16"/>
          <w:szCs w:val="16"/>
          <w:color w:val="auto"/>
        </w:rPr>
      </w:pPr>
    </w:p>
    <w:p>
      <w:pPr>
        <w:ind w:left="900" w:right="120" w:hanging="446"/>
        <w:spacing w:after="0" w:line="308" w:lineRule="auto"/>
        <w:tabs>
          <w:tab w:leader="none" w:pos="9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This Lease or the estate hereby granted or the unexpired balance of the Lease Term is by operation of law or otherwise, transferred to, devolves upon, or passes to any person other than Tenant except as is expressly permitted by provisions of Section 9.13.</w:t>
      </w:r>
    </w:p>
    <w:p>
      <w:pPr>
        <w:spacing w:after="0" w:line="51" w:lineRule="exact"/>
        <w:rPr>
          <w:rFonts w:ascii="Arial" w:cs="Arial" w:eastAsia="Arial" w:hAnsi="Arial"/>
          <w:sz w:val="17"/>
          <w:szCs w:val="17"/>
          <w:color w:val="auto"/>
        </w:rPr>
      </w:pPr>
    </w:p>
    <w:p>
      <w:pPr>
        <w:ind w:left="900" w:right="300" w:hanging="446"/>
        <w:spacing w:after="0" w:line="264"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There occurs an Event of Default as expressly specified in other Articles of this Lease, provided however, that the cure period set forth in subsection (f) below (or such shorter period as is set forth in the respective Articles of this Lease) shall apply in each case before an Event of Default is deemed to have occurred.</w:t>
      </w:r>
    </w:p>
    <w:p>
      <w:pPr>
        <w:spacing w:after="0" w:line="86" w:lineRule="exact"/>
        <w:rPr>
          <w:rFonts w:ascii="Arial" w:cs="Arial" w:eastAsia="Arial" w:hAnsi="Arial"/>
          <w:sz w:val="18"/>
          <w:szCs w:val="18"/>
          <w:color w:val="auto"/>
        </w:rPr>
      </w:pPr>
    </w:p>
    <w:p>
      <w:pPr>
        <w:ind w:left="900" w:right="100" w:hanging="446"/>
        <w:spacing w:after="0" w:line="276" w:lineRule="auto"/>
        <w:tabs>
          <w:tab w:leader="none" w:pos="9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 petition or proceeding is filed against Tenant by others or is filed by Tenant, or an order for relief is entered with respect to Tenant, under any provision of the Bankruptcy Code or an assignment is made of Tenant’s property for the benefit of creditors or if a receiver, guardian, conservator, or similar officer is appointed to take charge of all or any part of Tenant’s property by a court of competent jurisdiction; unless, except with respect to any such petition or proceeding filed, or order for relief sought, by Tenant, such petition or proceeding or action is dismissed within sixty (60) days after commencement of any such petition, proceeding or action.</w:t>
      </w:r>
    </w:p>
    <w:p>
      <w:pPr>
        <w:spacing w:after="0" w:line="77" w:lineRule="exact"/>
        <w:rPr>
          <w:rFonts w:ascii="Arial" w:cs="Arial" w:eastAsia="Arial" w:hAnsi="Arial"/>
          <w:sz w:val="17"/>
          <w:szCs w:val="17"/>
          <w:color w:val="auto"/>
        </w:rPr>
      </w:pPr>
    </w:p>
    <w:p>
      <w:pPr>
        <w:jc w:val="both"/>
        <w:ind w:left="900" w:right="240" w:hanging="446"/>
        <w:spacing w:after="0" w:line="264"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other Breach of this Lease, if such Breach occurs and continue for thirty (30) days after notice of such Breach is given to Tenant, or such longer period (not to exceed one hundred eighty (180) days) as is reasonably required for cure so long as Tenant commences such cure within thirty (30) days and thereafter diligently prosecutes the correction to completion.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285" w:name="page286"/>
    <w:bookmarkEnd w:id="285"/>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If an Event of Default occurs, Landlord may immediately or at any time thereafter terminate this Lease by notice of termination (or notice to quit) to Tenant, without prejudice to any remedies (whether set forth in this Lease or provided for by law or equity) that might otherwise be used for arrearage of rent, for nonpayment of amounts required to be paid by Tenant to Landlord under this Lease, or for preceding breaches of covenant, and upon the giving of such notice of termination (or notice to quit), this Lease shall terminate.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6.2 Tenant’s Duties After Termination</w:t>
      </w:r>
      <w:r>
        <w:rPr>
          <w:rFonts w:ascii="Arial" w:cs="Arial" w:eastAsia="Arial" w:hAnsi="Arial"/>
          <w:sz w:val="16"/>
          <w:szCs w:val="16"/>
          <w:color w:val="auto"/>
        </w:rPr>
        <w:t>. Tenant shall, in case of a termination of this Lease, pay and perform all of the duties described in (a), (b), and</w:t>
      </w:r>
    </w:p>
    <w:p>
      <w:pPr>
        <w:spacing w:after="0" w:line="46" w:lineRule="exact"/>
        <w:rPr>
          <w:sz w:val="20"/>
          <w:szCs w:val="20"/>
          <w:color w:val="auto"/>
        </w:rPr>
      </w:pPr>
    </w:p>
    <w:p>
      <w:pPr>
        <w:ind w:right="120" w:firstLine="8"/>
        <w:spacing w:after="0" w:line="290" w:lineRule="auto"/>
        <w:tabs>
          <w:tab w:leader="none" w:pos="24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below, and Landlord has the right to elect to receive from Tenant either the Fixed Damages, or alternatively, the Incurred Loss; but if Landlord elects to receive the Incurred Loss payments, Landlord has the right at any time thereafter during the Lease Term to elect to receive instead Fixed Damages with respect to the remainder of the Lease Term, and in any event Landlord may elect that Tenant quit the Premises. Landlord shall give Tenant notice of Landlord’s election within one year after the termination of this Lease. As used in this Section 6.2, “the Lease Term” or “the remainder of the Lease Term” shall mean that period of time commencing on the effective date of the termination of this Lease and ending on what would have been the Lease Expiration Date (as such date was extended by any valid exercise by Tenant of any extension option in this Lease) had this Lease not been so terminated.</w:t>
      </w:r>
    </w:p>
    <w:p>
      <w:pPr>
        <w:spacing w:after="0" w:line="160" w:lineRule="exact"/>
        <w:rPr>
          <w:rFonts w:ascii="Arial" w:cs="Arial" w:eastAsia="Arial" w:hAnsi="Arial"/>
          <w:sz w:val="16"/>
          <w:szCs w:val="16"/>
          <w:color w:val="auto"/>
        </w:rPr>
      </w:pPr>
    </w:p>
    <w:p>
      <w:pPr>
        <w:ind w:right="80" w:firstLine="921"/>
        <w:spacing w:after="0" w:line="314" w:lineRule="auto"/>
        <w:tabs>
          <w:tab w:leader="none" w:pos="1157"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Fixed Damages</w:t>
      </w:r>
      <w:r>
        <w:rPr>
          <w:rFonts w:ascii="Arial" w:cs="Arial" w:eastAsia="Arial" w:hAnsi="Arial"/>
          <w:sz w:val="16"/>
          <w:szCs w:val="16"/>
          <w:color w:val="auto"/>
        </w:rPr>
        <w:t>. If Landlord by notice to Tenant so elects, Tenant shall forthwith pay to Landlord as damages (“</w:t>
      </w:r>
      <w:r>
        <w:rPr>
          <w:rFonts w:ascii="Arial" w:cs="Arial" w:eastAsia="Arial" w:hAnsi="Arial"/>
          <w:sz w:val="16"/>
          <w:szCs w:val="16"/>
          <w:b w:val="1"/>
          <w:bCs w:val="1"/>
          <w:u w:val="single" w:color="auto"/>
          <w:color w:val="auto"/>
        </w:rPr>
        <w:t>Fixed Damages</w:t>
      </w:r>
      <w:r>
        <w:rPr>
          <w:rFonts w:ascii="Arial" w:cs="Arial" w:eastAsia="Arial" w:hAnsi="Arial"/>
          <w:sz w:val="16"/>
          <w:szCs w:val="16"/>
          <w:color w:val="auto"/>
        </w:rPr>
        <w:t>”) a sum equal to the amount (calculated on a present value basis using the Prime Rate as the discount rate) by which the Basic Rent and other payments called for in this Lease for the remainder of the Lease Term exceed the fair rental value of the Premises for the remainder of the Lease Term.</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Incurred Loss</w:t>
      </w:r>
      <w:r>
        <w:rPr>
          <w:rFonts w:ascii="Arial" w:cs="Arial" w:eastAsia="Arial" w:hAnsi="Arial"/>
          <w:sz w:val="16"/>
          <w:szCs w:val="16"/>
          <w:color w:val="auto"/>
        </w:rPr>
        <w:t>. If Landlord by notice to Tenant so elects, Tenant shall continue to pay Landlord on the Rent Payment Day an amount (the</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Incurred Loss</w:t>
      </w:r>
      <w:r>
        <w:rPr>
          <w:rFonts w:ascii="Arial" w:cs="Arial" w:eastAsia="Arial" w:hAnsi="Arial"/>
          <w:sz w:val="17"/>
          <w:szCs w:val="17"/>
          <w:color w:val="auto"/>
        </w:rPr>
        <w:t>”) equal to (i) the Rent and other payments required to be paid under this Lease less (ii) the sum of any rent collected from Landlord’s reletting less the Reletting Expenses. The “</w:t>
      </w:r>
      <w:r>
        <w:rPr>
          <w:rFonts w:ascii="Arial" w:cs="Arial" w:eastAsia="Arial" w:hAnsi="Arial"/>
          <w:sz w:val="17"/>
          <w:szCs w:val="17"/>
          <w:b w:val="1"/>
          <w:bCs w:val="1"/>
          <w:u w:val="single" w:color="auto"/>
          <w:color w:val="auto"/>
        </w:rPr>
        <w:t>Reletting Expenses</w:t>
      </w:r>
      <w:r>
        <w:rPr>
          <w:rFonts w:ascii="Arial" w:cs="Arial" w:eastAsia="Arial" w:hAnsi="Arial"/>
          <w:sz w:val="17"/>
          <w:szCs w:val="17"/>
          <w:color w:val="auto"/>
        </w:rPr>
        <w:t>” shall include reasonable attorney’s fees, brokerage fees, and the cost of putting the Premises into good order and preparing the Premises for rental. Tenant shall indemnify Landlord during the remainder of the Lease Term against all Incurred Loss suffered and expenses, however caused, incurred by Landlord by reason of the termination of this Lease. The Incurred Loss occurring during each calendar month during the remainder of the Lease Term shall be due from Tenant to Landlord on the next Rent Payment Day.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286" w:name="page287"/>
    <w:bookmarkEnd w:id="286"/>
    <w:p>
      <w:pPr>
        <w:ind w:right="200" w:firstLine="921"/>
        <w:spacing w:after="0" w:line="285" w:lineRule="auto"/>
        <w:tabs>
          <w:tab w:leader="none" w:pos="1157"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Surrender of Premises</w:t>
      </w:r>
      <w:r>
        <w:rPr>
          <w:rFonts w:ascii="Arial" w:cs="Arial" w:eastAsia="Arial" w:hAnsi="Arial"/>
          <w:sz w:val="16"/>
          <w:szCs w:val="16"/>
          <w:color w:val="auto"/>
        </w:rPr>
        <w:t>. If Landlord gives notice to Tenant electing that Tenant quit the Premises, then Tenant shall quit and peacefully surrender the Premises to Landlord and remove Tenant’s goods and effects and yield up the Premises in accordance with Section 9.24.1 within ten Business Days after the effective date of the termination of this Lease, and if Tenant fails to do so, Landlord may upon or at any time after any such termination, without further notice and without prejudice to any other rights and remedies that Landlord may have at law or in equity, (1) enter the Premises and possess itself thereof, by summary proceedings or otherwise, (2) dispossess Tenant and remove Tenant and all other persons and property from the Premises,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have, hold, and enjoy (i) the Premises and (ii) the right to receive all rental income of and from the same; but, notwithstanding the foregoing (1), (2), and</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Tenant shall remain liable to Landlord as provided in this Lease.</w:t>
      </w:r>
    </w:p>
    <w:p>
      <w:pPr>
        <w:spacing w:after="0" w:line="21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Evidence of Value</w:t>
      </w:r>
      <w:r>
        <w:rPr>
          <w:rFonts w:ascii="Arial" w:cs="Arial" w:eastAsia="Arial" w:hAnsi="Arial"/>
          <w:sz w:val="18"/>
          <w:szCs w:val="18"/>
          <w:color w:val="auto"/>
        </w:rPr>
        <w:t>. If the Premises or any part thereof are relet by Landlord prior to presentation of proof of liquidated damages to the applicable court or tribunal, the amount of rent reserved upon such reletting may be asserted by Landlord as prima facie evidence of the fair rental value for the part or the whole of the Premises so relet during the term of the reletting.</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Section 6.3 Landlord’s Right to Relet</w:t>
      </w:r>
      <w:r>
        <w:rPr>
          <w:rFonts w:ascii="Arial" w:cs="Arial" w:eastAsia="Arial" w:hAnsi="Arial"/>
          <w:sz w:val="17"/>
          <w:szCs w:val="17"/>
          <w:color w:val="auto"/>
        </w:rPr>
        <w:t xml:space="preserve"> From time to time after any termination of this Lease or Landlord’s re-entry pursuant to this Article 6.0 of the Lease, Landlord may relet the Premises or any part thereof, in the name of Landlord or otherwise, for such lease term(s) and on such conditions (which may include concessions or free rent) as Landlord may in its sole discretion elect, and Landlord may collect and receive the rents therefor. Landlord will not be liable for any failure to relet the Premises or any part thereof, or for any failure to collect any rent due upon any such reletting.</w:t>
      </w:r>
    </w:p>
    <w:p>
      <w:pPr>
        <w:spacing w:after="0" w:line="17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u w:val="single" w:color="auto"/>
          <w:color w:val="auto"/>
        </w:rPr>
        <w:t>Section 6.4 Landlord’s Other Remedies</w:t>
      </w:r>
      <w:r>
        <w:rPr>
          <w:rFonts w:ascii="Arial" w:cs="Arial" w:eastAsia="Arial" w:hAnsi="Arial"/>
          <w:sz w:val="16"/>
          <w:szCs w:val="16"/>
          <w:color w:val="auto"/>
        </w:rPr>
        <w:t xml:space="preserve"> Nothing herein contained shall limit or prejudice the right of Landlord to prove and obtain as damages by reason of such termination, an amount equal to the maximum allowed by any statute or rule of law in effect at the time when, and governing the proceedings in which, such damages are to be proved, whether or not such amount be greater, equal to, or less than the amount of the difference referred to above.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Section 6.5 Right to Equitable Relief</w:t>
      </w:r>
      <w:r>
        <w:rPr>
          <w:rFonts w:ascii="Arial" w:cs="Arial" w:eastAsia="Arial" w:hAnsi="Arial"/>
          <w:sz w:val="18"/>
          <w:szCs w:val="18"/>
          <w:color w:val="auto"/>
        </w:rPr>
        <w:t xml:space="preserve"> Landlord is entitled to enjoin a Breach and has the right to invoke any right and remedy allowed at law or in equity or by statute or otherwise as though re-entry, summary proceedings, and other remedies were not provided for in this Lease.</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u w:val="single" w:color="auto"/>
          <w:color w:val="auto"/>
        </w:rPr>
        <w:t>Section 6.6 Landlord’s Right To Cure Tenant’s Breach</w:t>
      </w:r>
      <w:r>
        <w:rPr>
          <w:rFonts w:ascii="Arial" w:cs="Arial" w:eastAsia="Arial" w:hAnsi="Arial"/>
          <w:sz w:val="17"/>
          <w:szCs w:val="17"/>
          <w:color w:val="auto"/>
        </w:rPr>
        <w:t>. If a Breach occurs, Landlord shall have the right, but not the duty, to enter upon the Premises, if necessary, and to cure such Breach, provided that Tenant is given an opportunity to cure such Breach as set forth in this Lease. In performing such cure, Landlord may make any payment of money or perform any other act. Landlord may, in the event of danger to person or property, the threat of cancellation of insurance, or other emergency, exercise its right of self-help under this Section with only such notice of the Breach, oral or written, as is practicable in the circumstances, notwithstanding a requirement, if any, for notice of a Breach or default in any other context. The aggregate of (i) all sums so paid by Landlord (including reasonable attorney’s fees), (ii) interest (at the Involuntary Rate) on such sum,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87" w:name="page288"/>
    <w:bookmarkEnd w:id="287"/>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(iii) all necessary incidental costs (including reasonable attorney’s fees) in connection with the performance of any such act by Landlord, shall be deemed to be Additional Rent. Landlord may exercise the foregoing rights without waiving any other of its rights or releasing Tenant from any of Tenant’s duties under this Lease.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Section 6.7 Enforcement Costs</w:t>
      </w:r>
      <w:r>
        <w:rPr>
          <w:rFonts w:ascii="Arial" w:cs="Arial" w:eastAsia="Arial" w:hAnsi="Arial"/>
          <w:sz w:val="18"/>
          <w:szCs w:val="18"/>
          <w:color w:val="auto"/>
        </w:rPr>
        <w:t>. Tenant shall pay as Additional Rent Landlord’s costs (including reasonable attorney’s fees) incurred in enforcing or demanding enforcement of any of Tenant’s duties hereunder. In the event either party initiates legal proceedings against the other, the prevailing party shall be entitled to recover reasonable legal fees and court costs in connection with such proceeding.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7.0 LANDLORD’S DEFAULT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Section 7.1 Landlord’s Default</w:t>
      </w:r>
      <w:r>
        <w:rPr>
          <w:rFonts w:ascii="Arial" w:cs="Arial" w:eastAsia="Arial" w:hAnsi="Arial"/>
          <w:sz w:val="16"/>
          <w:szCs w:val="16"/>
          <w:color w:val="auto"/>
        </w:rPr>
        <w:t>. Landlord shall be deemed to be in default under this Lease if Tenant has given written notice (or verbal notice, in case of emergency, followed by written notice as soon as is practicable under the circumstances) to Landlord (and, if requested by Landlord, to Landlord’s mortgagee if the mortgagee has notified Tenant in writing of its interest and the address to which such notices are to be sent) of any such default by Landlord and Landlord has failed to cure such default within thirty (30) days (or with reasonable promptness, in case of emergency) after Landlord received notice thereof. Provided, however, that if the nature of Landlord’s default in a non-emergency situation is such that more than thirty (30) days are reasonably required for a cure, then Landlord shall not be deemed to be in default if Landlord commences such cure within the original thirty (30) day period and thereafter diligently prosecutes the cure to completion. Tenant shall be entitled to a fair and reasonable abatement of Rent during the time and to the extent that the Premises are untenantable as a result of Landlord’s failure to perform any condition or covenant required under the Lease to be performed by Landlord. The failure of Tenant to pursue any remedy shall not be deemed as a waiver by reason of any subsequent breach or breaches by the Landlord. The exercise of any remedy by Tenant shall not be deemed an election of remedies or preclude Tenant from exercising any other remedies in the future.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8.0 SECURITY</w:t>
      </w:r>
      <w:r>
        <w:rPr>
          <w:rFonts w:ascii="Arial" w:cs="Arial" w:eastAsia="Arial" w:hAnsi="Arial"/>
          <w:sz w:val="18"/>
          <w:szCs w:val="18"/>
          <w:b w:val="1"/>
          <w:bCs w:val="1"/>
          <w:color w:val="auto"/>
        </w:rPr>
        <w: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Section 8.1 Security Deposit; Amount, Form</w:t>
      </w:r>
      <w:r>
        <w:rPr>
          <w:rFonts w:ascii="Arial" w:cs="Arial" w:eastAsia="Arial" w:hAnsi="Arial"/>
          <w:sz w:val="18"/>
          <w:szCs w:val="18"/>
          <w:color w:val="auto"/>
        </w:rPr>
        <w:t>. Simultaneously with the execution of this Lease, Tenant shall deliver to and deposit with Landlord a security deposit (“</w:t>
      </w:r>
      <w:r>
        <w:rPr>
          <w:rFonts w:ascii="Arial" w:cs="Arial" w:eastAsia="Arial" w:hAnsi="Arial"/>
          <w:sz w:val="18"/>
          <w:szCs w:val="18"/>
          <w:b w:val="1"/>
          <w:bCs w:val="1"/>
          <w:color w:val="auto"/>
        </w:rPr>
        <w:t>Security Deposit</w:t>
      </w:r>
      <w:r>
        <w:rPr>
          <w:rFonts w:ascii="Arial" w:cs="Arial" w:eastAsia="Arial" w:hAnsi="Arial"/>
          <w:sz w:val="18"/>
          <w:szCs w:val="18"/>
          <w:color w:val="auto"/>
        </w:rPr>
        <w:t>”) in the amount indicated below.</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Security Deposit: $5,800.00</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Landlord shall keep the Security Deposit throughout the Lease Term and for sixty days after (i) the Lease Expiration Date of the Lease Term or (ii) the earlier termination of the Lease Term, except that if such earlier termination is based on an Event of Default, Landlord shall retain (or use, as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88" w:name="page289"/>
    <w:bookmarkEnd w:id="28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the Security Deposit until sixty days after the date when the Lease Term would have expired had it not been earlier terminated. Landlord has no duty to keep segregated the Security Deposit and no duty to pay interest on it.</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Section 8.2 Use of Security Deposit Upon a Breach or Event of Default</w:t>
      </w:r>
      <w:r>
        <w:rPr>
          <w:rFonts w:ascii="Arial" w:cs="Arial" w:eastAsia="Arial" w:hAnsi="Arial"/>
          <w:sz w:val="16"/>
          <w:szCs w:val="16"/>
          <w:color w:val="auto"/>
        </w:rPr>
        <w:t xml:space="preserve"> If, and as soon as, there shall exist a Breach under this Lease beyond the applicable notice and cure periods, Landlord may draw upon the Security Deposit at any time and from time to time in such amount or amounts as may be necessary to cure the Breach or to reimburse Landlord for any sum(s) that Landlord may have spent to cure the Breach(es), and if Landlord has terminated this Lease for an Event of Default, then Landlord may also draw upon the Security Deposit in such amount (or all) as may be necessary to obtain any amounts from time to time owed to Landlord by Tenant after termination under Article 6.0 or otherwise. In the case of each such drawing (except a drawing occurring after termination or expiration of this Lease), Tenant shall, on demand, cause the Security Deposit to be reinstated to the full amount specified in Section 1.1. If no Breach exists and continuing beyond the applicable cure periods at the end of this Lease, then the Security Deposit, or any balance thereof, shall be returned to Tenant within thirty days after this Lease ends, but not otherwise. If a Breach exists at the end of this Lease, then Landlord shall have the right to draw upon the Security Deposit in the amount as Landlord determines to be necessary to cure such Breach or to compensate Landlord for the occurrence thereof, and the balance (if any) shall be returned to Tenant. If an Event of Default exists at the end of this Lease, then Landlord shall have the right to draw on all of the Security Deposit and hold it to be applied from time to time against Fixed Damages and Incurred Losses (as described in Section 6.2).</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ARTICLE 9.0 GENERAL MATTERS</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u w:val="single" w:color="auto"/>
          <w:color w:val="auto"/>
        </w:rPr>
        <w:t>Section 9.1 Broker</w:t>
      </w:r>
      <w:r>
        <w:rPr>
          <w:rFonts w:ascii="Arial" w:cs="Arial" w:eastAsia="Arial" w:hAnsi="Arial"/>
          <w:sz w:val="16"/>
          <w:szCs w:val="16"/>
          <w:color w:val="auto"/>
        </w:rPr>
        <w:t>. Tenant and Landlord warrant and represent to each other that they have not dealt with any broker, finder, or similar person other than the Broker, if any, named in Article 1.0, in connection with this transaction or in connection with this Lease. Tenant and Landlord will defend, indemnify, and hold each other harmless against all loss and costs incurred by the other party as a result of the failure of this warranty and representation.</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Section 9.2 Notices</w:t>
      </w:r>
      <w:r>
        <w:rPr>
          <w:rFonts w:ascii="Arial" w:cs="Arial" w:eastAsia="Arial" w:hAnsi="Arial"/>
          <w:sz w:val="18"/>
          <w:szCs w:val="18"/>
          <w:color w:val="auto"/>
        </w:rPr>
        <w:t>. Unless otherwise specified herein, any notice or demand to be given hereunder shall be in writing and signed by the party or the party’s attorney and shall be deemed to have been given</w:t>
      </w:r>
    </w:p>
    <w:p>
      <w:pPr>
        <w:spacing w:after="0" w:line="76" w:lineRule="exact"/>
        <w:rPr>
          <w:sz w:val="20"/>
          <w:szCs w:val="20"/>
          <w:color w:val="auto"/>
        </w:rPr>
      </w:pPr>
    </w:p>
    <w:p>
      <w:pPr>
        <w:ind w:left="1480" w:hanging="567"/>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when delivered, if delivered by hand;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two Business Days after the date mailed, if mailed by registered or certified mail, all charges prepaid; or</w:t>
      </w:r>
    </w:p>
    <w:p>
      <w:pPr>
        <w:spacing w:after="0" w:line="130" w:lineRule="exact"/>
        <w:rPr>
          <w:rFonts w:ascii="Arial" w:cs="Arial" w:eastAsia="Arial" w:hAnsi="Arial"/>
          <w:sz w:val="18"/>
          <w:szCs w:val="18"/>
          <w:color w:val="auto"/>
        </w:rPr>
      </w:pPr>
    </w:p>
    <w:p>
      <w:pPr>
        <w:ind w:left="1480" w:right="60" w:hanging="567"/>
        <w:spacing w:after="0" w:line="277" w:lineRule="auto"/>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when delivered or first tendered for delivery (whichever is earlier), if sent for delivery by a nationally recognized courier such as FedEx or UPS,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4" w:right="3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either event, addressed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 Landlord, at Landlord’s address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Harvard Real Estate – Allston,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Harvard Real Estate Services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Holyoke Center, Suite 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Cambridge, Massachusetts 02138-3826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Landlord’s attorney: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of the General Counsel</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Harvard University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Holyoke Center, Suite 980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Cambridge, Massachusetts 02138-3834</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or if to Tenant, at Tenant’s Mailing Address set forth in Article 1.0. By such notice, either party or such party’s attorney may specify a new address, which thereafter shall be used for subsequent notices. Any mailed notice by certified or registered mail shall be deemed mailed on the date of postmark of the mailing of the same.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Section 9.3 Condition of Premises, No Representations</w:t>
      </w:r>
      <w:r>
        <w:rPr>
          <w:rFonts w:ascii="Arial" w:cs="Arial" w:eastAsia="Arial" w:hAnsi="Arial"/>
          <w:sz w:val="17"/>
          <w:szCs w:val="17"/>
          <w:color w:val="auto"/>
        </w:rPr>
        <w:t>. EXCEPT AS SPECIFICALLY PROVIDED HEREIN, TENANT IS TAKING THE PREMISES “AS IS,” AND LANDLORD DISCLAIMS ANY WARRANTY OF SUITABILITY OF THE PREMISES FOR USE BY TENANT. Landlord makes no representation or warranty, express or implied, as to the condition of the Premises, the fitness of the Premises for any particular use, the exact floor area of the Premises (whether in rentable square feet, usable square feet, or some other measure), whether or not the Permitted Uses require any governmental permits or approvals or comply with Legal Requirements, or the likelihood or ability of Tenant to obtain any required permits or approvals.</w:t>
      </w:r>
    </w:p>
    <w:p>
      <w:pPr>
        <w:spacing w:after="0" w:line="1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u w:val="single" w:color="auto"/>
          <w:color w:val="auto"/>
        </w:rPr>
        <w:t>Section 9.4 Harvard Name</w:t>
      </w:r>
      <w:r>
        <w:rPr>
          <w:rFonts w:ascii="Arial" w:cs="Arial" w:eastAsia="Arial" w:hAnsi="Arial"/>
          <w:sz w:val="16"/>
          <w:szCs w:val="16"/>
          <w:color w:val="auto"/>
        </w:rPr>
        <w:t>. Unless Landlord gives its prior written consent in each instance, Tenant shall not (i) use the word “Harvard” (whether alone or in combination with other words, except that the combination “Harvard Square” is permitted), (ii) display or otherwise use the name, emblem, or logo (or any similar name, emblem, or logo) of any school, department, or other component, constituent, or affiliate of Landlord (collectively, “Harvard Name”),</w:t>
      </w:r>
    </w:p>
    <w:p>
      <w:pPr>
        <w:jc w:val="both"/>
        <w:ind w:right="160" w:firstLine="8"/>
        <w:spacing w:after="0" w:line="273" w:lineRule="auto"/>
        <w:tabs>
          <w:tab w:leader="none" w:pos="31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otherwise refer to Landlord or any school, department, or other component or affiliate of Landlord, whether in or on any sign, advertisement (including any newspaper, television, or radio advertisement), commercial announcement, circular, flier, or other publication, or (iv) stock in or sell from the Premises merchandise bearing the Harvard Name. Landlord will have the right to enforce the foregoing provision in judicial proceedings by a decree of specific performance and appropriate injunctive relief as may be applied for and granted in connection with such enforcement.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9.5 Casualty and Eminent Domain</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9.5.1 </w:t>
      </w:r>
      <w:r>
        <w:rPr>
          <w:rFonts w:ascii="Arial" w:cs="Arial" w:eastAsia="Arial" w:hAnsi="Arial"/>
          <w:sz w:val="18"/>
          <w:szCs w:val="18"/>
          <w:u w:val="single" w:color="auto"/>
          <w:color w:val="auto"/>
        </w:rPr>
        <w:t>Casualty, Partial Taking</w:t>
      </w:r>
      <w:r>
        <w:rPr>
          <w:rFonts w:ascii="Arial" w:cs="Arial" w:eastAsia="Arial" w:hAnsi="Arial"/>
          <w:sz w:val="18"/>
          <w:szCs w:val="18"/>
          <w:color w:val="auto"/>
        </w:rPr>
        <w:t xml:space="preserve"> During the Lease Term, if all or any portion of the Building, the Land, or the Premises are either (i) damaged by fire or other cause (“</w:t>
      </w:r>
      <w:r>
        <w:rPr>
          <w:rFonts w:ascii="Arial" w:cs="Arial" w:eastAsia="Arial" w:hAnsi="Arial"/>
          <w:sz w:val="18"/>
          <w:szCs w:val="18"/>
          <w:b w:val="1"/>
          <w:bCs w:val="1"/>
          <w:u w:val="single" w:color="auto"/>
          <w:color w:val="auto"/>
        </w:rPr>
        <w:t>Casualty Event</w:t>
      </w:r>
      <w:r>
        <w:rPr>
          <w:rFonts w:ascii="Arial" w:cs="Arial" w:eastAsia="Arial" w:hAnsi="Arial"/>
          <w:sz w:val="18"/>
          <w:szCs w:val="18"/>
          <w:color w:val="auto"/>
        </w:rPr>
        <w:t>”) or (ii) taken or condemned in any eminent domain, condemnation, compulsory acquisition, or like proceeding by any Governmental Authority or conveyed under the threat thereof, for any public or quasi public use or purpose (“</w:t>
      </w:r>
      <w:r>
        <w:rPr>
          <w:rFonts w:ascii="Arial" w:cs="Arial" w:eastAsia="Arial" w:hAnsi="Arial"/>
          <w:sz w:val="18"/>
          <w:szCs w:val="18"/>
          <w:b w:val="1"/>
          <w:bCs w:val="1"/>
          <w:u w:val="single" w:color="auto"/>
          <w:color w:val="auto"/>
        </w:rPr>
        <w:t>Taking</w:t>
      </w:r>
      <w:r>
        <w:rPr>
          <w:rFonts w:ascii="Arial" w:cs="Arial" w:eastAsia="Arial" w:hAnsi="Arial"/>
          <w:sz w:val="18"/>
          <w:szCs w:val="18"/>
          <w:color w:val="auto"/>
        </w:rPr>
        <w:t>”), then this Lease shall terminate sixty days after such Casualty Event or on the effective date of the Taking (“</w:t>
      </w:r>
      <w:r>
        <w:rPr>
          <w:rFonts w:ascii="Arial" w:cs="Arial" w:eastAsia="Arial" w:hAnsi="Arial"/>
          <w:sz w:val="18"/>
          <w:szCs w:val="18"/>
          <w:b w:val="1"/>
          <w:bCs w:val="1"/>
          <w:u w:val="single" w:color="auto"/>
          <w:color w:val="auto"/>
        </w:rPr>
        <w:t>Taking Event</w:t>
      </w:r>
      <w:r>
        <w:rPr>
          <w:rFonts w:ascii="Arial" w:cs="Arial" w:eastAsia="Arial" w:hAnsi="Arial"/>
          <w:sz w:val="18"/>
          <w:szCs w:val="18"/>
          <w:color w:val="auto"/>
        </w:rPr>
        <w:t>”), unless Landlord gives Tenant notice before such date that this Lease is not terminated because in Landlord’s reasonable opinion,</w:t>
      </w:r>
    </w:p>
    <w:p>
      <w:pPr>
        <w:spacing w:after="0" w:line="94" w:lineRule="exact"/>
        <w:rPr>
          <w:sz w:val="20"/>
          <w:szCs w:val="20"/>
          <w:color w:val="auto"/>
        </w:rPr>
      </w:pPr>
    </w:p>
    <w:p>
      <w:pPr>
        <w:ind w:left="900" w:right="140" w:hanging="446"/>
        <w:spacing w:after="0" w:line="302"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case of a Casualty Event, less than twenty-five percent of the Premises and less than twenty-five percent of the Land and the Building are damaged by the Casualty Event, and the Building has not been damaged by fire or other cause to the extent that substantial alteration or reconstruction of the Building shall be required (whether or not the Premises shall have been damaged); and the access to, and occupancy of the Premises has not been affected such that Tenant may resume its operations at the Premises without material interference or interruption, or</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case of a Taking, the Taking does not prevent convenient access to and use of the Premises and the Building.</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Whether or not Landlord elects to terminate this Lease, Landlord shall be entitled to receive directly from the insurer (or the Taking authority) all insurance proceeds (or Taking proceeds) resulting from or related to the Casualty Event (or the Taking), except for those expressly allocated to Tenant by the Taking authority. In the event the Lease is not terminated as set forth above, the Rent shall be proportionately abated with respect to that portion of the Premises so taken.</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9.5.2 </w:t>
      </w:r>
      <w:r>
        <w:rPr>
          <w:rFonts w:ascii="Arial" w:cs="Arial" w:eastAsia="Arial" w:hAnsi="Arial"/>
          <w:sz w:val="18"/>
          <w:szCs w:val="18"/>
          <w:u w:val="single" w:color="auto"/>
          <w:color w:val="auto"/>
        </w:rPr>
        <w:t>Total Taking</w:t>
      </w:r>
      <w:r>
        <w:rPr>
          <w:rFonts w:ascii="Arial" w:cs="Arial" w:eastAsia="Arial" w:hAnsi="Arial"/>
          <w:sz w:val="18"/>
          <w:szCs w:val="18"/>
          <w:color w:val="auto"/>
        </w:rPr>
        <w:t>. If the entire Premises are ever the subject of a Taking, this Lease shall terminate and the effective date of termination shall be the earlier to occur of (i) the date when physical possession of the Premises is taken by the Taking authority or (ii) the date that in Landlord’s opinion, Tenant’s use and occupancy of the Premises is legally prohibited by final action of the Taking authority.</w:t>
      </w:r>
    </w:p>
    <w:p>
      <w:pPr>
        <w:spacing w:after="0" w:line="18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9.5.3 </w:t>
      </w:r>
      <w:r>
        <w:rPr>
          <w:rFonts w:ascii="Arial" w:cs="Arial" w:eastAsia="Arial" w:hAnsi="Arial"/>
          <w:sz w:val="16"/>
          <w:szCs w:val="16"/>
          <w:u w:val="single" w:color="auto"/>
          <w:color w:val="auto"/>
        </w:rPr>
        <w:t>Restoration, Tenant’s Right to Terminate</w:t>
      </w:r>
      <w:r>
        <w:rPr>
          <w:rFonts w:ascii="Arial" w:cs="Arial" w:eastAsia="Arial" w:hAnsi="Arial"/>
          <w:sz w:val="16"/>
          <w:szCs w:val="16"/>
          <w:color w:val="auto"/>
        </w:rPr>
        <w:t>. If this Lease is not terminated under Section 9.5.1 or Section 9.5.2, Landlord shall use due diligence to restore the Premises using the proceeds of insurance covering the Premises (or, in case of partial Taking, what may remain of the Premises using compensation awarded to Landlord by the Taking authority), excluding Tenant FETI, to proper condition for use and occupation; provided, however, that if Landlord has not restored the Premises within nine (9) months from the Casualty Event or Taking Event, Tenant shall have the right to terminate this Lease by notice given to Landlord after the expiration of such nine (9) month period, which termination shall be effective thirty days after Tenant gives its notice of termination unless Landlord substantially completes the work before the end of such thirty-day period, in which case Tenant’s notice of termination shall be void. From and after the Casualty Event or Taking Event, and during such restoration, a just proportion of the Rent as determined by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91" w:name="page292"/>
    <w:bookmarkEnd w:id="29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(considering the nature and extent of the damage or Taking), shall be abated. In the event of a Taking, if less than all of the Premises are restored, a just proportion of the Rent, similarly determined by Landlord, shall be abated for the remainder of the Lease Term. Landlord shall not be liable for any inconvenience or annoyance to Tenant or effects on the business of Tenant resulting in any way from such Casualty Event or Taking or the repair or restoration thereof. Landlord’s duties hereunder to restore shall be subject to (i) Landlord’s ability to obtain Authorizations, (ii) Landlord’s ability to obtain materials or to install the same, and (iii) strikes, labor difficulties, shortages of labor, or any cause beyond Landlord’s reasonable control. Landlord will not be required to spend an amount to restore the portion of the Premises affected by the casualty or Taking in excess of the amount (after deducting the costs of collection (including reasonable attorney’s fees)) of the insurance proceeds and Taking proceeds received by Landlord and allocable thereto, and if, within thirty days after Landlord receives the proceeds, Landlord determines that such proceeds will be insufficient, Landlord may terminate this Lease by giving thirty days notice of such termination to Tenant.</w:t>
      </w:r>
    </w:p>
    <w:p>
      <w:pPr>
        <w:spacing w:after="0" w:line="182"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9.5.4 </w:t>
      </w:r>
      <w:r>
        <w:rPr>
          <w:rFonts w:ascii="Arial" w:cs="Arial" w:eastAsia="Arial" w:hAnsi="Arial"/>
          <w:sz w:val="18"/>
          <w:szCs w:val="18"/>
          <w:u w:val="single" w:color="auto"/>
          <w:color w:val="auto"/>
        </w:rPr>
        <w:t>Landlord’s Right to Damages</w:t>
      </w:r>
      <w:r>
        <w:rPr>
          <w:rFonts w:ascii="Arial" w:cs="Arial" w:eastAsia="Arial" w:hAnsi="Arial"/>
          <w:sz w:val="18"/>
          <w:szCs w:val="18"/>
          <w:color w:val="auto"/>
        </w:rPr>
        <w:t>. Landlord reserves, and Tenant hereby releases and grants to Landlord, all rights to damages arising from any Taking except for damages expressly allocated by the Taking authority to Tenant. Tenant reserves its right to seek a separate award from the Taking authority for Tenant’s loss and relocation expenses, if there should be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9.6 Indemnification</w:t>
      </w:r>
      <w:r>
        <w:rPr>
          <w:rFonts w:ascii="Arial" w:cs="Arial" w:eastAsia="Arial" w:hAnsi="Arial"/>
          <w:sz w:val="18"/>
          <w:szCs w:val="18"/>
          <w:color w:val="auto"/>
        </w:rPr>
        <w:t>.</w:t>
      </w:r>
    </w:p>
    <w:p>
      <w:pPr>
        <w:spacing w:after="0" w:line="225" w:lineRule="exact"/>
        <w:rPr>
          <w:sz w:val="20"/>
          <w:szCs w:val="20"/>
          <w:color w:val="auto"/>
        </w:rPr>
      </w:pPr>
    </w:p>
    <w:p>
      <w:pPr>
        <w:jc w:val="both"/>
        <w:ind w:right="80" w:firstLine="1492"/>
        <w:spacing w:after="0" w:line="264" w:lineRule="auto"/>
        <w:tabs>
          <w:tab w:leader="none" w:pos="17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the fullest extent permitted by law, Tenant shall defend (at its own cost and with counsel reasonably approved by Landlord), save harmless, and indemnify Landlord (its members, mortgagees, ground lessors, agents, officers, directors, members, employees, and members of its governing boards:</w:t>
      </w:r>
    </w:p>
    <w:p>
      <w:pPr>
        <w:spacing w:after="0" w:line="181" w:lineRule="exact"/>
        <w:rPr>
          <w:rFonts w:ascii="Arial" w:cs="Arial" w:eastAsia="Arial" w:hAnsi="Arial"/>
          <w:sz w:val="18"/>
          <w:szCs w:val="18"/>
          <w:color w:val="auto"/>
        </w:rPr>
      </w:pPr>
    </w:p>
    <w:p>
      <w:pPr>
        <w:ind w:left="2160" w:hanging="212"/>
        <w:spacing w:after="0"/>
        <w:tabs>
          <w:tab w:leader="none" w:pos="21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from and against all liability and claims of whatever nature</w:t>
      </w:r>
    </w:p>
    <w:p>
      <w:pPr>
        <w:spacing w:after="0" w:line="117" w:lineRule="exact"/>
        <w:rPr>
          <w:rFonts w:ascii="Arial" w:cs="Arial" w:eastAsia="Arial" w:hAnsi="Arial"/>
          <w:sz w:val="18"/>
          <w:szCs w:val="18"/>
          <w:color w:val="auto"/>
        </w:rPr>
      </w:pPr>
    </w:p>
    <w:p>
      <w:pPr>
        <w:ind w:left="2400" w:right="420" w:firstLine="4"/>
        <w:spacing w:after="0" w:line="342" w:lineRule="auto"/>
        <w:tabs>
          <w:tab w:leader="none" w:pos="2655" w:val="left"/>
        </w:tabs>
        <w:numPr>
          <w:ilvl w:val="2"/>
          <w:numId w:val="186"/>
        </w:numPr>
        <w:rPr>
          <w:rFonts w:ascii="Arial" w:cs="Arial" w:eastAsia="Arial" w:hAnsi="Arial"/>
          <w:sz w:val="16"/>
          <w:szCs w:val="16"/>
          <w:color w:val="auto"/>
        </w:rPr>
      </w:pPr>
      <w:r>
        <w:rPr>
          <w:rFonts w:ascii="Arial" w:cs="Arial" w:eastAsia="Arial" w:hAnsi="Arial"/>
          <w:sz w:val="16"/>
          <w:szCs w:val="16"/>
          <w:color w:val="auto"/>
        </w:rPr>
        <w:t>arising from or related to the omission, fault, act, negligence, misconduct, or default (whether under this Lease or otherwise) of Tenant or of any subtenant, concessionaire, employee, agent, contractor, licensee, or visitor of Tenant; or</w:t>
      </w:r>
    </w:p>
    <w:p>
      <w:pPr>
        <w:spacing w:after="0" w:line="15" w:lineRule="exact"/>
        <w:rPr>
          <w:rFonts w:ascii="Arial" w:cs="Arial" w:eastAsia="Arial" w:hAnsi="Arial"/>
          <w:sz w:val="16"/>
          <w:szCs w:val="16"/>
          <w:color w:val="auto"/>
        </w:rPr>
      </w:pPr>
    </w:p>
    <w:p>
      <w:pPr>
        <w:ind w:left="2400" w:right="340" w:firstLine="4"/>
        <w:spacing w:after="0" w:line="264" w:lineRule="auto"/>
        <w:tabs>
          <w:tab w:leader="none" w:pos="2655"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arising from any accident, injury, or damage whatsoever resulting to any person or property while on or about the Premises (except to the extent arising from any omission, fault, negligence, or other misconduct of Landlord, its agents, officers, directors, members, employees or contractors); or</w:t>
      </w:r>
    </w:p>
    <w:p>
      <w:pPr>
        <w:spacing w:after="0" w:line="73" w:lineRule="exact"/>
        <w:rPr>
          <w:rFonts w:ascii="Arial" w:cs="Arial" w:eastAsia="Arial" w:hAnsi="Arial"/>
          <w:sz w:val="18"/>
          <w:szCs w:val="18"/>
          <w:color w:val="auto"/>
        </w:rPr>
      </w:pPr>
    </w:p>
    <w:p>
      <w:pPr>
        <w:ind w:left="2400" w:firstLine="4"/>
        <w:spacing w:after="0" w:line="264" w:lineRule="auto"/>
        <w:tabs>
          <w:tab w:leader="none" w:pos="2655"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arising from any violation by Tenant or any subtenant, concessionaire, employee, agent, contractor, licensee, or visitor of Tenant, of Legal Requirements including any law, regulation, or ordinance concerning trash, hazardous materials, or other pollutant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292" w:name="page293"/>
    <w:bookmarkEnd w:id="292"/>
    <w:p>
      <w:pPr>
        <w:ind w:left="240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occurring on or after the date that possession of the Premises is delivered to Tenant, or arising from any accident, injury or damage occurring outside of the Premises but in the Building or on the Land, where such accident, damage, or injury results or is claimed to have resulted from an act or omission on the part of Tenant or Tenant’s employees, agents, contractors, licensees, or visitors, and</w:t>
      </w:r>
    </w:p>
    <w:p>
      <w:pPr>
        <w:spacing w:after="0" w:line="187" w:lineRule="exact"/>
        <w:rPr>
          <w:sz w:val="20"/>
          <w:szCs w:val="20"/>
          <w:color w:val="auto"/>
        </w:rPr>
      </w:pPr>
    </w:p>
    <w:p>
      <w:pPr>
        <w:ind w:left="2220" w:hanging="272"/>
        <w:spacing w:after="0"/>
        <w:tabs>
          <w:tab w:leader="none" w:pos="2220" w:val="left"/>
        </w:tabs>
        <w:numPr>
          <w:ilvl w:val="2"/>
          <w:numId w:val="187"/>
        </w:numPr>
        <w:rPr>
          <w:rFonts w:ascii="Arial" w:cs="Arial" w:eastAsia="Arial" w:hAnsi="Arial"/>
          <w:sz w:val="17"/>
          <w:szCs w:val="17"/>
          <w:color w:val="auto"/>
        </w:rPr>
      </w:pPr>
      <w:r>
        <w:rPr>
          <w:rFonts w:ascii="Arial" w:cs="Arial" w:eastAsia="Arial" w:hAnsi="Arial"/>
          <w:sz w:val="17"/>
          <w:szCs w:val="17"/>
          <w:color w:val="auto"/>
        </w:rPr>
        <w:t>from and against any liability, actions, proceedings, and judgments arising in connection with the matters described in</w:t>
      </w:r>
    </w:p>
    <w:p>
      <w:pPr>
        <w:spacing w:after="0" w:line="34" w:lineRule="exact"/>
        <w:rPr>
          <w:rFonts w:ascii="Arial" w:cs="Arial" w:eastAsia="Arial" w:hAnsi="Arial"/>
          <w:sz w:val="17"/>
          <w:szCs w:val="17"/>
          <w:color w:val="auto"/>
        </w:rPr>
      </w:pPr>
    </w:p>
    <w:p>
      <w:pPr>
        <w:jc w:val="both"/>
        <w:ind w:right="140" w:firstLine="8"/>
        <w:spacing w:after="0" w:line="281" w:lineRule="auto"/>
        <w:tabs>
          <w:tab w:leader="none" w:pos="21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above, including costs (including reasonable attorney’s fees) related thereto, and including any claim of an employee of Tenant (including the subrogated claim) who is covered (or who should have been covered) in whole or in part by worker’s compensation, arising in connection with the matters described in</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right="580" w:firstLine="1492"/>
        <w:spacing w:after="0" w:line="277" w:lineRule="auto"/>
        <w:tabs>
          <w:tab w:leader="none" w:pos="173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covenants and agreements set forth in this Section 9.6 shall continue in full force and effect for the longest period of time permitted by law, notwithstanding the expiration or termination of this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9.7 Insurance</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9.7.1 </w:t>
      </w:r>
      <w:r>
        <w:rPr>
          <w:rFonts w:ascii="Arial" w:cs="Arial" w:eastAsia="Arial" w:hAnsi="Arial"/>
          <w:sz w:val="17"/>
          <w:szCs w:val="17"/>
          <w:u w:val="single" w:color="auto"/>
          <w:color w:val="auto"/>
        </w:rPr>
        <w:t>Types</w:t>
      </w:r>
      <w:r>
        <w:rPr>
          <w:rFonts w:ascii="Arial" w:cs="Arial" w:eastAsia="Arial" w:hAnsi="Arial"/>
          <w:sz w:val="17"/>
          <w:szCs w:val="17"/>
          <w:color w:val="auto"/>
        </w:rPr>
        <w:t>. Tenant shall maintain at all times during the Lease Term, with respect to the Premises and Tenant’s property therein, a fully-paid commercial general liability insurance policy written on an occurrence basis, with a so-called “broadening endorsement” (or in the so-called “broad form”) insuring contractual liability, bodily injury (including death), personal injury, products liability (and, if applicable, garage keepers liability, inn keepers liability, liquor liability, fire legal liability, and, if there is an elevator in the Building, elevator liability), with an endorsement deleting the “care, custody, and control” exclusion and with a combined single limit equal to the Minimum Liability Insurance Coverage (with an annual aggregate limit greater than three times the Minimum Liability Insurance Coverage) with respect to bodily injury, personal injury, and property damage.</w:t>
      </w:r>
    </w:p>
    <w:p>
      <w:pPr>
        <w:spacing w:after="0" w:line="178" w:lineRule="exact"/>
        <w:rPr>
          <w:sz w:val="20"/>
          <w:szCs w:val="20"/>
          <w:color w:val="auto"/>
        </w:rPr>
      </w:pPr>
    </w:p>
    <w:p>
      <w:pPr>
        <w:ind w:right="580" w:firstLine="1484"/>
        <w:spacing w:after="0" w:line="308" w:lineRule="auto"/>
        <w:rPr>
          <w:sz w:val="20"/>
          <w:szCs w:val="20"/>
          <w:color w:val="auto"/>
        </w:rPr>
      </w:pPr>
      <w:r>
        <w:rPr>
          <w:rFonts w:ascii="Arial" w:cs="Arial" w:eastAsia="Arial" w:hAnsi="Arial"/>
          <w:sz w:val="17"/>
          <w:szCs w:val="17"/>
          <w:color w:val="auto"/>
        </w:rPr>
        <w:t xml:space="preserve">9.7.1.1 </w:t>
      </w:r>
      <w:r>
        <w:rPr>
          <w:rFonts w:ascii="Arial" w:cs="Arial" w:eastAsia="Arial" w:hAnsi="Arial"/>
          <w:sz w:val="17"/>
          <w:szCs w:val="17"/>
          <w:u w:val="single" w:color="auto"/>
          <w:color w:val="auto"/>
        </w:rPr>
        <w:t>Multiple Locations</w:t>
      </w:r>
      <w:r>
        <w:rPr>
          <w:rFonts w:ascii="Arial" w:cs="Arial" w:eastAsia="Arial" w:hAnsi="Arial"/>
          <w:sz w:val="17"/>
          <w:szCs w:val="17"/>
          <w:color w:val="auto"/>
        </w:rPr>
        <w:t>. If Tenant conducts business at locations other than the Premises, the insurance policy shall contain an endorsement that the aggregate limit in the policy shall apply to the Premises without regard to Tenant’s other locations.</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9.7.2 </w:t>
      </w:r>
      <w:r>
        <w:rPr>
          <w:rFonts w:ascii="Arial" w:cs="Arial" w:eastAsia="Arial" w:hAnsi="Arial"/>
          <w:sz w:val="18"/>
          <w:szCs w:val="18"/>
          <w:u w:val="single" w:color="auto"/>
          <w:color w:val="auto"/>
        </w:rPr>
        <w:t>General Description</w:t>
      </w:r>
      <w:r>
        <w:rPr>
          <w:rFonts w:ascii="Arial" w:cs="Arial" w:eastAsia="Arial" w:hAnsi="Arial"/>
          <w:sz w:val="18"/>
          <w:szCs w:val="18"/>
          <w:color w:val="auto"/>
        </w:rPr>
        <w:t>. Each such policy (and any so-called “umbrella policy” carried by Tenant) shall name Landlord (and at Landlord’s request, Landlord’s third-party managing agent, mortgagee, and ground lessor, as their respective interests may appear) as an additional insured(s) and shall be issued by companies licensed to offer insurance in Massachusetts having current A.M. Best and Company ratings of A or better and financial size rating of class IX or higher, have deductibles satisfactory to Landlord, and be otherwise reasonably satisfactory to Landlord, and with respect to Landlord shall be non-cancelable and not subject to modification without thirty days’ prior notice to Landlord by registered or certified mail return receipt requested at the same address as herein provided for notices from Tenant to Landlord. Notwithstanding the foregoing, Landlord hereby acknowledges that as of the date hereof, Federal Insurance Company and Affiliated Fire and</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93" w:name="page294"/>
    <w:bookmarkEnd w:id="29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Marine Insurance Company meet the above requirements. All insurance policies carried by Tenant covering the Premises shall include an endorsement expressly waiving any right on the part of the insurer against Landlord by subrogation or otherwise. Tenant shall deliver to Landlord, before the Lease Commencement Date and before the commencement of each Lease Year but in any event at least thirty days before the expiration date of any existing policy (and before each renewal thereof), a certificate of insurance for each policy describing the insurance that will be in effect for such Lease Year, and if Tenant fails to do so, Landlord, without thereby waiving or limiting any other right or remedy that Landlord may have, shall have the right but not the duty to obtain insurance for Tenant and the cost of obtaining such insurance and the premiums therefor shall be deemed Additional Rent. The minimum limits of such insurance policies shall be increased as Landlord may reasonably request from time to time. Upon Landlord’s request, Tenant shall require Tenant’s insurance company to explain to Landlord in writing the nature and extent of the coverage and the exclusions, if any, provided by such policy or policies.</w:t>
      </w:r>
    </w:p>
    <w:p>
      <w:pPr>
        <w:spacing w:after="0" w:line="166"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9.7.3 </w:t>
      </w:r>
      <w:r>
        <w:rPr>
          <w:rFonts w:ascii="Arial" w:cs="Arial" w:eastAsia="Arial" w:hAnsi="Arial"/>
          <w:sz w:val="17"/>
          <w:szCs w:val="17"/>
          <w:u w:val="single" w:color="auto"/>
          <w:color w:val="auto"/>
        </w:rPr>
        <w:t>Failure to Obtain Insurance; Non-liability</w:t>
      </w:r>
      <w:r>
        <w:rPr>
          <w:rFonts w:ascii="Arial" w:cs="Arial" w:eastAsia="Arial" w:hAnsi="Arial"/>
          <w:sz w:val="17"/>
          <w:szCs w:val="17"/>
          <w:color w:val="auto"/>
        </w:rPr>
        <w:t>. Landlord shall not be liable to Tenant for any claims that would have been covered if Tenant obtained the insurance required under this Lease, regardless of whether such claim or damage is caused wholly or partially by Landlord or its agents, employees, tenants, subtenants, licensees, or assignees. Except to the extent arising from any omission, fault, negligence, or other misconduct of Landlord or its agents, employees, tenants or contractors, neither Landlord nor any of its affiliated or subsidiary corporations, nor their respective agents, officers, members of governing boards, or employees shall be liable to Tenant or Tenant’s agents, officers, directors, shareholders, partners, members, managers, principals, invitees, contractors, licensees, trespassers, or persons occupying or using the Premises, or persons claiming by or through any of same, for injury, loss, or damage to person or property (including Tenant’s tenant improvements, betterments, fixtures, equipment, appliances, personal property, and the like), resulting from any accident or occurrence in or upon the Premises, the Land, or the Building, including those resulting from: (1) any equipment or appurtenances becoming out of repair; (2) injury done or occasioned by wind; (3) any defect in or failure of plumbing, heating, or air conditioning equipment, electric wiring or insulation thereof, gas, water, and steam pipes, stairs, railings, or walks; (4) broken glass; (5) any interruption of utility service(s); (6) the bursting, stopping, backing up, leaking, or running of any water, gas, sprinkler, steam, or sewer pipe, in, upon, or about the Building or the Premises; (7) the escape of steam or hot water; (8) water, snow, or ice being upon or coming through the roof, skylight, trapdoor, stairs, doorways, show windows, walks, or any other place upon or near the Building or the Premises or otherwise; (9) the falling of any fixture, plaster, tile, or stucco; and (10) any act, omission, or negligence of co-tenants, licensees, or of any other persons or occupants of the Building or of adjacent or contiguous buildings or of owners, lessees, or occupants of adjacent or contiguous property, or of persons on or about the Premises; and Tenant hereby releases Landlord from such liability. None of the above items (1) through (10) are duties of Landlord. If any property of Tenant is entrusted to Landlord or Landlord’s agent, such person shall be deemed to be acting as Tenant’s agent.</w:t>
      </w:r>
    </w:p>
    <w:p>
      <w:pPr>
        <w:spacing w:after="0" w:line="193"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 xml:space="preserve">9.7.4 </w:t>
      </w:r>
      <w:r>
        <w:rPr>
          <w:rFonts w:ascii="Arial" w:cs="Arial" w:eastAsia="Arial" w:hAnsi="Arial"/>
          <w:sz w:val="17"/>
          <w:szCs w:val="17"/>
          <w:u w:val="single" w:color="auto"/>
          <w:color w:val="auto"/>
        </w:rPr>
        <w:t>Additional Policy Requirements</w:t>
      </w:r>
      <w:r>
        <w:rPr>
          <w:rFonts w:ascii="Arial" w:cs="Arial" w:eastAsia="Arial" w:hAnsi="Arial"/>
          <w:sz w:val="17"/>
          <w:szCs w:val="17"/>
          <w:color w:val="auto"/>
        </w:rPr>
        <w:t>. All insurance policies procured by Tenant under this Section 9.7 shall contain an endorsement that each landlord, superior owner, and superior mortgagee, although named as an additional insured, nevertheless shall be entitled to recover under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294" w:name="page295"/>
    <w:bookmarkEnd w:id="294"/>
    <w:p>
      <w:pPr>
        <w:ind w:right="3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said policies for any loss or damage to it occasioned by its agents, employees, contractors, directors, shareholders, partners, members, managers and principals (disclosed and undisclosed) by reason of the negligence of Landlord or Tenant, or their respective servants, agents, employees and contractors.</w:t>
      </w:r>
    </w:p>
    <w:p>
      <w:pPr>
        <w:spacing w:after="0" w:line="12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9.7.5 </w:t>
      </w:r>
      <w:r>
        <w:rPr>
          <w:rFonts w:ascii="Arial" w:cs="Arial" w:eastAsia="Arial" w:hAnsi="Arial"/>
          <w:sz w:val="17"/>
          <w:szCs w:val="17"/>
          <w:u w:val="single" w:color="auto"/>
          <w:color w:val="auto"/>
        </w:rPr>
        <w:t>Landlord’s Insurance</w:t>
      </w:r>
      <w:r>
        <w:rPr>
          <w:rFonts w:ascii="Arial" w:cs="Arial" w:eastAsia="Arial" w:hAnsi="Arial"/>
          <w:sz w:val="17"/>
          <w:szCs w:val="17"/>
          <w:color w:val="auto"/>
        </w:rPr>
        <w:t>. Landlord agrees to maintain in full force and effect throughout the Lease Term (a) commercial general liability coverage with respect to the Land and the Building, and the conduct and operation of its business therein, with combined base and umbrella coverage limits of not less than One Million Dollars ($1,000,000.00) for bodily injury or death and property damage in any one occurrence and not less than Two Million Dollars ($2,000,000.00) in the aggregate; and (b) commercial property insurance with a special form endorsement providing coverage on a full replacement cost basis with respect to Structural Components, but excluding Tenant FETI, Tenant’s Work and any alterations made by Tenant. Landlord will not carry any insurance whatsoever on Tenant FETI, or Tenant’s Work and shall not be obligated to repair any damage thereto or to replace the same. Landlord shall have the right to provide any insurance required to be maintained hereunder by it under blanket policies or under a commercially reasonable program of self-insurance. All insurance policies carried by Landlord covering the Building shall include an endorsement expressly waiving any right on the part of the insurer against Tenant by subrogation or otherwise; provided, however, in the event any such damage to the Building covered by such policies of insurance carried by Landlord is due to the negligence, recklessness or willful misconduct of Tenant, Tenant shall pay to Landlord, as Additional Rent, the amount of any reasonable deductible payable by Landlord under such policy.</w:t>
      </w:r>
    </w:p>
    <w:p>
      <w:pPr>
        <w:spacing w:after="0" w:line="183"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 xml:space="preserve">9.7.6 </w:t>
      </w:r>
      <w:r>
        <w:rPr>
          <w:rFonts w:ascii="Arial" w:cs="Arial" w:eastAsia="Arial" w:hAnsi="Arial"/>
          <w:sz w:val="17"/>
          <w:szCs w:val="17"/>
          <w:u w:val="single" w:color="auto"/>
          <w:color w:val="auto"/>
        </w:rPr>
        <w:t>Personalty</w:t>
      </w:r>
      <w:r>
        <w:rPr>
          <w:rFonts w:ascii="Arial" w:cs="Arial" w:eastAsia="Arial" w:hAnsi="Arial"/>
          <w:sz w:val="17"/>
          <w:szCs w:val="17"/>
          <w:color w:val="auto"/>
        </w:rPr>
        <w:t>. Tenant is solely responsible to obtain insurance insuring Tenant’s personal property, and failure to do so or failure of such insurance policy to cover the claim shall be deemed a waiver of any claim against Landlord, superior owner, or mortgagee, for any damage or loss to such Tenant’s property, except to the extent arising from any omission, fault, negligence, or other misconduct of Landlord.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9.8 Interruption in Services and Utilities, Selection of Power Providers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9.8.1. To the extent not expressly prohibited by law, Landlord shall not be liable to Tenant or Tenant’s employees, contractors, agents, invitees or customers, for any injury to person or damage to property sustained by Tenant or any such party or any other person claiming through Tenant resulting from any accident or occurrence in the Premises or any other portion of the Building caused by the Premises or any other portion of the Building becoming out of repair or by defect in or failure of equipment, pipes, or wiring, or by broken glass, or by the backing up of drains, or by gas, water, steam, electricity, or oil leaking, escaping or flowing into the Premises (except where due to Landlord’s grossly negligent or willful failure to make repairs required to be made pursuant to other provisions of this Lease, after the expiration of a reasonable time after written notice to Landlord of the need for such repairs), nor shall Landlord be liable to Tenant for any loss or damage that may be occasioned by or through the acts or omissions of other tenants of the Building or of any other persons whomsoever, including, but not limited to riot, strike, insurrection, war, court order, requisition, order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95" w:name="page296"/>
    <w:bookmarkEnd w:id="29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governmental body or authority, acts of God, fire or theft. Notwithstanding the foregoing or any other provision of this Lease to the contrary, if the Premises or any material portion thereof shall become untenantable by reason of (i) an interruption in utility service to the Premises resulting from the willful or negligent act or omission of Landlord, its agents, contractors or employees; (ii) the failure of Landlord to provide any service to the Premises required to be provided by Landlord under this Lease (other than failures to provide utility services to the Building by the respective service providers); or (iii) the performance of any work in the Premises or the Building, except to the extent the necessity for same results from the negligence of Tenant, its agents, contractors, or employees or the failure of Tenant to perform its obligations under this Lease, which untenantability, in any such case, continues for more than five (5) consecutive Business Days after Tenant notifies Landlord in writing thereof, then, as Tenant’s sole remedy therefor, Basic Rent shall equitably abate in proportion to the portion of the Premises that is untenantable from the date of such notice to Landlord until Landlord corrects the condition causing such untenantability. Tenant shall have the right to terminate this Lease if (a) any such interruption in the utilities or services continues for thirty (30) consecutive days and (b) the interruption was the result of the gross negligence or willful misconduct of Landlord or its agents, contractors or employees.</w:t>
      </w:r>
    </w:p>
    <w:p>
      <w:pPr>
        <w:spacing w:after="0" w:line="169"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9.8.2 Landlord has no duty to allow any particular telecommunication service provider to have access to the Building or to the Premises, and if Landlord, in its reasonable discretion permits such access, Landlord may condition such access upon the payment to Landlord by the service provider of one-time or recurring fees assessed by Landlord in such amounts as Landlord may reasonably determine, and, in addition, the service provider shall reimburse Landlord for any costs incurred by Landlord in connection with allowing such access.</w:t>
      </w:r>
    </w:p>
    <w:p>
      <w:pPr>
        <w:spacing w:after="0" w:line="18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u w:val="single" w:color="auto"/>
          <w:color w:val="auto"/>
        </w:rPr>
        <w:t>Section 9.9 No Jury Trial</w:t>
      </w:r>
      <w:r>
        <w:rPr>
          <w:rFonts w:ascii="Arial" w:cs="Arial" w:eastAsia="Arial" w:hAnsi="Arial"/>
          <w:sz w:val="16"/>
          <w:szCs w:val="16"/>
          <w:color w:val="auto"/>
        </w:rPr>
        <w:t>. To the extent permitted by law, the parties hereto waive a trial by jury on any or all issues arising in any action or proceeding between them or their successors under or connected with this Lease or any of its provisions, any negotiations in connection therewith.</w:t>
      </w:r>
    </w:p>
    <w:p>
      <w:pPr>
        <w:spacing w:after="0" w:line="12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u w:val="single" w:color="auto"/>
          <w:color w:val="auto"/>
        </w:rPr>
        <w:t>Section 9.10 Sale of Premises</w:t>
      </w:r>
      <w:r>
        <w:rPr>
          <w:rFonts w:ascii="Arial" w:cs="Arial" w:eastAsia="Arial" w:hAnsi="Arial"/>
          <w:sz w:val="18"/>
          <w:szCs w:val="18"/>
          <w:color w:val="auto"/>
        </w:rPr>
        <w:t xml:space="preserve"> Landlord shall have the right to transfer and assign, in whole or in part, all of its rights and obligations hereunder and in the Building and Land, and in such event and upon such transfer Landlord shall be released from any further obligations hereunder, and Tenant agrees to look solely to such successor in interest of Landlord for the performance of such obligations.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u w:val="single" w:color="auto"/>
          <w:color w:val="auto"/>
        </w:rPr>
        <w:t>Section 9.11 Effect of Unavoidable Delays; Force Majeure</w:t>
      </w:r>
      <w:r>
        <w:rPr>
          <w:rFonts w:ascii="Arial" w:cs="Arial" w:eastAsia="Arial" w:hAnsi="Arial"/>
          <w:sz w:val="16"/>
          <w:szCs w:val="16"/>
          <w:color w:val="auto"/>
        </w:rPr>
        <w:t xml:space="preserve"> If either party to this Lease, as the result of any (i) strikes, lockouts, or labor disputes; (ii) inability to obtain labor or materials, or reasonable substitutes therefor; (iii) acts of God, governmental action, condemnation, civil commotion, fire, or other casualty,</w:t>
      </w:r>
    </w:p>
    <w:p>
      <w:pPr>
        <w:ind w:firstLine="8"/>
        <w:spacing w:after="0" w:line="253" w:lineRule="auto"/>
        <w:tabs>
          <w:tab w:leader="none" w:pos="30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trouble in obtaining fuel, electricity, water, sewer, or telecommunication services or supplies from sources from which they are usually obtained for the Building; (v) acts of terrorism, or (vi) other conditions similar to those enumerated in this Section beyond the reasonable control of the party who has the duty to perform (collectively,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xml:space="preserve">”), fails to perform punctually any duty on its part to be performed under this Lease, then such delay shall be excused and not be a breach of this Lease by the party in question, but only to the extent occasioned by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party experiencing such Force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96" w:name="page297"/>
    <w:bookmarkEnd w:id="296"/>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Majeure event or condition (a) notifies the other party promptly after becoming aware of such event or condition (including in such notice an estimate of the duration of such delay), and (b) continues to make diligent efforts to minimize the delay in performance caused by such Force Majeure event or condition. If any right or option of either party to take any action under or with respect to this Lease is conditioned upon the same being exercised within any prescribed period of time or at or before a named date then such prescribed period of time and such named date shall be deemed to be extended or delayed, as the case may be, for a period equal to the period of the delay occasioned by any event described above. The provisions of this Section shall not be applicable to Tenant’s duty to pay Rent, or Tenant’s duties to pay any other sums, monies, costs, charges, or expenses required to be paid by Tenant under this Lease.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9.12 Intentionally Omitted</w:t>
      </w: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Section 9.13 Assignment or Subletting</w:t>
      </w:r>
      <w:r>
        <w:rPr>
          <w:rFonts w:ascii="Arial" w:cs="Arial" w:eastAsia="Arial" w:hAnsi="Arial"/>
          <w:sz w:val="16"/>
          <w:szCs w:val="16"/>
          <w:color w:val="auto"/>
        </w:rPr>
        <w:t xml:space="preserve"> As used in this Lease “</w:t>
      </w:r>
      <w:r>
        <w:rPr>
          <w:rFonts w:ascii="Arial" w:cs="Arial" w:eastAsia="Arial" w:hAnsi="Arial"/>
          <w:sz w:val="16"/>
          <w:szCs w:val="16"/>
          <w:b w:val="1"/>
          <w:bCs w:val="1"/>
          <w:u w:val="single" w:color="auto"/>
          <w:color w:val="auto"/>
        </w:rPr>
        <w:t>Subletting</w:t>
      </w:r>
      <w:r>
        <w:rPr>
          <w:rFonts w:ascii="Arial" w:cs="Arial" w:eastAsia="Arial" w:hAnsi="Arial"/>
          <w:sz w:val="16"/>
          <w:szCs w:val="16"/>
          <w:color w:val="auto"/>
        </w:rPr>
        <w:t>” includes transactions creating or resulting in one or more subleases, tenancies-at-will, licenses, concessions, or other occupancy arrangements, and the term “</w:t>
      </w:r>
      <w:r>
        <w:rPr>
          <w:rFonts w:ascii="Arial" w:cs="Arial" w:eastAsia="Arial" w:hAnsi="Arial"/>
          <w:sz w:val="16"/>
          <w:szCs w:val="16"/>
          <w:b w:val="1"/>
          <w:bCs w:val="1"/>
          <w:u w:val="single" w:color="auto"/>
          <w:color w:val="auto"/>
        </w:rPr>
        <w:t>Subtenant</w:t>
      </w:r>
      <w:r>
        <w:rPr>
          <w:rFonts w:ascii="Arial" w:cs="Arial" w:eastAsia="Arial" w:hAnsi="Arial"/>
          <w:sz w:val="16"/>
          <w:szCs w:val="16"/>
          <w:color w:val="auto"/>
        </w:rPr>
        <w:t>” refers to the person who holds a portion of the Premises pursuant to the Subletting. Tenant shall not engage in, or permit the assignment, transfer, mortgage, alienation, or pledge (collectively “</w:t>
      </w:r>
      <w:r>
        <w:rPr>
          <w:rFonts w:ascii="Arial" w:cs="Arial" w:eastAsia="Arial" w:hAnsi="Arial"/>
          <w:sz w:val="16"/>
          <w:szCs w:val="16"/>
          <w:b w:val="1"/>
          <w:bCs w:val="1"/>
          <w:u w:val="single" w:color="auto"/>
          <w:color w:val="auto"/>
        </w:rPr>
        <w:t>Assignment</w:t>
      </w:r>
      <w:r>
        <w:rPr>
          <w:rFonts w:ascii="Arial" w:cs="Arial" w:eastAsia="Arial" w:hAnsi="Arial"/>
          <w:sz w:val="16"/>
          <w:szCs w:val="16"/>
          <w:color w:val="auto"/>
        </w:rPr>
        <w:t>”) of this Lease or any interest therein, nor engage in or permit any Subletting of all or any part of the Premises, nor suffer any of the foregoing to occur without the prior written consent of Landlord, such consent not to be unreasonably withheld, conditioned or delayed. Without limitation, it is agreed that Landlord’s consent shall not be considered unreasonably withheld or conditioned if: (1) the proposed transferee’s financial condition is not adequate for the obligations such transferee is assuming in connection with the proposed Assignment, provided, however, Landlord shall not be permitted to withhold its consent to such Assignment or Subletting based solely on such transferee’s financial condition, but Landlord may require that the Security Deposit be increased to an amount equal to three</w:t>
      </w:r>
    </w:p>
    <w:p>
      <w:pPr>
        <w:spacing w:after="0" w:line="5" w:lineRule="exact"/>
        <w:rPr>
          <w:sz w:val="20"/>
          <w:szCs w:val="20"/>
          <w:color w:val="auto"/>
        </w:rPr>
      </w:pPr>
    </w:p>
    <w:p>
      <w:pPr>
        <w:ind w:right="60" w:firstLine="8"/>
        <w:spacing w:after="0" w:line="273" w:lineRule="auto"/>
        <w:tabs>
          <w:tab w:leader="none" w:pos="2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month’s Basic Rent; (2) the transferee’s business or reputation is not suitable for the Building considering the business and reputation of Landlord and the other tenants and the Building’s prestige, or would result in a violation of another tenant’s rights under its lease at the Building; (3) the transferee is a governmental agency; (4) an Event of Default by Tenant occurred under this Lease; or (5) any portion of the Building or the Premises would likely become subject to additional or different laws or permitting requirements as a consequence of the proposed Assignment.</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foregoing prohibition against Assignment and Subletting shall include voluntary and involuntary Assignment and Subletting, and Assignment and Subletting by operation of law, including corporate mergers or consolidations, the entering into of any management agreement or any agreement in the nature thereof transferring control or any substantial percentage of the profits and losses from the business operations of Tenant in the Premises to a person or entity other than Tenant, or otherwise having substantially the same effect. If Tenant is a corporation, partnership, or limited liability company, and if at any time during the Lease Term there shall occur either (i) the issuance of interests in Tenant (whether stock, partnership, or membership interest, or otherwise) to any person or group of related persons, or entity or group of related entities, whether in a single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297" w:name="page298"/>
    <w:bookmarkEnd w:id="29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or a series of related or unrelated transactions, in such quantities that after such issuance such person, entity, or group shall have control of Tenant, or (ii) a transfer of more than 50% in interest, of Tenant (whether stock, partnership or membership interest, or otherwise) by any party or parties in interest whether in a single transaction or a series of related or unrelated transactions or by operation of law, the same shall be deemed an Assignment of this Lease, except that the transfer of the outstanding capital stock of any corporate Tenant, by persons or parties (other than persons or parties owning 5% or more of the voting stock of such corporation) through the “over-the-counter” market or any recognized national securities exchange, shall not be included in the calculation of such 50%. In the event an issuance or transfer referred to in clause (i) or (ii) of the second sentence of this grammatical paragraph shall occur (except with respect to a Permitted Transfer), Tenant shall so notify Landlord and Landlord shall have the right, at its option, to terminate this Lease by notice to Tenant given within thirty days thereafter or within ninety days after Landlord shall have received other notice thereof. Any attempted Assignment or Subletting in violation of any of the provisions of this Lease shall be void. No Assignment or Subletting shall in any way impair the continuing primary liability of Tenant hereunder (which after any such Assignment or Subletting shall be joint and several with the persons claiming under the Assignment or Subletting).</w:t>
      </w:r>
    </w:p>
    <w:p>
      <w:pPr>
        <w:spacing w:after="0" w:line="193"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9.13.1 Notwithstanding the foregoing, Landlord’s consent shall not be required to an Assignment to any entity into or with which Tenant is merged or that acquires substantially all of the equity interests in and to Tenant or substantially all of the assets of Tenant, provided that (i) as of the effective date of such Assignment such entity has a net worth at least equal to the net worth of Tenant as of the date of this Lease (as evidenced by financial statements and other evidence as reasonably required by Landlord), and (ii) such entity enters into an agreement with Landlord, in form and substance reasonably satisfactory to Landlord, whereby such entity assumes all of Tenant’s obligations under this Lease (a “</w:t>
      </w:r>
      <w:r>
        <w:rPr>
          <w:rFonts w:ascii="Arial" w:cs="Arial" w:eastAsia="Arial" w:hAnsi="Arial"/>
          <w:sz w:val="17"/>
          <w:szCs w:val="17"/>
          <w:b w:val="1"/>
          <w:bCs w:val="1"/>
          <w:u w:val="single" w:color="auto"/>
          <w:color w:val="auto"/>
        </w:rPr>
        <w:t>Permitted Transfer</w:t>
      </w:r>
      <w:r>
        <w:rPr>
          <w:rFonts w:ascii="Arial" w:cs="Arial" w:eastAsia="Arial" w:hAnsi="Arial"/>
          <w:sz w:val="17"/>
          <w:szCs w:val="17"/>
          <w:color w:val="auto"/>
        </w:rPr>
        <w:t>”).</w:t>
      </w:r>
    </w:p>
    <w:p>
      <w:pPr>
        <w:spacing w:after="0" w:line="173"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9.13.2 Except in case of a Permitted Transfer, Landlord has no duty to entertain or consider any request by Tenant to consent to any proposed Assignment of this Lease or Subletting of all or any part of the Premises unless each such request by Tenant is accompanied by a nonrefundable fee payable to Landlord in the amount of $500.00 to cover Landlord’s administrative and reasonable attorney’s fees incurred in the processing of each such request by Tenant. In addition, such nonrefundable fee shall be payable to Landlord in connection with the processing of a Permitted Transfer. However, neither Tenant’s payment nor Landlord’s acceptance of the foregoing fee shall be construed to impose any duty whatsoever upon Landlord to consent to Tenant’s request.</w:t>
      </w:r>
    </w:p>
    <w:p>
      <w:pPr>
        <w:spacing w:after="0" w:line="158"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9.13.3 If Landlord consents to a Subletting, Tenant shall deliver to Landlord true copies of all documents establishing the Subletting, and if the Subletting requires the Subtenant to pay to, or on behalf of, Tenant payments (regardless of how characterized, excluding however, payments from or on behalf of the transferee for Tenant’s assets, fixtures, inventory, accounts, goodwill, equipment, furniture, leasehold improvements (except with respect to the those tenant improvements, the cost of which has been paid by Landlord through the Tenant Improvement Allowance), and general intangibles) greater (calculated on a per square foot basis) than the payments to be paid by Tenant to Landlord under this Lease (regardless of how such payments are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298" w:name="page299"/>
    <w:bookmarkEnd w:id="298"/>
    <w:p>
      <w:pPr>
        <w:jc w:val="both"/>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characterized), Landlord will be entitled to receive from Tenant each month as additional rent an amount equal to half of such excess (the “Excess Sublease Payment”), determined after first deducting therefrom Tenant’s transaction costs (e.g., broker fees, legal fees and costs, demising costs, advertising, vacancy costs while marketing space, and inducements and indemnity paid or promised to transferee). The Subletting and the Subtenant shall be subject to all of the provisions of this Lease (including the Rules and Regulations), and a Breach by the Subtenant shall be deemed a Breach by Tenant.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9.14 Amendment; No Oral Agreements</w:t>
      </w:r>
      <w:r>
        <w:rPr>
          <w:rFonts w:ascii="Arial" w:cs="Arial" w:eastAsia="Arial" w:hAnsi="Arial"/>
          <w:sz w:val="18"/>
          <w:szCs w:val="18"/>
          <w:color w:val="auto"/>
        </w:rPr>
        <w:t>.</w:t>
      </w:r>
    </w:p>
    <w:p>
      <w:pPr>
        <w:spacing w:after="0" w:line="225"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9.14.1 Neither this Lease nor any provision thereof may be changed, waived, discharged, or terminated orally, but only by an instrument clearly designated an amendment (or termination, as the case may be), duly executed by the party against which the enforcement of the change, waiver, discharge, or termination is sought.</w:t>
      </w:r>
    </w:p>
    <w:p>
      <w:pPr>
        <w:spacing w:after="0" w:line="18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9.14.2 This Lease merges and supersedes all prior agreements and understandings between the parties concerning the subject matter hereof, and constitutes the final and complete agreement and understanding between the parties. There are no oral statements or oral agreements modifying or otherwise affecting the subject matter of this Lease.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Section 9.15 No Waiver, No Exhaustion of Landlord’s Rights</w:t>
      </w:r>
      <w:r>
        <w:rPr>
          <w:rFonts w:ascii="Arial" w:cs="Arial" w:eastAsia="Arial" w:hAnsi="Arial"/>
          <w:sz w:val="18"/>
          <w:szCs w:val="18"/>
          <w:color w:val="auto"/>
        </w:rPr>
        <w:t>. No consent or waiver, express or implied, by Landlord, to or of any Breach by Tenant, shall be construed as a consent to or waiver of any other Breach by Tenant of the same or any other duty. No consent or waiver by Landlord to any Breach by Tenant shall be effective unless it is in writing and signed by Landlord. Landlord’s failure to enforce any of the Rules and Regulations against Tenant or any other tenant or occupant of the Building shall not be deemed a waiver of the Rules and Regulations or right to enforce same. Neither Landlord’s acceptance of Tenant’s keys to the Premises nor any other act by Landlord or any agent or employee of Landlord shall be deemed an acceptance or a surrender of the Premises, except for a written agreement that is clearly designated an acceptance of surrender of the Premises, duly executed by an authorized representative of Landlord.</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Section 9.16 Estoppel Certificates</w:t>
      </w:r>
      <w:r>
        <w:rPr>
          <w:rFonts w:ascii="Arial" w:cs="Arial" w:eastAsia="Arial" w:hAnsi="Arial"/>
          <w:sz w:val="16"/>
          <w:szCs w:val="16"/>
          <w:color w:val="auto"/>
        </w:rPr>
        <w:t>. Tenant shall without charge, from time to time, within fifteen days after a request by Landlord, execute and deliver to Landlord a so-called “estoppel certificate,” in form reasonably satisfactory to Landlord, as to the status of (i) this Lease, (ii) Rent and other payments due hereunder, (iii) Landlord Failures known by Tenant, (iv) any claims or counterclaims, defenses, or offsets that Tenant may have, and (v) all other matters required by any mortgagee or prospective mortgagee or prospective purchaser, and such matters as Landlord may reasonably request; and any such certificate may be relied upon by any mortgagee, assignee of any mortgagee, any prospective purchaser or mortgagee of the Building, any party proposing to acquire any other interest in or with respect to the Land and the Building, and any person or entity to whom the certificate is exhibited or delivered.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Section 9.17 Subordination</w:t>
      </w:r>
      <w:r>
        <w:rPr>
          <w:rFonts w:ascii="Arial" w:cs="Arial" w:eastAsia="Arial" w:hAnsi="Arial"/>
          <w:sz w:val="18"/>
          <w:szCs w:val="18"/>
          <w:color w:val="auto"/>
        </w:rPr>
        <w:t>. At the request of Landlord from time to time, Tenant shall subordinate this Lease, and Tenant’s rights hereunder, to any mortgage or ground lease (or other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299" w:name="page300"/>
    <w:bookmarkEnd w:id="29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underlying lease), but only on condition that the holder of such mortgage or lease enters into a so-called “subordination, non-disturbance, and attornment agreement” (“</w:t>
      </w:r>
      <w:r>
        <w:rPr>
          <w:rFonts w:ascii="Arial" w:cs="Arial" w:eastAsia="Arial" w:hAnsi="Arial"/>
          <w:sz w:val="17"/>
          <w:szCs w:val="17"/>
          <w:b w:val="1"/>
          <w:bCs w:val="1"/>
          <w:u w:val="single" w:color="auto"/>
          <w:color w:val="auto"/>
        </w:rPr>
        <w:t>SNDA</w:t>
      </w:r>
      <w:r>
        <w:rPr>
          <w:rFonts w:ascii="Arial" w:cs="Arial" w:eastAsia="Arial" w:hAnsi="Arial"/>
          <w:sz w:val="17"/>
          <w:szCs w:val="17"/>
          <w:color w:val="auto"/>
        </w:rPr>
        <w:t xml:space="preserve">”) with Tenant on the mortgagee’s (or lessor’s) customary form, in form and substance reasonably satisfactory to Tenant, binding upon the successors and assigns of the parties thereto. The SNDA shall provide, </w:t>
      </w:r>
      <w:r>
        <w:rPr>
          <w:rFonts w:ascii="Arial" w:cs="Arial" w:eastAsia="Arial" w:hAnsi="Arial"/>
          <w:sz w:val="17"/>
          <w:szCs w:val="17"/>
          <w:i w:val="1"/>
          <w:iCs w:val="1"/>
          <w:color w:val="auto"/>
        </w:rPr>
        <w:t>inter alia</w:t>
      </w:r>
      <w:r>
        <w:rPr>
          <w:rFonts w:ascii="Arial" w:cs="Arial" w:eastAsia="Arial" w:hAnsi="Arial"/>
          <w:sz w:val="17"/>
          <w:szCs w:val="17"/>
          <w:color w:val="auto"/>
        </w:rPr>
        <w:t>, that the holder agrees that, in the event of a foreclosure of the mortgage, by entry or by sale, or termination of the lease, Tenant, if Tenant is not then in Breach with respect to any of the covenants or conditions of this Lease to be performed or observed by Tenant, shall peaceably hold and enjoy the Premises for the remainder of the Lease Term upon the same terms, covenants, and conditions as in this Lease contained and without hindrance or interruption from such holder or lessor, and Tenant shall, among other things, in the event of such entry or foreclosure (or lease termination), recognize such holder or any other person acquiring title to the Premises (or the lessor) as Landlord hereunder for the balance of the Lease Term; and such agreement shall also provide that no said holder (or lessor) shall be deemed to be the owner of the Premises until said holder shall have acquired title to the Premises or shall have entered the Premises as mortgagee in possession or for the purposes of foreclosure or as lessor who has terminated the lease, as the case may be.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9.18 Joint and Several Liability.</w:t>
      </w:r>
      <w:r>
        <w:rPr>
          <w:rFonts w:ascii="Arial" w:cs="Arial" w:eastAsia="Arial" w:hAnsi="Arial"/>
          <w:sz w:val="18"/>
          <w:szCs w:val="18"/>
          <w:color w:val="auto"/>
        </w:rPr>
        <w:t xml:space="preserve"> If Tenant consists of more than one person, the duties of all such persons are joint and several.</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u w:val="single" w:color="auto"/>
          <w:color w:val="auto"/>
        </w:rPr>
        <w:t>Section 9.19 Severability</w:t>
      </w:r>
      <w:r>
        <w:rPr>
          <w:rFonts w:ascii="Arial" w:cs="Arial" w:eastAsia="Arial" w:hAnsi="Arial"/>
          <w:sz w:val="18"/>
          <w:szCs w:val="18"/>
          <w:color w:val="auto"/>
        </w:rPr>
        <w:t>. If any term of this Lease, or the application thereof to any persons or circumstances, shall to any extent be illegal, invalid, or unenforceable, the remainder of this Lease or the application of such term to persons or circumstances other than those as to which it is illegal, invalid, or unenforceable, shall not be affected thereby, and each term of this Lease shall be legal, valid, and enforceable to the fullest extent permitted by law. Tenant has had an opportunity to consult with legal counsel of its choice, and Tenant shall not assert that any claimed ambiguity herein should be construed against the drafter thereof.</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auto"/>
        </w:rPr>
        <w:t>Section 9.20 Limitation of Liability</w:t>
      </w:r>
      <w:r>
        <w:rPr>
          <w:rFonts w:ascii="Arial" w:cs="Arial" w:eastAsia="Arial" w:hAnsi="Arial"/>
          <w:sz w:val="17"/>
          <w:szCs w:val="17"/>
          <w:color w:val="auto"/>
        </w:rPr>
        <w:t>. No agents, managers, partners, trustees, stockholders, officers, members of a governing board, directors, employees, or beneficiaries of Landlord shall be personally liable under this Lease nor shall any of their general assets be subject to levy, execution, or other enforcement procedure for the satisfaction of Tenant’s remedies arising under this Lease or in connection with Tenant’s use or occupancy of the Premises, the Land, or the Building. Tenant shall look solely to Landlord’s then equity interest in the Premises and the rentals from the Building or the Land, for the collection of any judgment (or other judicial process) requiring the payment of money by Landlord in the event of any Landlord’s default, subject, however to the prior rights of any ground or underlying lessor or the holder of any mortgage covering the Land or Building; and no other assets of Landlord shall be subject to levy, execution, or other judicial process for the satisfaction of Tenant’s claims.</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u w:val="single" w:color="auto"/>
          <w:color w:val="auto"/>
        </w:rPr>
        <w:t>Section 9.21 Cumulative Effect</w:t>
      </w:r>
      <w:r>
        <w:rPr>
          <w:rFonts w:ascii="Arial" w:cs="Arial" w:eastAsia="Arial" w:hAnsi="Arial"/>
          <w:sz w:val="18"/>
          <w:szCs w:val="18"/>
          <w:color w:val="auto"/>
        </w:rPr>
        <w:t>. Any and all rights, powers, and remedies that either Landlord or Tenant may have under this Lease, at law, in equity and by statute or otherwise shall be cumulative and shall not be deemed inconsistent with each other, and any two or more of the same may be exercised at the same time. Landlord (or Tenant) may exercise a right or remedy without waiving,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00" w:name="page301"/>
    <w:bookmarkEnd w:id="30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limiting, or jeopardizing its right to exercise its other rights. Landlord has no duty under this Lease to enforce the Rules and Regulations, or the terms, conditions, or covenants of any lease, as against any other tenant or occupant of the Building, and Landlord shall not be liable to Tenant for violations of same by any other tenant, employee, invitee, licensee, agent, or visitor, provided, however, that Landlord shall not discriminate against Tenant in the enforcement of such Rules and Regulations.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Section 9.22 Notice of Lease</w:t>
      </w:r>
      <w:r>
        <w:rPr>
          <w:rFonts w:ascii="Arial" w:cs="Arial" w:eastAsia="Arial" w:hAnsi="Arial"/>
          <w:sz w:val="18"/>
          <w:szCs w:val="18"/>
          <w:color w:val="auto"/>
        </w:rPr>
        <w:t>. Tenant shall not record this Lease; however, upon request by Tenant, Landlord will execute and deliver to Tenant a recordable notice of this Lease in the statutory form, but only if the Lease Term is seven years or more.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9.23 Access to Premises; Landlord’s Right to Repair and Alter</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color w:val="auto"/>
        </w:rPr>
        <w:t xml:space="preserve">9.23.1 </w:t>
      </w:r>
      <w:r>
        <w:rPr>
          <w:rFonts w:ascii="Arial" w:cs="Arial" w:eastAsia="Arial" w:hAnsi="Arial"/>
          <w:sz w:val="16"/>
          <w:szCs w:val="16"/>
          <w:u w:val="single" w:color="auto"/>
          <w:color w:val="auto"/>
        </w:rPr>
        <w:t>Viewing, Inspecting, Repairing</w:t>
      </w:r>
      <w:r>
        <w:rPr>
          <w:rFonts w:ascii="Arial" w:cs="Arial" w:eastAsia="Arial" w:hAnsi="Arial"/>
          <w:sz w:val="16"/>
          <w:szCs w:val="16"/>
          <w:color w:val="auto"/>
        </w:rPr>
        <w:t>. Landlord and Landlord’s agents (and other tenants and such tenant’s agents to the extent that there are pipes, flues, ducts, wires, conduits, electrical closets, and the like, in the Premises serving such other tenants or their premises) shall have the right, without charge to Landlord (or such other tenants) and without reduction in Rent, from time to time, at reasonable times and upon prior 24-hour notice (and in an emergency, at any time without any such notice requirement), to enter to view the Premises, to inspect the Premises, to make such repairs to the Premises or the Building or Building mechanical systems as Landlord (or such other tenants) elects, and to perform environmental site inspections or soil investigations, or to inspect or repair Landlord’s utilities, if any, located in, beneath, above, or adjacent to the Premises, or to exterminate pests from the Premises.</w:t>
      </w:r>
    </w:p>
    <w:p>
      <w:pPr>
        <w:spacing w:after="0" w:line="16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9.23.2 </w:t>
      </w:r>
      <w:r>
        <w:rPr>
          <w:rFonts w:ascii="Arial" w:cs="Arial" w:eastAsia="Arial" w:hAnsi="Arial"/>
          <w:sz w:val="17"/>
          <w:szCs w:val="17"/>
          <w:u w:val="single" w:color="auto"/>
          <w:color w:val="auto"/>
        </w:rPr>
        <w:t>Landlord Alterations</w:t>
      </w:r>
      <w:r>
        <w:rPr>
          <w:rFonts w:ascii="Arial" w:cs="Arial" w:eastAsia="Arial" w:hAnsi="Arial"/>
          <w:sz w:val="17"/>
          <w:szCs w:val="17"/>
          <w:color w:val="auto"/>
        </w:rPr>
        <w:t>. Landlord reserves the right, exercisable by Landlord or its agents or designees, at any time and from time to time, to make such changes, alterations, additions, improvements, repairs, renovations, or replacements in or to the Building and the Premises and the fixtures and equipment thereof, as Landlord may reasonably deem necessary or desirable, and to install in the Premises, pipes, ducts, wires, conduits, meters, fixtures, supporting columns, and other installations generally, and to change the arrangement or location of entrances, passageways, doors, doorways, corridors, elevators, stairs, toilets, or other public parts of the Building, or any of the Common Facilities, provided that to the extent reasonably practicable, such pipes, conduits, wires and ducts shall be located behind walls or above the finished ceilings or below floors of the Premises. The foregoing notwithstanding, unless Tenant otherwise consents or Landlord is required to do so by any Legal Requirement, Landlord shall not have the right to make changes which increase costs of operation of the Premises, or materially reduce the size of the Premises, or materially and adversely affect Tenant’s use of the Premises. Except in case of an emergency, Landlord agrees to exercise its rights under this Section 9.23.2 at such times and in such a manner so as not to materially interfere with Tenant’s business operations in the Premises. If the size of the Premises is reduced as set forth above, the Base Rent and Tenant’s Proportionate Share shall be reduced proportionately. Landlord shall provide reasonable written notice to Tenant prior to any entry into the Premises hereunder, except, however, in the event of emergency, in which case no notice shall be required.</w:t>
      </w:r>
    </w:p>
    <w:p>
      <w:pPr>
        <w:spacing w:after="0" w:line="180"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 xml:space="preserve">9.23.3 </w:t>
      </w:r>
      <w:r>
        <w:rPr>
          <w:rFonts w:ascii="Arial" w:cs="Arial" w:eastAsia="Arial" w:hAnsi="Arial"/>
          <w:sz w:val="18"/>
          <w:szCs w:val="18"/>
          <w:u w:val="single" w:color="auto"/>
          <w:color w:val="auto"/>
        </w:rPr>
        <w:t>Right to Affix “For Rent” Sign</w:t>
      </w:r>
      <w:r>
        <w:rPr>
          <w:rFonts w:ascii="Arial" w:cs="Arial" w:eastAsia="Arial" w:hAnsi="Arial"/>
          <w:sz w:val="18"/>
          <w:szCs w:val="18"/>
          <w:color w:val="auto"/>
        </w:rPr>
        <w:t>. Landlord reserves the right to show the Premises to prospective purchasers, tenants, and mortgagees and to keep affixed to any suitable part of the Premises a notice for letting or selling during the six months preceding the expiration of the Lease Term or at any time after the termination of the Lease.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9.24 Yielding Up; Holding Over</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 xml:space="preserve">9.24.1 </w:t>
      </w:r>
      <w:r>
        <w:rPr>
          <w:rFonts w:ascii="Arial" w:cs="Arial" w:eastAsia="Arial" w:hAnsi="Arial"/>
          <w:sz w:val="18"/>
          <w:szCs w:val="18"/>
          <w:u w:val="single" w:color="auto"/>
          <w:color w:val="auto"/>
        </w:rPr>
        <w:t>Yielding Up of Premises on Termination or Expiration</w:t>
      </w:r>
      <w:r>
        <w:rPr>
          <w:rFonts w:ascii="Arial" w:cs="Arial" w:eastAsia="Arial" w:hAnsi="Arial"/>
          <w:sz w:val="18"/>
          <w:szCs w:val="18"/>
          <w:color w:val="auto"/>
        </w:rPr>
        <w:t>. Tenant shall, at the expiration or earlier termination of this Lease, promptly remove Tenant’s goods and effects and peaceably yield up the Premises (together with any additions and improvements made thereto), clean and in good order, repair, and condition (damage by fire, other casualty, eminent domain and reasonable wear and use excepted). Unless Landlord requests Tenant to remove from the Premises the Tenant FETI Tenant shall have no right to remove such Tenant FETI other than Removable FETI without Landlord’s prior written consent, and if any such removal causes any damage or alteration to the Premises, then Tenant shall promptly repair same, or, at Landlord’s election, pay to Landlord money sufficient to cover the cost (as reasonably estimated by Landlord) for restoring the Premises. Any Tenant FETI, goods, effects, or personal property remaining in or on the Premises after Tenant vacates the Premises or after the termination or expiration of this Lease (whichever first occurs) shall be deemed abandoned, and Landlord shall have the right to remove same at Tenant’s expense and use, sell, or destroy same as Landlord may elect.</w:t>
      </w:r>
    </w:p>
    <w:p>
      <w:pPr>
        <w:spacing w:after="0" w:line="19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9.24.2 </w:t>
      </w:r>
      <w:r>
        <w:rPr>
          <w:rFonts w:ascii="Arial" w:cs="Arial" w:eastAsia="Arial" w:hAnsi="Arial"/>
          <w:sz w:val="17"/>
          <w:szCs w:val="17"/>
          <w:u w:val="single" w:color="auto"/>
          <w:color w:val="auto"/>
        </w:rPr>
        <w:t>Holding Over</w:t>
      </w:r>
      <w:r>
        <w:rPr>
          <w:rFonts w:ascii="Arial" w:cs="Arial" w:eastAsia="Arial" w:hAnsi="Arial"/>
          <w:sz w:val="17"/>
          <w:szCs w:val="17"/>
          <w:color w:val="auto"/>
        </w:rPr>
        <w:t>. If Tenant occupies the Premises after the Lease Expiration Date (or earlier termination of this Lease) without having entered into a new lease of the Premises with Landlord, Tenant shall be a tenant-at-sufferance only, shall be subject to all of the terms and provisions of this Lease, and shall pay as use and occupation each month an amount equal to 150% of the monthly Basic Rent payments in effect for the last full calendar month preceding the Lease Expiration Date (or the date of earlier termination). Such a holding over, even if with the consent of Landlord, and regardless of any conditions or restrictions set forth on checks or payments made to Landlord (whether or not Landlord places restrictive endorsements on such checks or payments), shall not constitute a tenancy at will or an extension or renewal of this Lease, and shall not diminish or affect Landlord’s right to recover possession of the Premises by self help, re-entry by summary proceedings, the provisions of this Lease, judicial process, or otherwise. Tenant shall save Landlord harmless and will exonerate, defend, and indemnify Landlord from and against any and all damages that Landlord suffers on account of Tenant’s holding over in the Premises after the expiration or sooner termination of this Lease, except that Tenant shall not be liable for any consequential damages during the first 60 days of such holdover. Tenant will be obligated to comply with Section 9.24.1 even if Tenant holds over after expiration or termination of this Lease. Tenant hereby indemnifies Landlord against any liability resulting from delay by Tenant in surrendering and yielding up the Premises upon the termination or expiration of this Lease as provided herein, including any claims made by any succeeding tenant or prospective tenant founded upon such delay or failure to yield up the Premises in the condition specified in Section 9.24.1, except that Tenant shall not incur such liability during the first 60 days of such holdover.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9.25 PATRIOT ACT; Choice of Law.</w:t>
      </w:r>
    </w:p>
    <w:p>
      <w:pPr>
        <w:spacing w:after="0" w:line="22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9.25.1 Executive Order No. 13224 on Terrorist Financing, effective September 24, 2001 (the “Executive Order”), and the U.S. Bank Secrecy Act of 1970 as amended by the Uniting and Strengthening America by Providing Appropriate Tools Required to Intercept and Obstruct Terrorism Act of 2001 (Public Law 10756, the “Patriot Act”) prohibit certain property transfers. Tenant hereby represents and warrants to Landlord (which representations and warranties shall be deemed to be continuing and re-made at all times during the Lease Term) that neither Tenant nor any stockholder (except with respect to stockholders purchasing shares in a publicly traded company over a recognized stock exchange, the identity of which Tenant is not required by applicable law to ascertain), manager, beneficiary, partner, or principal of Tenant nor any of their respective agents is subject to or in violation of the Executive Order, that none of them is listed on or is owned or controlled by, or acting on behalf of any person listed on the United States Department of the Treasury Office of Foreign Assets Control list of “Specially Designated Nationals and Blocked Persons” as modified from time to time, and that none of them is otherwise subject to or in violation of the provisions of the Executive Order or the Patriot Act or is a person with whom Landlord is prohibited from dealing with or otherwise engaging with in accordance with the Executive Order or the Patriot Act. The most current list of “Specially Designated Nationals and Blocked Persons” can be found at the following web site:</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http://www.treas.gov/offices/eotffc/ofac/sdn/index.html</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Tenant shall from time to time, within ten days after request by Landlord, deliver to Landlord any certification or other evidence requested from time to time by Landlord in its reasonable discretion, confirming Tenant’s compliance with these provisions. No Assignment or Subletting shall be effective unless and until the assignee or subtenant thereunder delivers to Landlord written confirmation of such person’s compliance with the provisions of this subsection, in form and content satisfactory to Landlord. If for any reason the representations and warranties set forth in this subsection, or any certificate or other evidence of compliance delivered to Landlord hereunder, is untrue in any respect when made or delivered, or thereafter becomes untrue in any respect, then an Event of Default shall be deemed to occur immediately, and there shall be no opportunity to cure. Tenant shall indemnify, defend with counsel reasonably acceptable to Landlord, and hold Landlord harmless from and against, any and all liabilities, losses claims, damages, penalties, fines, and costs (including reasonable attorney’s fees) arising from or related to the Breach of any of the foregoing representations, warranties, and duties of Tenant. The provisions of this subsection shall survive the expiration or earlier termination of this Lease for the longest period permitted by law.</w:t>
      </w:r>
    </w:p>
    <w:p>
      <w:pPr>
        <w:spacing w:after="0" w:line="16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9.25.2 This Lease may be executed in multiple counterpart copies, each being deemed an original and all of which shall be deemed to constitute one agreement, and the signatures of all of the parties need not appear on the same counterpart.</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9.25.3 The laws of The Commonwealth of Massachusetts (without giving effect to its conflicts of law principles) govern this Lease. Legal actions involving this Lease shall be brought in the state courts of The Commonwealth of Massachusetts.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Section 9.26 Application of Payments; Check Endorsements</w:t>
      </w:r>
      <w:r>
        <w:rPr>
          <w:rFonts w:ascii="Arial" w:cs="Arial" w:eastAsia="Arial" w:hAnsi="Arial"/>
          <w:sz w:val="18"/>
          <w:szCs w:val="18"/>
          <w:color w:val="auto"/>
        </w:rPr>
        <w:t>. Regardless of how the payment is characterized by Tenant (or the person making payment on behalf of Tenant) at the time of 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303" w:name="page304"/>
    <w:bookmarkEnd w:id="30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otherwise, any payment made by or on behalf of Tenant to Landlord may be applied by Landlord, in Landlord’s sole election, to Rent or any other amount due from Tenant to Landlord. No acceptance by Landlord of a sum less than the Rent or any other amount then due shall be deemed to be other than on account of the next due installment of such Rent or other amount, and Landlord shall be permitted to apply such lesser amount to Rent or any other amount then due, regardless of how Tenant characterizes the payment.</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Section 9.27 Roof Rights</w:t>
      </w:r>
      <w:r>
        <w:rPr>
          <w:rFonts w:ascii="Arial" w:cs="Arial" w:eastAsia="Arial" w:hAnsi="Arial"/>
          <w:sz w:val="17"/>
          <w:szCs w:val="17"/>
          <w:color w:val="auto"/>
        </w:rPr>
        <w:t xml:space="preserve"> Subject to Landlord’s prior written approval with respect to design, location, and manner of installation, such approval not to be unreasonably withheld, Tenant shall have the right at its sole cost and expense, to install, operate, maintain, repair, replace, upgrade and remove, at no additional rental charge, one or more antennae, satellite dish, other transmission facilities, HVAC, and/or venting equipment, including all related cabling and wiring (collectively, the “</w:t>
      </w:r>
      <w:r>
        <w:rPr>
          <w:rFonts w:ascii="Arial" w:cs="Arial" w:eastAsia="Arial" w:hAnsi="Arial"/>
          <w:sz w:val="17"/>
          <w:szCs w:val="17"/>
          <w:b w:val="1"/>
          <w:bCs w:val="1"/>
          <w:u w:val="single" w:color="auto"/>
          <w:color w:val="auto"/>
        </w:rPr>
        <w:t>Rooftop Equipment</w:t>
      </w:r>
      <w:r>
        <w:rPr>
          <w:rFonts w:ascii="Arial" w:cs="Arial" w:eastAsia="Arial" w:hAnsi="Arial"/>
          <w:sz w:val="17"/>
          <w:szCs w:val="17"/>
          <w:color w:val="auto"/>
        </w:rPr>
        <w:t>”) on the Building roof. All Rooftop Equipment shall be deemed Tenant FETI for purposes of Section 9.24.1 hereof and in no event shall any Rooftop Equipment consisting of HVAC and/or venting equipment be deemed Removable FETI without Landlord’s prior written consent. Without limiting the generality of the foregoing, Landlord acknowledges that the HVAC to be installed by Tenant, which will serve the Premises exclusively, shall not be removed by Tenant at the expiration or earlier termination of the Lease and shall be surrendered to Landlord “as is” subject to Tenant’s maintenance obligations set forth in Section 5.1.2 hereof. Landlord reserves the right, in connection with approving the installation of any Rooftop Equipment, to require Tenant to use Landlord’s roofing contractor in connection with any roof penetrations. Any removal of Rooftop Equipment by Tenant as may be permitted under Section 9.24.1 shall be done, at Tenant’s sole cost and expense, under the supervision of Landlord’s roofing contractor. Tenant shall be responsible for properly sealing any penetrations. Landlord, its employee, contractor or agent shall not install any equipment on the roof of the Building, nor shall Landlord permit any other tenant in the Building to install any equipment on the roof of the Building, after the installation of the Rooftop Equipment, which shall have an adverse material affect on, impede, disrupt or interrupt the operation of any of the Rooftop Equipment. The provisions of this Section 9.27 shall survive the expiration or earlier termination of this Lease.</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Section 9.28 Signage</w:t>
      </w:r>
      <w:r>
        <w:rPr>
          <w:rFonts w:ascii="Arial" w:cs="Arial" w:eastAsia="Arial" w:hAnsi="Arial"/>
          <w:sz w:val="18"/>
          <w:szCs w:val="18"/>
          <w:color w:val="auto"/>
        </w:rPr>
        <w:t xml:space="preserve"> Tenant shall have the right, at Tenant’s sole cost and expense, to install a building façade sign on the Western Avenue side of the Building (if desired) with specifications and appearance subject to Landlord’s reasonable approval and otherwise in accordance with the Legal Requirements and after receipt of the necessary approvals from the Governmental Authority, which shall be the sole responsibility of Tenant, at Tenant’s sole cost and expense.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10.0 ADDITIONAL PROVISIONS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in this Article 10.0 set forth specific arrangements between Landlord and Tenant and supersede inconsistent provisions of this Lease.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10.1 Landlord’s Work Letter</w:t>
      </w:r>
      <w:r>
        <w:rPr>
          <w:rFonts w:ascii="Arial" w:cs="Arial" w:eastAsia="Arial" w:hAnsi="Arial"/>
          <w:sz w:val="18"/>
          <w:szCs w:val="18"/>
          <w:color w:val="auto"/>
        </w:rPr>
        <w:t xml:space="preserve">. Landlord shall perform the work, if any, described in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hereto.</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04" w:name="page305"/>
    <w:bookmarkEnd w:id="304"/>
    <w:p>
      <w:pPr>
        <w:ind w:right="440"/>
        <w:spacing w:after="0" w:line="28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10.2 Tenant Improvement Allowance</w:t>
      </w:r>
      <w:r>
        <w:rPr>
          <w:rFonts w:ascii="Arial" w:cs="Arial" w:eastAsia="Arial" w:hAnsi="Arial"/>
          <w:sz w:val="16"/>
          <w:szCs w:val="16"/>
          <w:color w:val="auto"/>
        </w:rPr>
        <w:t>. As an inducement for Tenant to enter into and faithfully perform under this Lease, Landlord shall pay an allowance (the “</w:t>
      </w:r>
      <w:r>
        <w:rPr>
          <w:rFonts w:ascii="Arial" w:cs="Arial" w:eastAsia="Arial" w:hAnsi="Arial"/>
          <w:sz w:val="16"/>
          <w:szCs w:val="16"/>
          <w:b w:val="1"/>
          <w:bCs w:val="1"/>
          <w:u w:val="single" w:color="auto"/>
          <w:color w:val="auto"/>
        </w:rPr>
        <w:t>Tenant Improvement Allowance</w:t>
      </w:r>
      <w:r>
        <w:rPr>
          <w:rFonts w:ascii="Arial" w:cs="Arial" w:eastAsia="Arial" w:hAnsi="Arial"/>
          <w:sz w:val="16"/>
          <w:szCs w:val="16"/>
          <w:color w:val="auto"/>
        </w:rPr>
        <w:t xml:space="preserve">”) equal to $130,440.00. The Tenant Improvement Allowance shall be used by Tenant as set forth in Section 12.2.17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 and made a part hereof. The Tenant Improvement Allowance shall be payable directly to Tenant within thirty</w:t>
      </w:r>
    </w:p>
    <w:p>
      <w:pPr>
        <w:ind w:firstLine="8"/>
        <w:spacing w:after="0" w:line="287" w:lineRule="auto"/>
        <w:tabs>
          <w:tab w:leader="none" w:pos="34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days of submission to Landlord of </w:t>
      </w:r>
      <w:r>
        <w:rPr>
          <w:rFonts w:ascii="Arial" w:cs="Arial" w:eastAsia="Arial" w:hAnsi="Arial"/>
          <w:sz w:val="16"/>
          <w:szCs w:val="16"/>
          <w:b w:val="1"/>
          <w:bCs w:val="1"/>
          <w:color w:val="auto"/>
        </w:rPr>
        <w:t>(i)</w:t>
      </w:r>
      <w:r>
        <w:rPr>
          <w:rFonts w:ascii="Arial" w:cs="Arial" w:eastAsia="Arial" w:hAnsi="Arial"/>
          <w:sz w:val="16"/>
          <w:szCs w:val="16"/>
          <w:color w:val="auto"/>
        </w:rPr>
        <w:t xml:space="preserve"> invoices from Tenant’s contractor(s) performing such work; </w:t>
      </w:r>
      <w:r>
        <w:rPr>
          <w:rFonts w:ascii="Arial" w:cs="Arial" w:eastAsia="Arial" w:hAnsi="Arial"/>
          <w:sz w:val="16"/>
          <w:szCs w:val="16"/>
          <w:b w:val="1"/>
          <w:bCs w:val="1"/>
          <w:color w:val="auto"/>
        </w:rPr>
        <w:t>(ii)</w:t>
      </w:r>
      <w:r>
        <w:rPr>
          <w:rFonts w:ascii="Arial" w:cs="Arial" w:eastAsia="Arial" w:hAnsi="Arial"/>
          <w:sz w:val="16"/>
          <w:szCs w:val="16"/>
          <w:color w:val="auto"/>
        </w:rPr>
        <w:t xml:space="preserve"> lien waivers from Tenant’s contractors indicating payment for all services and materials relating to such improvements and to the Premises;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such other documents as Landlord may reasonably request. Tenant shall not be permitted to submit more than one (1) such request per calendar month for reimbursement from the Tenant Improvement Allowance. Any portion of the Tenant Improvement Allowance which remains unused by Tenant as of the date that is one hundred and twenty (120) days after the issuance of a Certificate of Occupancy for the Premises, shall be deemed waived by Tenant and Landlord shall have no further obligation with respect thereto. In the event Landlord fails or is unable to pay the Tenant Improvement Allowance, or any portion thereof, to Tenant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Tenant shall have the right to apply the amount of such portion of the Tenant Improvement Allowance against the next installment of Basic Rent due under the Lease; provided, however, in the event there exists a dispute between Landlord and Tenant with respect to any request for reimbursement as described herein, Tenant shall not be permitted to apply any such amounts against any Rent or other charges due under this Lease until the dispute is resolved.</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11.0 OPTION TO EXTEND LEASE TERM</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11.1 Tenant’s Option to Extend</w:t>
      </w:r>
      <w:r>
        <w:rPr>
          <w:rFonts w:ascii="Arial" w:cs="Arial" w:eastAsia="Arial" w:hAnsi="Arial"/>
          <w:sz w:val="16"/>
          <w:szCs w:val="16"/>
          <w:color w:val="auto"/>
        </w:rPr>
        <w:t>. On the conditions (which conditions Landlord may in its sole discretion waive by notice to Tenant at any time) that</w:t>
      </w:r>
    </w:p>
    <w:p>
      <w:pPr>
        <w:spacing w:after="0" w:line="46" w:lineRule="exact"/>
        <w:rPr>
          <w:sz w:val="20"/>
          <w:szCs w:val="20"/>
          <w:color w:val="auto"/>
        </w:rPr>
      </w:pPr>
    </w:p>
    <w:p>
      <w:pPr>
        <w:ind w:left="260" w:hanging="252"/>
        <w:spacing w:after="0"/>
        <w:tabs>
          <w:tab w:leader="none" w:pos="2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both as of the time of the exercise of Tenant’s rights in this Article 11.0 and as of the commencement of the Extension Term there is no Event of Default;</w:t>
      </w:r>
    </w:p>
    <w:p>
      <w:pPr>
        <w:spacing w:after="0" w:line="32" w:lineRule="exact"/>
        <w:rPr>
          <w:rFonts w:ascii="Arial" w:cs="Arial" w:eastAsia="Arial" w:hAnsi="Arial"/>
          <w:sz w:val="16"/>
          <w:szCs w:val="16"/>
          <w:color w:val="auto"/>
        </w:rPr>
      </w:pPr>
    </w:p>
    <w:p>
      <w:pPr>
        <w:ind w:firstLine="8"/>
        <w:spacing w:after="0" w:line="267" w:lineRule="auto"/>
        <w:tabs>
          <w:tab w:leader="none" w:pos="25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that the person originally named as Tenant in Section 1.1 is occupying the entirety of the Premises then demised by this Lease, Permitted Transfers excepted; and (c) Landlord does not elect to use the Premises for occupancy by Harvard Real Estate – Allston, Inc. or for occupancy or use by an affiliate of Harvard University (collectively, the “</w:t>
      </w:r>
      <w:r>
        <w:rPr>
          <w:rFonts w:ascii="Arial" w:cs="Arial" w:eastAsia="Arial" w:hAnsi="Arial"/>
          <w:sz w:val="17"/>
          <w:szCs w:val="17"/>
          <w:b w:val="1"/>
          <w:bCs w:val="1"/>
          <w:u w:val="single" w:color="auto"/>
          <w:color w:val="auto"/>
        </w:rPr>
        <w:t>Harvard Use</w:t>
      </w:r>
      <w:r>
        <w:rPr>
          <w:rFonts w:ascii="Arial" w:cs="Arial" w:eastAsia="Arial" w:hAnsi="Arial"/>
          <w:sz w:val="17"/>
          <w:szCs w:val="17"/>
          <w:color w:val="auto"/>
        </w:rPr>
        <w:t>”); then Tenant shall have the option to extend this Lease for the Extension Term. Tenant may exercise this option by giving notice (“</w:t>
      </w:r>
      <w:r>
        <w:rPr>
          <w:rFonts w:ascii="Arial" w:cs="Arial" w:eastAsia="Arial" w:hAnsi="Arial"/>
          <w:sz w:val="17"/>
          <w:szCs w:val="17"/>
          <w:b w:val="1"/>
          <w:bCs w:val="1"/>
          <w:u w:val="single" w:color="auto"/>
          <w:color w:val="auto"/>
        </w:rPr>
        <w:t>Extension Notice</w:t>
      </w:r>
      <w:r>
        <w:rPr>
          <w:rFonts w:ascii="Arial" w:cs="Arial" w:eastAsia="Arial" w:hAnsi="Arial"/>
          <w:sz w:val="17"/>
          <w:szCs w:val="17"/>
          <w:color w:val="auto"/>
        </w:rPr>
        <w:t>”) to Landlord not more than eighteen months and not less than one year before the Lease Expiration Date. The termination, expiration, cancellation, assignment (except with respect to a Permitted Transfer), or surrender of this Lease as to the entire Premises shall terminate any rights of Tenant pursuant to this Section. If Landlord elects to use the Premises for the Harvard Use, then Landlord shall so notify Tenant by written notice (“</w:t>
      </w:r>
      <w:r>
        <w:rPr>
          <w:rFonts w:ascii="Arial" w:cs="Arial" w:eastAsia="Arial" w:hAnsi="Arial"/>
          <w:sz w:val="17"/>
          <w:szCs w:val="17"/>
          <w:b w:val="1"/>
          <w:bCs w:val="1"/>
          <w:u w:val="single" w:color="auto"/>
          <w:color w:val="auto"/>
        </w:rPr>
        <w:t>Landlord’s Use Notice</w:t>
      </w:r>
      <w:r>
        <w:rPr>
          <w:rFonts w:ascii="Arial" w:cs="Arial" w:eastAsia="Arial" w:hAnsi="Arial"/>
          <w:sz w:val="17"/>
          <w:szCs w:val="17"/>
          <w:color w:val="auto"/>
        </w:rPr>
        <w:t>”) and Tenant’s option shall be deemed void. If Landlord does not deliver Landlord’s Use Notice on or before the date eleven months before the Lease Expiration Date, Tenant shall by written request require that Landlord confirm its intention to use the Premises (or not to use the Premises) and Landlord shall, within 30 days thereafter, deliver written confirmation of its intention to use (or not use) the Premises for its own use. Such right to reserve the Premises for Harvard Use upon expiration of the Lease shall be personal to Harvard Real Estate – Allston, Inc. and any affiliate and shall not be assignable to any other unaffiliated owner of the Building or the Land.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3" w:right="259" w:bottom="1440" w:gutter="0" w:footer="0" w:header="0"/>
        </w:sectPr>
      </w:pPr>
    </w:p>
    <w:bookmarkStart w:id="305" w:name="page306"/>
    <w:bookmarkEnd w:id="305"/>
    <w:p>
      <w:pPr>
        <w:ind w:right="10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11.2 Determination of Rent for the Extension Term</w:t>
      </w:r>
      <w:r>
        <w:rPr>
          <w:rFonts w:ascii="Arial" w:cs="Arial" w:eastAsia="Arial" w:hAnsi="Arial"/>
          <w:sz w:val="18"/>
          <w:szCs w:val="18"/>
          <w:color w:val="auto"/>
        </w:rPr>
        <w:t>. The Basic Rent for the first Lease Year of the Extension Term shall be equal to the greater of the following:</w:t>
      </w:r>
    </w:p>
    <w:p>
      <w:pPr>
        <w:spacing w:after="0" w:line="62" w:lineRule="exact"/>
        <w:rPr>
          <w:sz w:val="20"/>
          <w:szCs w:val="20"/>
          <w:color w:val="auto"/>
        </w:rPr>
      </w:pPr>
    </w:p>
    <w:p>
      <w:pPr>
        <w:ind w:left="1140" w:hanging="219"/>
        <w:spacing w:after="0"/>
        <w:tabs>
          <w:tab w:leader="none" w:pos="11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annual Basic Rent for final Lease Year of this Lease, or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Market Rent.</w:t>
      </w:r>
    </w:p>
    <w:p>
      <w:pPr>
        <w:spacing w:after="0" w:line="2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u w:val="single" w:color="auto"/>
          <w:color w:val="auto"/>
        </w:rPr>
        <w:t>Market Rent</w:t>
      </w:r>
      <w:r>
        <w:rPr>
          <w:rFonts w:ascii="Arial" w:cs="Arial" w:eastAsia="Arial" w:hAnsi="Arial"/>
          <w:sz w:val="18"/>
          <w:szCs w:val="18"/>
          <w:color w:val="auto"/>
        </w:rPr>
        <w:t>” shall mean the fair market rental value of the Premises for the first Lease Year of the Extension Term calculated as of the commencement of the Extension Term, based on the length of such Extension Term, and the value of similar space in the greater Allston/Brighton real estate market, after adjustment for the then current operating expenses, Additional Rent, real estate taxes, and other amounts payable by Tenant, taking into account the governing provisions of this Lease. Market Rent shall be calculated on the then “as is” condition of the Premises. The Market Rent shall be determined as follows:</w:t>
      </w:r>
    </w:p>
    <w:p>
      <w:pPr>
        <w:spacing w:after="0" w:line="188" w:lineRule="exact"/>
        <w:rPr>
          <w:sz w:val="20"/>
          <w:szCs w:val="20"/>
          <w:color w:val="auto"/>
        </w:rPr>
      </w:pPr>
    </w:p>
    <w:p>
      <w:pPr>
        <w:ind w:right="460" w:firstLine="921"/>
        <w:spacing w:after="0" w:line="277" w:lineRule="auto"/>
        <w:tabs>
          <w:tab w:leader="none" w:pos="115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Landlord shall reasonably determine Market Rent and shall set forth its determination in a notice given to Tenant within sixty days after Tenant gives the Extension Notice.</w:t>
      </w:r>
    </w:p>
    <w:p>
      <w:pPr>
        <w:spacing w:after="0" w:line="170"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Tenant accepts Landlord’s determination, Tenant shall give Landlord an acceptance notice within fifteen Business Days. If Tenant in good faith disagrees with Landlord’s determination, Tenant shall within fifteen Business Days after the receipt of Landlord’s notice give Landlord notice of disagreement detailing Tenant’s basis for disagreement. If Tenant fails to give Landlord any such notice during said fifteen Business Day period, Tenant shall be deemed to have irrevocably rejected Landlord’s determination and rescinded Tenant’s Extension Notice and Tenant’s rights to extend this Lease shall be null and void.</w:t>
      </w:r>
    </w:p>
    <w:p>
      <w:pPr>
        <w:spacing w:after="0" w:line="188" w:lineRule="exact"/>
        <w:rPr>
          <w:rFonts w:ascii="Arial" w:cs="Arial" w:eastAsia="Arial" w:hAnsi="Arial"/>
          <w:sz w:val="18"/>
          <w:szCs w:val="18"/>
          <w:color w:val="auto"/>
        </w:rPr>
      </w:pPr>
    </w:p>
    <w:p>
      <w:pPr>
        <w:ind w:right="160" w:firstLine="921"/>
        <w:spacing w:after="0" w:line="277" w:lineRule="auto"/>
        <w:tabs>
          <w:tab w:leader="none" w:pos="115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Tenant gives such notice of disagreement, and Landlord and Tenant do not resolve by negotiation the Market Rent within thirty days after Tenant gives said notice of disagreement, the Market Rent shall be determined by appraisal as provided below.</w:t>
      </w:r>
    </w:p>
    <w:p>
      <w:pPr>
        <w:spacing w:after="0" w:line="170" w:lineRule="exact"/>
        <w:rPr>
          <w:rFonts w:ascii="Arial" w:cs="Arial" w:eastAsia="Arial" w:hAnsi="Arial"/>
          <w:sz w:val="18"/>
          <w:szCs w:val="18"/>
          <w:color w:val="auto"/>
        </w:rPr>
      </w:pPr>
    </w:p>
    <w:p>
      <w:pPr>
        <w:ind w:firstLine="921"/>
        <w:spacing w:after="0" w:line="271" w:lineRule="auto"/>
        <w:tabs>
          <w:tab w:leader="none" w:pos="116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Market Rent is to be determined by appraisal, then within ten days after the expiration of the thirty-day negotiation period referred to in Section 11.2(c), Landlord and Tenant shall each appoint as an appraiser a real estate broker experienced in leasing space similar to the Premises in the market or neighborhood area of the Premises or a similarly qualified real estate appraiser, and give notice of such appointment to the other party. If either Landlord or Tenant shall not so appoint such an appraiser, then the appointed appraiser shall select the second appraiser within ten days after the failure of Landlord or Tenant, as the case may be, to appoint. Such two appraisers shall, within thirty days after the appointment of the latter of them to be appointed complete their determination of the Market Rent based on the standards set forth in this Section 11.2, and submit their appraisal reports separately in writing to each of Landlord and Tenant. If the two valuations vary by less than five percent or less from their arithmetic average, the Market Rent shall be deemed to be the arithmetic average of the two valuations. If the valuations vary by more than five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3" w:right="259" w:bottom="1440" w:gutter="0" w:footer="0" w:header="0"/>
        </w:sectPr>
      </w:pPr>
    </w:p>
    <w:bookmarkStart w:id="306" w:name="page307"/>
    <w:bookmarkEnd w:id="30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 from their arithmetic average, the two appraisers shall, within ten days after submission of the last submitted appraisal report, appoint a third appraiser who shall be similarly qualified, and, in addition, shall not have performed appraisal services for Landlord or Tenant in the previous five years. If the two appraisers are unable to agree timely on the selection of the third appraiser, then either appraiser, on behalf of both, may request such appointment by the President of the Boston Bar Association. Within thirty days after the appointment of the third appraiser, the third appraiser shall determine Market Rent and give notice to Landlord and Tenant of such determination together with a copy of the appraisal report. If the third appraiser’s valuation is between the two valuations first obtained, then the Market Rent shall be deemed to be the valuation (“Third Valuation”) as determined by the third appraiser, otherwise (y) if the Third Valuation is less than the valuation set forth in the lower of the first two appraisals previously obtained (“Lower Valuation”), then the Lower Valuation shall be deemed to be the Market Rent, or (z) if the Third Valuation is greater than the valuation set forth in the higher of the first two appraisals previously obtained (“Higher Valuation”), then the Higher Valuation shall be deemed to be the Market Rent.</w:t>
      </w:r>
    </w:p>
    <w:p>
      <w:pPr>
        <w:spacing w:after="0" w:line="182" w:lineRule="exact"/>
        <w:rPr>
          <w:sz w:val="20"/>
          <w:szCs w:val="20"/>
          <w:color w:val="auto"/>
        </w:rPr>
      </w:pPr>
    </w:p>
    <w:p>
      <w:pPr>
        <w:ind w:right="120" w:firstLine="921"/>
        <w:spacing w:after="0" w:line="259" w:lineRule="auto"/>
        <w:tabs>
          <w:tab w:leader="none" w:pos="115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the three appraisers have not established the Market Rent before the Lease Expiration Date, then the Basic Rent for the First Lease Year of the Extension Term shall be calculated under clause (i) of the first sentence of this Section 11.2, until the Market Rate is determined by the appraisers, and then the parties shall adjust for over or under-payments within ten days after notice of the decision of the appraisers finally establishing the Market Rent is given to Tenant and Landlord.</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u w:val="single" w:color="auto"/>
          <w:color w:val="auto"/>
        </w:rPr>
        <w:t>Section 11.3 Costs and Expenses</w:t>
      </w:r>
      <w:r>
        <w:rPr>
          <w:rFonts w:ascii="Arial" w:cs="Arial" w:eastAsia="Arial" w:hAnsi="Arial"/>
          <w:sz w:val="17"/>
          <w:szCs w:val="17"/>
          <w:color w:val="auto"/>
        </w:rPr>
        <w:t>. Landlord and Tenant shall each pay the fees of their respective appraisers and the fees of the third appraiser shall be paid one-half by Landlord and one-half by Tenant; provided, however, that if the Higher Valuation is more than 110% of the Lower Valuation, then if the Market Rent as finally determined is more than ten percent above the Lower Valuation, the fees of all appraisers shall be borne by the party appointing the appraiser responsible for the Lower Valuation, and if the Market Rent as finally determined is more than ten percent below the Higher Valuation, the fees of all appraisers shall be borne by the party appointing the appraiser responsible for the Higher Valuation.</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Section 11.4 Continuation of Terms and Conditions</w:t>
      </w:r>
      <w:r>
        <w:rPr>
          <w:rFonts w:ascii="Arial" w:cs="Arial" w:eastAsia="Arial" w:hAnsi="Arial"/>
          <w:sz w:val="18"/>
          <w:szCs w:val="18"/>
          <w:color w:val="auto"/>
        </w:rPr>
        <w:t>. All of the terms, duties, covenants, and agreements contained in this Lease shall continue during the Extension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11.5 Intentionally Omitted</w:t>
      </w:r>
      <w:r>
        <w:rPr>
          <w:rFonts w:ascii="Arial" w:cs="Arial" w:eastAsia="Arial" w:hAnsi="Arial"/>
          <w:sz w:val="18"/>
          <w:szCs w:val="18"/>
          <w:color w:val="auto"/>
        </w:rPr>
        <w:t>.</w:t>
      </w:r>
    </w:p>
    <w:p>
      <w:pPr>
        <w:spacing w:after="0" w:line="221"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u w:val="single" w:color="auto"/>
          <w:color w:val="auto"/>
        </w:rPr>
        <w:t>Section 11.6 Definition</w:t>
      </w:r>
      <w:r>
        <w:rPr>
          <w:rFonts w:ascii="Arial" w:cs="Arial" w:eastAsia="Arial" w:hAnsi="Arial"/>
          <w:sz w:val="17"/>
          <w:szCs w:val="17"/>
          <w:color w:val="auto"/>
        </w:rPr>
        <w:t>. If this Lease is extended as provided herein, the phrase “</w:t>
      </w:r>
      <w:r>
        <w:rPr>
          <w:rFonts w:ascii="Arial" w:cs="Arial" w:eastAsia="Arial" w:hAnsi="Arial"/>
          <w:sz w:val="17"/>
          <w:szCs w:val="17"/>
          <w:b w:val="1"/>
          <w:bCs w:val="1"/>
          <w:u w:val="single" w:color="auto"/>
          <w:color w:val="auto"/>
        </w:rPr>
        <w:t>Lease Expiration Date</w:t>
      </w:r>
      <w:r>
        <w:rPr>
          <w:rFonts w:ascii="Arial" w:cs="Arial" w:eastAsia="Arial" w:hAnsi="Arial"/>
          <w:sz w:val="17"/>
          <w:szCs w:val="17"/>
          <w:color w:val="auto"/>
        </w:rPr>
        <w:t>” shall mean the last day of the Extension Term, and the phrase “</w:t>
      </w:r>
      <w:r>
        <w:rPr>
          <w:rFonts w:ascii="Arial" w:cs="Arial" w:eastAsia="Arial" w:hAnsi="Arial"/>
          <w:sz w:val="17"/>
          <w:szCs w:val="17"/>
          <w:b w:val="1"/>
          <w:bCs w:val="1"/>
          <w:u w:val="single" w:color="auto"/>
          <w:color w:val="auto"/>
        </w:rPr>
        <w:t>Extension Term</w:t>
      </w:r>
      <w:r>
        <w:rPr>
          <w:rFonts w:ascii="Arial" w:cs="Arial" w:eastAsia="Arial" w:hAnsi="Arial"/>
          <w:sz w:val="17"/>
          <w:szCs w:val="17"/>
          <w:color w:val="auto"/>
        </w:rPr>
        <w:t xml:space="preserve">” shall mean the applicable Extension Term if there is more than one Extension Term expressly provided for in this Lease. If this Lease grants Tenant the right to extend the Term of this Lease more than once, then the definitions and procedures of this Article 11.0 shall be deemed appropriately modified, </w:t>
      </w:r>
      <w:r>
        <w:rPr>
          <w:rFonts w:ascii="Arial" w:cs="Arial" w:eastAsia="Arial" w:hAnsi="Arial"/>
          <w:sz w:val="17"/>
          <w:szCs w:val="17"/>
          <w:u w:val="single" w:color="auto"/>
          <w:color w:val="auto"/>
        </w:rPr>
        <w:t>mutatis mutandis</w:t>
      </w:r>
      <w:r>
        <w:rPr>
          <w:rFonts w:ascii="Arial" w:cs="Arial" w:eastAsia="Arial" w:hAnsi="Arial"/>
          <w:sz w:val="17"/>
          <w:szCs w:val="17"/>
          <w:color w:val="auto"/>
        </w:rPr>
        <w:t>, with respect to Tenant’s second (and successive) exercise of the right to extend.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307" w:name="page308"/>
    <w:bookmarkEnd w:id="30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Lower Valuation, and if the Market Rent as finally determined is more than ten percent below the Higher Valuation, the fees of all appraisers shall be borne by the party appointing the appraiser responsible for the Higher Valuation.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Section 11.4 Continuation of Terms and Conditions</w:t>
      </w:r>
      <w:r>
        <w:rPr>
          <w:rFonts w:ascii="Arial" w:cs="Arial" w:eastAsia="Arial" w:hAnsi="Arial"/>
          <w:sz w:val="18"/>
          <w:szCs w:val="18"/>
          <w:color w:val="auto"/>
        </w:rPr>
        <w:t>. All of the terms, duties, covenants, and agreements contained in this Lease shall continue during the Extension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11.5 Intentionally Omitted</w:t>
      </w:r>
      <w:r>
        <w:rPr>
          <w:rFonts w:ascii="Arial" w:cs="Arial" w:eastAsia="Arial" w:hAnsi="Arial"/>
          <w:sz w:val="18"/>
          <w:szCs w:val="18"/>
          <w:color w:val="auto"/>
        </w:rPr>
        <w:t>.</w:t>
      </w:r>
    </w:p>
    <w:p>
      <w:pPr>
        <w:spacing w:after="0" w:line="221"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u w:val="single" w:color="auto"/>
          <w:color w:val="auto"/>
        </w:rPr>
        <w:t>Section 11.6 Definition</w:t>
      </w:r>
      <w:r>
        <w:rPr>
          <w:rFonts w:ascii="Arial" w:cs="Arial" w:eastAsia="Arial" w:hAnsi="Arial"/>
          <w:sz w:val="17"/>
          <w:szCs w:val="17"/>
          <w:color w:val="auto"/>
        </w:rPr>
        <w:t>. If this Lease is extended as provided herein, the phrase “</w:t>
      </w:r>
      <w:r>
        <w:rPr>
          <w:rFonts w:ascii="Arial" w:cs="Arial" w:eastAsia="Arial" w:hAnsi="Arial"/>
          <w:sz w:val="17"/>
          <w:szCs w:val="17"/>
          <w:b w:val="1"/>
          <w:bCs w:val="1"/>
          <w:u w:val="single" w:color="auto"/>
          <w:color w:val="auto"/>
        </w:rPr>
        <w:t>Lease Expiration Date</w:t>
      </w:r>
      <w:r>
        <w:rPr>
          <w:rFonts w:ascii="Arial" w:cs="Arial" w:eastAsia="Arial" w:hAnsi="Arial"/>
          <w:sz w:val="17"/>
          <w:szCs w:val="17"/>
          <w:color w:val="auto"/>
        </w:rPr>
        <w:t>” shall mean the last day of the Extension Term, and the phrase “</w:t>
      </w:r>
      <w:r>
        <w:rPr>
          <w:rFonts w:ascii="Arial" w:cs="Arial" w:eastAsia="Arial" w:hAnsi="Arial"/>
          <w:sz w:val="17"/>
          <w:szCs w:val="17"/>
          <w:b w:val="1"/>
          <w:bCs w:val="1"/>
          <w:u w:val="single" w:color="auto"/>
          <w:color w:val="auto"/>
        </w:rPr>
        <w:t>Extension Term</w:t>
      </w:r>
      <w:r>
        <w:rPr>
          <w:rFonts w:ascii="Arial" w:cs="Arial" w:eastAsia="Arial" w:hAnsi="Arial"/>
          <w:sz w:val="17"/>
          <w:szCs w:val="17"/>
          <w:color w:val="auto"/>
        </w:rPr>
        <w:t xml:space="preserve">” shall mean the applicable Extension Term if there is more than one Extension Term expressly provided for in this Lease. If this Lease grants Tenant the right to extend the Term of this Lease more than once, then the definitions and procedures of this Article 11.0 shall be deemed appropriately modified, </w:t>
      </w:r>
      <w:r>
        <w:rPr>
          <w:rFonts w:ascii="Arial" w:cs="Arial" w:eastAsia="Arial" w:hAnsi="Arial"/>
          <w:sz w:val="17"/>
          <w:szCs w:val="17"/>
          <w:u w:val="single" w:color="auto"/>
          <w:color w:val="auto"/>
        </w:rPr>
        <w:t>mutatis mutandis</w:t>
      </w:r>
      <w:r>
        <w:rPr>
          <w:rFonts w:ascii="Arial" w:cs="Arial" w:eastAsia="Arial" w:hAnsi="Arial"/>
          <w:sz w:val="17"/>
          <w:szCs w:val="17"/>
          <w:color w:val="auto"/>
        </w:rPr>
        <w:t>, with respect to Tenant’s second (and successive) exercise of the right to extend.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Lease as of the date first above written, and this Lease shall take effect as an instrument under seal.</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HARVARD REAL ESTATE-ALLSTON,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W. Gray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James W. Gray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SNBL USA, Ltd.</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Meyer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Steven Meyer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RULES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RULES AND REGULATIONS FOR NON-RESIDENTIAL TENANTS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[Capitalized terms herein have the meanings set forth in Tenant’s Lease].</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Landlord reserves the right to amend or rescind, from time to time, any of these Rules and Regulations and to make such other and further Rules and Regulations as in its judgment shall, from time to time, be required. Such Rules and Regulations, when made, amended, or rescinded and notice thereof is given to a tenant, shall be binding upon the tenant. In the event of any conflict between these Rules and Regulations and the Lease, provisions of the Lease shall control.</w:t>
      </w:r>
    </w:p>
    <w:p>
      <w:pPr>
        <w:spacing w:after="0" w:line="187" w:lineRule="exact"/>
        <w:rPr>
          <w:sz w:val="20"/>
          <w:szCs w:val="20"/>
          <w:color w:val="auto"/>
        </w:rPr>
      </w:pPr>
    </w:p>
    <w:p>
      <w:pPr>
        <w:ind w:firstLine="8"/>
        <w:spacing w:after="0" w:line="259" w:lineRule="auto"/>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sidewalks, driveways, entrances, passages, courts, elevators, vestibules, stairways, corridors, halls, fire escapes, or other parts of the Building not occupied by any tenant shall not be obstructed by any tenant or used for any purpose other than ingress and egress to and from the tenant’s premises. Landlord shall have the right to control and operate the public portions of the Building and the facilities furnished for common use of the tenants in such manner as Landlord deems best for the benefit of the tenants generally.</w:t>
      </w:r>
    </w:p>
    <w:p>
      <w:pPr>
        <w:spacing w:after="0" w:line="186" w:lineRule="exact"/>
        <w:rPr>
          <w:rFonts w:ascii="Arial" w:cs="Arial" w:eastAsia="Arial" w:hAnsi="Arial"/>
          <w:sz w:val="18"/>
          <w:szCs w:val="18"/>
          <w:color w:val="auto"/>
        </w:rPr>
      </w:pPr>
    </w:p>
    <w:p>
      <w:pPr>
        <w:jc w:val="both"/>
        <w:ind w:right="40" w:firstLine="8"/>
        <w:spacing w:after="0" w:line="302" w:lineRule="auto"/>
        <w:tabs>
          <w:tab w:leader="none" w:pos="1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 awnings, signs, or other projections shall be attached to the outside walls of the Building without the prior written consent of Landlord. No drapes, blinds, shades, or screens shall be attached to or hung in, or used in connection with, any window or door of a tenant’s premises, without the prior written consent of Landlord. Such awnings, projections, curtains, blinds, shades, screens or other fixtures must be of a quality, type, design, and color, and attached in the manner, approved by Landlord. No tenant shall throw anything out of the doors or windows or down the corridors, stairs, or air shafts.</w:t>
      </w:r>
    </w:p>
    <w:p>
      <w:pPr>
        <w:spacing w:after="0" w:line="154" w:lineRule="exact"/>
        <w:rPr>
          <w:rFonts w:ascii="Arial" w:cs="Arial" w:eastAsia="Arial" w:hAnsi="Arial"/>
          <w:sz w:val="16"/>
          <w:szCs w:val="16"/>
          <w:color w:val="auto"/>
        </w:rPr>
      </w:pPr>
    </w:p>
    <w:p>
      <w:pPr>
        <w:ind w:right="260" w:firstLine="8"/>
        <w:spacing w:after="0" w:line="308" w:lineRule="auto"/>
        <w:tabs>
          <w:tab w:leader="none" w:pos="1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water, toilets, wash closets, and other plumbing fixtures shall not be used for any purposes other than those for which they were constructed, and no sweepings, rubbish, cooking oils, grease, cleaning solvents, rags, chemicals, paints, cleaning fluids, or other substances shall be put therein.</w:t>
      </w:r>
    </w:p>
    <w:p>
      <w:pPr>
        <w:spacing w:after="0" w:line="146" w:lineRule="exact"/>
        <w:rPr>
          <w:rFonts w:ascii="Arial" w:cs="Arial" w:eastAsia="Arial" w:hAnsi="Arial"/>
          <w:sz w:val="17"/>
          <w:szCs w:val="17"/>
          <w:color w:val="auto"/>
        </w:rPr>
      </w:pPr>
    </w:p>
    <w:p>
      <w:pPr>
        <w:ind w:right="80" w:firstLine="8"/>
        <w:spacing w:after="0" w:line="273" w:lineRule="auto"/>
        <w:tabs>
          <w:tab w:leader="none" w:pos="1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There shall be no marking, painting, drilling into, or in any way defacing the Building or any part of tenant’s premises visible from public areas of the Building. Tenants shall not construct, maintain, use, or operate within the tenant’s premises any electrical device, wiring, or apparatus in connection with a loud speaker system or other sound or alarm system except as reasonably required for its communication system and approved by Landlord before the installation thereof. The tenant shall bear all costs and pay all fines in connection with any malfunctioning system. If in the sole opinion of Landlord, the system becomes a nuisance or creates an unreasonable disturbance, the tenant shall promptly remedy or remove same as Landlord may request. No such loud speaker or sound system shall be constructed, maintained, used, or operated outside of tenant’s premises.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309" w:name="page310"/>
    <w:bookmarkEnd w:id="309"/>
    <w:p>
      <w:pPr>
        <w:ind w:left="-8" w:firstLine="8"/>
        <w:spacing w:after="0" w:line="277" w:lineRule="auto"/>
        <w:tabs>
          <w:tab w:leader="none" w:pos="172"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bicycles, vehicles, or animals, birds, or pets of any kind shall be brought into or kept in or about public areas, Common Facilities, or a tenant’s premises and no cooking shall be done or permitted by any tenant in the tenant’s premises.</w:t>
      </w:r>
    </w:p>
    <w:p>
      <w:pPr>
        <w:spacing w:after="0" w:line="170" w:lineRule="exact"/>
        <w:rPr>
          <w:rFonts w:ascii="Arial" w:cs="Arial" w:eastAsia="Arial" w:hAnsi="Arial"/>
          <w:sz w:val="18"/>
          <w:szCs w:val="18"/>
          <w:color w:val="auto"/>
        </w:rPr>
      </w:pPr>
    </w:p>
    <w:p>
      <w:pPr>
        <w:ind w:left="-8" w:right="780" w:firstLine="8"/>
        <w:spacing w:after="0" w:line="277" w:lineRule="auto"/>
        <w:tabs>
          <w:tab w:leader="none" w:pos="17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space in the Building shall be used by a tenant for manufacturing of goods, for the storage in bulk of merchandise or for the sale at auction of merchandise, goods, or property of any kind.</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No flammable, combustible, radioactive, infectious, or explosive fluid, chemical, or substance shall be brought or kept upon a tenant’s premises.</w:t>
      </w:r>
    </w:p>
    <w:p>
      <w:pPr>
        <w:spacing w:after="0" w:line="236" w:lineRule="exact"/>
        <w:rPr>
          <w:rFonts w:ascii="Arial" w:cs="Arial" w:eastAsia="Arial" w:hAnsi="Arial"/>
          <w:sz w:val="17"/>
          <w:szCs w:val="17"/>
          <w:color w:val="auto"/>
        </w:rPr>
      </w:pPr>
    </w:p>
    <w:p>
      <w:pPr>
        <w:ind w:left="-8" w:right="40" w:firstLine="8"/>
        <w:spacing w:after="0" w:line="277" w:lineRule="auto"/>
        <w:tabs>
          <w:tab w:leader="none" w:pos="17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Landlord reserves the right to inspect all freight to be brought into the Building and to exclude from the Building all freight that violates any of these Rules and Regulations.</w:t>
      </w:r>
    </w:p>
    <w:p>
      <w:pPr>
        <w:spacing w:after="0" w:line="170" w:lineRule="exact"/>
        <w:rPr>
          <w:rFonts w:ascii="Arial" w:cs="Arial" w:eastAsia="Arial" w:hAnsi="Arial"/>
          <w:sz w:val="18"/>
          <w:szCs w:val="18"/>
          <w:color w:val="auto"/>
        </w:rPr>
      </w:pPr>
    </w:p>
    <w:p>
      <w:pPr>
        <w:ind w:left="-8" w:firstLine="8"/>
        <w:spacing w:after="0" w:line="259" w:lineRule="auto"/>
        <w:tabs>
          <w:tab w:leader="none" w:pos="17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Landlord reserves the right to exclude from the Building at all times any person who is not known or does not give proper and satisfactory identification to the Building management. Tenants will comply with any measures instituted for the security of the building that may include the signing in or out in a register in the Building lobby after hours and on weekends and holidays. Each tenant shall be responsible for all persons for whom it authorizes entry into or exit out of the Building, and shall be liable to Landlord for all acts or omissions of such persons.</w:t>
      </w:r>
    </w:p>
    <w:p>
      <w:pPr>
        <w:spacing w:after="0" w:line="213" w:lineRule="exact"/>
        <w:rPr>
          <w:rFonts w:ascii="Arial" w:cs="Arial" w:eastAsia="Arial" w:hAnsi="Arial"/>
          <w:sz w:val="18"/>
          <w:szCs w:val="18"/>
          <w:color w:val="auto"/>
        </w:rPr>
      </w:pPr>
    </w:p>
    <w:p>
      <w:pPr>
        <w:ind w:left="452" w:hanging="452"/>
        <w:spacing w:after="0"/>
        <w:tabs>
          <w:tab w:leader="none" w:pos="45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tenant’s premises shall not, at any time, be used for lodging or sleeping or for any immoral or illegal purpose.</w:t>
      </w:r>
    </w:p>
    <w:p>
      <w:pPr>
        <w:spacing w:after="0" w:line="225" w:lineRule="exact"/>
        <w:rPr>
          <w:rFonts w:ascii="Arial" w:cs="Arial" w:eastAsia="Arial" w:hAnsi="Arial"/>
          <w:sz w:val="18"/>
          <w:szCs w:val="18"/>
          <w:color w:val="auto"/>
        </w:rPr>
      </w:pPr>
    </w:p>
    <w:p>
      <w:pPr>
        <w:ind w:left="-8" w:right="320" w:firstLine="8"/>
        <w:spacing w:after="0" w:line="277" w:lineRule="auto"/>
        <w:tabs>
          <w:tab w:leader="none" w:pos="2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tenant, before closing and leaving its premises at any time, shall see that all windows are closed and all lights (except security lights approved or required by Landlord or required by Legal Requirements) turned off.</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is prohibited and each tenant shall cooperate to prevent the same.</w:t>
      </w:r>
    </w:p>
    <w:p>
      <w:pPr>
        <w:spacing w:after="0" w:line="225" w:lineRule="exact"/>
        <w:rPr>
          <w:rFonts w:ascii="Arial" w:cs="Arial" w:eastAsia="Arial" w:hAnsi="Arial"/>
          <w:sz w:val="18"/>
          <w:szCs w:val="18"/>
          <w:color w:val="auto"/>
        </w:rPr>
      </w:pPr>
    </w:p>
    <w:p>
      <w:pPr>
        <w:jc w:val="both"/>
        <w:ind w:left="-8" w:right="100" w:firstLine="8"/>
        <w:spacing w:after="0" w:line="264" w:lineRule="auto"/>
        <w:tabs>
          <w:tab w:leader="none" w:pos="2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There shall not be any hand trucks used in any tenant’s premises, or in the public halls of the Building, either by any tenant or by jobbers or others, in the delivery or receipt of merchandise, except those equipped with rubber tires and side guards. Tenants shall be responsible to Landlord for any loss or damage resulting from any deliveries to tenants.</w:t>
      </w:r>
    </w:p>
    <w:p>
      <w:pPr>
        <w:spacing w:after="0" w:line="181" w:lineRule="exact"/>
        <w:rPr>
          <w:rFonts w:ascii="Arial" w:cs="Arial" w:eastAsia="Arial" w:hAnsi="Arial"/>
          <w:sz w:val="18"/>
          <w:szCs w:val="18"/>
          <w:color w:val="auto"/>
        </w:rPr>
      </w:pPr>
    </w:p>
    <w:p>
      <w:pPr>
        <w:ind w:left="-8" w:right="220" w:firstLine="8"/>
        <w:spacing w:after="0" w:line="277" w:lineRule="auto"/>
        <w:tabs>
          <w:tab w:leader="none" w:pos="2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Mats, boxes, trash, or other objects shall not be placed in the public corridors. Trash shall be stored and disposed of only in accordance with Landlord’s instructions.</w:t>
      </w:r>
    </w:p>
    <w:p>
      <w:pPr>
        <w:spacing w:after="0" w:line="170" w:lineRule="exact"/>
        <w:rPr>
          <w:rFonts w:ascii="Arial" w:cs="Arial" w:eastAsia="Arial" w:hAnsi="Arial"/>
          <w:sz w:val="18"/>
          <w:szCs w:val="18"/>
          <w:color w:val="auto"/>
        </w:rPr>
      </w:pPr>
    </w:p>
    <w:p>
      <w:pPr>
        <w:ind w:left="-8" w:right="100" w:firstLine="8"/>
        <w:spacing w:after="0" w:line="277" w:lineRule="auto"/>
        <w:tabs>
          <w:tab w:leader="none" w:pos="2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one except Landlord and its employees and agents shall be allowed on the roof of the Building, in utility or janitor’s closets, or in any basement areas except those areas specifically leased to a tenant or otherwise expressly designated for the tenant’s use.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92"/>
          </w:cols>
          <w:pgMar w:left="248" w:top="273" w:right="259" w:bottom="1440" w:gutter="0" w:footer="0" w:header="0"/>
        </w:sectPr>
      </w:pPr>
    </w:p>
    <w:bookmarkStart w:id="310" w:name="page311"/>
    <w:bookmarkEnd w:id="310"/>
    <w:p>
      <w:pPr>
        <w:jc w:val="both"/>
        <w:ind w:left="-8" w:right="180" w:firstLine="8"/>
        <w:spacing w:after="0" w:line="342" w:lineRule="auto"/>
        <w:tabs>
          <w:tab w:leader="none" w:pos="262"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tenant shall place any sign or advertising notice in any part of the Building except as approved by Landlord, or use any advertising or take any other action that in Landlord’s judgment might tend to affect adversely the reputation of the Building and its desirability as a building for retail stores and offices.</w:t>
      </w:r>
    </w:p>
    <w:p>
      <w:pPr>
        <w:spacing w:after="0" w:line="123" w:lineRule="exact"/>
        <w:rPr>
          <w:rFonts w:ascii="Arial" w:cs="Arial" w:eastAsia="Arial" w:hAnsi="Arial"/>
          <w:sz w:val="16"/>
          <w:szCs w:val="16"/>
          <w:color w:val="auto"/>
        </w:rPr>
      </w:pPr>
    </w:p>
    <w:p>
      <w:pPr>
        <w:ind w:left="-8" w:firstLine="8"/>
        <w:spacing w:after="0" w:line="264" w:lineRule="auto"/>
        <w:tabs>
          <w:tab w:leader="none" w:pos="26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Movement of furniture or office equipment, or dispatch or receipt by tenants of any bulky material, merchandise, or materials that requires use of elevators or stairways, or movement through the Building entrances or lobby, shall be restricted to such hours as Landlord may designate, and such movement shall be subject to control of Landlord.</w:t>
      </w:r>
    </w:p>
    <w:p>
      <w:pPr>
        <w:spacing w:after="0" w:line="181" w:lineRule="exact"/>
        <w:rPr>
          <w:rFonts w:ascii="Arial" w:cs="Arial" w:eastAsia="Arial" w:hAnsi="Arial"/>
          <w:sz w:val="18"/>
          <w:szCs w:val="18"/>
          <w:color w:val="auto"/>
        </w:rPr>
      </w:pPr>
    </w:p>
    <w:p>
      <w:pPr>
        <w:ind w:left="272" w:hanging="272"/>
        <w:spacing w:after="0"/>
        <w:tabs>
          <w:tab w:leader="none" w:pos="27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Landlord shall have the authority to limit the weight and size and prescribe the manner that safes, file cabinets, and other heavy equipment are positioned.</w:t>
      </w:r>
    </w:p>
    <w:p>
      <w:pPr>
        <w:spacing w:after="0" w:line="248" w:lineRule="exact"/>
        <w:rPr>
          <w:rFonts w:ascii="Arial" w:cs="Arial" w:eastAsia="Arial" w:hAnsi="Arial"/>
          <w:sz w:val="16"/>
          <w:szCs w:val="16"/>
          <w:color w:val="auto"/>
        </w:rPr>
      </w:pPr>
    </w:p>
    <w:p>
      <w:pPr>
        <w:ind w:left="-8" w:right="640" w:firstLine="8"/>
        <w:spacing w:after="0" w:line="277" w:lineRule="auto"/>
        <w:tabs>
          <w:tab w:leader="none" w:pos="26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passenger elevators are to be used only for the movement of persons and routine deliveries to a tenant’s premises, unless an exception is first approved by Landlord in writing.</w:t>
      </w:r>
    </w:p>
    <w:p>
      <w:pPr>
        <w:spacing w:after="0" w:line="170" w:lineRule="exact"/>
        <w:rPr>
          <w:rFonts w:ascii="Arial" w:cs="Arial" w:eastAsia="Arial" w:hAnsi="Arial"/>
          <w:sz w:val="18"/>
          <w:szCs w:val="18"/>
          <w:color w:val="auto"/>
        </w:rPr>
      </w:pPr>
    </w:p>
    <w:p>
      <w:pPr>
        <w:ind w:left="-8" w:right="300" w:firstLine="8"/>
        <w:spacing w:after="0" w:line="277" w:lineRule="auto"/>
        <w:tabs>
          <w:tab w:leader="none" w:pos="26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Tenants shall not tamper with or attempt to adjust temperature control thermostats in their respective premises. Tenant shall request Landlord to adjust thermostats to maintain required temperatures for heating, ventilating, and air conditioning.</w:t>
      </w:r>
    </w:p>
    <w:p>
      <w:pPr>
        <w:spacing w:after="0" w:line="170" w:lineRule="exact"/>
        <w:rPr>
          <w:rFonts w:ascii="Arial" w:cs="Arial" w:eastAsia="Arial" w:hAnsi="Arial"/>
          <w:sz w:val="18"/>
          <w:szCs w:val="18"/>
          <w:color w:val="auto"/>
        </w:rPr>
      </w:pPr>
    </w:p>
    <w:p>
      <w:pPr>
        <w:ind w:left="-8" w:right="500" w:firstLine="8"/>
        <w:spacing w:after="0" w:line="342" w:lineRule="auto"/>
        <w:tabs>
          <w:tab w:leader="none" w:pos="26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No vending or coin- or token-operated machines of any type shall be allowed in a tenant’s premises (or any common area) without the prior written consent of Landlord. Pin-ball machines, video games, and similar automatic amusement devices shall not be permitted on the tenant’s premises.</w:t>
      </w:r>
    </w:p>
    <w:p>
      <w:pPr>
        <w:spacing w:after="0" w:line="123" w:lineRule="exact"/>
        <w:rPr>
          <w:rFonts w:ascii="Arial" w:cs="Arial" w:eastAsia="Arial" w:hAnsi="Arial"/>
          <w:sz w:val="16"/>
          <w:szCs w:val="16"/>
          <w:color w:val="auto"/>
        </w:rPr>
      </w:pPr>
    </w:p>
    <w:p>
      <w:pPr>
        <w:ind w:left="-8" w:right="20" w:firstLine="8"/>
        <w:spacing w:after="0" w:line="277" w:lineRule="auto"/>
        <w:tabs>
          <w:tab w:leader="none" w:pos="26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Landlord shall not be responsible for lost or stolen personal property, including money or jewelry from a tenant’s premises, the Common Facilities, or any public areas regardless of whether such loss occurs when such area is locked against entry or not.</w:t>
      </w:r>
    </w:p>
    <w:p>
      <w:pPr>
        <w:spacing w:after="0" w:line="170" w:lineRule="exact"/>
        <w:rPr>
          <w:rFonts w:ascii="Arial" w:cs="Arial" w:eastAsia="Arial" w:hAnsi="Arial"/>
          <w:sz w:val="18"/>
          <w:szCs w:val="18"/>
          <w:color w:val="auto"/>
        </w:rPr>
      </w:pPr>
    </w:p>
    <w:p>
      <w:pPr>
        <w:ind w:left="-8" w:right="120" w:firstLine="8"/>
        <w:spacing w:after="0" w:line="264" w:lineRule="auto"/>
        <w:tabs>
          <w:tab w:leader="none" w:pos="26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Tenant shall participate fully and shall ensure that Tenant’s employees participate fully in all safety programs, practices, and drills, relating to emergency evacuation of the Building. Tenant shall ensure that Tenant’s employees are appropriately instructed and informed. Tenant shall provide appropriate evacuation monitors, assistants, and wardens as necessary to assist in evacuations.</w:t>
      </w:r>
    </w:p>
    <w:p>
      <w:pPr>
        <w:spacing w:after="0" w:line="181" w:lineRule="exact"/>
        <w:rPr>
          <w:rFonts w:ascii="Arial" w:cs="Arial" w:eastAsia="Arial" w:hAnsi="Arial"/>
          <w:sz w:val="18"/>
          <w:szCs w:val="18"/>
          <w:color w:val="auto"/>
        </w:rPr>
      </w:pPr>
    </w:p>
    <w:p>
      <w:pPr>
        <w:ind w:left="-8" w:right="320" w:firstLine="8"/>
        <w:spacing w:after="0" w:line="277" w:lineRule="auto"/>
        <w:tabs>
          <w:tab w:leader="none" w:pos="26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Tenant shall deliver to Landlord at Landlord’s request, a list of managers and supervisors employed on the tenant’s premises and their home telephone numbers (or telephone numbers where such persons can be reached in an emergency).</w:t>
      </w:r>
    </w:p>
    <w:p>
      <w:pPr>
        <w:spacing w:after="0" w:line="170" w:lineRule="exact"/>
        <w:rPr>
          <w:rFonts w:ascii="Arial" w:cs="Arial" w:eastAsia="Arial" w:hAnsi="Arial"/>
          <w:sz w:val="18"/>
          <w:szCs w:val="18"/>
          <w:color w:val="auto"/>
        </w:rPr>
      </w:pPr>
    </w:p>
    <w:p>
      <w:pPr>
        <w:ind w:left="-8" w:right="160" w:firstLine="8"/>
        <w:spacing w:after="0" w:line="277" w:lineRule="auto"/>
        <w:tabs>
          <w:tab w:leader="none" w:pos="26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Tenant shall not park automobiles, motorcycles, other vehicles, or bicycles on their Premises, on the Land, in the Building, on other land of Landlord, or in Landlord’s other buildings unless expressly permitted in writing or in the tenant’s lease.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92"/>
          </w:cols>
          <w:pgMar w:left="248" w:top="273" w:right="25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INTENTIONALLY DELETED</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019"/>
          </w:cols>
          <w:pgMar w:left="1440" w:top="274" w:right="1440" w:bottom="1440" w:gutter="0" w:footer="0" w:header="0"/>
          <w:type w:val="continuous"/>
        </w:sectPr>
      </w:pPr>
    </w:p>
    <w:bookmarkStart w:id="312" w:name="page313"/>
    <w:bookmarkEnd w:id="31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LANDLORD’S WORK LETTER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defined in or by reference in the Lease shall have the same meaning in this Exhibit as in the Lease.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12.0 CONSTRUCTION PROVISIONS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Procedures:</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Section 12.1 Condition of the Premises; Landlord’s Work</w:t>
      </w:r>
      <w:r>
        <w:rPr>
          <w:rFonts w:ascii="Arial" w:cs="Arial" w:eastAsia="Arial" w:hAnsi="Arial"/>
          <w:sz w:val="17"/>
          <w:szCs w:val="17"/>
          <w:color w:val="auto"/>
        </w:rPr>
        <w:t>. Tenant acknowledges and agrees that Tenant is accepting the Buildings and the Premises in their “as is” condition and it is specifically understood and agreed that except with respect to Landlord’s Work (defined below), Landlord has no obligation and has made no promises to alter, remodel, improve, renovate, repair or decorate the Premises, the Building, or any part thereof, or to provide any allowance for such purposes (except as specifically set forth herein), and that no representations respecting the condition of the Premises or the Building have been made by Landlord to Tenant (except as otherwise specifically set forth herein). Landlord shall perform Landlord’s Work (defined below) at Landlord’s cost, except as otherwise stated in this Article 12.0. Landlord shall commence Landlord’s Work, subject to delays beyond its control, within thirty (30) days after execution of this Lease by all parties and shall diligently pursue the same to completion on or before (i) the Lease Commencement Date (with respect to demising walls), and (ii) the date that is four (4) months after the Lease Commencement Date (with respect to common area bathrooms). The term “</w:t>
      </w:r>
      <w:r>
        <w:rPr>
          <w:rFonts w:ascii="Arial" w:cs="Arial" w:eastAsia="Arial" w:hAnsi="Arial"/>
          <w:sz w:val="17"/>
          <w:szCs w:val="17"/>
          <w:b w:val="1"/>
          <w:bCs w:val="1"/>
          <w:u w:val="single" w:color="auto"/>
          <w:color w:val="auto"/>
        </w:rPr>
        <w:t>Landlord’s Work</w:t>
      </w:r>
      <w:r>
        <w:rPr>
          <w:rFonts w:ascii="Arial" w:cs="Arial" w:eastAsia="Arial" w:hAnsi="Arial"/>
          <w:sz w:val="17"/>
          <w:szCs w:val="17"/>
          <w:color w:val="auto"/>
        </w:rPr>
        <w:t xml:space="preserve">” shall mean the construction of demising walls in accordance with the space plan attached to this Lease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and renovation and remodeling of the common area bathroom facilities.</w:t>
      </w:r>
    </w:p>
    <w:p>
      <w:pPr>
        <w:spacing w:after="0" w:line="1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u w:val="single" w:color="auto"/>
          <w:color w:val="auto"/>
        </w:rPr>
        <w:t>Section 12.2 Tenant’s Work</w:t>
      </w:r>
      <w:r>
        <w:rPr>
          <w:rFonts w:ascii="Arial" w:cs="Arial" w:eastAsia="Arial" w:hAnsi="Arial"/>
          <w:sz w:val="18"/>
          <w:szCs w:val="18"/>
          <w:color w:val="auto"/>
        </w:rPr>
        <w:t>. Tenant shall perform Tenant’s Work as set forth in this Article 12.0. The term “</w:t>
      </w:r>
      <w:r>
        <w:rPr>
          <w:rFonts w:ascii="Arial" w:cs="Arial" w:eastAsia="Arial" w:hAnsi="Arial"/>
          <w:sz w:val="18"/>
          <w:szCs w:val="18"/>
          <w:b w:val="1"/>
          <w:bCs w:val="1"/>
          <w:u w:val="single" w:color="auto"/>
          <w:color w:val="auto"/>
        </w:rPr>
        <w:t>Tenant’s Work</w:t>
      </w:r>
      <w:r>
        <w:rPr>
          <w:rFonts w:ascii="Arial" w:cs="Arial" w:eastAsia="Arial" w:hAnsi="Arial"/>
          <w:sz w:val="18"/>
          <w:szCs w:val="18"/>
          <w:color w:val="auto"/>
        </w:rPr>
        <w:t>” shall mean all work, decorations, additions, and alterations, other than Landlord’s Work, that may be undertaken by or for the account of Tenant, to prepare, equip, decorate, and furnish the Premises for Tenant’s use and occupancy, all in conformity with this Article 12.0 and the standard of quality construction, as determined by Landlord in its reasonable discretion.</w:t>
      </w:r>
    </w:p>
    <w:p>
      <w:pPr>
        <w:spacing w:after="0" w:line="18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u w:val="single" w:color="auto"/>
          <w:color w:val="auto"/>
        </w:rPr>
        <w:t>12.2.1 Tenant’s Plans</w:t>
      </w:r>
      <w:r>
        <w:rPr>
          <w:rFonts w:ascii="Arial" w:cs="Arial" w:eastAsia="Arial" w:hAnsi="Arial"/>
          <w:sz w:val="17"/>
          <w:szCs w:val="17"/>
          <w:color w:val="auto"/>
        </w:rPr>
        <w:t>. Tenant, at its sole cost (subject to reimbursement of such costs from the Tenant Improvement Allowance) shall cause to be prepared and delivered to Landlord, within sixty (60) days of the Date of this Lease, three copies of complete, detailed architectural, mechanical, and electrical drawings and specifications for Tenant’s Work (the “</w:t>
      </w:r>
      <w:r>
        <w:rPr>
          <w:rFonts w:ascii="Arial" w:cs="Arial" w:eastAsia="Arial" w:hAnsi="Arial"/>
          <w:sz w:val="17"/>
          <w:szCs w:val="17"/>
          <w:b w:val="1"/>
          <w:bCs w:val="1"/>
          <w:u w:val="single" w:color="auto"/>
          <w:color w:val="auto"/>
        </w:rPr>
        <w:t>Tenant’s Plans</w:t>
      </w:r>
      <w:r>
        <w:rPr>
          <w:rFonts w:ascii="Arial" w:cs="Arial" w:eastAsia="Arial" w:hAnsi="Arial"/>
          <w:sz w:val="17"/>
          <w:szCs w:val="17"/>
          <w:color w:val="auto"/>
        </w:rPr>
        <w:t>”). Tenant’s Plans shall describe all work necessary to fit the Premises for use by Tenant in the conduct of its business in a first-class manner, in compliance with all Legal Requirements and the requirements of this Lease, including the use and operational requirements set forth in Article 2.0 hereof. Tenant’s Plans shall be subject to Landlord’s prior written approval (not to be unreasonably withheld, conditioned or delayed) and shall be prepared by licensed architects and engineers first approved by Landlord. Tenant’s Plans shall comply with all applicable Legal Requirements and shall conform to Landlord’s interpretation of the Landlord’s standards for the Building. If, in connection with determining whether or not to approve Tenant’s Plans or revisions thereto,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3" w:right="25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incurs architectural, engineering, or any other professional fees, Tenant shall pay such reasonable fees as Additional Rent. Tenant shall have ten</w:t>
      </w:r>
    </w:p>
    <w:p>
      <w:pPr>
        <w:spacing w:after="0" w:line="46" w:lineRule="exact"/>
        <w:rPr>
          <w:sz w:val="20"/>
          <w:szCs w:val="20"/>
          <w:color w:val="auto"/>
        </w:rPr>
      </w:pPr>
    </w:p>
    <w:p>
      <w:pPr>
        <w:ind w:firstLine="8"/>
        <w:spacing w:after="0" w:line="281" w:lineRule="auto"/>
        <w:tabs>
          <w:tab w:leader="none" w:pos="34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Business Days following notice by Landlord to respond to any comments or changes requested by Landlord and to resubmit three copies of the revised Tenant’s Plans to Landlord. Notwithstanding anything herein to the contrary, Landlord’s approval rights as to the Tenant’s Plans shall be limited to a review of the Tenant’s Plans to confirm that: (i) the improvements are reasonably compatible with (and not damaging to) the structural, mechanical, electrical, plumbing and other systems of the Building, (ii) the improvements do not materially adversely impact (in Landlord’s reasonable judgment) either the exterior appearance or operations of the Building or the appearance or operations of the public areas of the Building and (iii) the improvements comply with Legal Requirements. Within ten (10) Business Days after delivery of a complete set of the Tenant’s Plans to Landlord, Landlord shall either approve such Tenant’s Plans or notify Tenant of the specific item(s) of such Tenant’s Plans of which Landlord disapproves and a detailed description of the reason(s) for such disapproval. If Landlord disapproves any of the Tenant’s Plans, within ten (10) Business Days after receipt of Landlord’s disapproval notice, Tenant shall revise and resubmit same to Landlord for approval, which approval shall not be unreasonably withheld or conditioned. The above process shall be repeated until such time as Landlord has approved or is deemed to have approved the Tenant’s Plans. If, as, and when Landlord shall approve (or deemed to have approved as set forth below) Tenant’s Plans, the same shall become final and three copies thereof shall be signed by Landlord and Tenant, two sets to be retained by Landlord and one set to be retained by Tenant. Tenant’s Plans shall not be changed without the prior written approval of Landlord in each instance, not to be unreasonably withheld, conditioned or delayed. In the event Landlord fails to either approve or disapprove in writing Tenant’s Plans within said ten (10) Business Day review period, then Tenant may provide Landlord with a reminder notice, (which shall include a duplicate set of Tenant’s Plans) which notice shall bear the following caption prominently in the subject line of such notice: </w:t>
      </w:r>
      <w:r>
        <w:rPr>
          <w:rFonts w:ascii="Arial" w:cs="Arial" w:eastAsia="Arial" w:hAnsi="Arial"/>
          <w:sz w:val="16"/>
          <w:szCs w:val="16"/>
          <w:b w:val="1"/>
          <w:bCs w:val="1"/>
          <w:color w:val="auto"/>
        </w:rPr>
        <w:t>“THIS NOTICE SHALL CONSTITUTE THE FIVE</w:t>
      </w:r>
    </w:p>
    <w:p>
      <w:pPr>
        <w:spacing w:after="0" w:line="10" w:lineRule="exact"/>
        <w:rPr>
          <w:rFonts w:ascii="Arial" w:cs="Arial" w:eastAsia="Arial" w:hAnsi="Arial"/>
          <w:sz w:val="16"/>
          <w:szCs w:val="16"/>
          <w:color w:val="auto"/>
        </w:rPr>
      </w:pPr>
    </w:p>
    <w:p>
      <w:pPr>
        <w:ind w:firstLine="8"/>
        <w:spacing w:after="0" w:line="267" w:lineRule="auto"/>
        <w:tabs>
          <w:tab w:leader="none" w:pos="255"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DAY REMINDER NOTICE AS SET FORTH IN SECTION 12.2.1 OF THE LEASE. LANDLORD’S FAILURE TO EITHER APPROVE OR DISAPPROVE THE ENCLOSED TENANT’S PLANS IN ACCORDANCE WITH THE PROVISIONS OF SECTION 12.2.1 OF THE LEASE WITHIN FIVE (5) BUSINESS DAYS OF LANDLORD’S RECEIPT HEREOF SHALL BE DEEMED TO BE LANDLORD’S WRITTEN APPROVAL OF THE ENCLOSED TENANT’S PLANS” </w:t>
      </w:r>
      <w:r>
        <w:rPr>
          <w:rFonts w:ascii="Arial" w:cs="Arial" w:eastAsia="Arial" w:hAnsi="Arial"/>
          <w:sz w:val="17"/>
          <w:szCs w:val="17"/>
          <w:color w:val="auto"/>
        </w:rPr>
        <w:t>(the “</w:t>
      </w:r>
      <w:r>
        <w:rPr>
          <w:rFonts w:ascii="Arial" w:cs="Arial" w:eastAsia="Arial" w:hAnsi="Arial"/>
          <w:sz w:val="17"/>
          <w:szCs w:val="17"/>
          <w:b w:val="1"/>
          <w:bCs w:val="1"/>
          <w:color w:val="auto"/>
        </w:rPr>
        <w:t>Reminder Notice</w:t>
      </w:r>
      <w:r>
        <w:rPr>
          <w:rFonts w:ascii="Arial" w:cs="Arial" w:eastAsia="Arial" w:hAnsi="Arial"/>
          <w:sz w:val="17"/>
          <w:szCs w:val="17"/>
          <w:color w:val="auto"/>
        </w:rPr>
        <w:t>”). The Reminder Notice shall be delivered to Landlord’s</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Manager, Joseph Jones, with a copy to Peter Sullivan, Assistant Director, University and Commercial Leasing, both at Landlord’s address set forth in Section 9.2 and otherwise in accordance with the notice provisions in Section 9.2. In the event Landlord fails to either approve or disapprove in writing Tenant’s Plans within five (5) Business Days of Landlord’s receipt of said Reminder Notice, the version of Tenant’s Plans which shall have been attached to both the original notice to Landlord and the Reminder Notice to Landlord shall be deemed approved. Landlord’s approval of Tenant’s Plans (regardless of whether such approval is actual or deemed as set forth above) shall not constitute an opinion or agreement by Landlord that the same are sufficient or that they are in compliance with Legal Requirements, nor shall such approval impose any present or future liability on Landlord or waive any of Landlord’s rights hereunder. Tenant, at Tenant’s sole cost (or at Landlord’s election, Landlord, at Tenant’s sole cost), shall perform all appropriate filings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314" w:name="page315"/>
    <w:bookmarkEnd w:id="314"/>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applicable Governmental Authorities and shall obtain all such approvals and permits as required for the construction of the work depicted on Tenant’s Plans. If Tenant requests modifications of, or additions to, the approved Tenant’s Plans and if Landlord gives its approval, Tenant shall, in each instance, pay the costs (including reasonable attorney’s fees) relating to such modifications or additions, including any professional or other fees or cost incurred, or to be incurred by Landlord and Tenant in respect thereof (but nothing herein contained shall compel Landlord to approve such modifications of, or additions to, the approved Tenant’s Plans). Landlord’s approval of such modification to the Tenant’s Plans shall be subject to the same time requirements as the review and approval of the original Tenant’s Plans, including, without limitation, the deemed approval of such modification in the event Landlord fails to either approve or disapprove of such requested modification within five (5) Business Days of Landlord’s receipt of a Reminder Notice in connection with Tenant’s request for Landlord’s review and approval of any such modification to Tenant’s Plans.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u w:val="single" w:color="auto"/>
          <w:color w:val="auto"/>
        </w:rPr>
        <w:t>12.2.2 Tenant’s Work</w:t>
      </w:r>
      <w:r>
        <w:rPr>
          <w:rFonts w:ascii="Arial" w:cs="Arial" w:eastAsia="Arial" w:hAnsi="Arial"/>
          <w:sz w:val="18"/>
          <w:szCs w:val="18"/>
          <w:color w:val="auto"/>
        </w:rPr>
        <w:t>. Tenant’s Work shall be performed by Tenant at Tenant’s own cost, subject to reimbursement of such costs from Tenant Improvement Allowance. Landlord shall have no responsibility to Tenant or to any contractor, subcontractor, supplier, materialman, workman, or other person, firm, or corporation who engages or participates in any Tenant’s Work or other matter on behalf of Tenant. The cost of any Tenant’s Work performed by Landlord (although Landlord shall have no duty to do so) except for Landlord’s Work, which shall be performed by Landlord at its sole cost, shall be paid by Tenant as Additional Rent.</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u w:val="single" w:color="auto"/>
          <w:color w:val="auto"/>
        </w:rPr>
        <w:t>12.2.3 No Entry</w:t>
      </w:r>
      <w:r>
        <w:rPr>
          <w:rFonts w:ascii="Arial" w:cs="Arial" w:eastAsia="Arial" w:hAnsi="Arial"/>
          <w:sz w:val="18"/>
          <w:szCs w:val="18"/>
          <w:color w:val="auto"/>
        </w:rPr>
        <w:t>. Unless Landlord has given Tenant prior written authorization to the contrary in each instance, neither Tenant nor Tenant’s agents shall enter upon the Premises during the progress of Landlord’s Work. If any such entry is permitted and so authorized by Landlord, such entry shall be deemed to be under all the terms, covenants, provisions, and conditions of this Lease. In any event, Landlord shall not be liable in any way for any injury, loss, or damage that occurs to Tenant or Tenant’s agents, or to their property, except to the extent such injury, loss, or damage is due to the omission, fault, negligence, or other misconduct of Landlord or its agents, contractors or employees.</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u w:val="single" w:color="auto"/>
          <w:color w:val="auto"/>
        </w:rPr>
        <w:t>12.2.4 Licensed Architect</w:t>
      </w:r>
      <w:r>
        <w:rPr>
          <w:rFonts w:ascii="Arial" w:cs="Arial" w:eastAsia="Arial" w:hAnsi="Arial"/>
          <w:sz w:val="16"/>
          <w:szCs w:val="16"/>
          <w:color w:val="auto"/>
        </w:rPr>
        <w:t>. Tenant’s Work shall be conducted under the supervision of a licensed architect or engineer selected by Tenant and approved by Landlord, such approval not to be unreasonably withheld, conditioned or delayed. Prior to commencing Tenant’s Work, Tenant shall deliver to Landlord the name and address of Tenant’s general contractor, subcontractors, material suppliers, and laborers, and a breakdown of the aggregate total cost of Tenant’s Work. Tenant will perform all Tenant’s Work in a good and workmanlike manner, with reasonable dispatch, using only new, first class materials and supplies, all in accordance with Tenant’s Plans and all Legal Requirements, approvals, permits, licenses, or consents required by any Legal Requirements or Insurance Requirements or by any Governmental Authority at any time having jurisdiction. Tenant warrants that Tenant’s Work, when completed, will comply with all Legal Requirements and Insurance Requirements and that the Building shall not violate any Legal Requirements or Insurance Requirements as a result of Tenant’s Work. In the event Landlord has a construction superintendent or agent in, on, or about the Building, Tenant’s contractors will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3" w:right="259" w:bottom="1440" w:gutter="0" w:footer="0" w:header="0"/>
        </w:sectPr>
      </w:pPr>
    </w:p>
    <w:bookmarkStart w:id="315" w:name="page316"/>
    <w:bookmarkEnd w:id="315"/>
    <w:p>
      <w:pPr>
        <w:jc w:val="both"/>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such construction superintendent’s or agent’s rules and regulations as promulgated by the superintendent, especially as to the orderly flow or work, utilization of on-site utilities, loading and unloading, and noninterference with other tenants, occupants, customers, agents, invitees, or any others in or upon the Land or the Building, so long as such rules and regulations are applied to other tenants in the Building consistently on a non-discriminatory basis.</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u w:val="single" w:color="auto"/>
          <w:color w:val="auto"/>
        </w:rPr>
        <w:t>12.2.5 Cost of Tenant’s Work</w:t>
      </w:r>
      <w:r>
        <w:rPr>
          <w:rFonts w:ascii="Arial" w:cs="Arial" w:eastAsia="Arial" w:hAnsi="Arial"/>
          <w:sz w:val="18"/>
          <w:szCs w:val="18"/>
          <w:color w:val="auto"/>
        </w:rPr>
        <w:t>. The cost of Tenant’s Work shall be paid by Tenant in cash or its equivalent, so that the Premises and Building shall at all times be free of liens in connection with Tenant’s Work. If at any time the Premises or Building shall be encumbered by any mechanics’ or other liens, charges, or claims for the payment of money or otherwise, or any violations or other encumbrances of any and all kinds, nature, and description, growing out of or connected with Tenant’s Work or any other matter pertaining to Tenant, then Tenant shall address such matters in accordance with Section 5.1.8 of the Lease.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u w:val="single" w:color="auto"/>
          <w:color w:val="auto"/>
        </w:rPr>
        <w:t>12.2.6 Insurance During Construction.</w:t>
      </w:r>
      <w:r>
        <w:rPr>
          <w:rFonts w:ascii="Arial" w:cs="Arial" w:eastAsia="Arial" w:hAnsi="Arial"/>
          <w:sz w:val="18"/>
          <w:szCs w:val="18"/>
          <w:color w:val="auto"/>
        </w:rPr>
        <w:t xml:space="preserve"> During the course of Tenant’s Work, Tenant (and all of its contractors and subcontractors) shall carry or cause to be carried adequate worker’s compensation insurance, builder’s risk and comprehensive general liability insurance in limits reasonably determined by Landlord, and such other insurance as may be required by law or as customarily carried for similar properties in the Boston metropolitan area, or required by this Lease. All such insurance (except the worker’s compensation insurance) shall name Landlord, Landlord’s managing agent, and all mortgagees and ground lessors and such other parties as Landlord shall designate, as additional insureds.</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u w:val="single" w:color="auto"/>
          <w:color w:val="auto"/>
        </w:rPr>
        <w:t>12.2.7 Inspection of Premises</w:t>
      </w:r>
      <w:r>
        <w:rPr>
          <w:rFonts w:ascii="Arial" w:cs="Arial" w:eastAsia="Arial" w:hAnsi="Arial"/>
          <w:sz w:val="17"/>
          <w:szCs w:val="17"/>
          <w:color w:val="auto"/>
        </w:rPr>
        <w:t>. Landlord, its architects, engineers, agents, and employees may enter upon and inspect the Premises for the purpose of ensuring that Tenant’s Work conforms with the requirements herein contained and for any other purpose. Tenant shall keep all plans, shop drawings, and specifications relating to Tenant’s Work in the Premises, and Landlord may examine same at all reasonable times. If during Tenant’s Work, Landlord, its architects, or engineers determine that Tenant’s Work is not proceeding in accordance with Tenant’s Plans, Landlord shall give notice to Tenant specifying the particular deficiency or omission and Tenant shall thereupon promptly correct said deficiency or omission.</w:t>
      </w:r>
    </w:p>
    <w:p>
      <w:pPr>
        <w:spacing w:after="0" w:line="173"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u w:val="single" w:color="auto"/>
          <w:color w:val="auto"/>
        </w:rPr>
        <w:t>12.2.8 No Delay or Expense to Landlord.</w:t>
      </w:r>
      <w:r>
        <w:rPr>
          <w:rFonts w:ascii="Arial" w:cs="Arial" w:eastAsia="Arial" w:hAnsi="Arial"/>
          <w:sz w:val="17"/>
          <w:szCs w:val="17"/>
          <w:color w:val="auto"/>
        </w:rPr>
        <w:t xml:space="preserve"> All of Tenant’s Work shall be done in such a manner so as not to interfere with, delay, or impose any expense upon Landlord in the performance of Landlord’s Work or in the maintenance of the Building, nor to physically affect any part of the Building outside the interior of the Premises, or (in Landlord’s sole judgment) to impair the structural integrity of the Building, nor affect the proper functioning of any of the Building mechanical systems, nor violate any of Landlord’s Rules and Regulations affecting the Building or the Premises. In addition, Tenant shall perform all of Tenant’s Work in a manner that will not create any work stoppage, labor disruption, or dispute or violate Landlord’s union contracts (if any) affecting the Building, nor unreasonably interfere with the business of Landlord or with any other tenant or occupant of the Building. Without limiting Landlord’s remedies for Tenant’s Breach or threatened Breach of any of the foregoing, Landlord shall have the right to stop any Tenant’s Work that involves such a Breach or threatened Breach upon twenty four (24) hours prior notice to Tenant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3" w:right="239" w:bottom="1440" w:gutter="0" w:footer="0" w:header="0"/>
        </w:sectPr>
      </w:pPr>
    </w:p>
    <w:bookmarkStart w:id="316" w:name="page317"/>
    <w:bookmarkEnd w:id="316"/>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notice may be verbal notice to Tenant’s construction representative or project manager), except in the case of an emergency, in which case, Landlord shall have the right to immediately stop any Tenant’s Work that involves such a Breach or threatened Breach.</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u w:val="single" w:color="auto"/>
          <w:color w:val="auto"/>
        </w:rPr>
        <w:t>12.2.9 Repair of Tenant’s Work</w:t>
      </w:r>
      <w:r>
        <w:rPr>
          <w:rFonts w:ascii="Arial" w:cs="Arial" w:eastAsia="Arial" w:hAnsi="Arial"/>
          <w:sz w:val="18"/>
          <w:szCs w:val="18"/>
          <w:color w:val="auto"/>
        </w:rPr>
        <w:t>. Tenant shall, at its sole cost, make all repairs to the Premises necessitated by Tenant’s Work, and shall keep and maintain in good order and condition all installations arising from, and all defects in, Tenant’s Work, and shall make all necessary replacements thereto, and shall indemnify, defend, and hold Landlord harmless from and against all costs (including reasonable attorney’s fees), loss, and liability arising in connection with same, except where caused by the omission, fault, negligence, or other misconduct of Landlord or its agents, contractors, invitees, licensees or employees.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u w:val="single" w:color="auto"/>
          <w:color w:val="auto"/>
        </w:rPr>
        <w:t>12.2.10 Lien Releases</w:t>
      </w:r>
      <w:r>
        <w:rPr>
          <w:rFonts w:ascii="Arial" w:cs="Arial" w:eastAsia="Arial" w:hAnsi="Arial"/>
          <w:sz w:val="17"/>
          <w:szCs w:val="17"/>
          <w:color w:val="auto"/>
        </w:rPr>
        <w:t>. With respect to Tenant’s Work, Tenant, at its sole cost, shall procure and deliver to Landlord, in form and substance satisfactory to Landlord (i) written partial releases of liens executed by contractors, subcontractors, material suppliers, and laborers simultaneous with and to the extent of payment for the labor performed or materials furnished by such contractor, subcontractor, material supplier, or laborer, and (ii) final releases of lien simultaneous with final payments to contractors, subcontractors, material suppliers and laborers. Tenant shall also obtain and furnish to Landlord (i) all appropriate certifications from all Governmental Authorities having jurisdiction (including a certificate of occupancy), and (ii) a certification from Tenant’s architect to the effect that all of Tenant’s Work has been performed and completed in accordance with Tenant’s Plans and with all Legal Requirements, and (iii) a full set of true, complete, and correct as-built plans for the Premises.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12.2.11 Restrictions on Tenant’s Work</w:t>
      </w:r>
      <w:r>
        <w:rPr>
          <w:rFonts w:ascii="Arial" w:cs="Arial" w:eastAsia="Arial" w:hAnsi="Arial"/>
          <w:sz w:val="16"/>
          <w:szCs w:val="16"/>
          <w:color w:val="auto"/>
        </w:rPr>
        <w:t>. No Tenant’s Work of any kind (except as may be expressly approved by Landlord) shall be made that might</w:t>
      </w:r>
    </w:p>
    <w:p>
      <w:pPr>
        <w:spacing w:after="0" w:line="46" w:lineRule="exact"/>
        <w:rPr>
          <w:sz w:val="20"/>
          <w:szCs w:val="20"/>
          <w:color w:val="auto"/>
        </w:rPr>
      </w:pPr>
    </w:p>
    <w:p>
      <w:pPr>
        <w:ind w:right="100" w:firstLine="8"/>
        <w:spacing w:after="0" w:line="261" w:lineRule="auto"/>
        <w:tabs>
          <w:tab w:leader="none" w:pos="21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decrease the total cubical volume of the Premises, or (ii) give to any owner, lessee, or occupant of any other Building or to any other party, any easement, right-of-way, or any other right over the Premises, or (iii) decrease or modify the basic utility or function of the Premises.</w:t>
      </w:r>
    </w:p>
    <w:p>
      <w:pPr>
        <w:spacing w:after="0" w:line="18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u w:val="single" w:color="auto"/>
          <w:color w:val="auto"/>
        </w:rPr>
        <w:t>12.2.12 Security and Fire Systems</w:t>
      </w:r>
      <w:r>
        <w:rPr>
          <w:rFonts w:ascii="Arial" w:cs="Arial" w:eastAsia="Arial" w:hAnsi="Arial"/>
          <w:sz w:val="18"/>
          <w:szCs w:val="18"/>
          <w:color w:val="auto"/>
        </w:rPr>
        <w:t>. Where applicable, Tenant, at its sole cost, shall have the duty to tie in and coordinate its security and/or fire alarm systems with the systems installed in the Building in which the Premises are located.</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u w:val="single" w:color="auto"/>
          <w:color w:val="auto"/>
        </w:rPr>
        <w:t>12.2.13 No Abatement or Allowance</w:t>
      </w:r>
      <w:r>
        <w:rPr>
          <w:rFonts w:ascii="Arial" w:cs="Arial" w:eastAsia="Arial" w:hAnsi="Arial"/>
          <w:sz w:val="17"/>
          <w:szCs w:val="17"/>
          <w:color w:val="auto"/>
        </w:rPr>
        <w:t>. Except with respect to the Tenant Improvement Allowance provided for hereunder, Tenant shall not be entitled to any abatement, allowance, reduction, or suspension of the Rent reserved hereunder by reason of any Tenant’s Work or alterations made to the Premises subsequent to Tenant’s Work, nor shall Tenant, by reason thereof, be released from any duties imposed upon Tenant under this Lease. No FETI or any other items supplied by Tenant to the Premises shall be subject to any conditional sales agreements, security agreements, or other encumbrances without Landlord’s prior written consent, not to be unreasonably withheld, conditioned or delayed.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317" w:name="page318"/>
    <w:bookmarkEnd w:id="317"/>
    <w:p>
      <w:pPr>
        <w:ind w:right="140" w:firstLine="456"/>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12.2.14 Landlord’s Covenants</w:t>
      </w:r>
      <w:r>
        <w:rPr>
          <w:rFonts w:ascii="Arial" w:cs="Arial" w:eastAsia="Arial" w:hAnsi="Arial"/>
          <w:sz w:val="18"/>
          <w:szCs w:val="18"/>
          <w:color w:val="auto"/>
        </w:rPr>
        <w:t>. Tenant and Tenant’s contractors, at the expense of Tenant or Tenant’s contractors, subject to reimbursement of such costs from the Tenant Improvement Allowance, shall be allowed to utilize power, water and other existing utility facilities as necessary and required in connection with construction of the Tenant’ Work in the Premises. In addition, Tenant and Tenant’s contractors shall be allowed to utilize on a non-exclusive basis the Building’s loading docks in connection with construction of the Tenant’s Work in the Premises at no additional cost or expense to Tenant. Tenant agrees to coordinate use of the loading docks with Landlord.</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u w:val="single" w:color="auto"/>
          <w:color w:val="auto"/>
        </w:rPr>
        <w:t>12.2.14 Cooperation</w:t>
      </w:r>
      <w:r>
        <w:rPr>
          <w:rFonts w:ascii="Arial" w:cs="Arial" w:eastAsia="Arial" w:hAnsi="Arial"/>
          <w:sz w:val="18"/>
          <w:szCs w:val="18"/>
          <w:color w:val="auto"/>
        </w:rPr>
        <w:t>. During the entire course of the construction process, Tenant and Landlord each shall respond to requests for information or decisions with reasonable dispatch. Without limiting the foregoing, each party shall cooperate with the other to facilitate and expedite the efficient design and construction of the Tenant’s Work.</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u w:val="single" w:color="auto"/>
          <w:color w:val="auto"/>
        </w:rPr>
        <w:t>12.2.15 Landlord Delays</w:t>
      </w:r>
      <w:r>
        <w:rPr>
          <w:rFonts w:ascii="Arial" w:cs="Arial" w:eastAsia="Arial" w:hAnsi="Arial"/>
          <w:sz w:val="16"/>
          <w:szCs w:val="16"/>
          <w:color w:val="auto"/>
        </w:rPr>
        <w:t>. If completion of the Tenant’s Work is delayed by a Landlord Delay, the Rent Commencement Date shall be extended by each day of such Landlord Delay. A “</w:t>
      </w:r>
      <w:r>
        <w:rPr>
          <w:rFonts w:ascii="Arial" w:cs="Arial" w:eastAsia="Arial" w:hAnsi="Arial"/>
          <w:sz w:val="16"/>
          <w:szCs w:val="16"/>
          <w:b w:val="1"/>
          <w:bCs w:val="1"/>
          <w:u w:val="single" w:color="auto"/>
          <w:color w:val="auto"/>
        </w:rPr>
        <w:t>Landlord Delay</w:t>
      </w:r>
      <w:r>
        <w:rPr>
          <w:rFonts w:ascii="Arial" w:cs="Arial" w:eastAsia="Arial" w:hAnsi="Arial"/>
          <w:sz w:val="16"/>
          <w:szCs w:val="16"/>
          <w:color w:val="auto"/>
        </w:rPr>
        <w:t>” means delay in Substantial Completion (as defined herein) of the Tenant’s Work as a result of:</w:t>
      </w:r>
    </w:p>
    <w:p>
      <w:pPr>
        <w:ind w:firstLine="8"/>
        <w:spacing w:after="0" w:line="270" w:lineRule="auto"/>
        <w:tabs>
          <w:tab w:leader="none" w:pos="24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Landlord’s failure to respond to submissions of drawings and specifications within the time periods required under Section 12.2.1 above, (b) Landlord’s failure to provide Tenant and its contractors access to and use of utilities, and loading docks as provided under Section 12.2.14 above, and (c) any other delays caused by Landlord or its employees, contractors or agents, which has not been cured within ten days after receipt of written notice from Tenant. “</w:t>
      </w:r>
      <w:r>
        <w:rPr>
          <w:rFonts w:ascii="Arial" w:cs="Arial" w:eastAsia="Arial" w:hAnsi="Arial"/>
          <w:sz w:val="17"/>
          <w:szCs w:val="17"/>
          <w:b w:val="1"/>
          <w:bCs w:val="1"/>
          <w:u w:val="single" w:color="auto"/>
          <w:color w:val="auto"/>
        </w:rPr>
        <w:t>Substantial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Completion</w:t>
      </w:r>
      <w:r>
        <w:rPr>
          <w:rFonts w:ascii="Arial" w:cs="Arial" w:eastAsia="Arial" w:hAnsi="Arial"/>
          <w:sz w:val="17"/>
          <w:szCs w:val="17"/>
          <w:color w:val="auto"/>
        </w:rPr>
        <w:t>” means that construction has been sufficiently completed such that the Premises can be occupied and used to conduct Tenant’s business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interference, as evidenced by either a certificate from Tenant’s architect or a certificate of occupancy, if any. In the event Tenant commences business operations in the Premises, Substantial Completion of Tenant’s Work shall be deemed to have been achieved.</w:t>
      </w:r>
    </w:p>
    <w:p>
      <w:pPr>
        <w:spacing w:after="0" w:line="17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u w:val="single" w:color="auto"/>
          <w:color w:val="auto"/>
        </w:rPr>
        <w:t>12.2.16 Early Access</w:t>
      </w:r>
      <w:r>
        <w:rPr>
          <w:rFonts w:ascii="Arial" w:cs="Arial" w:eastAsia="Arial" w:hAnsi="Arial"/>
          <w:sz w:val="18"/>
          <w:szCs w:val="18"/>
          <w:color w:val="auto"/>
        </w:rPr>
        <w:t>. Tenant’s access to the Premises for purposes of constructing the Tenant’s Work shall be subject to all of the terms and conditions of this Lease, except that Tenant during that time shall have no obligation to make payment of Rent, provided however, Tenant shall pay all utility costs during any early access period.</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u w:val="single" w:color="auto"/>
          <w:color w:val="auto"/>
        </w:rPr>
        <w:t>12.2.17 Tenant Improvement Allowance</w:t>
      </w:r>
      <w:r>
        <w:rPr>
          <w:rFonts w:ascii="Arial" w:cs="Arial" w:eastAsia="Arial" w:hAnsi="Arial"/>
          <w:sz w:val="16"/>
          <w:szCs w:val="16"/>
          <w:color w:val="auto"/>
        </w:rPr>
        <w:t>. In connection with the construction of the Tenant’s Work, Landlord shall provide Tenant with the Tenant Improvement Allowance to pay some or all Costs of Construction (as defined below) in the amount set forth in Section 10.2. Tenant shall bear all Costs of Construction in excess of the Tenant Improvement Allowance after said Tenant Improvement Allowance has been fully funded as set forth in Section 10.2 of the Lease (the “</w:t>
      </w:r>
      <w:r>
        <w:rPr>
          <w:rFonts w:ascii="Arial" w:cs="Arial" w:eastAsia="Arial" w:hAnsi="Arial"/>
          <w:sz w:val="16"/>
          <w:szCs w:val="16"/>
          <w:b w:val="1"/>
          <w:bCs w:val="1"/>
          <w:u w:val="single" w:color="auto"/>
          <w:color w:val="auto"/>
        </w:rPr>
        <w:t>Tenant’s Excess Cost</w:t>
      </w:r>
      <w:r>
        <w:rPr>
          <w:rFonts w:ascii="Arial" w:cs="Arial" w:eastAsia="Arial" w:hAnsi="Arial"/>
          <w:sz w:val="16"/>
          <w:szCs w:val="16"/>
          <w:color w:val="auto"/>
        </w:rPr>
        <w:t>”). As used in this Lease, the phrase “</w:t>
      </w:r>
      <w:r>
        <w:rPr>
          <w:rFonts w:ascii="Arial" w:cs="Arial" w:eastAsia="Arial" w:hAnsi="Arial"/>
          <w:sz w:val="16"/>
          <w:szCs w:val="16"/>
          <w:b w:val="1"/>
          <w:bCs w:val="1"/>
          <w:u w:val="single" w:color="auto"/>
          <w:color w:val="auto"/>
        </w:rPr>
        <w:t>Costs of Construction</w:t>
      </w:r>
      <w:r>
        <w:rPr>
          <w:rFonts w:ascii="Arial" w:cs="Arial" w:eastAsia="Arial" w:hAnsi="Arial"/>
          <w:sz w:val="16"/>
          <w:szCs w:val="16"/>
          <w:color w:val="auto"/>
        </w:rPr>
        <w:t>” means all costs and expenses incurred in connection with design and construction of the Tenant’s Work, including, without limitation, space planning, architectural and engineering fees and expenses for preparation of the Tenant’s Plans and any approved changes thereto; permit and inspection fees; amounts paid to contractors, subcontractors and material suppliers; premiums for insurance and bonds, costs of utilities, equipment rental, labor, materials and supplies, and sales taxes thereon; and any third party construction management fees. Landlord shall make disbursements from the Tenant Improvement Allowance as set forth in Section 10.2 of the Lease.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3" w:right="239" w:bottom="1440" w:gutter="0" w:footer="0" w:header="0"/>
        </w:sectPr>
      </w:pPr>
    </w:p>
    <w:bookmarkStart w:id="318" w:name="page319"/>
    <w:bookmarkEnd w:id="318"/>
    <w:p>
      <w:pPr>
        <w:jc w:val="center"/>
        <w:ind w:right="-1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PROHIBITED USES</w:t>
      </w:r>
    </w:p>
    <w:p>
      <w:pPr>
        <w:spacing w:after="0" w:line="225" w:lineRule="exact"/>
        <w:rPr>
          <w:sz w:val="20"/>
          <w:szCs w:val="20"/>
          <w:color w:val="auto"/>
        </w:rPr>
      </w:pPr>
    </w:p>
    <w:p>
      <w:pPr>
        <w:ind w:left="172" w:hanging="172"/>
        <w:spacing w:after="0"/>
        <w:tabs>
          <w:tab w:leader="none" w:pos="1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use or purpose involving the handling, storage, production or use of live virus stocks or other adventitious agents.</w:t>
      </w:r>
    </w:p>
    <w:p>
      <w:pPr>
        <w:spacing w:after="0" w:line="225" w:lineRule="exact"/>
        <w:rPr>
          <w:rFonts w:ascii="Arial" w:cs="Arial" w:eastAsia="Arial" w:hAnsi="Arial"/>
          <w:sz w:val="18"/>
          <w:szCs w:val="18"/>
          <w:color w:val="auto"/>
        </w:rPr>
      </w:pPr>
    </w:p>
    <w:p>
      <w:pPr>
        <w:ind w:left="-8" w:right="60" w:firstLine="8"/>
        <w:spacing w:after="0" w:line="277" w:lineRule="auto"/>
        <w:tabs>
          <w:tab w:leader="none" w:pos="1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Any use or purposes involving the handling, storage, production or use of chemical or biological agents requiring Biosafety Level 3 or above, as set forth by the National Institute of Health, </w:t>
      </w:r>
      <w:r>
        <w:rPr>
          <w:rFonts w:ascii="Arial" w:cs="Arial" w:eastAsia="Arial" w:hAnsi="Arial"/>
          <w:sz w:val="18"/>
          <w:szCs w:val="18"/>
          <w:i w:val="1"/>
          <w:iCs w:val="1"/>
          <w:color w:val="auto"/>
        </w:rPr>
        <w:t>Biosafety in Microbiological and Biomedical Laboratories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 w:firstLine="8"/>
        <w:spacing w:after="0" w:line="277" w:lineRule="auto"/>
        <w:tabs>
          <w:tab w:leader="none" w:pos="1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use or purpose involving the use of equipment that project or emit substantial magnetic or electromagnetic fields such as, but not limited to, MRI and Xray equipment.</w:t>
      </w:r>
    </w:p>
    <w:p>
      <w:pPr>
        <w:spacing w:after="0" w:line="10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92"/>
          </w:cols>
          <w:pgMar w:left="248" w:top="274" w:right="35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TO OFFICE SPACE SUBLEASE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1320 SOLDIERS FIELD ROAD, BOSTON, MASSACHUSETTS</w:t>
      </w:r>
    </w:p>
    <w:p>
      <w:pPr>
        <w:spacing w:after="0" w:line="21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THIS CONSENT TO SUBLEASE (“Consent Agreement”) dated as of </w:t>
      </w:r>
      <w:r>
        <w:rPr>
          <w:rFonts w:ascii="Arial" w:cs="Arial" w:eastAsia="Arial" w:hAnsi="Arial"/>
          <w:sz w:val="16"/>
          <w:szCs w:val="16"/>
          <w:u w:val="single" w:color="auto"/>
          <w:color w:val="auto"/>
        </w:rPr>
        <w:t>January 1</w:t>
      </w:r>
      <w:r>
        <w:rPr>
          <w:rFonts w:ascii="Arial" w:cs="Arial" w:eastAsia="Arial" w:hAnsi="Arial"/>
          <w:sz w:val="16"/>
          <w:szCs w:val="16"/>
          <w:color w:val="auto"/>
        </w:rPr>
        <w:t>, 2010, is made with reference to that certain sublease (the “Sublease”) dated January 1, 2010, by and between SNBL USA, Ltd., with an address at 6605 Merrill Creek Parkway, Everett, WA 98203 (“Tenant”) and Ontoril, Inc., with an address at 419 Western Ave., Boston, MA 02135 (“Subtenant”), and is entered into by and among Harvard Real Estate – Allston, Inc., with an address at c/o Harvard Real Estate Services, 1350 Massachusetts Avenue, Holyoke Center – Suite 800, Cambridge, Massachusetts 02138-3826 Massachusetts 02110 (together with its successors and assigns, “Landlord”), Tenant and Subtenant, with reference to the following facts:</w:t>
      </w:r>
    </w:p>
    <w:p>
      <w:pPr>
        <w:spacing w:after="0" w:line="158" w:lineRule="exact"/>
        <w:rPr>
          <w:sz w:val="20"/>
          <w:szCs w:val="20"/>
          <w:color w:val="auto"/>
        </w:rPr>
      </w:pPr>
    </w:p>
    <w:p>
      <w:pPr>
        <w:ind w:left="1220" w:hanging="299"/>
        <w:spacing w:after="0"/>
        <w:tabs>
          <w:tab w:leader="none" w:pos="12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Landlord and Tenant are the parties to that certain lease dated as of June 25, 2009 (“Master Lease”);</w:t>
      </w:r>
    </w:p>
    <w:p>
      <w:pPr>
        <w:spacing w:after="0" w:line="225" w:lineRule="exact"/>
        <w:rPr>
          <w:rFonts w:ascii="Arial" w:cs="Arial" w:eastAsia="Arial" w:hAnsi="Arial"/>
          <w:sz w:val="18"/>
          <w:szCs w:val="18"/>
          <w:color w:val="auto"/>
        </w:rPr>
      </w:pPr>
    </w:p>
    <w:p>
      <w:pPr>
        <w:ind w:left="1200" w:hanging="279"/>
        <w:spacing w:after="0"/>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Tenant and Subtenant wish to enter into the Sublease;</w:t>
      </w:r>
    </w:p>
    <w:p>
      <w:pPr>
        <w:spacing w:after="0" w:line="225" w:lineRule="exact"/>
        <w:rPr>
          <w:rFonts w:ascii="Arial" w:cs="Arial" w:eastAsia="Arial" w:hAnsi="Arial"/>
          <w:sz w:val="18"/>
          <w:szCs w:val="18"/>
          <w:color w:val="auto"/>
        </w:rPr>
      </w:pPr>
    </w:p>
    <w:p>
      <w:pPr>
        <w:ind w:left="1200" w:hanging="279"/>
        <w:spacing w:after="0"/>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Master Lease provides, </w:t>
      </w:r>
      <w:r>
        <w:rPr>
          <w:rFonts w:ascii="Arial" w:cs="Arial" w:eastAsia="Arial" w:hAnsi="Arial"/>
          <w:sz w:val="18"/>
          <w:szCs w:val="18"/>
          <w:u w:val="single" w:color="auto"/>
          <w:color w:val="auto"/>
        </w:rPr>
        <w:t>inter alia</w:t>
      </w:r>
      <w:r>
        <w:rPr>
          <w:rFonts w:ascii="Arial" w:cs="Arial" w:eastAsia="Arial" w:hAnsi="Arial"/>
          <w:sz w:val="18"/>
          <w:szCs w:val="18"/>
          <w:color w:val="auto"/>
        </w:rPr>
        <w:t>, that Tenant may not enter into the Sublease without Landlord’s prior written approval;</w:t>
      </w:r>
    </w:p>
    <w:p>
      <w:pPr>
        <w:spacing w:after="0" w:line="225" w:lineRule="exact"/>
        <w:rPr>
          <w:rFonts w:ascii="Arial" w:cs="Arial" w:eastAsia="Arial" w:hAnsi="Arial"/>
          <w:sz w:val="18"/>
          <w:szCs w:val="18"/>
          <w:color w:val="auto"/>
        </w:rPr>
      </w:pPr>
    </w:p>
    <w:p>
      <w:pPr>
        <w:ind w:right="60" w:firstLine="921"/>
        <w:spacing w:after="0" w:line="277" w:lineRule="auto"/>
        <w:tabs>
          <w:tab w:leader="none" w:pos="12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Tenant and Subtenant have presented the fully-executed Sublease (a true and complete copy of which is attached) to Landlord for Landlord’s approval, upon all of the terms and conditions hereinafter appearing.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for good and valuable consideration, the parties agree as follows:</w:t>
      </w:r>
    </w:p>
    <w:p>
      <w:pPr>
        <w:spacing w:after="0" w:line="225" w:lineRule="exact"/>
        <w:rPr>
          <w:sz w:val="20"/>
          <w:szCs w:val="20"/>
          <w:color w:val="auto"/>
        </w:rPr>
      </w:pPr>
    </w:p>
    <w:p>
      <w:pPr>
        <w:ind w:left="640" w:hanging="176"/>
        <w:spacing w:after="0"/>
        <w:tabs>
          <w:tab w:leader="none" w:pos="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Landlord hereby consents to the Sublease upon the terms and conditions set forth below.</w:t>
      </w:r>
    </w:p>
    <w:p>
      <w:pPr>
        <w:spacing w:after="0" w:line="225" w:lineRule="exact"/>
        <w:rPr>
          <w:rFonts w:ascii="Arial" w:cs="Arial" w:eastAsia="Arial" w:hAnsi="Arial"/>
          <w:sz w:val="18"/>
          <w:szCs w:val="18"/>
          <w:color w:val="auto"/>
        </w:rPr>
      </w:pPr>
    </w:p>
    <w:p>
      <w:pPr>
        <w:ind w:right="100" w:firstLine="464"/>
        <w:spacing w:after="0" w:line="257" w:lineRule="auto"/>
        <w:tabs>
          <w:tab w:leader="none" w:pos="6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This Consent shall not release Tenant from any existing or future duty, obligation or liability to Landlord pursuant to the Master Lease, nor shall this Consent change, modify or amend the Master Lease in any manner, except insofar as it constitutes Landlord’s consent to the Sublease. Without limiting the generality of the foregoing, this Consent shall not relieve Tenant from any requirement set forth in the Master Lease that Tenant obtain Landlord’s prior written approval of any additional subleases, assignments or other dispositions of its interest in the Master Lease or the Premises (as defined in the Master Lease).</w:t>
      </w:r>
    </w:p>
    <w:p>
      <w:pPr>
        <w:spacing w:after="0" w:line="188" w:lineRule="exact"/>
        <w:rPr>
          <w:rFonts w:ascii="Arial" w:cs="Arial" w:eastAsia="Arial" w:hAnsi="Arial"/>
          <w:sz w:val="18"/>
          <w:szCs w:val="18"/>
          <w:color w:val="auto"/>
        </w:rPr>
      </w:pPr>
    </w:p>
    <w:p>
      <w:pPr>
        <w:ind w:right="80" w:firstLine="464"/>
        <w:spacing w:after="0" w:line="257" w:lineRule="auto"/>
        <w:tabs>
          <w:tab w:leader="none" w:pos="6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In the event of a Master Lease Termination (as hereinafter defined) prior to the termination of the Sublease, at the request of Landlord Subtenant agrees to attorn to Landlord and to recognize Landlord as Subtenant’s landlord under the Sublease, upon the terms and conditions and at the rental rate specified in the Sublease, and for the then remaining term of the Sublease, except that Landlord shall not be bound by any provision of the Sublease which in any way increases Landlord’s duties, obligations or liabilities to Subtenant beyond those owed to Tenant under the Master Lease or by any provision which grants or attempts to grant Subtenant</w:t>
      </w:r>
    </w:p>
    <w:p>
      <w:pPr>
        <w:sectPr>
          <w:pgSz w:w="11900" w:h="16838" w:orient="portrait"/>
          <w:cols w:equalWidth="0" w:num="1">
            <w:col w:w="11420"/>
          </w:cols>
          <w:pgMar w:left="240" w:top="121" w:right="239" w:bottom="1440" w:gutter="0" w:footer="0" w:header="0"/>
        </w:sectPr>
      </w:pPr>
    </w:p>
    <w:bookmarkStart w:id="320" w:name="page321"/>
    <w:bookmarkEnd w:id="320"/>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rights, privileges or benefits greater than those possessed by Tenant under the Master Lease. Subtenant hereby waives any provisions of applicable law which may permit Subtenant (i) to terminate the Sublease other than pursuant to its terms or (ii) to surrender possession of the Premises in the event of a Master Lease Termination; and Subtenant hereby agrees that the Sublease shall not be affected in any way whatsoever by a Master Lease Termination in the event Landlord requests Subtenant’s attornment to and recognition of Landlord except as set forth above.</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no event shall Landlord ever (i) be liable to Subtenant for any act, omission or breach of the Sublease by Tenant, (ii) be subject to any offsets of defenses which Subtenant might have against Tenant, (iii) be bound by any rent or additional rent which Subtenant might have paid in advance to Tenant, or</w:t>
      </w:r>
    </w:p>
    <w:p>
      <w:pPr>
        <w:ind w:right="280" w:firstLine="8"/>
        <w:spacing w:after="0" w:line="261" w:lineRule="auto"/>
        <w:tabs>
          <w:tab w:leader="none" w:pos="30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be bound to honor any rights of Subtenant in any security deposit made with Tenant by Subtenant except to the extent Tenant has specifically assigned and actually turned over such security deposits to Landlord.</w:t>
      </w:r>
    </w:p>
    <w:p>
      <w:pPr>
        <w:spacing w:after="0" w:line="184"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color w:val="auto"/>
        </w:rPr>
        <w:t>Tenant hereby agrees that in the event of a Master Lease Termination, Tenant shall immediately pay or transfer to Landlord any security deposits, rent or other sums then held by Tenant in connection with the subleasing of the Premises. Subtenant hereby agrees that under no circumstances whatsoever shall Landlord be held in any way responsible or accountable for any security deposit or any sums paid by Subtenant to Tenant except to the extent that Landlord has actually received such sums from Tenant and has acknowledged their source, and Subtenant shall have no claim to any security or other deposit made by Tenant under the Master Lease.</w:t>
      </w:r>
    </w:p>
    <w:p>
      <w:pPr>
        <w:spacing w:after="0" w:line="188" w:lineRule="exact"/>
        <w:rPr>
          <w:sz w:val="20"/>
          <w:szCs w:val="20"/>
          <w:color w:val="auto"/>
        </w:rPr>
      </w:pPr>
    </w:p>
    <w:p>
      <w:pPr>
        <w:ind w:right="40" w:firstLine="921"/>
        <w:spacing w:after="0" w:line="276" w:lineRule="auto"/>
        <w:tabs>
          <w:tab w:leader="none" w:pos="1168" w:val="left"/>
        </w:tabs>
        <w:numPr>
          <w:ilvl w:val="1"/>
          <w:numId w:val="208"/>
        </w:numPr>
        <w:rPr>
          <w:rFonts w:ascii="Arial" w:cs="Arial" w:eastAsia="Arial" w:hAnsi="Arial"/>
          <w:sz w:val="17"/>
          <w:szCs w:val="17"/>
          <w:color w:val="auto"/>
        </w:rPr>
      </w:pPr>
      <w:r>
        <w:rPr>
          <w:rFonts w:ascii="Arial" w:cs="Arial" w:eastAsia="Arial" w:hAnsi="Arial"/>
          <w:sz w:val="17"/>
          <w:szCs w:val="17"/>
          <w:color w:val="auto"/>
        </w:rPr>
        <w:t>“Master Lease Termination” means any event, which by voluntary or involuntary act or by operation of law, might cause or permit the Master Lease (or Tenant’s right to possess the Premises under the Master Lease) to be terminated, expire, be canceled, be foreclosed against, or otherwise come to an end, including but not limited to (1) a default by Tenant under the Master Lease of any of the terms and provisions hereof; (2) foreclosure proceedings brought by the holder of any mortgage or trust deed to which the Master Lease is subject; (3) the termination of Tenant’s leasehold estate by dispossession proceeding or otherwise; or (4) termination of the Master Lease in accordance with its terms.</w:t>
      </w:r>
    </w:p>
    <w:p>
      <w:pPr>
        <w:spacing w:after="0" w:line="172" w:lineRule="exact"/>
        <w:rPr>
          <w:rFonts w:ascii="Arial" w:cs="Arial" w:eastAsia="Arial" w:hAnsi="Arial"/>
          <w:sz w:val="17"/>
          <w:szCs w:val="17"/>
          <w:color w:val="auto"/>
        </w:rPr>
      </w:pPr>
    </w:p>
    <w:p>
      <w:pPr>
        <w:ind w:firstLine="464"/>
        <w:spacing w:after="0" w:line="254" w:lineRule="auto"/>
        <w:tabs>
          <w:tab w:leader="none" w:pos="63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Subtenant shall be liable to Landlord, jointly and severally with Tenant, to the extent of the obligations undertaken by or attributable to Subtenant, for the performance of Tenant’s agreements under the Master Lease. Landlord may elect to receive directly from Subtenant all sums due or payable to Tenant by Subtenant pursuant to the Sublease, and upon receipt of Landlord’s notice, Subtenant shall thereafter pay to Landlord any and all sums becoming due or payable under the Sublease and Tenant shall receive from Landlord a corresponding credit for such sums actually received by Landlord against any and all payments then owing from Tenant. Neither the service of such written notice nor the receipt of such direct payments shall cause Landlord to assume any of Tenant’s duties, obligations and/or liabilities under the Sublease, nor shall such event impose upon Landlord the duty or obligation to honor the Sublease in the event of a Master Lease Termination, nor subsequently to accept any purported attormnent by Subtenant not elected by Landlord pursuant to Section 3(a)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21" w:name="page322"/>
    <w:bookmarkEnd w:id="321"/>
    <w:p>
      <w:pPr>
        <w:ind w:left="-20" w:firstLine="464"/>
        <w:spacing w:after="0" w:line="312" w:lineRule="auto"/>
        <w:tabs>
          <w:tab w:leader="none" w:pos="616" w:val="left"/>
        </w:tabs>
        <w:numPr>
          <w:ilvl w:val="0"/>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Subtenant hereby acknowledges that it is familiar with all of the terms and provisions of the Master Lease and agrees not to do or omit to do anything which would cause Tenant to be in breach of the Master Lease. Any such act or omission shall also constitute a breach of the Master Lease and this Consent and shall entitle Landlord to recover any damage, loss, cost, or expense which it thereby suffers, from Tenant and Subtenant, jointly and severally.</w:t>
      </w:r>
    </w:p>
    <w:p>
      <w:pPr>
        <w:spacing w:after="0" w:line="146" w:lineRule="exact"/>
        <w:rPr>
          <w:rFonts w:ascii="Arial" w:cs="Arial" w:eastAsia="Arial" w:hAnsi="Arial"/>
          <w:sz w:val="16"/>
          <w:szCs w:val="16"/>
          <w:color w:val="auto"/>
        </w:rPr>
      </w:pPr>
    </w:p>
    <w:p>
      <w:pPr>
        <w:ind w:left="-20" w:right="300" w:firstLine="464"/>
        <w:spacing w:after="0" w:line="277" w:lineRule="auto"/>
        <w:tabs>
          <w:tab w:leader="none" w:pos="61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Tenant and Subtenant, jointly and severally, shall be liable to reimburse Landlord for any expenses, including reasonable attorneys fees and costs, incurred in enforcing any of the terms or provisions of this Consent.</w:t>
      </w:r>
    </w:p>
    <w:p>
      <w:pPr>
        <w:spacing w:after="0" w:line="170" w:lineRule="exact"/>
        <w:rPr>
          <w:rFonts w:ascii="Arial" w:cs="Arial" w:eastAsia="Arial" w:hAnsi="Arial"/>
          <w:sz w:val="18"/>
          <w:szCs w:val="18"/>
          <w:color w:val="auto"/>
        </w:rPr>
      </w:pPr>
    </w:p>
    <w:p>
      <w:pPr>
        <w:ind w:left="-20" w:right="160" w:firstLine="464"/>
        <w:spacing w:after="0" w:line="264" w:lineRule="auto"/>
        <w:tabs>
          <w:tab w:leader="none" w:pos="61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parties acknowledge that the Sublease constitutes the entire agreement between Tenant and Subtenant with respect to the subject matter thereof insofar as Landlord may be concerned, and that no termination or modification of the Sublease will be binding upon Landlord unless Landlord shall have given its prior written consent thereto.</w:t>
      </w:r>
    </w:p>
    <w:p>
      <w:pPr>
        <w:spacing w:after="0" w:line="181" w:lineRule="exact"/>
        <w:rPr>
          <w:rFonts w:ascii="Arial" w:cs="Arial" w:eastAsia="Arial" w:hAnsi="Arial"/>
          <w:sz w:val="18"/>
          <w:szCs w:val="18"/>
          <w:color w:val="auto"/>
        </w:rPr>
      </w:pPr>
    </w:p>
    <w:p>
      <w:pPr>
        <w:ind w:left="-20" w:right="300" w:firstLine="464"/>
        <w:spacing w:after="0" w:line="259" w:lineRule="auto"/>
        <w:tabs>
          <w:tab w:leader="none" w:pos="61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This Consent shall be binding upon and shall inure to the benefit of the parties’ respective successors and permitted assigns. The agreements contained herein constitute the entire understanding between the parties with respect to the subject matter hereof, and shall supersede all prior agreements, written or oral. Tenant and Subtenant warrant and agree that neither Landlord nor any of its agents or other representatives have made any representations concerning the Premises, their condition, the Sublease or the Master Lease.</w:t>
      </w:r>
    </w:p>
    <w:p>
      <w:pPr>
        <w:spacing w:after="0" w:line="186" w:lineRule="exact"/>
        <w:rPr>
          <w:rFonts w:ascii="Arial" w:cs="Arial" w:eastAsia="Arial" w:hAnsi="Arial"/>
          <w:sz w:val="18"/>
          <w:szCs w:val="18"/>
          <w:color w:val="auto"/>
        </w:rPr>
      </w:pPr>
    </w:p>
    <w:p>
      <w:pPr>
        <w:jc w:val="both"/>
        <w:ind w:left="-20" w:right="100" w:firstLine="464"/>
        <w:spacing w:after="0" w:line="259" w:lineRule="auto"/>
        <w:tabs>
          <w:tab w:leader="none" w:pos="61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Notice required or desired to be given hereunder shall be effective either upon personal delivery or one business day after deposit with an overnight delivery service or three (3) business days after deposit in the United States mail, by registered or certified mail, return receipt requested, addressed to parties at the addresses set forth in the first paragraph of this Consent. Any party may change its address for notice by giving notice in the manner hereinabove provided.</w:t>
      </w:r>
    </w:p>
    <w:p>
      <w:pPr>
        <w:spacing w:after="0" w:line="186" w:lineRule="exact"/>
        <w:rPr>
          <w:rFonts w:ascii="Arial" w:cs="Arial" w:eastAsia="Arial" w:hAnsi="Arial"/>
          <w:sz w:val="18"/>
          <w:szCs w:val="18"/>
          <w:color w:val="auto"/>
        </w:rPr>
      </w:pPr>
    </w:p>
    <w:p>
      <w:pPr>
        <w:ind w:left="-20" w:right="600" w:firstLine="464"/>
        <w:spacing w:after="0" w:line="277" w:lineRule="auto"/>
        <w:tabs>
          <w:tab w:leader="none" w:pos="70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or elsewhere, if the Master Lease has been guaranteed, then Tenant shall deliver to Landlord a written approval of the Sublease and this Consent by each such guarantor.</w:t>
      </w:r>
    </w:p>
    <w:p>
      <w:pPr>
        <w:spacing w:after="0" w:line="170" w:lineRule="exact"/>
        <w:rPr>
          <w:rFonts w:ascii="Arial" w:cs="Arial" w:eastAsia="Arial" w:hAnsi="Arial"/>
          <w:sz w:val="18"/>
          <w:szCs w:val="18"/>
          <w:color w:val="auto"/>
        </w:rPr>
      </w:pPr>
    </w:p>
    <w:p>
      <w:pPr>
        <w:ind w:left="-20" w:right="180" w:firstLine="464"/>
        <w:spacing w:after="0" w:line="286" w:lineRule="auto"/>
        <w:tabs>
          <w:tab w:leader="none" w:pos="7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Tenant and Subtenant agree to indemnify and hold Landlord harmless from and against any loss, cost, expense, damage or liability, including reasonable attorneys’ fees and costs, incurred as a result of a claim by any person or entity (i) that it is entitled to a commission, finder’s fee or like payment in connection with the Sublease or (ii) relating to or arising out of the Sublease or any related agreements or dealings.</w:t>
      </w:r>
    </w:p>
    <w:p>
      <w:pPr>
        <w:spacing w:after="0" w:line="165" w:lineRule="exact"/>
        <w:rPr>
          <w:rFonts w:ascii="Arial" w:cs="Arial" w:eastAsia="Arial" w:hAnsi="Arial"/>
          <w:sz w:val="17"/>
          <w:szCs w:val="17"/>
          <w:color w:val="auto"/>
        </w:rPr>
      </w:pPr>
    </w:p>
    <w:p>
      <w:pPr>
        <w:ind w:left="-20" w:right="60" w:firstLine="464"/>
        <w:spacing w:after="0" w:line="277" w:lineRule="auto"/>
        <w:tabs>
          <w:tab w:leader="none" w:pos="70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Tenant shall pay Landlord herewith the sum of $1,000 as reimbursement for Landlord’s administrative expenses in acting upon Tenant’s request for this Consent.</w:t>
      </w:r>
    </w:p>
    <w:p>
      <w:pPr>
        <w:spacing w:after="0" w:line="170" w:lineRule="exact"/>
        <w:rPr>
          <w:rFonts w:ascii="Arial" w:cs="Arial" w:eastAsia="Arial" w:hAnsi="Arial"/>
          <w:sz w:val="18"/>
          <w:szCs w:val="18"/>
          <w:color w:val="auto"/>
        </w:rPr>
      </w:pPr>
    </w:p>
    <w:p>
      <w:pPr>
        <w:ind w:left="-20" w:right="100" w:firstLine="464"/>
        <w:spacing w:after="0" w:line="277" w:lineRule="auto"/>
        <w:tabs>
          <w:tab w:leader="none" w:pos="70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Landlord shall not be considered to have consented to the Sublease until this Consent is executed and delivered by Landlord, Tenant and Subtenant and approved by the holder of any mortgage on the Building (as defined in the Master Lease) having the right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322" w:name="page323"/>
    <w:bookmarkEnd w:id="322"/>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 the Sublease. Any liability of Landlord to Tenant under or in connection with this Consent, and any liability of Landlord to Subtenant, including without limitation liability under or in connection with the Sublease or arising in any way from Tenant’s use or occupancy of the subleased Premises, shall be limited to the same extent as Landlord’s liability to Tenant is limited under the Master Lease.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under seal.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6860" w:type="dxa"/>
            <w:vAlign w:val="bottom"/>
            <w:gridSpan w:val="2"/>
          </w:tcPr>
          <w:p>
            <w:pPr>
              <w:ind w:left="1800"/>
              <w:spacing w:after="0"/>
              <w:rPr>
                <w:sz w:val="20"/>
                <w:szCs w:val="20"/>
                <w:color w:val="auto"/>
              </w:rPr>
            </w:pPr>
            <w:r>
              <w:rPr>
                <w:rFonts w:ascii="Arial" w:cs="Arial" w:eastAsia="Arial" w:hAnsi="Arial"/>
                <w:sz w:val="18"/>
                <w:szCs w:val="18"/>
                <w:color w:val="auto"/>
              </w:rPr>
              <w:t>TENANT: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HARVARD REAL ESTATE – ALLSTON, INC.</w:t>
            </w:r>
          </w:p>
        </w:tc>
        <w:tc>
          <w:tcPr>
            <w:tcW w:w="6860" w:type="dxa"/>
            <w:vAlign w:val="bottom"/>
            <w:gridSpan w:val="2"/>
          </w:tcPr>
          <w:p>
            <w:pPr>
              <w:ind w:left="1800"/>
              <w:spacing w:after="0"/>
              <w:rPr>
                <w:sz w:val="20"/>
                <w:szCs w:val="20"/>
                <w:color w:val="auto"/>
              </w:rPr>
            </w:pPr>
            <w:r>
              <w:rPr>
                <w:rFonts w:ascii="Arial" w:cs="Arial" w:eastAsia="Arial" w:hAnsi="Arial"/>
                <w:sz w:val="18"/>
                <w:szCs w:val="18"/>
                <w:color w:val="auto"/>
              </w:rPr>
              <w:t>SNBL USA, LTD.</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By:  /s/ Authorized Signatory</w:t>
            </w:r>
          </w:p>
        </w:tc>
        <w:tc>
          <w:tcPr>
            <w:tcW w:w="6860" w:type="dxa"/>
            <w:vAlign w:val="bottom"/>
            <w:gridSpan w:val="2"/>
          </w:tcPr>
          <w:p>
            <w:pPr>
              <w:ind w:left="1800"/>
              <w:spacing w:after="0"/>
              <w:rPr>
                <w:sz w:val="20"/>
                <w:szCs w:val="20"/>
                <w:color w:val="auto"/>
              </w:rPr>
            </w:pPr>
            <w:r>
              <w:rPr>
                <w:rFonts w:ascii="Arial" w:cs="Arial" w:eastAsia="Arial" w:hAnsi="Arial"/>
                <w:sz w:val="18"/>
                <w:szCs w:val="18"/>
                <w:color w:val="auto"/>
              </w:rPr>
              <w:t>By:  /s/ Hideshi Tsusaki</w:t>
            </w:r>
          </w:p>
        </w:tc>
      </w:tr>
      <w:tr>
        <w:trPr>
          <w:trHeight w:val="20"/>
        </w:trPr>
        <w:tc>
          <w:tcPr>
            <w:tcW w:w="46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8"/>
              </w:rPr>
              <w:t>Name:</w:t>
            </w:r>
          </w:p>
        </w:tc>
        <w:tc>
          <w:tcPr>
            <w:tcW w:w="3580" w:type="dxa"/>
            <w:vAlign w:val="bottom"/>
          </w:tcPr>
          <w:p>
            <w:pPr>
              <w:spacing w:after="0"/>
              <w:rPr>
                <w:sz w:val="18"/>
                <w:szCs w:val="18"/>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Name:</w:t>
            </w:r>
          </w:p>
        </w:tc>
        <w:tc>
          <w:tcPr>
            <w:tcW w:w="2160" w:type="dxa"/>
            <w:vAlign w:val="bottom"/>
          </w:tcPr>
          <w:p>
            <w:pPr>
              <w:ind w:left="100"/>
              <w:spacing w:after="0"/>
              <w:rPr>
                <w:sz w:val="20"/>
                <w:szCs w:val="20"/>
                <w:color w:val="auto"/>
              </w:rPr>
            </w:pPr>
            <w:r>
              <w:rPr>
                <w:rFonts w:ascii="Arial" w:cs="Arial" w:eastAsia="Arial" w:hAnsi="Arial"/>
                <w:sz w:val="18"/>
                <w:szCs w:val="18"/>
                <w:color w:val="auto"/>
                <w:w w:val="91"/>
              </w:rPr>
              <w:t>Hideshi Tsusaki, DVM, PhD</w:t>
            </w:r>
          </w:p>
        </w:tc>
      </w:tr>
      <w:tr>
        <w:trPr>
          <w:trHeight w:val="216"/>
        </w:trPr>
        <w:tc>
          <w:tcPr>
            <w:tcW w:w="38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18"/>
                <w:szCs w:val="18"/>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Title:</w:t>
            </w:r>
          </w:p>
        </w:tc>
        <w:tc>
          <w:tcPr>
            <w:tcW w:w="2160" w:type="dxa"/>
            <w:vAlign w:val="bottom"/>
          </w:tcPr>
          <w:p>
            <w:pPr>
              <w:ind w:left="100"/>
              <w:spacing w:after="0"/>
              <w:rPr>
                <w:sz w:val="20"/>
                <w:szCs w:val="20"/>
                <w:color w:val="auto"/>
              </w:rPr>
            </w:pPr>
            <w:r>
              <w:rPr>
                <w:rFonts w:ascii="Arial" w:cs="Arial" w:eastAsia="Arial" w:hAnsi="Arial"/>
                <w:sz w:val="18"/>
                <w:szCs w:val="18"/>
                <w:color w:val="auto"/>
              </w:rPr>
              <w:t>President &amp; COO</w:t>
            </w:r>
          </w:p>
        </w:tc>
      </w:tr>
      <w:tr>
        <w:trPr>
          <w:trHeight w:val="230"/>
        </w:trPr>
        <w:tc>
          <w:tcPr>
            <w:tcW w:w="380" w:type="dxa"/>
            <w:vAlign w:val="bottom"/>
          </w:tcPr>
          <w:p>
            <w:pPr>
              <w:spacing w:after="0"/>
              <w:rPr>
                <w:sz w:val="20"/>
                <w:szCs w:val="20"/>
                <w:color w:val="auto"/>
              </w:rPr>
            </w:pPr>
          </w:p>
        </w:tc>
        <w:tc>
          <w:tcPr>
            <w:tcW w:w="4200" w:type="dxa"/>
            <w:vAlign w:val="bottom"/>
            <w:gridSpan w:val="2"/>
          </w:tcPr>
          <w:p>
            <w:pPr>
              <w:ind w:left="80"/>
              <w:spacing w:after="0"/>
              <w:rPr>
                <w:sz w:val="20"/>
                <w:szCs w:val="20"/>
                <w:color w:val="auto"/>
              </w:rPr>
            </w:pPr>
            <w:r>
              <w:rPr>
                <w:rFonts w:ascii="Arial" w:cs="Arial" w:eastAsia="Arial" w:hAnsi="Arial"/>
                <w:sz w:val="18"/>
                <w:szCs w:val="18"/>
                <w:color w:val="auto"/>
              </w:rPr>
              <w:t>Duly Authorized</w:t>
            </w:r>
          </w:p>
        </w:tc>
        <w:tc>
          <w:tcPr>
            <w:tcW w:w="4920" w:type="dxa"/>
            <w:vAlign w:val="bottom"/>
            <w:gridSpan w:val="2"/>
          </w:tcPr>
          <w:p>
            <w:pPr>
              <w:ind w:left="2160"/>
              <w:spacing w:after="0"/>
              <w:rPr>
                <w:sz w:val="20"/>
                <w:szCs w:val="20"/>
                <w:color w:val="auto"/>
              </w:rPr>
            </w:pPr>
            <w:r>
              <w:rPr>
                <w:rFonts w:ascii="Arial" w:cs="Arial" w:eastAsia="Arial" w:hAnsi="Arial"/>
                <w:sz w:val="18"/>
                <w:szCs w:val="18"/>
                <w:color w:val="auto"/>
              </w:rPr>
              <w:t>Duly Authorized</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SUBTENANT:</w:t>
            </w:r>
          </w:p>
        </w:tc>
        <w:tc>
          <w:tcPr>
            <w:tcW w:w="27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ONTORIL, INC.</w:t>
            </w:r>
          </w:p>
        </w:tc>
        <w:tc>
          <w:tcPr>
            <w:tcW w:w="27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59"/>
        </w:trPr>
        <w:tc>
          <w:tcPr>
            <w:tcW w:w="4580" w:type="dxa"/>
            <w:vAlign w:val="bottom"/>
            <w:gridSpan w:val="3"/>
          </w:tcPr>
          <w:p>
            <w:pPr>
              <w:spacing w:after="0"/>
              <w:rPr>
                <w:sz w:val="20"/>
                <w:szCs w:val="20"/>
                <w:color w:val="auto"/>
              </w:rPr>
            </w:pPr>
            <w:r>
              <w:rPr>
                <w:rFonts w:ascii="Arial" w:cs="Arial" w:eastAsia="Arial" w:hAnsi="Arial"/>
                <w:sz w:val="18"/>
                <w:szCs w:val="18"/>
                <w:color w:val="auto"/>
              </w:rPr>
              <w:t>By: /s/ Gregory L. Verdine</w:t>
            </w:r>
          </w:p>
        </w:tc>
        <w:tc>
          <w:tcPr>
            <w:tcW w:w="27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Dr. Gregory L. Verdine</w:t>
            </w:r>
          </w:p>
        </w:tc>
        <w:tc>
          <w:tcPr>
            <w:tcW w:w="27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60"/>
              <w:spacing w:after="0"/>
              <w:rPr>
                <w:sz w:val="20"/>
                <w:szCs w:val="20"/>
                <w:color w:val="auto"/>
              </w:rPr>
            </w:pPr>
            <w:r>
              <w:rPr>
                <w:rFonts w:ascii="Arial" w:cs="Arial" w:eastAsia="Arial" w:hAnsi="Arial"/>
                <w:sz w:val="18"/>
                <w:szCs w:val="18"/>
                <w:color w:val="auto"/>
              </w:rPr>
              <w:t>President</w:t>
            </w:r>
          </w:p>
        </w:tc>
        <w:tc>
          <w:tcPr>
            <w:tcW w:w="27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Duly Authorized</w:t>
            </w:r>
          </w:p>
        </w:tc>
        <w:tc>
          <w:tcPr>
            <w:tcW w:w="27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60" w:type="dxa"/>
            <w:vAlign w:val="bottom"/>
          </w:tcPr>
          <w:p>
            <w:pPr>
              <w:jc w:val="right"/>
              <w:ind w:right="1490"/>
              <w:spacing w:after="0"/>
              <w:rPr>
                <w:sz w:val="20"/>
                <w:szCs w:val="20"/>
                <w:color w:val="auto"/>
              </w:rPr>
            </w:pPr>
            <w:r>
              <w:rPr>
                <w:rFonts w:ascii="Arial" w:cs="Arial" w:eastAsia="Arial" w:hAnsi="Arial"/>
                <w:sz w:val="18"/>
                <w:szCs w:val="18"/>
                <w:color w:val="auto"/>
              </w:rPr>
              <w:t>4</w:t>
            </w:r>
          </w:p>
        </w:tc>
        <w:tc>
          <w:tcPr>
            <w:tcW w:w="216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Lease Agreement</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Commercial Lease Agreement (“Lease”) is made and effective January 1, 2010, by and between SNBL USA, Ltd. A Washington Corporation having a notice address of 6605 Merrill Creek Parkway, Everett, WA 98203 (“Landlord”) and Ontorii, Inc. a Delaware corporation having a notice address of 419 Western Ave. Boston MA 02135 (“Tenant”).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Landlord is the leaseholder of certain land and improvements (the “Master Lease Premises”) located at the real property commonly known and numbered as 1320 Soldiers Field Road, Boston, MA. Landlord has entered into a leasehold agreement with Harvard Real Estate – Allston Inc. (“Harvard”) on June 25</w:t>
      </w:r>
      <w:r>
        <w:rPr>
          <w:rFonts w:ascii="Arial" w:cs="Arial" w:eastAsia="Arial" w:hAnsi="Arial"/>
          <w:sz w:val="15"/>
          <w:szCs w:val="15"/>
          <w:color w:val="auto"/>
        </w:rPr>
        <w:t>th</w:t>
      </w:r>
      <w:r>
        <w:rPr>
          <w:rFonts w:ascii="Arial" w:cs="Arial" w:eastAsia="Arial" w:hAnsi="Arial"/>
          <w:sz w:val="18"/>
          <w:szCs w:val="18"/>
          <w:color w:val="auto"/>
        </w:rPr>
        <w:t>, 2009, such lease is attached hereto and incorporated by this reference (the “Master Lease”.) The land and improvements possessed by Landlord are legally described therein (the “Building”).</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Landlord makes available for lease a portion of the Building designated as marked on the attached floor plan, comprising a total of approximately 3850 sf. Landlord also makes available, as shared space in common, to share and share alike, an additional 408 sf, designated as “Conference Room Small” (approx 90sf), “Conference Room Large (approx. 188 sf) and “Common Lobby Area” (approx. 130 sf) (together the “Leased Premises” of approximately 4258sf). “Ontorii’s Proportionate Share” of the Premises is thus ninety seven and 93/100 percent, determined by the ratio of leased space to total space: 4258/4348.</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Landlord desires to sublease the Leased Premises to Tenant subject to and under the terms and conditions of the Master Lease and the consent to Office Space Sublease of even date, executed by the parties hereto and Harvard, and Tenant desires to lease the Leased Premises from Landlord for the term, at the rental and upon the covenants, conditions and provisions herein set forth. Landlord and Tenant further agree and acknowledge, that notwithstanding and of the terms used in this Lease, the Lease is a sublease by SNBL USA Ltd. as “tenant” under the Master Lease to Ontorii Inc. as sub lessee.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THEREFORE, in consideration of the mutual promises herein, contained and other good and valuable consideration, it is agreed:</w:t>
      </w:r>
    </w:p>
    <w:p>
      <w:pPr>
        <w:spacing w:after="0" w:line="329" w:lineRule="exact"/>
        <w:rPr>
          <w:sz w:val="20"/>
          <w:szCs w:val="20"/>
          <w:color w:val="auto"/>
        </w:rPr>
      </w:pPr>
    </w:p>
    <w:p>
      <w:pPr>
        <w:ind w:left="180" w:hanging="172"/>
        <w:spacing w:after="0"/>
        <w:tabs>
          <w:tab w:leader="none" w:pos="180"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12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 Landlord hereby leases the Leased Premises to Tenant, and Tenant hereby leases the same from Landlord, for the “Lease Term” as defined in the Master Lease. Landlord shall use its best efforts to give Tenant possession as nearly as possible at the beginning of the Lease term. If Landlord is unable to timely provide the Leased Premises, rent shall abate for the period of delay. Tenant shall make no other claim against Landlord for any such delay.</w:t>
      </w:r>
    </w:p>
    <w:p>
      <w:pPr>
        <w:sectPr>
          <w:pgSz w:w="11900" w:h="16838" w:orient="portrait"/>
          <w:cols w:equalWidth="0" w:num="1">
            <w:col w:w="11420"/>
          </w:cols>
          <w:pgMar w:left="240" w:top="121" w:right="239" w:bottom="1440" w:gutter="0" w:footer="0" w:header="0"/>
        </w:sectPr>
      </w:pPr>
    </w:p>
    <w:bookmarkStart w:id="324" w:name="page325"/>
    <w:bookmarkEnd w:id="324"/>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Tenant may renew this Lease subject to Landlord’s availability under the Master Lease, and upon Tenant giving reasonable advance notice to Landlord of intent to so extend, such notice no later than Landlord’s required notice under the Master Lease. The renewal term shall be at the rental set forth below and otherwise upon the same covenants, conditions and provisions as provided in this Lease.</w:t>
      </w:r>
    </w:p>
    <w:p>
      <w:pPr>
        <w:spacing w:after="0" w:line="285" w:lineRule="exact"/>
        <w:rPr>
          <w:sz w:val="20"/>
          <w:szCs w:val="20"/>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Rental and Other Payments</w:t>
      </w:r>
      <w:r>
        <w:rPr>
          <w:rFonts w:ascii="Arial" w:cs="Arial" w:eastAsia="Arial" w:hAnsi="Arial"/>
          <w:sz w:val="18"/>
          <w:szCs w:val="18"/>
          <w:color w:val="auto"/>
        </w:rPr>
        <w: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Tenant shall pay to Landlord during the Term rental of $68,128.00 per year, payable in installments of $5,677.33 per month commencing on the Rent Commencement Date as defined in the Master Lease. Such rent represents Landlord’s Basic Rent of $69,568.00 per annum ($5,797.33/month) under the Master Lease times the percentage of Ontorii’s Proportionate Share. Each installment payment shall be due in advance on the first day of each calendar month during the lease term to Landlord at 6605 Merrill Creek Parkway, Everett WA 98203. or at such other place designated by written notice from Landlord or Tenant. The rental payment amount for any partial calendar months included in the lease term shall be prorated on a daily basis.</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 Tenant shall also pay Landlord any and all Additional Rents (as defined and calculated in the Master Lease) times Ontorii’s Proportional Share. Such payments shall be made as defined in section 2A above. Landlord shall notify Tenant of changes to such additional rents when received as described by the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 Tenant shall also pay Landlord, on a monthly basis, the sum of $925,984.94 in 112 monthly installments in the manner described in section 2A of</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$8,267.72 representing Tenant’s cost of premises improvements made by Landlord. This monthly obligation survives any termination of this Lease and/or abandonment of the leased premises by Tenant.</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 The rental for any renewal lease term, if created as permitted under this Lease, shall be as defined to the Extension Term in the Master Lease payable in 12 equal installments as described in section 2A.</w:t>
      </w:r>
    </w:p>
    <w:p>
      <w:pPr>
        <w:spacing w:after="0" w:line="275" w:lineRule="exact"/>
        <w:rPr>
          <w:sz w:val="20"/>
          <w:szCs w:val="20"/>
          <w:color w:val="auto"/>
        </w:rPr>
      </w:pPr>
    </w:p>
    <w:p>
      <w:pPr>
        <w:ind w:left="180" w:hanging="172"/>
        <w:spacing w:after="0"/>
        <w:tabs>
          <w:tab w:leader="none" w:pos="180"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Use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Notwithstanding the forgoing, Tenant shall use the Leased Premises only for the Permitted Uses under the Master Lease and for no other uses. Tenant shall undertake all duties of care with respect to the premises, as undertaken by Landlord under the Master Lease.</w:t>
      </w:r>
    </w:p>
    <w:p>
      <w:pPr>
        <w:spacing w:after="0" w:line="275" w:lineRule="exact"/>
        <w:rPr>
          <w:sz w:val="20"/>
          <w:szCs w:val="20"/>
          <w:color w:val="auto"/>
        </w:rPr>
      </w:pPr>
    </w:p>
    <w:p>
      <w:pPr>
        <w:ind w:left="180" w:hanging="172"/>
        <w:spacing w:after="0"/>
        <w:tabs>
          <w:tab w:leader="none" w:pos="180"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Sublease and Assignment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Tenant shall not sublease all or any part of the Leased Premises, nor assign this Lease in whole or in part without Landlord’s consent.</w:t>
      </w:r>
    </w:p>
    <w:p>
      <w:pPr>
        <w:sectPr>
          <w:pgSz w:w="11900" w:h="16838" w:orient="portrait"/>
          <w:cols w:equalWidth="0" w:num="1">
            <w:col w:w="11400"/>
          </w:cols>
          <w:pgMar w:left="240" w:top="274" w:right="259" w:bottom="1440" w:gutter="0" w:footer="0" w:header="0"/>
        </w:sectPr>
      </w:pPr>
    </w:p>
    <w:bookmarkStart w:id="325" w:name="page326"/>
    <w:bookmarkEnd w:id="325"/>
    <w:p>
      <w:pPr>
        <w:ind w:left="180" w:hanging="172"/>
        <w:spacing w:after="0"/>
        <w:tabs>
          <w:tab w:leader="none" w:pos="180"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Repairs</w:t>
      </w:r>
      <w:r>
        <w:rPr>
          <w:rFonts w:ascii="Arial" w:cs="Arial" w:eastAsia="Arial" w:hAnsi="Arial"/>
          <w:sz w:val="18"/>
          <w:szCs w:val="18"/>
          <w:color w:val="auto"/>
        </w:rPr>
        <w:t>.</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Lease term, Tenant shall make, at Tenant’s sole expense, all necessary repairs to the Leased Premises. Repairs shall include such items as routine repairs of floors, walls, ceilings, and other parts of the Leased Premises damaged or worn through normal occupancy, except for major mechanical systems or the roof, subject to the obligations of the parties otherwise set forth in this Lease.</w:t>
      </w:r>
    </w:p>
    <w:p>
      <w:pPr>
        <w:spacing w:after="0" w:line="285" w:lineRule="exact"/>
        <w:rPr>
          <w:sz w:val="20"/>
          <w:szCs w:val="20"/>
          <w:color w:val="auto"/>
        </w:rPr>
      </w:pPr>
    </w:p>
    <w:p>
      <w:pPr>
        <w:ind w:left="180" w:hanging="172"/>
        <w:spacing w:after="0"/>
        <w:tabs>
          <w:tab w:leader="none" w:pos="180"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Alterations and Improvements</w:t>
      </w:r>
      <w:r>
        <w:rPr>
          <w:rFonts w:ascii="Arial" w:cs="Arial" w:eastAsia="Arial" w:hAnsi="Arial"/>
          <w:sz w:val="18"/>
          <w:szCs w:val="18"/>
          <w:color w:val="auto"/>
        </w:rPr>
        <w:t>.</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Tenant, at Tenant’s expense, shall have the right following Landlord’s consent to remodel, redecorate, and make additions, improvements and replacements of and to all or any part of the Leased Premises from time to time as Tenant may deem desirable, provided the same are made with first-class workmanship and materials and in complicance with all applicable legal and insurance requirements as defined in the Master Lease. Tenant shall have the right to place and install personal property, trade fixtures, equipment and other temporary installations in and upon the Leased Premises, and fasten the same to the premises. All personal property, equipment, machinery, trade fixtures and temporary installations, whether acquired by Tenant at the commencement of the Lease term or placed or installed on the Leased Premises by Tenant thereafter, shall remain Tenant’s property free and clear of any claim by Landlord. Tenant shall have the right to remove the same at any time during the term of this Lease provided that all damage to the Leased Premises caused by such removal shall be repaired by Tenant at Tenant’s expense.</w:t>
      </w:r>
    </w:p>
    <w:p>
      <w:pPr>
        <w:spacing w:after="0" w:line="283" w:lineRule="exact"/>
        <w:rPr>
          <w:sz w:val="20"/>
          <w:szCs w:val="20"/>
          <w:color w:val="auto"/>
        </w:rPr>
      </w:pPr>
    </w:p>
    <w:p>
      <w:pPr>
        <w:ind w:left="180" w:hanging="172"/>
        <w:spacing w:after="0"/>
        <w:tabs>
          <w:tab w:leader="none" w:pos="180" w:val="left"/>
        </w:tabs>
        <w:numPr>
          <w:ilvl w:val="0"/>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Property Taxes</w:t>
      </w:r>
      <w:r>
        <w:rPr>
          <w:rFonts w:ascii="Arial" w:cs="Arial" w:eastAsia="Arial" w:hAnsi="Arial"/>
          <w:sz w:val="18"/>
          <w:szCs w:val="18"/>
          <w:color w:val="auto"/>
        </w:rPr>
        <w:t>.</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Landlord shall pay, prior to delinquency, all general real estate taxes and installments of special assessments coming due during the Lease term on the Leased Premises, and all personal property taxes with respect to Landlord’s personal property, if any, on the Leased Premises. Tenant shall be responsible for paying all personal property taxes with respect to Tenant’s personal property at the Leased Premises.</w:t>
      </w:r>
    </w:p>
    <w:p>
      <w:pPr>
        <w:spacing w:after="0" w:line="285" w:lineRule="exact"/>
        <w:rPr>
          <w:sz w:val="20"/>
          <w:szCs w:val="20"/>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If the Leased Premises or any other part of the Building is damaged by fire or other casualty resulting from any act or negligence of Tenant or any of Tenant’s agents, employees or invitees, rent shall not be diminished or abated while such damages are under repair, and Tenant shall be responsible for the costs of repair not covered by insurance.</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 Landlord shall maintain fire and extended coverage insurance on the Building and the Leased Premises in such amounts as Landlord shall deem appropriate. Tenant shall be responsible, at its expense, for fire and extended coverage insurance on all of its personal property, including removable trade fixtures, located in the Leased Premises.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 Tenant and Landlord shall, each at its own expense, maintain a policy or policies of comprehensive general liability insurance with respect to the respective activities of each in the Building with the premiums thereon fully paid on or before due date, issued by and</w:t>
      </w:r>
    </w:p>
    <w:p>
      <w:pPr>
        <w:sectPr>
          <w:pgSz w:w="11900" w:h="16838" w:orient="portrait"/>
          <w:cols w:equalWidth="0" w:num="1">
            <w:col w:w="11420"/>
          </w:cols>
          <w:pgMar w:left="240" w:top="270" w:right="239" w:bottom="1440" w:gutter="0" w:footer="0" w:header="0"/>
        </w:sectPr>
      </w:pPr>
    </w:p>
    <w:bookmarkStart w:id="326" w:name="page327"/>
    <w:bookmarkEnd w:id="32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binding upon some insurance company approved by Landlord, and, notwithstanding any provision of this Lease, such insurance shall satisfy the requirements set forth in Section 9.7 of the Master Lease, including without limitation the requirement that such policy shall carry all endorsements required for Tenant’s insurance under the Master Lease. Landlord shall be listed as an additional insured on Tenant’s policy or policies of comprehensive general liability insurance, and Tenant shall provide Landlord with current Certificates of Insurance evidencing Tenant’s compliance with this Paragraph. Tenant shall obtain the agreement of Tenant’s insurers to notify Landlord that a policy is due to expire at least (10) days prior to such expiration. Landlord shall not be required to maintain insurance against thefts within the Leased Premises or the Building.</w:t>
      </w:r>
    </w:p>
    <w:p>
      <w:pPr>
        <w:spacing w:after="0" w:line="283" w:lineRule="exact"/>
        <w:rPr>
          <w:sz w:val="20"/>
          <w:szCs w:val="20"/>
          <w:color w:val="auto"/>
        </w:rPr>
      </w:pPr>
    </w:p>
    <w:p>
      <w:pPr>
        <w:ind w:left="180" w:hanging="172"/>
        <w:spacing w:after="0"/>
        <w:tabs>
          <w:tab w:leader="none" w:pos="180" w:val="left"/>
        </w:tabs>
        <w:numPr>
          <w:ilvl w:val="0"/>
          <w:numId w:val="219"/>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Utilities</w:t>
      </w:r>
      <w:r>
        <w:rPr>
          <w:rFonts w:ascii="Arial" w:cs="Arial" w:eastAsia="Arial" w:hAnsi="Arial"/>
          <w:sz w:val="18"/>
          <w:szCs w:val="18"/>
          <w:color w:val="auto"/>
        </w:rPr>
        <w:t>.</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Tenant shall pay all charges for water, sewer, gas, electricity, telephone and other services and utilities used by Tenant (As calculated using Ontorii’s Proportional Share) on the Leased Premises during the term of this Lease unless otherwise expressly agreed in writing by Landlord. In the event that any utility or service provided to the Leased Premises is not separately metered, Landlord shall pay the amount due and separately invoice Tenant for Tenant’s pro rata share of the charges. Tenant shall pay such amounts within fifteen (15) days of invoice. Tenant acknowledges that the Leased Premises are designed to provide standard office use electrical facilities and standard office lighting. Tenant shall not use any equipment or devices that utilizes excessive electrical energy or which may, in Landlord’s reasonable opinion, overload the wiring or interfere with electrical services to other tenants.</w:t>
      </w:r>
    </w:p>
    <w:p>
      <w:pPr>
        <w:spacing w:after="0" w:line="269" w:lineRule="exact"/>
        <w:rPr>
          <w:sz w:val="20"/>
          <w:szCs w:val="20"/>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Signs</w:t>
      </w:r>
      <w:r>
        <w:rPr>
          <w:rFonts w:ascii="Arial" w:cs="Arial" w:eastAsia="Arial" w:hAnsi="Arial"/>
          <w:sz w:val="18"/>
          <w:szCs w:val="18"/>
          <w:color w:val="auto"/>
        </w:rPr>
        <w:t>.</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Subject to Section 9.28 of the Master Lease, following Landlord’s consent, Tenant shall have the right to place on the Leased Premises, at locations indicated in Section 9.28 of the Master Lease, any signs which are permitted by applicable zoning ordinances and private restrictions. Landlord may refuse consent to any proposed signage that is in Landlord’s opinion too large, deceptive, unattractive or otherwise inconsistent with or inappropriate to the Leased Premises or use of any other tenant. Tenant shall repair all damage to the Leased Premises resulting from the removal of signs installed by Tenant.</w:t>
      </w:r>
    </w:p>
    <w:p>
      <w:pPr>
        <w:spacing w:after="0" w:line="258" w:lineRule="exact"/>
        <w:rPr>
          <w:sz w:val="20"/>
          <w:szCs w:val="20"/>
          <w:color w:val="auto"/>
        </w:rPr>
      </w:pPr>
    </w:p>
    <w:p>
      <w:pPr>
        <w:ind w:left="280" w:hanging="272"/>
        <w:spacing w:after="0"/>
        <w:tabs>
          <w:tab w:leader="none" w:pos="280"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Entry</w:t>
      </w:r>
      <w:r>
        <w:rPr>
          <w:rFonts w:ascii="Arial" w:cs="Arial" w:eastAsia="Arial" w:hAnsi="Arial"/>
          <w:sz w:val="18"/>
          <w:szCs w:val="18"/>
          <w:color w:val="auto"/>
        </w:rPr>
        <w: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Landlord shall have the right to enter upon the Leased Premises at reasonable hours to inspect the same, provided Landlord shall not thereby unreasonably interfere with Tenant’s business on the Leased Premises.</w:t>
      </w:r>
    </w:p>
    <w:p>
      <w:pPr>
        <w:spacing w:after="0" w:line="275" w:lineRule="exact"/>
        <w:rPr>
          <w:sz w:val="20"/>
          <w:szCs w:val="20"/>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term of this Lease, Tenant shall have the non-exclusive use in common with Landlord, other tenants of the Building, their guests and invitees, four (4) unassigned parking spaces in the surface parking lot located at 1330 Soldiers Field Road as non-</w:t>
      </w:r>
    </w:p>
    <w:p>
      <w:pPr>
        <w:sectPr>
          <w:pgSz w:w="11900" w:h="16838" w:orient="portrait"/>
          <w:cols w:equalWidth="0" w:num="1">
            <w:col w:w="11380"/>
          </w:cols>
          <w:pgMar w:left="240" w:top="274" w:right="279" w:bottom="1440" w:gutter="0" w:footer="0" w:header="0"/>
        </w:sectPr>
      </w:pPr>
    </w:p>
    <w:bookmarkStart w:id="327" w:name="page328"/>
    <w:bookmarkEnd w:id="32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 common automobile parking areas, such spaces to be on a first come-first served basis; driveways, and footways, subject to rules and regulations for the use thereof as prescribed from time to time by Landlord in conformance with the Master Lease. Landlord reserves the right to designate parking areas within the Building or in reasonable proximity thereto, for Tenant and Tenant’s agents and employees. Tenant shall provide Landlord with a list of all license numbers for the cars owned by Tenant, its agents and employees. Tenant hereby leases from Landlord three (3) designated parking spaces in the surface parking lot located on the Land at 1320 Soldiers Field Road.</w:t>
      </w:r>
    </w:p>
    <w:p>
      <w:pPr>
        <w:spacing w:after="0" w:line="292" w:lineRule="exact"/>
        <w:rPr>
          <w:sz w:val="20"/>
          <w:szCs w:val="20"/>
          <w:color w:val="auto"/>
        </w:rPr>
      </w:pPr>
    </w:p>
    <w:p>
      <w:pPr>
        <w:ind w:left="280" w:hanging="272"/>
        <w:spacing w:after="0"/>
        <w:tabs>
          <w:tab w:leader="none" w:pos="280"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 Rules</w:t>
      </w:r>
      <w:r>
        <w:rPr>
          <w:rFonts w:ascii="Arial" w:cs="Arial" w:eastAsia="Arial" w:hAnsi="Arial"/>
          <w:sz w:val="18"/>
          <w:szCs w:val="18"/>
          <w:color w:val="auto"/>
        </w:rPr>
        <w:t>.</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Tenant will comply with the rules of the Building adopted and altered by Landlord from time to time and will cause all of its agents, employees, invitees and visitors to do so; all changes to such rules will be sent by Landlord to Tenant in writing. The initial rules for the Building are described in Exhibit A of the attached and incorporated Master Lease, and further incorporated herein for all purposes.</w:t>
      </w:r>
    </w:p>
    <w:p>
      <w:pPr>
        <w:spacing w:after="0" w:line="285" w:lineRule="exact"/>
        <w:rPr>
          <w:sz w:val="20"/>
          <w:szCs w:val="20"/>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Damage and Destruction</w:t>
      </w:r>
      <w:r>
        <w:rPr>
          <w:rFonts w:ascii="Arial" w:cs="Arial" w:eastAsia="Arial" w:hAnsi="Arial"/>
          <w:sz w:val="18"/>
          <w:szCs w:val="18"/>
          <w:color w:val="auto"/>
        </w:rPr>
        <w: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Section 8 A. above, if the Leased Premises or any part thereof or any appurtenance thereto is so damaged by fire, casualty or structural defects that the same cannot be used for Tenant’s purposes, then Tenant shall have the right within ninety (90) days following damage to elect by notice to Landlord to terminate this Lease as of the date of such damage. In the event of minor damage to any part of the Leased Premises, and if such damage does not render the Leased Premises unusable for Tenant’s purposes. Landlord shall promptly repair such damage at the cost of the Landlord. In making the repairs called for in this paragraph, Landlord shall not be liable for any delays resulting from strikes, governmental restrictions, inability to obtain necessary materials or labor or other matters which are beyond the reasonable control of Landlord. Tenant shall be relieved from paying rent and other charges during any portion of the Lease term that the Leased Premises are inoperable or unfit for occupancy, or use, in whole or in part, for Tenant’s purposes. Rentals and other charges paid in advance for any such periods shall be credited on the next ensuing payments, if any, but if no further payments are to be made, any such advance payments shall be refunded to Tenant. The provisions of this paragraph extend not only to the matters aforesaid, but also to any occurrence which is beyond Tenant’s reasonable control and which renders the Leased Premises, or any appurtenance thereto, inoperable or unfit for occupancy or use, in whole or in part, for Tenant’s purposes.</w:t>
      </w:r>
    </w:p>
    <w:p>
      <w:pPr>
        <w:spacing w:after="0" w:line="287" w:lineRule="exact"/>
        <w:rPr>
          <w:sz w:val="20"/>
          <w:szCs w:val="20"/>
          <w:color w:val="auto"/>
        </w:rPr>
      </w:pPr>
    </w:p>
    <w:p>
      <w:pPr>
        <w:ind w:left="280" w:hanging="272"/>
        <w:spacing w:after="0"/>
        <w:tabs>
          <w:tab w:leader="none" w:pos="280"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If default shall at any time be made by Tenant in the payment of rent when due to Landlord as herein provided, and if said default shall continue for fifteen</w:t>
      </w:r>
    </w:p>
    <w:p>
      <w:pPr>
        <w:spacing w:after="0" w:line="46" w:lineRule="exact"/>
        <w:rPr>
          <w:sz w:val="20"/>
          <w:szCs w:val="20"/>
          <w:color w:val="auto"/>
        </w:rPr>
      </w:pPr>
    </w:p>
    <w:p>
      <w:pPr>
        <w:ind w:firstLine="8"/>
        <w:spacing w:after="0" w:line="261" w:lineRule="auto"/>
        <w:tabs>
          <w:tab w:leader="none" w:pos="34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days after written notice thereof shall have been given to Tenant by Landlord, or if default shall be made in any of the other covenants or conditions to be kept, observed and performed by Tenant, and such default shall continue for thirty (30) days after notice thereof in writing</w:t>
      </w:r>
    </w:p>
    <w:p>
      <w:pPr>
        <w:sectPr>
          <w:pgSz w:w="11900" w:h="16838" w:orient="portrait"/>
          <w:cols w:equalWidth="0" w:num="1">
            <w:col w:w="11400"/>
          </w:cols>
          <w:pgMar w:left="240" w:top="273" w:right="259" w:bottom="1440" w:gutter="0" w:footer="0" w:header="0"/>
        </w:sectPr>
      </w:pPr>
    </w:p>
    <w:bookmarkStart w:id="328" w:name="page329"/>
    <w:bookmarkEnd w:id="328"/>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Tenant by Landlord without correction thereof then having been commenced and thereafter diligently prosecuted, Landlord may declare the term of this Lease ended and terminated by giving Tenant written notice of such intention, and if possession of the Leased Premises is not surrendered. Landlord may reenter said premises. Landlord shall have, in addition to the remedy above provided, any other right or remedy available to Landlord on account of any Tenant default, either in law or equity. Landlord shall use reasonable efforts to mitigate its damages.</w:t>
      </w:r>
    </w:p>
    <w:p>
      <w:pPr>
        <w:spacing w:after="0" w:line="276" w:lineRule="exact"/>
        <w:rPr>
          <w:sz w:val="20"/>
          <w:szCs w:val="20"/>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b w:val="1"/>
          <w:bCs w:val="1"/>
          <w:u w:val="single" w:color="auto"/>
          <w:color w:val="auto"/>
        </w:rPr>
        <w:t>Quiet Possession</w:t>
      </w:r>
      <w:r>
        <w:rPr>
          <w:rFonts w:ascii="Arial" w:cs="Arial" w:eastAsia="Arial" w:hAnsi="Arial"/>
          <w:sz w:val="18"/>
          <w:szCs w:val="18"/>
          <w:color w:val="auto"/>
        </w:rPr>
        <w:t>.</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Subject to any provisions of the Master Lease, Landlord covenants and warrants that upon performance by Tenant of its obligations hereunder, Landlord will keep and maintain Tenant in exclusive, quiet, peaceable and undisturbed and uninterrupted possession of the Leased Premises during the term of this Lease.</w:t>
      </w:r>
    </w:p>
    <w:p>
      <w:pPr>
        <w:spacing w:after="0" w:line="228" w:lineRule="exact"/>
        <w:rPr>
          <w:sz w:val="20"/>
          <w:szCs w:val="20"/>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Condemnation</w:t>
      </w:r>
      <w:r>
        <w:rPr>
          <w:rFonts w:ascii="Arial" w:cs="Arial" w:eastAsia="Arial" w:hAnsi="Arial"/>
          <w:sz w:val="18"/>
          <w:szCs w:val="18"/>
          <w:color w:val="auto"/>
        </w:rPr>
        <w: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legally, constituted authority condemns the Building or such part thereof which shall make the Leased Premises unsuitable for leasing, this Lease shall cease when the public authority takes possession, and Landlord and Tenant shall account for rental as of that date. Such termination shall be without prejudice to the rights of either party to recover compensation from the condemning authority for any loss or damage caused by the condemnation. Neither party shall have any rights in or to any award made to the other by the condemning authority.</w:t>
      </w:r>
    </w:p>
    <w:p>
      <w:pPr>
        <w:spacing w:after="0" w:line="291" w:lineRule="exact"/>
        <w:rPr>
          <w:sz w:val="20"/>
          <w:szCs w:val="20"/>
          <w:color w:val="auto"/>
        </w:rPr>
      </w:pPr>
    </w:p>
    <w:p>
      <w:pPr>
        <w:ind w:left="280" w:hanging="272"/>
        <w:spacing w:after="0"/>
        <w:tabs>
          <w:tab w:leader="none" w:pos="280" w:val="left"/>
        </w:tabs>
        <w:numPr>
          <w:ilvl w:val="0"/>
          <w:numId w:val="229"/>
        </w:numPr>
        <w:rPr>
          <w:rFonts w:ascii="Arial" w:cs="Arial" w:eastAsia="Arial" w:hAnsi="Arial"/>
          <w:sz w:val="18"/>
          <w:szCs w:val="18"/>
          <w:color w:val="auto"/>
        </w:rPr>
      </w:pPr>
      <w:r>
        <w:rPr>
          <w:rFonts w:ascii="Arial" w:cs="Arial" w:eastAsia="Arial" w:hAnsi="Arial"/>
          <w:sz w:val="18"/>
          <w:szCs w:val="18"/>
          <w:b w:val="1"/>
          <w:bCs w:val="1"/>
          <w:u w:val="single" w:color="auto"/>
          <w:color w:val="auto"/>
        </w:rPr>
        <w:t>Subordination</w:t>
      </w:r>
      <w:r>
        <w:rPr>
          <w:rFonts w:ascii="Arial" w:cs="Arial" w:eastAsia="Arial" w:hAnsi="Arial"/>
          <w:sz w:val="18"/>
          <w:szCs w:val="18"/>
          <w:color w:val="auto"/>
        </w:rPr>
        <w:t>.</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Tenant accepts this Lease subject and subordinate to any mortgage, deed of trust, operation of the Master Lease, or other lien presently existing or hereafter arising upon the Leased Premises, or upon the Building and to any renewals, refinancing and extensions thereof, but Tenant agrees that any such mortgagee shall have the right at any time to subordinate such mortgage, deed of trust or other lien to this Lease on such terms and subject to such conditions as such mortgagee may deem appropriate in its discretion. Landlord is hereby irrevocably vested with full power and authority to subordinate this Lease to any mortgage, deed of trust or other lien now existing or hereafter placed upon the Leased Premises of the Building, and Tenant agrees upon demand to execute such further instruments subordinating this Lease to the holder of any such liens as Landlord may request. In the event that Tenant should fail to execute any instrument of subordination herein required to be executed by Tenant promptly as requested, Tenant hereby irrevocably constitutes Landlord as its attorney-in-fact to execute such instrument in Tenant’s name, place and stead, it being agreed that such power is one coupled with an interest. Tenant agrees that it will from time to time upon request by Landlord execute and deliver to such persons as Landlord shall request a statement in recordable form certifying that this Lease is unmodified and in full force and effect (or if there have been modifications, that the same is in full force and effect as so modified), stating the dates to which rent and other charges payable under this Lease have been paid, stating that</w:t>
      </w:r>
    </w:p>
    <w:p>
      <w:pPr>
        <w:sectPr>
          <w:pgSz w:w="11900" w:h="16838" w:orient="portrait"/>
          <w:cols w:equalWidth="0" w:num="1">
            <w:col w:w="11400"/>
          </w:cols>
          <w:pgMar w:left="240" w:top="273" w:right="259" w:bottom="1440" w:gutter="0" w:footer="0" w:header="0"/>
        </w:sectPr>
      </w:pPr>
    </w:p>
    <w:bookmarkStart w:id="329" w:name="page330"/>
    <w:bookmarkEnd w:id="32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is not in default hereunder (or if Tenant alleges a default stating the nature of such alleged default) and further stating such other matters as Landlord shall reasonably require.</w:t>
      </w:r>
    </w:p>
    <w:p>
      <w:pPr>
        <w:spacing w:after="0" w:line="275" w:lineRule="exact"/>
        <w:rPr>
          <w:sz w:val="20"/>
          <w:szCs w:val="20"/>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notice required or permitted under this Lease shall be deemed sufficiently given or served if sent by United States certified mail, return receipt requested, addressed as follows: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If to Landlord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SNBL USA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6605 Merrill Creek Parkway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Everett, WA 98203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If to Tenant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Ontorii,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419 Western Ave.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 02135</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Landlord and Tenant shall each have the right from time to time to change the place notice is to be given under this paragraph by written notice thereof to the other party.</w:t>
      </w:r>
    </w:p>
    <w:p>
      <w:pPr>
        <w:spacing w:after="0" w:line="275" w:lineRule="exact"/>
        <w:rPr>
          <w:sz w:val="20"/>
          <w:szCs w:val="20"/>
          <w:color w:val="auto"/>
        </w:rPr>
      </w:pPr>
    </w:p>
    <w:p>
      <w:pPr>
        <w:ind w:left="280" w:hanging="272"/>
        <w:spacing w:after="0"/>
        <w:tabs>
          <w:tab w:leader="none" w:pos="280" w:val="left"/>
        </w:tabs>
        <w:numPr>
          <w:ilvl w:val="0"/>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Tenant represents that Tenant was not shown the Premises by any real estate broker or agent and that Tenant has not otherwise engaged in, any activity which could form the basis for a claim for real estate commission, brokerage fee, finder’s fee or other similar charge, in connection with this Lease.</w:t>
      </w:r>
    </w:p>
    <w:p>
      <w:pPr>
        <w:spacing w:after="0" w:line="228" w:lineRule="exact"/>
        <w:rPr>
          <w:sz w:val="20"/>
          <w:szCs w:val="20"/>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waiver of any default of Landlord or Tenant hereunder shall be implied from any omission to take any action on account of such default if such default persists or is repeated, and no express waiver shall affect any default other than the default specified in the express waiver and that only for the time and to the extent therein stated. One or more waivers by Landlord or Tenant shall not be construed as a waiver of a subsequent breach of the same covenant, term or condition.</w:t>
      </w:r>
    </w:p>
    <w:p>
      <w:pPr>
        <w:sectPr>
          <w:pgSz w:w="11900" w:h="16838" w:orient="portrait"/>
          <w:cols w:equalWidth="0" w:num="1">
            <w:col w:w="11420"/>
          </w:cols>
          <w:pgMar w:left="240" w:top="274" w:right="239" w:bottom="1440" w:gutter="0" w:footer="0" w:header="0"/>
        </w:sectPr>
      </w:pPr>
    </w:p>
    <w:bookmarkStart w:id="330" w:name="page331"/>
    <w:bookmarkEnd w:id="330"/>
    <w:p>
      <w:pPr>
        <w:ind w:left="280" w:hanging="272"/>
        <w:spacing w:after="0"/>
        <w:tabs>
          <w:tab w:leader="none" w:pos="280" w:val="left"/>
        </w:tabs>
        <w:numPr>
          <w:ilvl w:val="0"/>
          <w:numId w:val="23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Memorandum of Lease</w:t>
      </w:r>
      <w:r>
        <w:rPr>
          <w:rFonts w:ascii="Arial" w:cs="Arial" w:eastAsia="Arial" w:hAnsi="Arial"/>
          <w:sz w:val="18"/>
          <w:szCs w:val="18"/>
          <w:color w:val="auto"/>
        </w:rPr>
        <w:t>.</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parties hereto contemplate that this Lease should not and shall not be filed for record, but in lieu thereof, at the request of either party, Landlord and Tenant shall execute a Memorandum of Lease to be recorded for the purpose of giving record notice of the appropriate provisions of this Lease.</w:t>
      </w:r>
    </w:p>
    <w:p>
      <w:pPr>
        <w:spacing w:after="0" w:line="228" w:lineRule="exact"/>
        <w:rPr>
          <w:sz w:val="20"/>
          <w:szCs w:val="20"/>
          <w:color w:val="auto"/>
        </w:rPr>
      </w:pPr>
    </w:p>
    <w:p>
      <w:pPr>
        <w:ind w:left="280" w:hanging="272"/>
        <w:spacing w:after="0"/>
        <w:tabs>
          <w:tab w:leader="none" w:pos="280"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headings used in this Lease are for convenience of the parties only and shall not be considered in interpreting the meaning of any provision of this Lease.</w:t>
      </w:r>
    </w:p>
    <w:p>
      <w:pPr>
        <w:spacing w:after="0" w:line="352" w:lineRule="exact"/>
        <w:rPr>
          <w:sz w:val="20"/>
          <w:szCs w:val="20"/>
          <w:color w:val="auto"/>
        </w:rPr>
      </w:pPr>
    </w:p>
    <w:p>
      <w:pPr>
        <w:ind w:left="280" w:hanging="272"/>
        <w:spacing w:after="0"/>
        <w:tabs>
          <w:tab w:leader="none" w:pos="280" w:val="left"/>
        </w:tabs>
        <w:numPr>
          <w:ilvl w:val="0"/>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of this Lease shall extend to and be binding upon Landlord and Tenant and their respective legal representatives, successors and assigns.</w:t>
      </w:r>
    </w:p>
    <w:p>
      <w:pPr>
        <w:spacing w:after="0" w:line="352" w:lineRule="exact"/>
        <w:rPr>
          <w:sz w:val="20"/>
          <w:szCs w:val="20"/>
          <w:color w:val="auto"/>
        </w:rPr>
      </w:pPr>
    </w:p>
    <w:p>
      <w:pPr>
        <w:ind w:left="280" w:hanging="272"/>
        <w:spacing w:after="0"/>
        <w:tabs>
          <w:tab w:leader="none" w:pos="280" w:val="left"/>
        </w:tabs>
        <w:numPr>
          <w:ilvl w:val="0"/>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w:t>
      </w:r>
      <w:r>
        <w:rPr>
          <w:rFonts w:ascii="Arial" w:cs="Arial" w:eastAsia="Arial" w:hAnsi="Arial"/>
          <w:sz w:val="18"/>
          <w:szCs w:val="18"/>
          <w:color w:val="auto"/>
        </w:rPr>
        <w: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Landlord shall not unreasonably withhold or delay its consent with respect to any matter for which Landlord’s consent is required or desirable under this Lease. Tenant agrees to cooperate reasonably with Landlord in executing such documents or amendments to this Lease to effectuate the intended purpose of providing the leased space to Tenant at pro-rata pass-through costs from the Master Lease, including but not limited to renegotiation of payment terms, obligations and duties to conform with any requirement under the Master Lease.</w:t>
      </w:r>
    </w:p>
    <w:p>
      <w:pPr>
        <w:spacing w:after="0" w:line="291" w:lineRule="exact"/>
        <w:rPr>
          <w:sz w:val="20"/>
          <w:szCs w:val="20"/>
          <w:color w:val="auto"/>
        </w:rPr>
      </w:pPr>
    </w:p>
    <w:p>
      <w:pPr>
        <w:ind w:left="280" w:hanging="272"/>
        <w:spacing w:after="0"/>
        <w:tabs>
          <w:tab w:leader="none" w:pos="280" w:val="left"/>
        </w:tabs>
        <w:numPr>
          <w:ilvl w:val="0"/>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Tenant shall comply with all laws, orders, ordinances and other public requirements now or hereafter pertaining to Tenant’s use of the Leased Premises.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comply with all laws, orders, ordinances and other public requirements now or hereafter affecting the Leased Premises.</w:t>
      </w:r>
    </w:p>
    <w:p>
      <w:pPr>
        <w:spacing w:after="0" w:line="315" w:lineRule="exact"/>
        <w:rPr>
          <w:sz w:val="20"/>
          <w:szCs w:val="20"/>
          <w:color w:val="auto"/>
        </w:rPr>
      </w:pPr>
    </w:p>
    <w:p>
      <w:pPr>
        <w:ind w:left="280" w:hanging="272"/>
        <w:spacing w:after="0"/>
        <w:tabs>
          <w:tab w:leader="none" w:pos="280"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Final Agreement</w:t>
      </w:r>
      <w:r>
        <w:rPr>
          <w:rFonts w:ascii="Arial" w:cs="Arial" w:eastAsia="Arial" w:hAnsi="Arial"/>
          <w:sz w:val="18"/>
          <w:szCs w:val="18"/>
          <w:color w:val="auto"/>
        </w:rPr>
        <w: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Agreement terminates and supersedes all prior understandings or agreements on the subject matter hereof. This Agreement may be modified only by a further writing that is duly executed by both parties.</w:t>
      </w:r>
    </w:p>
    <w:p>
      <w:pPr>
        <w:spacing w:after="0" w:line="275" w:lineRule="exact"/>
        <w:rPr>
          <w:sz w:val="20"/>
          <w:szCs w:val="20"/>
          <w:color w:val="auto"/>
        </w:rPr>
      </w:pPr>
    </w:p>
    <w:p>
      <w:pPr>
        <w:ind w:left="280" w:hanging="272"/>
        <w:spacing w:after="0"/>
        <w:tabs>
          <w:tab w:leader="none" w:pos="280"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p>
    <w:p>
      <w:pPr>
        <w:sectPr>
          <w:pgSz w:w="11900" w:h="16838" w:orient="portrait"/>
          <w:cols w:equalWidth="0" w:num="1">
            <w:col w:w="11360"/>
          </w:cols>
          <w:pgMar w:left="240" w:top="270" w:right="29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shall be governed, construed and interpreted by, through and under the Laws of the Commonwealth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Lease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SNBL USA, LTD.</w:t>
            </w:r>
          </w:p>
        </w:tc>
        <w:tc>
          <w:tcPr>
            <w:tcW w:w="6040" w:type="dxa"/>
            <w:vAlign w:val="bottom"/>
            <w:gridSpan w:val="2"/>
          </w:tcPr>
          <w:p>
            <w:pPr>
              <w:ind w:left="780"/>
              <w:spacing w:after="0"/>
              <w:rPr>
                <w:sz w:val="20"/>
                <w:szCs w:val="20"/>
                <w:color w:val="auto"/>
              </w:rPr>
            </w:pPr>
            <w:r>
              <w:rPr>
                <w:rFonts w:ascii="Arial" w:cs="Arial" w:eastAsia="Arial" w:hAnsi="Arial"/>
                <w:sz w:val="18"/>
                <w:szCs w:val="18"/>
                <w:color w:val="auto"/>
              </w:rPr>
              <w:t>ONTORII,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Hideshi Tsusaki</w:t>
            </w:r>
          </w:p>
        </w:tc>
        <w:tc>
          <w:tcPr>
            <w:tcW w:w="1360" w:type="dxa"/>
            <w:vAlign w:val="bottom"/>
          </w:tcPr>
          <w:p>
            <w:pPr>
              <w:ind w:left="7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L. Verdine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Hideshi Tsusaki, DVM, PhD</w:t>
            </w:r>
          </w:p>
        </w:tc>
        <w:tc>
          <w:tcPr>
            <w:tcW w:w="1360" w:type="dxa"/>
            <w:vAlign w:val="bottom"/>
          </w:tcPr>
          <w:p>
            <w:pPr>
              <w:ind w:left="78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Gregory L. Verdine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COO</w:t>
            </w:r>
          </w:p>
        </w:tc>
        <w:tc>
          <w:tcPr>
            <w:tcW w:w="1360" w:type="dxa"/>
            <w:vAlign w:val="bottom"/>
          </w:tcPr>
          <w:p>
            <w:pPr>
              <w:ind w:left="78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3/17/2010</w:t>
            </w:r>
          </w:p>
        </w:tc>
        <w:tc>
          <w:tcPr>
            <w:tcW w:w="1360" w:type="dxa"/>
            <w:vAlign w:val="bottom"/>
          </w:tcPr>
          <w:p>
            <w:pPr>
              <w:ind w:left="780"/>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3/15/2010</w:t>
            </w:r>
          </w:p>
        </w:tc>
      </w:tr>
    </w:tbl>
    <w:p>
      <w:pPr>
        <w:sectPr>
          <w:pgSz w:w="11900" w:h="16838" w:orient="portrait"/>
          <w:cols w:equalWidth="0" w:num="1">
            <w:col w:w="11420"/>
          </w:cols>
          <w:pgMar w:left="240" w:top="274"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1 to the Commercial Lease Agreement</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This Amendment 1 to the Commercial Lease Agreement (“Lease”) is made and effective July 1, 2011, by and between SNBL USA, Ltd. a Washington Corporation having a notice address of 6605 Merrill Creek Parkway, Everett, WA 98203 (“Landlord”) and Ontorii, Inc., a Delaware corporation having a notice address of 419 Western Ave. Boston MA 02135 (“Tenant”).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Landlord has made available for lease a portion of the Premises located at 419 Western Avenue, Boston, MA 02135 (“Premises”), comprising a total of approximately 3850 sf. which Tenant currently occupies. Landlord has also made available, as shared space in common, to share and share alike, an additional 408 sf. designated as “Conference Room Small” (approx 90sf), “Conference Room Large (approx. 188 sf) and “Common Lobby Area” (approx. 130 sf) (together the “Leased Premises” of approximately 4258 sf). “Ontorii’s Proportionate Share” of the Premises under the current sublease was thus Ninety Seven and 93/100 percent, determined by the ratio of leased space to total space: 4258/4348.</w:t>
      </w:r>
    </w:p>
    <w:p>
      <w:pPr>
        <w:spacing w:after="0" w:line="17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Now, however, Tenant desires to sublease the entirety of the space, including the additional areas, for a total of one hundred percent (100%) of the facilities for the remainder of the term of this Sublease, and Landlord hereby consents to such extension of the portion of the facilities to be subleased.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in consideration of the mutual promises herein, contained and other good and valuable consideration, it is agreed:</w:t>
      </w:r>
    </w:p>
    <w:p>
      <w:pPr>
        <w:spacing w:after="0" w:line="329" w:lineRule="exact"/>
        <w:rPr>
          <w:sz w:val="20"/>
          <w:szCs w:val="20"/>
          <w:color w:val="auto"/>
        </w:rPr>
      </w:pPr>
    </w:p>
    <w:p>
      <w:pPr>
        <w:ind w:left="180" w:hanging="172"/>
        <w:spacing w:after="0"/>
        <w:tabs>
          <w:tab w:leader="none" w:pos="180" w:val="left"/>
        </w:tabs>
        <w:numPr>
          <w:ilvl w:val="0"/>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 Landlord hereby leases the Leased Premises in its entirety to Tenant, and Tenant hereby leases the same from Landlord, for the remainder of the “Lease Term” as defined in the Master Lease which has been previously provided to Tenant, the terms of which have not changed.</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B. Tenant may renew this Lease, including the Amendments thereto, subject to Landlord’s availability under the Master Lease, and upon Tenant giving reasonable advance notice to Landlord of intent to so extend, such notice no later than Landlord’s required notice under the Master Lease. The renewal term shall be at the rental set forth below and otherwise upon the same covenants, conditions and provisions as provided in this Lease.</w:t>
      </w:r>
    </w:p>
    <w:p>
      <w:pPr>
        <w:spacing w:after="0" w:line="270" w:lineRule="exact"/>
        <w:rPr>
          <w:sz w:val="20"/>
          <w:szCs w:val="20"/>
          <w:color w:val="auto"/>
        </w:rPr>
      </w:pPr>
    </w:p>
    <w:p>
      <w:pPr>
        <w:ind w:left="180" w:hanging="172"/>
        <w:spacing w:after="0"/>
        <w:tabs>
          <w:tab w:leader="none" w:pos="180"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Rental and Other Payments</w:t>
      </w:r>
      <w:r>
        <w:rPr>
          <w:rFonts w:ascii="Arial" w:cs="Arial" w:eastAsia="Arial" w:hAnsi="Arial"/>
          <w:sz w:val="18"/>
          <w:szCs w:val="18"/>
          <w:color w:val="auto"/>
        </w:rPr>
        <w:t>.</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Tenant shall pay to Landlord during the Term rental of $69,568.00 per year, payable in installments of $5,797.33 per month commencing on July 1, 2011. Such rent</w:t>
      </w:r>
    </w:p>
    <w:p>
      <w:pPr>
        <w:sectPr>
          <w:pgSz w:w="11900" w:h="16838" w:orient="portrait"/>
          <w:cols w:equalWidth="0" w:num="1">
            <w:col w:w="11420"/>
          </w:cols>
          <w:pgMar w:left="240" w:top="121" w:right="239" w:bottom="1440" w:gutter="0" w:footer="0" w:header="0"/>
        </w:sectPr>
      </w:pPr>
    </w:p>
    <w:bookmarkStart w:id="333" w:name="page334"/>
    <w:bookmarkEnd w:id="33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represents Landlord’s Basic Rent of $69,568.00 per annum ($5,797,33/month) under the Master Lease. Each installment payment shall be due in advance on the first day of each calendar month during the lease term to Landlord at 6605 Merrill Creek Parkway, Everett WA 98203 or at such other place designated by written notice from Landlord or Tenant. The rental payment amount for any partial calendar months included in the lease term shall be prorated on a daily basis.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 Tenant shall also pay Landlord any and all. Additional Rents (as defined and calculated in the Master Lease) times Ontorii’s Proportional Share, Such payments shall be made as defined in section 2A above. Landlord shall notify Tenant of changes to such additional rents when received as described by the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 Tenant shall also pay Landlord, on a monthly basis, the sum of $1,011,300.25 in 112 monthly installments in the manner described in section 2A of</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$9,029.47 representing Tenant’s cost of premises improvements made by Landlord. This monthly obligation survives any termination of this Lease and/or abandonment of the leased premises by Tenant.</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 The rental for any renewal lease term, if created as permitted under this Lease, shall be as defined to the Extension Term in the Master Lease payable in 12 equal installments as described in section 2A.</w:t>
      </w:r>
    </w:p>
    <w:p>
      <w:pPr>
        <w:spacing w:after="0" w:line="275" w:lineRule="exact"/>
        <w:rPr>
          <w:sz w:val="20"/>
          <w:szCs w:val="20"/>
          <w:color w:val="auto"/>
        </w:rPr>
      </w:pPr>
    </w:p>
    <w:p>
      <w:pPr>
        <w:ind w:left="180" w:hanging="172"/>
        <w:spacing w:after="0"/>
        <w:tabs>
          <w:tab w:leader="none" w:pos="180" w:val="left"/>
        </w:tabs>
        <w:numPr>
          <w:ilvl w:val="0"/>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Terms and Conditions.</w:t>
      </w:r>
    </w:p>
    <w:p>
      <w:pPr>
        <w:spacing w:after="0" w:line="11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u w:val="single" w:color="auto"/>
          <w:color w:val="auto"/>
        </w:rPr>
        <w:t>All other terms and conditions of the Sublease entered into on or about January 1, 2010 shall remain in full force and effect as if fully set forth herein.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Lease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SNBL USA, LTD.</w:t>
            </w:r>
          </w:p>
        </w:tc>
        <w:tc>
          <w:tcPr>
            <w:tcW w:w="6040" w:type="dxa"/>
            <w:vAlign w:val="bottom"/>
            <w:gridSpan w:val="2"/>
          </w:tcPr>
          <w:p>
            <w:pPr>
              <w:ind w:left="780"/>
              <w:spacing w:after="0"/>
              <w:rPr>
                <w:sz w:val="20"/>
                <w:szCs w:val="20"/>
                <w:color w:val="auto"/>
              </w:rPr>
            </w:pPr>
            <w:r>
              <w:rPr>
                <w:rFonts w:ascii="Arial" w:cs="Arial" w:eastAsia="Arial" w:hAnsi="Arial"/>
                <w:sz w:val="18"/>
                <w:szCs w:val="18"/>
                <w:color w:val="auto"/>
              </w:rPr>
              <w:t>ONTORII,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Hideyuki Hirama</w:t>
            </w:r>
          </w:p>
        </w:tc>
        <w:tc>
          <w:tcPr>
            <w:tcW w:w="1360" w:type="dxa"/>
            <w:vAlign w:val="bottom"/>
          </w:tcPr>
          <w:p>
            <w:pPr>
              <w:ind w:left="7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L. Verdine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Hideyuki Hirama. MA</w:t>
            </w:r>
          </w:p>
        </w:tc>
        <w:tc>
          <w:tcPr>
            <w:tcW w:w="1360" w:type="dxa"/>
            <w:vAlign w:val="bottom"/>
          </w:tcPr>
          <w:p>
            <w:pPr>
              <w:ind w:left="78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Gregory L. Verdine</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 &amp; CFO</w:t>
            </w:r>
          </w:p>
        </w:tc>
        <w:tc>
          <w:tcPr>
            <w:tcW w:w="1360" w:type="dxa"/>
            <w:vAlign w:val="bottom"/>
          </w:tcPr>
          <w:p>
            <w:pPr>
              <w:ind w:left="78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 29, 2011</w:t>
            </w:r>
          </w:p>
        </w:tc>
        <w:tc>
          <w:tcPr>
            <w:tcW w:w="1360" w:type="dxa"/>
            <w:vAlign w:val="bottom"/>
          </w:tcPr>
          <w:p>
            <w:pPr>
              <w:ind w:left="780"/>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15, 2011</w:t>
            </w:r>
          </w:p>
        </w:tc>
      </w:tr>
    </w:tbl>
    <w:p>
      <w:pPr>
        <w:sectPr>
          <w:pgSz w:w="11900" w:h="16838" w:orient="portrait"/>
          <w:cols w:equalWidth="0" w:num="1">
            <w:col w:w="11420"/>
          </w:cols>
          <w:pgMar w:left="240" w:top="273" w:right="239" w:bottom="1440" w:gutter="0" w:footer="0" w:header="0"/>
        </w:sectPr>
      </w:pPr>
    </w:p>
    <w:bookmarkStart w:id="334" w:name="page335"/>
    <w:bookmarkEnd w:id="3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Tenant’s Mailing Address Prior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Occupancy: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Building: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Premises: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center"/>
        <w:ind w:right="3320"/>
        <w:spacing w:after="0"/>
        <w:rPr>
          <w:sz w:val="20"/>
          <w:szCs w:val="20"/>
          <w:color w:val="auto"/>
        </w:rPr>
      </w:pPr>
      <w:r>
        <w:rPr>
          <w:rFonts w:ascii="Arial" w:cs="Arial" w:eastAsia="Arial" w:hAnsi="Arial"/>
          <w:sz w:val="18"/>
          <w:szCs w:val="18"/>
          <w:color w:val="auto"/>
        </w:rPr>
        <w:t>733 CONCORD AVENUE</w:t>
      </w:r>
    </w:p>
    <w:p>
      <w:pPr>
        <w:spacing w:after="0" w:line="23" w:lineRule="exact"/>
        <w:rPr>
          <w:sz w:val="20"/>
          <w:szCs w:val="20"/>
          <w:color w:val="auto"/>
        </w:rPr>
      </w:pPr>
    </w:p>
    <w:p>
      <w:pPr>
        <w:jc w:val="center"/>
        <w:ind w:right="3320"/>
        <w:spacing w:after="0"/>
        <w:rPr>
          <w:sz w:val="20"/>
          <w:szCs w:val="20"/>
          <w:color w:val="auto"/>
        </w:rPr>
      </w:pPr>
      <w:r>
        <w:rPr>
          <w:rFonts w:ascii="Arial" w:cs="Arial" w:eastAsia="Arial" w:hAnsi="Arial"/>
          <w:sz w:val="18"/>
          <w:szCs w:val="18"/>
          <w:color w:val="auto"/>
        </w:rPr>
        <w:t>CAMBRIDGE, MASSACHUSETTS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LEASE SUMMARY SHEET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April 6,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USA,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419 Western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 02135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Paul B. Bolno and Kyle Moran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Stuart A. Offner, Esq.</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King 733 Concord LLC, a Delaware limited liability company</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733 Concord Avenue, Cambridge, Massachusetts. The Building consists of one and two stories, and contains approximately 44,019 rentable square feet. The land on which the Building is located (the “</w:t>
      </w:r>
      <w:r>
        <w:rPr>
          <w:rFonts w:ascii="Arial" w:cs="Arial" w:eastAsia="Arial" w:hAnsi="Arial"/>
          <w:sz w:val="18"/>
          <w:szCs w:val="18"/>
          <w:b w:val="1"/>
          <w:bCs w:val="1"/>
          <w:u w:val="single" w:color="auto"/>
          <w:color w:val="auto"/>
        </w:rPr>
        <w:t>Land</w:t>
      </w:r>
      <w:r>
        <w:rPr>
          <w:rFonts w:ascii="Arial" w:cs="Arial" w:eastAsia="Arial" w:hAnsi="Arial"/>
          <w:sz w:val="18"/>
          <w:szCs w:val="18"/>
          <w:color w:val="auto"/>
        </w:rPr>
        <w:t xml:space="preserve">”) is more particularly described in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attached hereto and made a part hereof (such land, together with the Building, are hereinafter collectively referred to as the “</w:t>
      </w:r>
      <w:r>
        <w:rPr>
          <w:rFonts w:ascii="Arial" w:cs="Arial" w:eastAsia="Arial" w:hAnsi="Arial"/>
          <w:sz w:val="18"/>
          <w:szCs w:val="18"/>
          <w:b w:val="1"/>
          <w:bCs w:val="1"/>
          <w:u w:val="single" w:color="auto"/>
          <w:color w:val="auto"/>
        </w:rPr>
        <w:t>Property</w:t>
      </w:r>
      <w:r>
        <w:rPr>
          <w:rFonts w:ascii="Arial" w:cs="Arial" w:eastAsia="Arial" w:hAnsi="Arial"/>
          <w:sz w:val="18"/>
          <w:szCs w:val="18"/>
          <w:color w:val="auto"/>
        </w:rPr>
        <w:t>”).</w:t>
      </w:r>
    </w:p>
    <w:p>
      <w:pPr>
        <w:spacing w:after="0" w:line="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Approximately 30,893 rentable square feet of space in the Building, comprised of an area (“</w:t>
      </w:r>
      <w:r>
        <w:rPr>
          <w:rFonts w:ascii="Arial" w:cs="Arial" w:eastAsia="Arial" w:hAnsi="Arial"/>
          <w:sz w:val="18"/>
          <w:szCs w:val="18"/>
          <w:b w:val="1"/>
          <w:bCs w:val="1"/>
          <w:u w:val="single" w:color="auto"/>
          <w:color w:val="auto"/>
        </w:rPr>
        <w:t>First Floor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 containing approximately 25,911 rentable square feet located on the first (1</w:t>
      </w:r>
      <w:r>
        <w:rPr>
          <w:rFonts w:ascii="Arial" w:cs="Arial" w:eastAsia="Arial" w:hAnsi="Arial"/>
          <w:sz w:val="15"/>
          <w:szCs w:val="15"/>
          <w:color w:val="auto"/>
        </w:rPr>
        <w:t>st</w:t>
      </w:r>
      <w:r>
        <w:rPr>
          <w:rFonts w:ascii="Arial" w:cs="Arial" w:eastAsia="Arial" w:hAnsi="Arial"/>
          <w:sz w:val="18"/>
          <w:szCs w:val="18"/>
          <w:color w:val="auto"/>
        </w:rPr>
        <w:t>)floor of the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an area (“</w:t>
      </w:r>
      <w:r>
        <w:rPr>
          <w:rFonts w:ascii="Arial" w:cs="Arial" w:eastAsia="Arial" w:hAnsi="Arial"/>
          <w:sz w:val="18"/>
          <w:szCs w:val="18"/>
          <w:b w:val="1"/>
          <w:bCs w:val="1"/>
          <w:u w:val="single" w:color="auto"/>
          <w:color w:val="auto"/>
        </w:rPr>
        <w:t>Mezzanine Premises</w:t>
      </w:r>
      <w:r>
        <w:rPr>
          <w:rFonts w:ascii="Arial" w:cs="Arial" w:eastAsia="Arial" w:hAnsi="Arial"/>
          <w:sz w:val="18"/>
          <w:szCs w:val="18"/>
          <w:color w:val="auto"/>
        </w:rPr>
        <w:t>”) containing approximately 4,982 rentable square feet located on the mezzanine level of the Building.</w:t>
      </w:r>
    </w:p>
    <w:p>
      <w:pPr>
        <w:spacing w:after="0" w:line="7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First Floor Premises and the Mezzanine Premises are referred to collectively herein as the “</w:t>
      </w: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 xml:space="preserve">”, and are shown the Lease Plans attached hereto and made a part hereof as </w:t>
      </w:r>
      <w:r>
        <w:rPr>
          <w:rFonts w:ascii="Arial" w:cs="Arial" w:eastAsia="Arial" w:hAnsi="Arial"/>
          <w:sz w:val="18"/>
          <w:szCs w:val="18"/>
          <w:u w:val="single" w:color="auto"/>
          <w:color w:val="auto"/>
        </w:rPr>
        <w:t>Exhibits 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1B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w:t>
      </w:r>
    </w:p>
    <w:p>
      <w:pPr>
        <w:spacing w:after="0" w:line="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Landlord and Tenant stipulate and agree that the Rentable Square Footage of the Building and the Rentable Square Footage of the Premises are correct and shall not be remeasured.</w:t>
      </w:r>
    </w:p>
    <w:p>
      <w:pPr>
        <w:spacing w:after="0" w:line="10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2640" w:space="700"/>
            <w:col w:w="8080"/>
          </w:cols>
          <w:pgMar w:left="240" w:top="122" w:right="23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Term Commencement</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196"/>
        </w:trPr>
        <w:tc>
          <w:tcPr>
            <w:tcW w:w="17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Date:</w:t>
            </w:r>
          </w:p>
        </w:tc>
        <w:tc>
          <w:tcPr>
            <w:tcW w:w="9620" w:type="dxa"/>
            <w:vAlign w:val="bottom"/>
            <w:gridSpan w:val="4"/>
          </w:tcPr>
          <w:p>
            <w:pPr>
              <w:ind w:left="580"/>
              <w:spacing w:after="0" w:line="196" w:lineRule="exact"/>
              <w:rPr>
                <w:sz w:val="20"/>
                <w:szCs w:val="20"/>
                <w:color w:val="auto"/>
              </w:rPr>
            </w:pPr>
            <w:r>
              <w:rPr>
                <w:rFonts w:ascii="Arial" w:cs="Arial" w:eastAsia="Arial" w:hAnsi="Arial"/>
                <w:sz w:val="18"/>
                <w:szCs w:val="18"/>
                <w:color w:val="auto"/>
              </w:rPr>
              <w:t>The earlier of:</w:t>
            </w:r>
          </w:p>
        </w:tc>
      </w:tr>
      <w:tr>
        <w:trPr>
          <w:trHeight w:val="345"/>
        </w:trPr>
        <w:tc>
          <w:tcPr>
            <w:tcW w:w="4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w w:val="99"/>
              </w:rPr>
              <w:t>(i) the date that Tenant first commences to use the Premises, or any portion thereof, for any Permitted Use, or</w:t>
            </w:r>
          </w:p>
        </w:tc>
      </w:tr>
      <w:tr>
        <w:trPr>
          <w:trHeight w:val="324"/>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w w:val="97"/>
              </w:rPr>
              <w:t>(ii) the later of: (x) August 15, 2015, or (y) Substantial Completion of Landlord’s Work, as defined in Section 3.2.</w:t>
            </w:r>
          </w:p>
        </w:tc>
      </w:tr>
      <w:tr>
        <w:trPr>
          <w:trHeight w:val="306"/>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90"/>
              </w:rPr>
              <w:t>The parties estimate that the Term Commencement Date will occur on or about the date (“</w:t>
            </w:r>
            <w:r>
              <w:rPr>
                <w:rFonts w:ascii="Arial" w:cs="Arial" w:eastAsia="Arial" w:hAnsi="Arial"/>
                <w:sz w:val="18"/>
                <w:szCs w:val="18"/>
                <w:b w:val="1"/>
                <w:bCs w:val="1"/>
                <w:color w:val="auto"/>
                <w:w w:val="90"/>
              </w:rPr>
              <w:t>Estimated Term Commencement</w:t>
            </w:r>
          </w:p>
        </w:tc>
      </w:tr>
      <w:tr>
        <w:trPr>
          <w:trHeight w:val="220"/>
        </w:trPr>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b w:val="1"/>
                <w:bCs w:val="1"/>
                <w:color w:val="auto"/>
                <w:w w:val="95"/>
              </w:rPr>
              <w:t>Date</w:t>
            </w:r>
            <w:r>
              <w:rPr>
                <w:rFonts w:ascii="Arial" w:cs="Arial" w:eastAsia="Arial" w:hAnsi="Arial"/>
                <w:sz w:val="18"/>
                <w:szCs w:val="18"/>
                <w:color w:val="auto"/>
                <w:w w:val="95"/>
              </w:rPr>
              <w:t>”) which is five (5) months after the date of execution and delivery of this Lease by both parties. The installation of</w:t>
            </w:r>
          </w:p>
        </w:tc>
      </w:tr>
      <w:tr>
        <w:trPr>
          <w:trHeight w:val="216"/>
        </w:trPr>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91"/>
              </w:rPr>
              <w:t>Tenant’s furniture, fixtures and equipment in the Premises shall not be deemed to be “use of the Premises for any Permitted</w:t>
            </w:r>
          </w:p>
        </w:tc>
      </w:tr>
      <w:tr>
        <w:trPr>
          <w:trHeight w:val="230"/>
        </w:trPr>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rPr>
              <w:t>Use for the purposes of the definition of the Term Commencement Date.</w:t>
            </w:r>
          </w:p>
        </w:tc>
      </w:tr>
      <w:tr>
        <w:trPr>
          <w:trHeight w:val="284"/>
        </w:trPr>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Expiration Date:</w:t>
            </w: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97"/>
              </w:rPr>
              <w:t>The date that is seven (7) years and six (6) months following the Term Commencement Date; except that if the Term</w:t>
            </w:r>
          </w:p>
        </w:tc>
      </w:tr>
      <w:tr>
        <w:trPr>
          <w:trHeight w:val="222"/>
        </w:trPr>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89"/>
              </w:rPr>
              <w:t>Commencement Date does not occur on the first day of a calendar month, then the Expiration Date shall be the last day of the</w:t>
            </w:r>
          </w:p>
        </w:tc>
      </w:tr>
      <w:tr>
        <w:trPr>
          <w:trHeight w:val="216"/>
        </w:trPr>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w w:val="95"/>
              </w:rPr>
              <w:t>calendar month in which the date which is seven (7) years and six (6) months following the Term Commencement Date</w:t>
            </w:r>
          </w:p>
        </w:tc>
      </w:tr>
      <w:tr>
        <w:trPr>
          <w:trHeight w:val="230"/>
        </w:trPr>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rPr>
              <w:t>occurs.</w:t>
            </w:r>
          </w:p>
        </w:tc>
      </w:tr>
      <w:tr>
        <w:trPr>
          <w:trHeight w:val="284"/>
        </w:trPr>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Extension Term:</w:t>
            </w: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rPr>
              <w:t>Subject to Section 1.2 below, one (1) extension term of five (5) years.</w:t>
            </w:r>
          </w:p>
        </w:tc>
      </w:tr>
      <w:tr>
        <w:trPr>
          <w:trHeight w:val="304"/>
        </w:trPr>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Permitted Uses:</w:t>
            </w:r>
          </w:p>
        </w:tc>
        <w:tc>
          <w:tcPr>
            <w:tcW w:w="440" w:type="dxa"/>
            <w:vAlign w:val="bottom"/>
            <w:gridSpan w:val="2"/>
          </w:tcPr>
          <w:p>
            <w:pPr>
              <w:spacing w:after="0"/>
              <w:rPr>
                <w:sz w:val="24"/>
                <w:szCs w:val="24"/>
                <w:color w:val="auto"/>
              </w:rPr>
            </w:pPr>
          </w:p>
        </w:tc>
        <w:tc>
          <w:tcPr>
            <w:tcW w:w="9620" w:type="dxa"/>
            <w:vAlign w:val="bottom"/>
            <w:gridSpan w:val="4"/>
          </w:tcPr>
          <w:p>
            <w:pPr>
              <w:ind w:left="580"/>
              <w:spacing w:after="0"/>
              <w:rPr>
                <w:sz w:val="20"/>
                <w:szCs w:val="20"/>
                <w:color w:val="auto"/>
              </w:rPr>
            </w:pPr>
            <w:r>
              <w:rPr>
                <w:rFonts w:ascii="Arial" w:cs="Arial" w:eastAsia="Arial" w:hAnsi="Arial"/>
                <w:sz w:val="18"/>
                <w:szCs w:val="18"/>
                <w:color w:val="auto"/>
              </w:rPr>
              <w:t>Subject to Legal Requirements (hereinafter defined), the following uses:</w:t>
            </w:r>
          </w:p>
        </w:tc>
      </w:tr>
      <w:tr>
        <w:trPr>
          <w:trHeight w:val="304"/>
        </w:trPr>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Arial" w:cs="Arial" w:eastAsia="Arial" w:hAnsi="Arial"/>
                <w:sz w:val="18"/>
                <w:szCs w:val="18"/>
                <w:i w:val="1"/>
                <w:iCs w:val="1"/>
                <w:color w:val="auto"/>
                <w:w w:val="99"/>
              </w:rPr>
              <w:t>Contemplated Uses</w:t>
            </w:r>
            <w:r>
              <w:rPr>
                <w:rFonts w:ascii="Arial" w:cs="Arial" w:eastAsia="Arial" w:hAnsi="Arial"/>
                <w:sz w:val="18"/>
                <w:szCs w:val="18"/>
                <w:color w:val="auto"/>
                <w:w w:val="99"/>
              </w:rPr>
              <w:t>: General office, research, development and laboratory use, in accordance with applicable</w:t>
            </w: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Environmental Laws (hereinafter defined), and other ancillary uses related to the foregoing; and</w:t>
            </w:r>
          </w:p>
        </w:tc>
      </w:tr>
      <w:tr>
        <w:trPr>
          <w:trHeight w:val="284"/>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80" w:type="dxa"/>
            <w:vAlign w:val="bottom"/>
            <w:gridSpan w:val="3"/>
          </w:tcPr>
          <w:p>
            <w:pPr>
              <w:spacing w:after="0"/>
              <w:rPr>
                <w:sz w:val="20"/>
                <w:szCs w:val="20"/>
                <w:color w:val="auto"/>
              </w:rPr>
            </w:pPr>
            <w:r>
              <w:rPr>
                <w:rFonts w:ascii="Arial" w:cs="Arial" w:eastAsia="Arial" w:hAnsi="Arial"/>
                <w:sz w:val="18"/>
                <w:szCs w:val="18"/>
                <w:i w:val="1"/>
                <w:iCs w:val="1"/>
                <w:color w:val="auto"/>
                <w:w w:val="94"/>
              </w:rPr>
              <w:t>Other Uses</w:t>
            </w:r>
            <w:r>
              <w:rPr>
                <w:rFonts w:ascii="Arial" w:cs="Arial" w:eastAsia="Arial" w:hAnsi="Arial"/>
                <w:sz w:val="18"/>
                <w:szCs w:val="18"/>
                <w:color w:val="auto"/>
                <w:w w:val="94"/>
              </w:rPr>
              <w:t>: Provided that Tenant obtains Landlord’s prior written consent, which consent shall not be unreasonably</w:t>
            </w: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withheld, any other lawfully permitted uses.</w:t>
            </w:r>
          </w:p>
        </w:tc>
      </w:tr>
      <w:tr>
        <w:trPr>
          <w:trHeight w:val="365"/>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20" w:type="dxa"/>
            <w:vAlign w:val="bottom"/>
            <w:gridSpan w:val="4"/>
          </w:tcPr>
          <w:p>
            <w:pPr>
              <w:ind w:left="3940"/>
              <w:spacing w:after="0"/>
              <w:rPr>
                <w:sz w:val="20"/>
                <w:szCs w:val="20"/>
                <w:color w:val="auto"/>
              </w:rPr>
            </w:pPr>
            <w:r>
              <w:rPr>
                <w:rFonts w:ascii="Arial" w:cs="Arial" w:eastAsia="Arial" w:hAnsi="Arial"/>
                <w:sz w:val="18"/>
                <w:szCs w:val="18"/>
                <w:color w:val="auto"/>
              </w:rPr>
              <w:t>2</w:t>
            </w:r>
          </w:p>
        </w:tc>
      </w:tr>
    </w:tbl>
    <w:p>
      <w:pPr>
        <w:ind w:left="3940"/>
        <w:spacing w:after="0"/>
        <w:rPr>
          <w:sz w:val="20"/>
          <w:szCs w:val="20"/>
          <w:color w:val="auto"/>
        </w:rPr>
        <w:sectPr>
          <w:pgSz w:w="11900" w:h="16838" w:orient="portrait"/>
          <w:cols w:equalWidth="0" w:num="1">
            <w:col w:w="11340"/>
          </w:cols>
          <w:pgMar w:left="240" w:top="365" w:right="3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6" w:name="page337"/>
    <w:bookmarkEnd w:id="336"/>
    <w:tbl>
      <w:tblPr>
        <w:tblLayout w:type="fixed"/>
        <w:tblInd w:w="0" w:type="dxa"/>
        <w:tblCellMar>
          <w:top w:w="0" w:type="dxa"/>
          <w:left w:w="0" w:type="dxa"/>
          <w:bottom w:w="0" w:type="dxa"/>
          <w:right w:w="0" w:type="dxa"/>
        </w:tblCellMar>
      </w:tblPr>
      <w:tr>
        <w:trPr>
          <w:trHeight w:val="178"/>
        </w:trPr>
        <w:tc>
          <w:tcPr>
            <w:tcW w:w="2160" w:type="dxa"/>
            <w:vAlign w:val="bottom"/>
            <w:gridSpan w:val="9"/>
          </w:tcPr>
          <w:p>
            <w:pPr>
              <w:spacing w:after="0"/>
              <w:rPr>
                <w:sz w:val="20"/>
                <w:szCs w:val="20"/>
                <w:color w:val="auto"/>
              </w:rPr>
            </w:pPr>
            <w:r>
              <w:rPr>
                <w:rFonts w:ascii="Arial" w:cs="Arial" w:eastAsia="Arial" w:hAnsi="Arial"/>
                <w:sz w:val="14"/>
                <w:szCs w:val="14"/>
                <w:b w:val="1"/>
                <w:bCs w:val="1"/>
                <w:color w:val="auto"/>
              </w:rPr>
              <w:t>Base Rent:</w:t>
            </w:r>
          </w:p>
        </w:tc>
        <w:tc>
          <w:tcPr>
            <w:tcW w:w="384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LEASE YEAR</w:t>
            </w:r>
            <w:r>
              <w:rPr>
                <w:rFonts w:ascii="Arial" w:cs="Arial" w:eastAsia="Arial" w:hAnsi="Arial"/>
                <w:sz w:val="12"/>
                <w:szCs w:val="12"/>
                <w:color w:val="auto"/>
              </w:rPr>
              <w:t>1</w:t>
            </w:r>
          </w:p>
        </w:tc>
        <w:tc>
          <w:tcPr>
            <w:tcW w:w="26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ANNUAL BASE RENT</w:t>
            </w: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MONTHLY PAYMENT</w:t>
            </w:r>
          </w:p>
        </w:tc>
      </w:tr>
      <w:tr>
        <w:trPr>
          <w:trHeight w:val="95"/>
        </w:trPr>
        <w:tc>
          <w:tcPr>
            <w:tcW w:w="5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800,000.00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66,666.67</w:t>
            </w:r>
          </w:p>
        </w:tc>
        <w:tc>
          <w:tcPr>
            <w:tcW w:w="100" w:type="dxa"/>
            <w:vAlign w:val="bottom"/>
            <w:shd w:val="clear" w:color="auto" w:fill="CCEEFF"/>
          </w:tcPr>
          <w:p>
            <w:pPr>
              <w:spacing w:after="0"/>
              <w:rPr>
                <w:sz w:val="18"/>
                <w:szCs w:val="18"/>
                <w:color w:val="auto"/>
              </w:rPr>
            </w:pP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26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936,000.00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78,000.00</w:t>
            </w:r>
          </w:p>
        </w:tc>
        <w:tc>
          <w:tcPr>
            <w:tcW w:w="100" w:type="dxa"/>
            <w:vAlign w:val="bottom"/>
          </w:tcPr>
          <w:p>
            <w:pPr>
              <w:spacing w:after="0"/>
              <w:rPr>
                <w:sz w:val="24"/>
                <w:szCs w:val="24"/>
                <w:color w:val="auto"/>
              </w:rPr>
            </w:pPr>
          </w:p>
        </w:tc>
      </w:tr>
      <w:tr>
        <w:trPr>
          <w:trHeight w:val="108"/>
        </w:trPr>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1,311,098.92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109,258.24</w:t>
            </w: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26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1,350,333.03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112,527.75</w:t>
            </w:r>
          </w:p>
        </w:tc>
      </w:tr>
      <w:tr>
        <w:trPr>
          <w:trHeight w:val="108"/>
        </w:trPr>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1,390,802.86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115,900.24</w:t>
            </w: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26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840"/>
              <w:spacing w:after="0"/>
              <w:rPr>
                <w:sz w:val="20"/>
                <w:szCs w:val="20"/>
                <w:color w:val="auto"/>
              </w:rPr>
            </w:pPr>
            <w:r>
              <w:rPr>
                <w:rFonts w:ascii="Arial" w:cs="Arial" w:eastAsia="Arial" w:hAnsi="Arial"/>
                <w:sz w:val="18"/>
                <w:szCs w:val="18"/>
                <w:color w:val="auto"/>
              </w:rPr>
              <w:t>1,432,508.41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119,375.70</w:t>
            </w:r>
          </w:p>
        </w:tc>
      </w:tr>
      <w:tr>
        <w:trPr>
          <w:trHeight w:val="108"/>
        </w:trPr>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1,475,559.68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122,954.14</w:t>
            </w: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26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760"/>
              <w:spacing w:after="0"/>
              <w:rPr>
                <w:sz w:val="20"/>
                <w:szCs w:val="20"/>
                <w:color w:val="auto"/>
              </w:rPr>
            </w:pPr>
            <w:r>
              <w:rPr>
                <w:rFonts w:ascii="Arial" w:cs="Arial" w:eastAsia="Arial" w:hAnsi="Arial"/>
                <w:sz w:val="18"/>
                <w:szCs w:val="18"/>
                <w:color w:val="auto"/>
              </w:rPr>
              <w:t>1,519,626.67*</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126,635.56</w:t>
            </w:r>
          </w:p>
        </w:tc>
      </w:tr>
      <w:tr>
        <w:trPr>
          <w:trHeight w:val="108"/>
        </w:trPr>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*annualized</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19"/>
        </w:trPr>
        <w:tc>
          <w:tcPr>
            <w:tcW w:w="16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9"/>
              </w:rPr>
              <w:t>Operating Costs and</w:t>
            </w:r>
          </w:p>
        </w:tc>
        <w:tc>
          <w:tcPr>
            <w:tcW w:w="560" w:type="dxa"/>
            <w:vAlign w:val="bottom"/>
            <w:gridSpan w:val="2"/>
          </w:tcPr>
          <w:p>
            <w:pPr>
              <w:spacing w:after="0"/>
              <w:rPr>
                <w:sz w:val="24"/>
                <w:szCs w:val="24"/>
                <w:color w:val="auto"/>
              </w:rPr>
            </w:pP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16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Taxes:</w:t>
            </w:r>
          </w:p>
        </w:tc>
        <w:tc>
          <w:tcPr>
            <w:tcW w:w="52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See Sections 5.2 and 5.3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60" w:type="dxa"/>
            <w:vAlign w:val="bottom"/>
            <w:gridSpan w:val="10"/>
          </w:tcPr>
          <w:p>
            <w:pPr>
              <w:spacing w:after="0" w:line="20" w:lineRule="exact"/>
              <w:rPr>
                <w:sz w:val="1"/>
                <w:szCs w:val="1"/>
                <w:color w:val="auto"/>
              </w:rPr>
            </w:pPr>
          </w:p>
        </w:tc>
      </w:tr>
      <w:tr>
        <w:trPr>
          <w:trHeight w:val="304"/>
        </w:trPr>
        <w:tc>
          <w:tcPr>
            <w:tcW w:w="2160" w:type="dxa"/>
            <w:vAlign w:val="bottom"/>
            <w:gridSpan w:val="9"/>
          </w:tcPr>
          <w:p>
            <w:pPr>
              <w:spacing w:after="0"/>
              <w:rPr>
                <w:sz w:val="20"/>
                <w:szCs w:val="20"/>
                <w:color w:val="auto"/>
              </w:rPr>
            </w:pPr>
            <w:r>
              <w:rPr>
                <w:rFonts w:ascii="Arial" w:cs="Arial" w:eastAsia="Arial" w:hAnsi="Arial"/>
                <w:sz w:val="18"/>
                <w:szCs w:val="18"/>
                <w:b w:val="1"/>
                <w:bCs w:val="1"/>
                <w:color w:val="auto"/>
              </w:rPr>
              <w:t>Tenant’s Share:</w:t>
            </w:r>
          </w:p>
        </w:tc>
        <w:tc>
          <w:tcPr>
            <w:tcW w:w="9260" w:type="dxa"/>
            <w:vAlign w:val="bottom"/>
            <w:gridSpan w:val="10"/>
          </w:tcPr>
          <w:p>
            <w:pPr>
              <w:ind w:left="140"/>
              <w:spacing w:after="0"/>
              <w:rPr>
                <w:sz w:val="20"/>
                <w:szCs w:val="20"/>
                <w:color w:val="auto"/>
              </w:rPr>
            </w:pPr>
            <w:r>
              <w:rPr>
                <w:rFonts w:ascii="Arial" w:cs="Arial" w:eastAsia="Arial" w:hAnsi="Arial"/>
                <w:sz w:val="18"/>
                <w:szCs w:val="18"/>
                <w:color w:val="auto"/>
                <w:w w:val="92"/>
              </w:rPr>
              <w:t>A fraction, the numerator of which is the number of rentable square feet in the Premises and the denominator of which is the</w:t>
            </w:r>
          </w:p>
        </w:tc>
      </w:tr>
      <w:tr>
        <w:trPr>
          <w:trHeight w:val="237"/>
        </w:trPr>
        <w:tc>
          <w:tcPr>
            <w:tcW w:w="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7"/>
          </w:tcPr>
          <w:p>
            <w:pPr>
              <w:ind w:left="140"/>
              <w:spacing w:after="0"/>
              <w:rPr>
                <w:sz w:val="20"/>
                <w:szCs w:val="20"/>
                <w:color w:val="auto"/>
              </w:rPr>
            </w:pPr>
            <w:r>
              <w:rPr>
                <w:rFonts w:ascii="Arial" w:cs="Arial" w:eastAsia="Arial" w:hAnsi="Arial"/>
                <w:sz w:val="18"/>
                <w:szCs w:val="18"/>
                <w:color w:val="auto"/>
                <w:w w:val="95"/>
              </w:rPr>
              <w:t>number of rentable square feet in the Building. As of the Execution Date, Tenant’s Share is 70.18%.</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2160" w:type="dxa"/>
            <w:vAlign w:val="bottom"/>
            <w:gridSpan w:val="9"/>
          </w:tcPr>
          <w:p>
            <w:pPr>
              <w:spacing w:after="0"/>
              <w:rPr>
                <w:sz w:val="20"/>
                <w:szCs w:val="20"/>
                <w:color w:val="auto"/>
              </w:rPr>
            </w:pPr>
            <w:r>
              <w:rPr>
                <w:rFonts w:ascii="Arial" w:cs="Arial" w:eastAsia="Arial" w:hAnsi="Arial"/>
                <w:sz w:val="18"/>
                <w:szCs w:val="18"/>
                <w:b w:val="1"/>
                <w:bCs w:val="1"/>
                <w:color w:val="auto"/>
                <w:w w:val="95"/>
              </w:rPr>
              <w:t>Security Deposit/ Letter of</w:t>
            </w:r>
          </w:p>
        </w:tc>
        <w:tc>
          <w:tcPr>
            <w:tcW w:w="3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04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b w:val="1"/>
                <w:bCs w:val="1"/>
                <w:color w:val="auto"/>
              </w:rPr>
              <w:t>Credit:</w:t>
            </w:r>
          </w:p>
        </w:tc>
        <w:tc>
          <w:tcPr>
            <w:tcW w:w="120" w:type="dxa"/>
            <w:vAlign w:val="bottom"/>
          </w:tcPr>
          <w:p>
            <w:pPr>
              <w:spacing w:after="0"/>
              <w:rPr>
                <w:sz w:val="17"/>
                <w:szCs w:val="17"/>
                <w:color w:val="auto"/>
              </w:rPr>
            </w:pPr>
          </w:p>
        </w:tc>
        <w:tc>
          <w:tcPr>
            <w:tcW w:w="5220" w:type="dxa"/>
            <w:vAlign w:val="bottom"/>
            <w:gridSpan w:val="3"/>
          </w:tcPr>
          <w:p>
            <w:pPr>
              <w:ind w:left="140"/>
              <w:spacing w:after="0" w:line="196" w:lineRule="exact"/>
              <w:rPr>
                <w:sz w:val="20"/>
                <w:szCs w:val="20"/>
                <w:color w:val="auto"/>
              </w:rPr>
            </w:pPr>
            <w:r>
              <w:rPr>
                <w:rFonts w:ascii="Arial" w:cs="Arial" w:eastAsia="Arial" w:hAnsi="Arial"/>
                <w:sz w:val="18"/>
                <w:szCs w:val="18"/>
                <w:color w:val="auto"/>
                <w:w w:val="94"/>
              </w:rPr>
              <w:t>$1,000,000.00, subject to reduction in accordance with Section 7.6.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260" w:type="dxa"/>
            <w:vAlign w:val="bottom"/>
            <w:gridSpan w:val="10"/>
          </w:tcPr>
          <w:p>
            <w:pPr>
              <w:spacing w:after="0" w:line="20" w:lineRule="exact"/>
              <w:rPr>
                <w:sz w:val="1"/>
                <w:szCs w:val="1"/>
                <w:color w:val="auto"/>
              </w:rPr>
            </w:pPr>
          </w:p>
        </w:tc>
      </w:tr>
      <w:tr>
        <w:trPr>
          <w:trHeight w:val="304"/>
        </w:trPr>
        <w:tc>
          <w:tcPr>
            <w:tcW w:w="2160" w:type="dxa"/>
            <w:vAlign w:val="bottom"/>
            <w:gridSpan w:val="9"/>
          </w:tcPr>
          <w:p>
            <w:pPr>
              <w:spacing w:after="0"/>
              <w:rPr>
                <w:sz w:val="20"/>
                <w:szCs w:val="20"/>
                <w:color w:val="auto"/>
              </w:rPr>
            </w:pPr>
            <w:r>
              <w:rPr>
                <w:rFonts w:ascii="Arial" w:cs="Arial" w:eastAsia="Arial" w:hAnsi="Arial"/>
                <w:sz w:val="18"/>
                <w:szCs w:val="18"/>
                <w:b w:val="1"/>
                <w:bCs w:val="1"/>
                <w:color w:val="auto"/>
              </w:rPr>
              <w:t>Event of Default:</w:t>
            </w:r>
          </w:p>
        </w:tc>
        <w:tc>
          <w:tcPr>
            <w:tcW w:w="9260" w:type="dxa"/>
            <w:vAlign w:val="bottom"/>
            <w:gridSpan w:val="10"/>
          </w:tcPr>
          <w:p>
            <w:pPr>
              <w:ind w:left="140"/>
              <w:spacing w:after="0"/>
              <w:rPr>
                <w:sz w:val="20"/>
                <w:szCs w:val="20"/>
                <w:color w:val="auto"/>
              </w:rPr>
            </w:pPr>
            <w:r>
              <w:rPr>
                <w:rFonts w:ascii="Arial" w:cs="Arial" w:eastAsia="Arial" w:hAnsi="Arial"/>
                <w:sz w:val="18"/>
                <w:szCs w:val="18"/>
                <w:color w:val="auto"/>
                <w:w w:val="91"/>
              </w:rPr>
              <w:t>A default by Tenant, after the giving of any required notice by Landlord and the expiration of any applicable grace periods, as</w:t>
            </w:r>
          </w:p>
        </w:tc>
      </w:tr>
      <w:tr>
        <w:trPr>
          <w:trHeight w:val="237"/>
        </w:trPr>
        <w:tc>
          <w:tcPr>
            <w:tcW w:w="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more particularly set forth in Section 20.1 of the Lease.</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4"/>
              </w:rPr>
              <w:t>Guarantor:</w:t>
            </w:r>
          </w:p>
        </w:tc>
        <w:tc>
          <w:tcPr>
            <w:tcW w:w="1260" w:type="dxa"/>
            <w:vAlign w:val="bottom"/>
            <w:gridSpan w:val="5"/>
          </w:tcPr>
          <w:p>
            <w:pPr>
              <w:spacing w:after="0"/>
              <w:rPr>
                <w:sz w:val="24"/>
                <w:szCs w:val="24"/>
                <w:color w:val="auto"/>
              </w:rPr>
            </w:pP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2160" w:type="dxa"/>
            <w:vAlign w:val="bottom"/>
            <w:gridSpan w:val="9"/>
          </w:tcPr>
          <w:p>
            <w:pPr>
              <w:spacing w:after="0"/>
              <w:rPr>
                <w:sz w:val="20"/>
                <w:szCs w:val="20"/>
                <w:color w:val="auto"/>
              </w:rPr>
            </w:pPr>
            <w:r>
              <w:rPr>
                <w:rFonts w:ascii="Arial" w:cs="Arial" w:eastAsia="Arial" w:hAnsi="Arial"/>
                <w:sz w:val="18"/>
                <w:szCs w:val="18"/>
                <w:color w:val="auto"/>
              </w:rPr>
              <w:t>EXHIBIT lA</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LEASE PLAN OF FIRST FLOOR PREMISES—1</w:t>
            </w:r>
            <w:r>
              <w:rPr>
                <w:rFonts w:ascii="Arial" w:cs="Arial" w:eastAsia="Arial" w:hAnsi="Arial"/>
                <w:sz w:val="15"/>
                <w:szCs w:val="15"/>
                <w:color w:val="auto"/>
              </w:rPr>
              <w:t>ST</w:t>
            </w:r>
            <w:r>
              <w:rPr>
                <w:rFonts w:ascii="Arial" w:cs="Arial" w:eastAsia="Arial" w:hAnsi="Arial"/>
                <w:sz w:val="18"/>
                <w:szCs w:val="18"/>
                <w:color w:val="auto"/>
              </w:rPr>
              <w:t xml:space="preserve"> FLOOR</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1B</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LEASE PLAN OF MEZZANINE PREMISES—MEZZANINE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1C</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ROOFTOP PREMISES—ROOF</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2</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LEGAL DESCRIPTION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WORK LETTER</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3-1</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BASE BUILDING WORK</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3-2</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INITIAL PLAN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3-3</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EQUIPMENT LIST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3-4</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LANDLORD/TENANT RESPONSIBILITY MATRIX</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4</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PARKING AREAS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5</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FORM OF LETTER OF CREDIT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6</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LANDLORD’S SERVICES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7-1</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FORM OF CONSENT TO ASSIGNMENT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7-2</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FORM OF CONSENT TO SUBLEASE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8-1</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APPROVED TENANT’S HAZARDOUS MATERIALS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8-2</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ENVIRONMENTAL ASSESSMENT REPORT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9"/>
          </w:tcPr>
          <w:p>
            <w:pPr>
              <w:spacing w:after="0"/>
              <w:rPr>
                <w:sz w:val="20"/>
                <w:szCs w:val="20"/>
                <w:color w:val="auto"/>
              </w:rPr>
            </w:pPr>
            <w:r>
              <w:rPr>
                <w:rFonts w:ascii="Arial" w:cs="Arial" w:eastAsia="Arial" w:hAnsi="Arial"/>
                <w:sz w:val="18"/>
                <w:szCs w:val="18"/>
                <w:color w:val="auto"/>
              </w:rPr>
              <w:t>EXHIBIT 9</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RULES AND REGULATIONS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160" w:type="dxa"/>
            <w:vAlign w:val="bottom"/>
            <w:gridSpan w:val="9"/>
          </w:tcPr>
          <w:p>
            <w:pPr>
              <w:spacing w:after="0"/>
              <w:rPr>
                <w:sz w:val="20"/>
                <w:szCs w:val="20"/>
                <w:color w:val="auto"/>
              </w:rPr>
            </w:pPr>
            <w:r>
              <w:rPr>
                <w:rFonts w:ascii="Arial" w:cs="Arial" w:eastAsia="Arial" w:hAnsi="Arial"/>
                <w:sz w:val="18"/>
                <w:szCs w:val="18"/>
                <w:color w:val="auto"/>
              </w:rPr>
              <w:t>EXHIBIT 10</w:t>
            </w: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TENANT WORK INSURANCE SCHEDULE</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jc w:val="both"/>
        <w:ind w:left="220" w:right="220" w:hanging="212"/>
        <w:spacing w:after="0" w:line="303" w:lineRule="auto"/>
        <w:tabs>
          <w:tab w:leader="none" w:pos="220" w:val="left"/>
        </w:tabs>
        <w:numPr>
          <w:ilvl w:val="0"/>
          <w:numId w:val="243"/>
        </w:numPr>
        <w:rPr>
          <w:rFonts w:ascii="Arial" w:cs="Arial" w:eastAsia="Arial" w:hAnsi="Arial"/>
          <w:sz w:val="14"/>
          <w:szCs w:val="14"/>
          <w:color w:val="auto"/>
        </w:rPr>
      </w:pPr>
      <w:r>
        <w:rPr>
          <w:rFonts w:ascii="Arial" w:cs="Arial" w:eastAsia="Arial" w:hAnsi="Arial"/>
          <w:sz w:val="16"/>
          <w:szCs w:val="16"/>
          <w:color w:val="auto"/>
        </w:rPr>
        <w:t>For the purposes of this Lease, the first “</w:t>
      </w:r>
      <w:r>
        <w:rPr>
          <w:rFonts w:ascii="Arial" w:cs="Arial" w:eastAsia="Arial" w:hAnsi="Arial"/>
          <w:sz w:val="16"/>
          <w:szCs w:val="16"/>
          <w:b w:val="1"/>
          <w:bCs w:val="1"/>
          <w:u w:val="single" w:color="auto"/>
          <w:color w:val="auto"/>
        </w:rPr>
        <w:t>Lease Year</w:t>
      </w:r>
      <w:r>
        <w:rPr>
          <w:rFonts w:ascii="Arial" w:cs="Arial" w:eastAsia="Arial" w:hAnsi="Arial"/>
          <w:sz w:val="16"/>
          <w:szCs w:val="16"/>
          <w:color w:val="auto"/>
        </w:rPr>
        <w:t xml:space="preserve"> shall be defined as the period commencing as of the Term Commencement Date and ending on the last day of the month in which the first (1</w:t>
      </w:r>
      <w:r>
        <w:rPr>
          <w:rFonts w:ascii="Arial" w:cs="Arial" w:eastAsia="Arial" w:hAnsi="Arial"/>
          <w:sz w:val="13"/>
          <w:szCs w:val="13"/>
          <w:color w:val="auto"/>
        </w:rPr>
        <w:t>st</w:t>
      </w:r>
      <w:r>
        <w:rPr>
          <w:rFonts w:ascii="Arial" w:cs="Arial" w:eastAsia="Arial" w:hAnsi="Arial"/>
          <w:sz w:val="16"/>
          <w:szCs w:val="16"/>
          <w:color w:val="auto"/>
        </w:rPr>
        <w:t xml:space="preserve"> ) anniversary of the Tenn Commencement Date occurs; provided, however, that if the Term Commencement Date occurs on the first day of a calendar month, then the first Lease Year shall expire on the day immediately preceding the first (1</w:t>
      </w:r>
      <w:r>
        <w:rPr>
          <w:rFonts w:ascii="Arial" w:cs="Arial" w:eastAsia="Arial" w:hAnsi="Arial"/>
          <w:sz w:val="13"/>
          <w:szCs w:val="13"/>
          <w:color w:val="auto"/>
        </w:rPr>
        <w:t>st</w:t>
      </w:r>
      <w:r>
        <w:rPr>
          <w:rFonts w:ascii="Arial" w:cs="Arial" w:eastAsia="Arial" w:hAnsi="Arial"/>
          <w:sz w:val="16"/>
          <w:szCs w:val="16"/>
          <w:color w:val="auto"/>
        </w:rPr>
        <w:t>) anniversary of the Term Commencement Date. Thereafter, “Lease Year” shall be defined as any subsequent twelve (12) month period during the term of this Lease.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5" w:right="239" w:bottom="1440" w:gutter="0" w:footer="0" w:header="0"/>
        </w:sectPr>
      </w:pPr>
    </w:p>
    <w:bookmarkStart w:id="337" w:name="page338"/>
    <w:bookmarkEnd w:id="337"/>
    <w:p>
      <w:pPr>
        <w:spacing w:after="0"/>
        <w:tabs>
          <w:tab w:leader="none" w:pos="1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11</w:t>
      </w:r>
      <w:r>
        <w:rPr>
          <w:sz w:val="20"/>
          <w:szCs w:val="20"/>
          <w:color w:val="auto"/>
        </w:rPr>
        <w:tab/>
      </w:r>
      <w:r>
        <w:rPr>
          <w:rFonts w:ascii="Arial" w:cs="Arial" w:eastAsia="Arial" w:hAnsi="Arial"/>
          <w:sz w:val="17"/>
          <w:szCs w:val="17"/>
          <w:color w:val="auto"/>
        </w:rPr>
        <w:t>FORM OF NOTICE OF LEASE</w:t>
      </w:r>
    </w:p>
    <w:p>
      <w:pPr>
        <w:spacing w:after="0" w:line="2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12</w:t>
      </w:r>
      <w:r>
        <w:rPr>
          <w:sz w:val="20"/>
          <w:szCs w:val="20"/>
          <w:color w:val="auto"/>
        </w:rPr>
        <w:tab/>
      </w:r>
      <w:r>
        <w:rPr>
          <w:rFonts w:ascii="Arial" w:cs="Arial" w:eastAsia="Arial" w:hAnsi="Arial"/>
          <w:sz w:val="16"/>
          <w:szCs w:val="16"/>
          <w:color w:val="auto"/>
        </w:rPr>
        <w:t>RIGHT OF FIRST OFFER</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13</w:t>
      </w:r>
      <w:r>
        <w:rPr>
          <w:sz w:val="20"/>
          <w:szCs w:val="20"/>
          <w:color w:val="auto"/>
        </w:rPr>
        <w:tab/>
      </w:r>
      <w:r>
        <w:rPr>
          <w:rFonts w:ascii="Arial" w:cs="Arial" w:eastAsia="Arial" w:hAnsi="Arial"/>
          <w:sz w:val="17"/>
          <w:szCs w:val="17"/>
          <w:color w:val="auto"/>
        </w:rPr>
        <w:t>TENANT’S EXTERIOR SIGNAGE</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3" w:right="1440"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TABLE OF CONTENTS</w:t>
            </w:r>
          </w:p>
        </w:tc>
        <w:tc>
          <w:tcPr>
            <w:tcW w:w="22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465"/>
        </w:trPr>
        <w:tc>
          <w:tcPr>
            <w:tcW w:w="700" w:type="dxa"/>
            <w:vAlign w:val="bottom"/>
          </w:tcPr>
          <w:p>
            <w:pPr>
              <w:spacing w:after="0"/>
              <w:rPr>
                <w:sz w:val="20"/>
                <w:szCs w:val="20"/>
                <w:color w:val="auto"/>
              </w:rPr>
            </w:pPr>
            <w:r>
              <w:rPr>
                <w:rFonts w:ascii="Arial" w:cs="Arial" w:eastAsia="Arial" w:hAnsi="Arial"/>
                <w:sz w:val="18"/>
                <w:szCs w:val="18"/>
                <w:color w:val="auto"/>
              </w:rPr>
              <w:t>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LEASE GRANT; TERM; APPURTENANT RIGHTS; EXCLUSIONS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Lease Grant</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Extension Term</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Appurtenant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Tenant’s Access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Exclusions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1.7</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Tenant’s Right of First Offer</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RIGHTS RESERVED TO LANDLORD</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Additions and Alterations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Additions to the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Name and Address of Building</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Landlord’s Access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Pipes, Ducts and Conduits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2.6</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Minimize Interference</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CONDITION OF PREMISES; CONSTRUCTION</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Condition of Premises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Landlord’s Work</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Tenant’s Remedies in the Event of Delays in Term Commencement Date</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Financing Milestone</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3.5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Tenant’s Early Access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USE OF PREMISES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4.1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Permitted Uses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4.2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Prohibited Uses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4.3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Chemical Safety Program</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RENT; ADDITIONAL RENT</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Base Rent</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Operating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Taxes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Late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No Offset; Independent Covenants;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rPr>
              <w:t>5.6</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6.</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intentionally omitted</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7.</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LETTER OF CREDIT/CASH SECURITY DEPOSIT</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8.</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SECURITY INTEREST IN TENANT’S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9.</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UTILITIES, LANDLORD’S SERVICES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MAINTENANCE AND REPAIRS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ALTERATIONS AND IMPROVEMENTS BY TENANT</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Landlord’s Consent Required</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After-Hours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11.3</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Harmonious Relations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11.4</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Liens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0" w:type="dxa"/>
            <w:vAlign w:val="bottom"/>
          </w:tcPr>
          <w:p>
            <w:pPr>
              <w:ind w:left="340"/>
              <w:spacing w:after="0"/>
              <w:rPr>
                <w:sz w:val="20"/>
                <w:szCs w:val="20"/>
                <w:color w:val="auto"/>
              </w:rPr>
            </w:pPr>
            <w:r>
              <w:rPr>
                <w:rFonts w:ascii="Arial" w:cs="Arial" w:eastAsia="Arial" w:hAnsi="Arial"/>
                <w:sz w:val="18"/>
                <w:szCs w:val="18"/>
                <w:color w:val="auto"/>
                <w:w w:val="96"/>
              </w:rPr>
              <w:t>11.5</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General Requirements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12.</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SIGNAGE</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00" w:type="dxa"/>
            <w:vAlign w:val="bottom"/>
          </w:tcPr>
          <w:p>
            <w:pPr>
              <w:ind w:left="340"/>
              <w:spacing w:after="0"/>
              <w:rPr>
                <w:sz w:val="20"/>
                <w:szCs w:val="20"/>
                <w:color w:val="auto"/>
              </w:rPr>
            </w:pPr>
            <w:r>
              <w:rPr>
                <w:rFonts w:ascii="Arial" w:cs="Arial" w:eastAsia="Arial" w:hAnsi="Arial"/>
                <w:sz w:val="18"/>
                <w:szCs w:val="18"/>
                <w:color w:val="auto"/>
                <w:w w:val="96"/>
              </w:rPr>
              <w:t>12.1</w:t>
            </w:r>
          </w:p>
        </w:tc>
        <w:tc>
          <w:tcPr>
            <w:tcW w:w="8220" w:type="dxa"/>
            <w:vAlign w:val="bottom"/>
            <w:gridSpan w:val="3"/>
          </w:tcPr>
          <w:p>
            <w:pPr>
              <w:ind w:left="60"/>
              <w:spacing w:after="0"/>
              <w:rPr>
                <w:sz w:val="20"/>
                <w:szCs w:val="20"/>
                <w:color w:val="auto"/>
              </w:rPr>
            </w:pPr>
            <w:r>
              <w:rPr>
                <w:rFonts w:ascii="Arial" w:cs="Arial" w:eastAsia="Arial" w:hAnsi="Arial"/>
                <w:sz w:val="18"/>
                <w:szCs w:val="18"/>
                <w:color w:val="auto"/>
              </w:rPr>
              <w:t>Restrictions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6" w:right="3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16"/>
        </w:trPr>
        <w:tc>
          <w:tcPr>
            <w:tcW w:w="820" w:type="dxa"/>
            <w:vAlign w:val="bottom"/>
          </w:tcPr>
          <w:p>
            <w:pPr>
              <w:ind w:left="400"/>
              <w:spacing w:after="0"/>
              <w:rPr>
                <w:sz w:val="20"/>
                <w:szCs w:val="20"/>
                <w:color w:val="auto"/>
              </w:rPr>
            </w:pPr>
            <w:r>
              <w:rPr>
                <w:rFonts w:ascii="Arial" w:cs="Arial" w:eastAsia="Arial" w:hAnsi="Arial"/>
                <w:sz w:val="18"/>
                <w:szCs w:val="18"/>
                <w:color w:val="auto"/>
              </w:rPr>
              <w:t>12.2</w:t>
            </w:r>
          </w:p>
        </w:tc>
        <w:tc>
          <w:tcPr>
            <w:tcW w:w="7340" w:type="dxa"/>
            <w:vAlign w:val="bottom"/>
          </w:tcPr>
          <w:p>
            <w:pPr>
              <w:ind w:left="100"/>
              <w:spacing w:after="0"/>
              <w:rPr>
                <w:sz w:val="20"/>
                <w:szCs w:val="20"/>
                <w:color w:val="auto"/>
              </w:rPr>
            </w:pPr>
            <w:r>
              <w:rPr>
                <w:rFonts w:ascii="Arial" w:cs="Arial" w:eastAsia="Arial" w:hAnsi="Arial"/>
                <w:sz w:val="18"/>
                <w:szCs w:val="18"/>
                <w:color w:val="auto"/>
              </w:rPr>
              <w:t>Façade Signage and Monument Signage</w:t>
            </w:r>
          </w:p>
        </w:tc>
        <w:tc>
          <w:tcPr>
            <w:tcW w:w="3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13.</w:t>
            </w:r>
          </w:p>
        </w:tc>
        <w:tc>
          <w:tcPr>
            <w:tcW w:w="7340" w:type="dxa"/>
            <w:vAlign w:val="bottom"/>
          </w:tcPr>
          <w:p>
            <w:pPr>
              <w:ind w:left="100"/>
              <w:spacing w:after="0"/>
              <w:rPr>
                <w:sz w:val="20"/>
                <w:szCs w:val="20"/>
                <w:color w:val="auto"/>
              </w:rPr>
            </w:pPr>
            <w:r>
              <w:rPr>
                <w:rFonts w:ascii="Arial" w:cs="Arial" w:eastAsia="Arial" w:hAnsi="Arial"/>
                <w:sz w:val="18"/>
                <w:szCs w:val="18"/>
                <w:color w:val="auto"/>
              </w:rPr>
              <w:t>ASSIGNMENT, MORTGAGING AND SUBLETTING</w:t>
            </w: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13.1</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Landlord’s Consent Required</w:t>
            </w: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13.2</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Landlord’s Recapture Right</w:t>
            </w:r>
          </w:p>
        </w:tc>
        <w:tc>
          <w:tcPr>
            <w:tcW w:w="3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13.3</w:t>
            </w:r>
          </w:p>
        </w:tc>
        <w:tc>
          <w:tcPr>
            <w:tcW w:w="7340" w:type="dxa"/>
            <w:vAlign w:val="bottom"/>
          </w:tcPr>
          <w:p>
            <w:pPr>
              <w:ind w:left="100"/>
              <w:spacing w:after="0"/>
              <w:rPr>
                <w:sz w:val="20"/>
                <w:szCs w:val="20"/>
                <w:color w:val="auto"/>
              </w:rPr>
            </w:pPr>
            <w:r>
              <w:rPr>
                <w:rFonts w:ascii="Arial" w:cs="Arial" w:eastAsia="Arial" w:hAnsi="Arial"/>
                <w:sz w:val="18"/>
                <w:szCs w:val="18"/>
                <w:color w:val="auto"/>
              </w:rPr>
              <w:t>Standard of Consent to Transfer</w:t>
            </w:r>
          </w:p>
        </w:tc>
        <w:tc>
          <w:tcPr>
            <w:tcW w:w="3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13.4</w:t>
            </w:r>
          </w:p>
        </w:tc>
        <w:tc>
          <w:tcPr>
            <w:tcW w:w="7340" w:type="dxa"/>
            <w:vAlign w:val="bottom"/>
          </w:tcPr>
          <w:p>
            <w:pPr>
              <w:ind w:left="100"/>
              <w:spacing w:after="0"/>
              <w:rPr>
                <w:sz w:val="20"/>
                <w:szCs w:val="20"/>
                <w:color w:val="auto"/>
              </w:rPr>
            </w:pPr>
            <w:r>
              <w:rPr>
                <w:rFonts w:ascii="Arial" w:cs="Arial" w:eastAsia="Arial" w:hAnsi="Arial"/>
                <w:sz w:val="18"/>
                <w:szCs w:val="18"/>
                <w:color w:val="auto"/>
              </w:rPr>
              <w:t>Listing Confers no Rights</w:t>
            </w:r>
          </w:p>
        </w:tc>
        <w:tc>
          <w:tcPr>
            <w:tcW w:w="3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13.5</w:t>
            </w:r>
          </w:p>
        </w:tc>
        <w:tc>
          <w:tcPr>
            <w:tcW w:w="7340" w:type="dxa"/>
            <w:vAlign w:val="bottom"/>
          </w:tcPr>
          <w:p>
            <w:pPr>
              <w:ind w:left="100"/>
              <w:spacing w:after="0"/>
              <w:rPr>
                <w:sz w:val="20"/>
                <w:szCs w:val="20"/>
                <w:color w:val="auto"/>
              </w:rPr>
            </w:pPr>
            <w:r>
              <w:rPr>
                <w:rFonts w:ascii="Arial" w:cs="Arial" w:eastAsia="Arial" w:hAnsi="Arial"/>
                <w:sz w:val="18"/>
                <w:szCs w:val="18"/>
                <w:color w:val="auto"/>
              </w:rPr>
              <w:t>35</w:t>
            </w:r>
          </w:p>
        </w:tc>
        <w:tc>
          <w:tcPr>
            <w:tcW w:w="3160" w:type="dxa"/>
            <w:vAlign w:val="bottom"/>
          </w:tcPr>
          <w:p>
            <w:pPr>
              <w:spacing w:after="0"/>
              <w:rPr>
                <w:sz w:val="18"/>
                <w:szCs w:val="18"/>
                <w:color w:val="auto"/>
              </w:rPr>
            </w:pP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13.6</w:t>
            </w:r>
          </w:p>
        </w:tc>
        <w:tc>
          <w:tcPr>
            <w:tcW w:w="7340" w:type="dxa"/>
            <w:vAlign w:val="bottom"/>
          </w:tcPr>
          <w:p>
            <w:pPr>
              <w:ind w:left="100"/>
              <w:spacing w:after="0"/>
              <w:rPr>
                <w:sz w:val="20"/>
                <w:szCs w:val="20"/>
                <w:color w:val="auto"/>
              </w:rPr>
            </w:pPr>
            <w:r>
              <w:rPr>
                <w:rFonts w:ascii="Arial" w:cs="Arial" w:eastAsia="Arial" w:hAnsi="Arial"/>
                <w:sz w:val="18"/>
                <w:szCs w:val="18"/>
                <w:color w:val="auto"/>
              </w:rPr>
              <w:t>Prohibited Transfers</w:t>
            </w:r>
          </w:p>
        </w:tc>
        <w:tc>
          <w:tcPr>
            <w:tcW w:w="3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13.7</w:t>
            </w:r>
          </w:p>
        </w:tc>
        <w:tc>
          <w:tcPr>
            <w:tcW w:w="7340" w:type="dxa"/>
            <w:vAlign w:val="bottom"/>
          </w:tcPr>
          <w:p>
            <w:pPr>
              <w:ind w:left="100"/>
              <w:spacing w:after="0"/>
              <w:rPr>
                <w:sz w:val="20"/>
                <w:szCs w:val="20"/>
                <w:color w:val="auto"/>
              </w:rPr>
            </w:pPr>
            <w:r>
              <w:rPr>
                <w:rFonts w:ascii="Arial" w:cs="Arial" w:eastAsia="Arial" w:hAnsi="Arial"/>
                <w:sz w:val="18"/>
                <w:szCs w:val="18"/>
                <w:color w:val="auto"/>
              </w:rPr>
              <w:t>Exceptions to Requirement for Consent</w:t>
            </w:r>
          </w:p>
        </w:tc>
        <w:tc>
          <w:tcPr>
            <w:tcW w:w="3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14.</w:t>
            </w:r>
          </w:p>
        </w:tc>
        <w:tc>
          <w:tcPr>
            <w:tcW w:w="7340" w:type="dxa"/>
            <w:vAlign w:val="bottom"/>
          </w:tcPr>
          <w:p>
            <w:pPr>
              <w:ind w:left="100"/>
              <w:spacing w:after="0"/>
              <w:rPr>
                <w:sz w:val="20"/>
                <w:szCs w:val="20"/>
                <w:color w:val="auto"/>
              </w:rPr>
            </w:pPr>
            <w:r>
              <w:rPr>
                <w:rFonts w:ascii="Arial" w:cs="Arial" w:eastAsia="Arial" w:hAnsi="Arial"/>
                <w:sz w:val="18"/>
                <w:szCs w:val="18"/>
                <w:color w:val="auto"/>
              </w:rPr>
              <w:t>INSURANCE; INDEMNIFICATION; EXCULPATION</w:t>
            </w:r>
          </w:p>
        </w:tc>
        <w:tc>
          <w:tcPr>
            <w:tcW w:w="3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14.1</w:t>
            </w:r>
          </w:p>
        </w:tc>
        <w:tc>
          <w:tcPr>
            <w:tcW w:w="7340" w:type="dxa"/>
            <w:vAlign w:val="bottom"/>
          </w:tcPr>
          <w:p>
            <w:pPr>
              <w:ind w:left="100"/>
              <w:spacing w:after="0"/>
              <w:rPr>
                <w:sz w:val="20"/>
                <w:szCs w:val="20"/>
                <w:color w:val="auto"/>
              </w:rPr>
            </w:pPr>
            <w:r>
              <w:rPr>
                <w:rFonts w:ascii="Arial" w:cs="Arial" w:eastAsia="Arial" w:hAnsi="Arial"/>
                <w:sz w:val="18"/>
                <w:szCs w:val="18"/>
                <w:color w:val="auto"/>
              </w:rPr>
              <w:t>Tenant’s Insurance</w:t>
            </w:r>
          </w:p>
        </w:tc>
        <w:tc>
          <w:tcPr>
            <w:tcW w:w="3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14.2</w:t>
            </w:r>
          </w:p>
        </w:tc>
        <w:tc>
          <w:tcPr>
            <w:tcW w:w="7340" w:type="dxa"/>
            <w:vAlign w:val="bottom"/>
          </w:tcPr>
          <w:p>
            <w:pPr>
              <w:ind w:left="100"/>
              <w:spacing w:after="0"/>
              <w:rPr>
                <w:sz w:val="20"/>
                <w:szCs w:val="20"/>
                <w:color w:val="auto"/>
              </w:rPr>
            </w:pPr>
            <w:r>
              <w:rPr>
                <w:rFonts w:ascii="Arial" w:cs="Arial" w:eastAsia="Arial" w:hAnsi="Arial"/>
                <w:sz w:val="18"/>
                <w:szCs w:val="18"/>
                <w:color w:val="auto"/>
              </w:rPr>
              <w:t>Tenant Indemnification</w:t>
            </w:r>
          </w:p>
        </w:tc>
        <w:tc>
          <w:tcPr>
            <w:tcW w:w="3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14.3</w:t>
            </w:r>
          </w:p>
        </w:tc>
        <w:tc>
          <w:tcPr>
            <w:tcW w:w="7340" w:type="dxa"/>
            <w:vAlign w:val="bottom"/>
          </w:tcPr>
          <w:p>
            <w:pPr>
              <w:ind w:left="100"/>
              <w:spacing w:after="0"/>
              <w:rPr>
                <w:sz w:val="20"/>
                <w:szCs w:val="20"/>
                <w:color w:val="auto"/>
              </w:rPr>
            </w:pPr>
            <w:r>
              <w:rPr>
                <w:rFonts w:ascii="Arial" w:cs="Arial" w:eastAsia="Arial" w:hAnsi="Arial"/>
                <w:sz w:val="18"/>
                <w:szCs w:val="18"/>
                <w:color w:val="auto"/>
              </w:rPr>
              <w:t>Property of Tenant</w:t>
            </w:r>
          </w:p>
        </w:tc>
        <w:tc>
          <w:tcPr>
            <w:tcW w:w="3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14.4</w:t>
            </w:r>
          </w:p>
        </w:tc>
        <w:tc>
          <w:tcPr>
            <w:tcW w:w="7340" w:type="dxa"/>
            <w:vAlign w:val="bottom"/>
          </w:tcPr>
          <w:p>
            <w:pPr>
              <w:ind w:left="100"/>
              <w:spacing w:after="0"/>
              <w:rPr>
                <w:sz w:val="20"/>
                <w:szCs w:val="20"/>
                <w:color w:val="auto"/>
              </w:rPr>
            </w:pPr>
            <w:r>
              <w:rPr>
                <w:rFonts w:ascii="Arial" w:cs="Arial" w:eastAsia="Arial" w:hAnsi="Arial"/>
                <w:sz w:val="18"/>
                <w:szCs w:val="18"/>
                <w:color w:val="auto"/>
              </w:rPr>
              <w:t>Limitation of Landlord’s Liability for Damage or Injury</w:t>
            </w:r>
          </w:p>
        </w:tc>
        <w:tc>
          <w:tcPr>
            <w:tcW w:w="3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14.5</w:t>
            </w:r>
          </w:p>
        </w:tc>
        <w:tc>
          <w:tcPr>
            <w:tcW w:w="7340" w:type="dxa"/>
            <w:vAlign w:val="bottom"/>
          </w:tcPr>
          <w:p>
            <w:pPr>
              <w:ind w:left="100"/>
              <w:spacing w:after="0"/>
              <w:rPr>
                <w:sz w:val="20"/>
                <w:szCs w:val="20"/>
                <w:color w:val="auto"/>
              </w:rPr>
            </w:pPr>
            <w:r>
              <w:rPr>
                <w:rFonts w:ascii="Arial" w:cs="Arial" w:eastAsia="Arial" w:hAnsi="Arial"/>
                <w:sz w:val="18"/>
                <w:szCs w:val="18"/>
                <w:color w:val="auto"/>
              </w:rPr>
              <w:t>Waiver of Subrogation; Mutual Release</w:t>
            </w:r>
          </w:p>
        </w:tc>
        <w:tc>
          <w:tcPr>
            <w:tcW w:w="3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14.6</w:t>
            </w:r>
          </w:p>
        </w:tc>
        <w:tc>
          <w:tcPr>
            <w:tcW w:w="7340" w:type="dxa"/>
            <w:vAlign w:val="bottom"/>
          </w:tcPr>
          <w:p>
            <w:pPr>
              <w:ind w:left="100"/>
              <w:spacing w:after="0"/>
              <w:rPr>
                <w:sz w:val="20"/>
                <w:szCs w:val="20"/>
                <w:color w:val="auto"/>
              </w:rPr>
            </w:pPr>
            <w:r>
              <w:rPr>
                <w:rFonts w:ascii="Arial" w:cs="Arial" w:eastAsia="Arial" w:hAnsi="Arial"/>
                <w:sz w:val="18"/>
                <w:szCs w:val="18"/>
                <w:color w:val="auto"/>
              </w:rPr>
              <w:t>Tenant’s Acts—Effect on Insurance</w:t>
            </w:r>
          </w:p>
        </w:tc>
        <w:tc>
          <w:tcPr>
            <w:tcW w:w="3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14.7</w:t>
            </w:r>
          </w:p>
        </w:tc>
        <w:tc>
          <w:tcPr>
            <w:tcW w:w="7340" w:type="dxa"/>
            <w:vAlign w:val="bottom"/>
          </w:tcPr>
          <w:p>
            <w:pPr>
              <w:ind w:left="100"/>
              <w:spacing w:after="0"/>
              <w:rPr>
                <w:sz w:val="20"/>
                <w:szCs w:val="20"/>
                <w:color w:val="auto"/>
              </w:rPr>
            </w:pPr>
            <w:r>
              <w:rPr>
                <w:rFonts w:ascii="Arial" w:cs="Arial" w:eastAsia="Arial" w:hAnsi="Arial"/>
                <w:sz w:val="18"/>
                <w:szCs w:val="18"/>
                <w:color w:val="auto"/>
              </w:rPr>
              <w:t>39</w:t>
            </w:r>
          </w:p>
        </w:tc>
        <w:tc>
          <w:tcPr>
            <w:tcW w:w="316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15.</w:t>
            </w:r>
          </w:p>
        </w:tc>
        <w:tc>
          <w:tcPr>
            <w:tcW w:w="7340" w:type="dxa"/>
            <w:vAlign w:val="bottom"/>
          </w:tcPr>
          <w:p>
            <w:pPr>
              <w:ind w:left="100"/>
              <w:spacing w:after="0"/>
              <w:rPr>
                <w:sz w:val="20"/>
                <w:szCs w:val="20"/>
                <w:color w:val="auto"/>
              </w:rPr>
            </w:pPr>
            <w:r>
              <w:rPr>
                <w:rFonts w:ascii="Arial" w:cs="Arial" w:eastAsia="Arial" w:hAnsi="Arial"/>
                <w:sz w:val="18"/>
                <w:szCs w:val="18"/>
                <w:color w:val="auto"/>
              </w:rPr>
              <w:t>CASUALTY; TAKING</w:t>
            </w:r>
          </w:p>
        </w:tc>
        <w:tc>
          <w:tcPr>
            <w:tcW w:w="3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15.1</w:t>
            </w:r>
          </w:p>
        </w:tc>
        <w:tc>
          <w:tcPr>
            <w:tcW w:w="7340" w:type="dxa"/>
            <w:vAlign w:val="bottom"/>
          </w:tcPr>
          <w:p>
            <w:pPr>
              <w:ind w:left="100"/>
              <w:spacing w:after="0"/>
              <w:rPr>
                <w:sz w:val="20"/>
                <w:szCs w:val="20"/>
                <w:color w:val="auto"/>
              </w:rPr>
            </w:pPr>
            <w:r>
              <w:rPr>
                <w:rFonts w:ascii="Arial" w:cs="Arial" w:eastAsia="Arial" w:hAnsi="Arial"/>
                <w:sz w:val="18"/>
                <w:szCs w:val="18"/>
                <w:color w:val="auto"/>
              </w:rPr>
              <w:t>Damage</w:t>
            </w:r>
          </w:p>
        </w:tc>
        <w:tc>
          <w:tcPr>
            <w:tcW w:w="3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15.2</w:t>
            </w:r>
          </w:p>
        </w:tc>
        <w:tc>
          <w:tcPr>
            <w:tcW w:w="7340" w:type="dxa"/>
            <w:vAlign w:val="bottom"/>
          </w:tcPr>
          <w:p>
            <w:pPr>
              <w:ind w:left="100"/>
              <w:spacing w:after="0"/>
              <w:rPr>
                <w:sz w:val="20"/>
                <w:szCs w:val="20"/>
                <w:color w:val="auto"/>
              </w:rPr>
            </w:pPr>
            <w:r>
              <w:rPr>
                <w:rFonts w:ascii="Arial" w:cs="Arial" w:eastAsia="Arial" w:hAnsi="Arial"/>
                <w:sz w:val="18"/>
                <w:szCs w:val="18"/>
                <w:color w:val="auto"/>
              </w:rPr>
              <w:t>Termination Rights</w:t>
            </w:r>
          </w:p>
        </w:tc>
        <w:tc>
          <w:tcPr>
            <w:tcW w:w="3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15.3</w:t>
            </w:r>
          </w:p>
        </w:tc>
        <w:tc>
          <w:tcPr>
            <w:tcW w:w="7340" w:type="dxa"/>
            <w:vAlign w:val="bottom"/>
          </w:tcPr>
          <w:p>
            <w:pPr>
              <w:ind w:left="100"/>
              <w:spacing w:after="0"/>
              <w:rPr>
                <w:sz w:val="20"/>
                <w:szCs w:val="20"/>
                <w:color w:val="auto"/>
              </w:rPr>
            </w:pPr>
            <w:r>
              <w:rPr>
                <w:rFonts w:ascii="Arial" w:cs="Arial" w:eastAsia="Arial" w:hAnsi="Arial"/>
                <w:sz w:val="18"/>
                <w:szCs w:val="18"/>
                <w:color w:val="auto"/>
              </w:rPr>
              <w:t>Rent Abatement</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15.4</w:t>
            </w:r>
          </w:p>
        </w:tc>
        <w:tc>
          <w:tcPr>
            <w:tcW w:w="7340" w:type="dxa"/>
            <w:vAlign w:val="bottom"/>
          </w:tcPr>
          <w:p>
            <w:pPr>
              <w:ind w:left="100"/>
              <w:spacing w:after="0"/>
              <w:rPr>
                <w:sz w:val="20"/>
                <w:szCs w:val="20"/>
                <w:color w:val="auto"/>
              </w:rPr>
            </w:pPr>
            <w:r>
              <w:rPr>
                <w:rFonts w:ascii="Arial" w:cs="Arial" w:eastAsia="Arial" w:hAnsi="Arial"/>
                <w:sz w:val="18"/>
                <w:szCs w:val="18"/>
                <w:color w:val="auto"/>
              </w:rPr>
              <w:t>Taking for Temporary Use</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15.5</w:t>
            </w:r>
          </w:p>
        </w:tc>
        <w:tc>
          <w:tcPr>
            <w:tcW w:w="7340" w:type="dxa"/>
            <w:vAlign w:val="bottom"/>
          </w:tcPr>
          <w:p>
            <w:pPr>
              <w:ind w:left="100"/>
              <w:spacing w:after="0"/>
              <w:rPr>
                <w:sz w:val="20"/>
                <w:szCs w:val="20"/>
                <w:color w:val="auto"/>
              </w:rPr>
            </w:pPr>
            <w:r>
              <w:rPr>
                <w:rFonts w:ascii="Arial" w:cs="Arial" w:eastAsia="Arial" w:hAnsi="Arial"/>
                <w:sz w:val="18"/>
                <w:szCs w:val="18"/>
                <w:color w:val="auto"/>
              </w:rPr>
              <w:t>Disposition of Awards</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16.</w:t>
            </w:r>
          </w:p>
        </w:tc>
        <w:tc>
          <w:tcPr>
            <w:tcW w:w="7340" w:type="dxa"/>
            <w:vAlign w:val="bottom"/>
          </w:tcPr>
          <w:p>
            <w:pPr>
              <w:ind w:left="100"/>
              <w:spacing w:after="0"/>
              <w:rPr>
                <w:sz w:val="20"/>
                <w:szCs w:val="20"/>
                <w:color w:val="auto"/>
              </w:rPr>
            </w:pPr>
            <w:r>
              <w:rPr>
                <w:rFonts w:ascii="Arial" w:cs="Arial" w:eastAsia="Arial" w:hAnsi="Arial"/>
                <w:sz w:val="18"/>
                <w:szCs w:val="18"/>
                <w:color w:val="auto"/>
              </w:rPr>
              <w:t>ESTOPPEL CERTIFICATE</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17.</w:t>
            </w:r>
          </w:p>
        </w:tc>
        <w:tc>
          <w:tcPr>
            <w:tcW w:w="7340" w:type="dxa"/>
            <w:vAlign w:val="bottom"/>
          </w:tcPr>
          <w:p>
            <w:pPr>
              <w:ind w:left="100"/>
              <w:spacing w:after="0"/>
              <w:rPr>
                <w:sz w:val="20"/>
                <w:szCs w:val="20"/>
                <w:color w:val="auto"/>
              </w:rPr>
            </w:pPr>
            <w:r>
              <w:rPr>
                <w:rFonts w:ascii="Arial" w:cs="Arial" w:eastAsia="Arial" w:hAnsi="Arial"/>
                <w:sz w:val="18"/>
                <w:szCs w:val="18"/>
                <w:color w:val="auto"/>
              </w:rPr>
              <w:t>HAZARDOUS MATERIALS</w:t>
            </w:r>
          </w:p>
        </w:tc>
        <w:tc>
          <w:tcPr>
            <w:tcW w:w="3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17.1</w:t>
            </w:r>
          </w:p>
        </w:tc>
        <w:tc>
          <w:tcPr>
            <w:tcW w:w="7340" w:type="dxa"/>
            <w:vAlign w:val="bottom"/>
          </w:tcPr>
          <w:p>
            <w:pPr>
              <w:ind w:left="100"/>
              <w:spacing w:after="0"/>
              <w:rPr>
                <w:sz w:val="20"/>
                <w:szCs w:val="20"/>
                <w:color w:val="auto"/>
              </w:rPr>
            </w:pPr>
            <w:r>
              <w:rPr>
                <w:rFonts w:ascii="Arial" w:cs="Arial" w:eastAsia="Arial" w:hAnsi="Arial"/>
                <w:sz w:val="18"/>
                <w:szCs w:val="18"/>
                <w:color w:val="auto"/>
              </w:rPr>
              <w:t>Prohibition</w:t>
            </w:r>
          </w:p>
        </w:tc>
        <w:tc>
          <w:tcPr>
            <w:tcW w:w="3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17.2</w:t>
            </w:r>
          </w:p>
        </w:tc>
        <w:tc>
          <w:tcPr>
            <w:tcW w:w="7340" w:type="dxa"/>
            <w:vAlign w:val="bottom"/>
          </w:tcPr>
          <w:p>
            <w:pPr>
              <w:ind w:left="100"/>
              <w:spacing w:after="0"/>
              <w:rPr>
                <w:sz w:val="20"/>
                <w:szCs w:val="20"/>
                <w:color w:val="auto"/>
              </w:rPr>
            </w:pPr>
            <w:r>
              <w:rPr>
                <w:rFonts w:ascii="Arial" w:cs="Arial" w:eastAsia="Arial" w:hAnsi="Arial"/>
                <w:sz w:val="18"/>
                <w:szCs w:val="18"/>
                <w:color w:val="auto"/>
              </w:rPr>
              <w:t>Environmental Laws</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17.3</w:t>
            </w:r>
          </w:p>
        </w:tc>
        <w:tc>
          <w:tcPr>
            <w:tcW w:w="7340" w:type="dxa"/>
            <w:vAlign w:val="bottom"/>
          </w:tcPr>
          <w:p>
            <w:pPr>
              <w:ind w:left="100"/>
              <w:spacing w:after="0"/>
              <w:rPr>
                <w:sz w:val="20"/>
                <w:szCs w:val="20"/>
                <w:color w:val="auto"/>
              </w:rPr>
            </w:pPr>
            <w:r>
              <w:rPr>
                <w:rFonts w:ascii="Arial" w:cs="Arial" w:eastAsia="Arial" w:hAnsi="Arial"/>
                <w:sz w:val="18"/>
                <w:szCs w:val="18"/>
                <w:color w:val="auto"/>
              </w:rPr>
              <w:t>Hazardous Material Defined</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17.4</w:t>
            </w:r>
          </w:p>
        </w:tc>
        <w:tc>
          <w:tcPr>
            <w:tcW w:w="7340" w:type="dxa"/>
            <w:vAlign w:val="bottom"/>
          </w:tcPr>
          <w:p>
            <w:pPr>
              <w:ind w:left="100"/>
              <w:spacing w:after="0"/>
              <w:rPr>
                <w:sz w:val="20"/>
                <w:szCs w:val="20"/>
                <w:color w:val="auto"/>
              </w:rPr>
            </w:pPr>
            <w:r>
              <w:rPr>
                <w:rFonts w:ascii="Arial" w:cs="Arial" w:eastAsia="Arial" w:hAnsi="Arial"/>
                <w:sz w:val="18"/>
                <w:szCs w:val="18"/>
                <w:color w:val="auto"/>
              </w:rPr>
              <w:t>Testing</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17.5</w:t>
            </w:r>
          </w:p>
        </w:tc>
        <w:tc>
          <w:tcPr>
            <w:tcW w:w="7340" w:type="dxa"/>
            <w:vAlign w:val="bottom"/>
          </w:tcPr>
          <w:p>
            <w:pPr>
              <w:ind w:left="100"/>
              <w:spacing w:after="0"/>
              <w:rPr>
                <w:sz w:val="20"/>
                <w:szCs w:val="20"/>
                <w:color w:val="auto"/>
              </w:rPr>
            </w:pPr>
            <w:r>
              <w:rPr>
                <w:rFonts w:ascii="Arial" w:cs="Arial" w:eastAsia="Arial" w:hAnsi="Arial"/>
                <w:sz w:val="18"/>
                <w:szCs w:val="18"/>
                <w:color w:val="auto"/>
              </w:rPr>
              <w:t>Indemnity; Remediation</w:t>
            </w:r>
          </w:p>
        </w:tc>
        <w:tc>
          <w:tcPr>
            <w:tcW w:w="3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17.6</w:t>
            </w:r>
          </w:p>
        </w:tc>
        <w:tc>
          <w:tcPr>
            <w:tcW w:w="7340" w:type="dxa"/>
            <w:vAlign w:val="bottom"/>
          </w:tcPr>
          <w:p>
            <w:pPr>
              <w:ind w:left="100"/>
              <w:spacing w:after="0"/>
              <w:rPr>
                <w:sz w:val="20"/>
                <w:szCs w:val="20"/>
                <w:color w:val="auto"/>
              </w:rPr>
            </w:pPr>
            <w:r>
              <w:rPr>
                <w:rFonts w:ascii="Arial" w:cs="Arial" w:eastAsia="Arial" w:hAnsi="Arial"/>
                <w:sz w:val="18"/>
                <w:szCs w:val="18"/>
                <w:color w:val="auto"/>
              </w:rPr>
              <w:t>Disclosures</w:t>
            </w:r>
          </w:p>
        </w:tc>
        <w:tc>
          <w:tcPr>
            <w:tcW w:w="3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17.7</w:t>
            </w:r>
          </w:p>
        </w:tc>
        <w:tc>
          <w:tcPr>
            <w:tcW w:w="7340" w:type="dxa"/>
            <w:vAlign w:val="bottom"/>
          </w:tcPr>
          <w:p>
            <w:pPr>
              <w:ind w:left="100"/>
              <w:spacing w:after="0"/>
              <w:rPr>
                <w:sz w:val="20"/>
                <w:szCs w:val="20"/>
                <w:color w:val="auto"/>
              </w:rPr>
            </w:pPr>
            <w:r>
              <w:rPr>
                <w:rFonts w:ascii="Arial" w:cs="Arial" w:eastAsia="Arial" w:hAnsi="Arial"/>
                <w:sz w:val="18"/>
                <w:szCs w:val="18"/>
                <w:color w:val="auto"/>
              </w:rPr>
              <w:t>Removal</w:t>
            </w:r>
          </w:p>
        </w:tc>
        <w:tc>
          <w:tcPr>
            <w:tcW w:w="3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17.8</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 Obligations with respect to Hazardous Materials</w:t>
            </w:r>
          </w:p>
        </w:tc>
        <w:tc>
          <w:tcPr>
            <w:tcW w:w="3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18.</w:t>
            </w:r>
          </w:p>
        </w:tc>
        <w:tc>
          <w:tcPr>
            <w:tcW w:w="7340" w:type="dxa"/>
            <w:vAlign w:val="bottom"/>
          </w:tcPr>
          <w:p>
            <w:pPr>
              <w:ind w:left="100"/>
              <w:spacing w:after="0"/>
              <w:rPr>
                <w:sz w:val="20"/>
                <w:szCs w:val="20"/>
                <w:color w:val="auto"/>
              </w:rPr>
            </w:pPr>
            <w:r>
              <w:rPr>
                <w:rFonts w:ascii="Arial" w:cs="Arial" w:eastAsia="Arial" w:hAnsi="Arial"/>
                <w:sz w:val="18"/>
                <w:szCs w:val="18"/>
                <w:color w:val="auto"/>
              </w:rPr>
              <w:t>RULES AND REGULATIONS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18.1</w:t>
            </w:r>
          </w:p>
        </w:tc>
        <w:tc>
          <w:tcPr>
            <w:tcW w:w="7340" w:type="dxa"/>
            <w:vAlign w:val="bottom"/>
          </w:tcPr>
          <w:p>
            <w:pPr>
              <w:ind w:left="100"/>
              <w:spacing w:after="0"/>
              <w:rPr>
                <w:sz w:val="20"/>
                <w:szCs w:val="20"/>
                <w:color w:val="auto"/>
              </w:rPr>
            </w:pPr>
            <w:r>
              <w:rPr>
                <w:rFonts w:ascii="Arial" w:cs="Arial" w:eastAsia="Arial" w:hAnsi="Arial"/>
                <w:sz w:val="18"/>
                <w:szCs w:val="18"/>
                <w:color w:val="auto"/>
              </w:rPr>
              <w:t>Rules and Regulations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18.2</w:t>
            </w:r>
          </w:p>
        </w:tc>
        <w:tc>
          <w:tcPr>
            <w:tcW w:w="7340" w:type="dxa"/>
            <w:vAlign w:val="bottom"/>
          </w:tcPr>
          <w:p>
            <w:pPr>
              <w:ind w:left="100"/>
              <w:spacing w:after="0"/>
              <w:rPr>
                <w:sz w:val="20"/>
                <w:szCs w:val="20"/>
                <w:color w:val="auto"/>
              </w:rPr>
            </w:pPr>
            <w:r>
              <w:rPr>
                <w:rFonts w:ascii="Arial" w:cs="Arial" w:eastAsia="Arial" w:hAnsi="Arial"/>
                <w:sz w:val="18"/>
                <w:szCs w:val="18"/>
                <w:color w:val="auto"/>
              </w:rPr>
              <w:t>Energy Conservation</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18.3</w:t>
            </w:r>
          </w:p>
        </w:tc>
        <w:tc>
          <w:tcPr>
            <w:tcW w:w="7340" w:type="dxa"/>
            <w:vAlign w:val="bottom"/>
          </w:tcPr>
          <w:p>
            <w:pPr>
              <w:ind w:left="100"/>
              <w:spacing w:after="0"/>
              <w:rPr>
                <w:sz w:val="20"/>
                <w:szCs w:val="20"/>
                <w:color w:val="auto"/>
              </w:rPr>
            </w:pPr>
            <w:r>
              <w:rPr>
                <w:rFonts w:ascii="Arial" w:cs="Arial" w:eastAsia="Arial" w:hAnsi="Arial"/>
                <w:sz w:val="18"/>
                <w:szCs w:val="18"/>
                <w:color w:val="auto"/>
              </w:rPr>
              <w:t>Recycling</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19.</w:t>
            </w:r>
          </w:p>
        </w:tc>
        <w:tc>
          <w:tcPr>
            <w:tcW w:w="7340" w:type="dxa"/>
            <w:vAlign w:val="bottom"/>
          </w:tcPr>
          <w:p>
            <w:pPr>
              <w:ind w:left="100"/>
              <w:spacing w:after="0"/>
              <w:rPr>
                <w:sz w:val="20"/>
                <w:szCs w:val="20"/>
                <w:color w:val="auto"/>
              </w:rPr>
            </w:pPr>
            <w:r>
              <w:rPr>
                <w:rFonts w:ascii="Arial" w:cs="Arial" w:eastAsia="Arial" w:hAnsi="Arial"/>
                <w:sz w:val="18"/>
                <w:szCs w:val="18"/>
                <w:color w:val="auto"/>
              </w:rPr>
              <w:t>LAWS AND PERMITS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19.1</w:t>
            </w:r>
          </w:p>
        </w:tc>
        <w:tc>
          <w:tcPr>
            <w:tcW w:w="7340" w:type="dxa"/>
            <w:vAlign w:val="bottom"/>
          </w:tcPr>
          <w:p>
            <w:pPr>
              <w:ind w:left="100"/>
              <w:spacing w:after="0"/>
              <w:rPr>
                <w:sz w:val="20"/>
                <w:szCs w:val="20"/>
                <w:color w:val="auto"/>
              </w:rPr>
            </w:pPr>
            <w:r>
              <w:rPr>
                <w:rFonts w:ascii="Arial" w:cs="Arial" w:eastAsia="Arial" w:hAnsi="Arial"/>
                <w:sz w:val="18"/>
                <w:szCs w:val="18"/>
                <w:color w:val="auto"/>
              </w:rPr>
              <w:t>Legal Requirements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w:t>
            </w:r>
          </w:p>
        </w:tc>
        <w:tc>
          <w:tcPr>
            <w:tcW w:w="7340" w:type="dxa"/>
            <w:vAlign w:val="bottom"/>
          </w:tcPr>
          <w:p>
            <w:pPr>
              <w:ind w:left="100"/>
              <w:spacing w:after="0"/>
              <w:rPr>
                <w:sz w:val="20"/>
                <w:szCs w:val="20"/>
                <w:color w:val="auto"/>
              </w:rPr>
            </w:pPr>
            <w:r>
              <w:rPr>
                <w:rFonts w:ascii="Arial" w:cs="Arial" w:eastAsia="Arial" w:hAnsi="Arial"/>
                <w:sz w:val="18"/>
                <w:szCs w:val="18"/>
                <w:color w:val="auto"/>
              </w:rPr>
              <w:t>DEFAULT</w:t>
            </w:r>
          </w:p>
        </w:tc>
        <w:tc>
          <w:tcPr>
            <w:tcW w:w="3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20.1</w:t>
            </w:r>
          </w:p>
        </w:tc>
        <w:tc>
          <w:tcPr>
            <w:tcW w:w="734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3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20.2</w:t>
            </w:r>
          </w:p>
        </w:tc>
        <w:tc>
          <w:tcPr>
            <w:tcW w:w="7340" w:type="dxa"/>
            <w:vAlign w:val="bottom"/>
          </w:tcPr>
          <w:p>
            <w:pPr>
              <w:ind w:left="100"/>
              <w:spacing w:after="0"/>
              <w:rPr>
                <w:sz w:val="20"/>
                <w:szCs w:val="20"/>
                <w:color w:val="auto"/>
              </w:rPr>
            </w:pPr>
            <w:r>
              <w:rPr>
                <w:rFonts w:ascii="Arial" w:cs="Arial" w:eastAsia="Arial" w:hAnsi="Arial"/>
                <w:sz w:val="18"/>
                <w:szCs w:val="18"/>
                <w:color w:val="auto"/>
              </w:rPr>
              <w:t>Remedies</w:t>
            </w:r>
          </w:p>
        </w:tc>
        <w:tc>
          <w:tcPr>
            <w:tcW w:w="3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20.3</w:t>
            </w:r>
          </w:p>
        </w:tc>
        <w:tc>
          <w:tcPr>
            <w:tcW w:w="7340" w:type="dxa"/>
            <w:vAlign w:val="bottom"/>
          </w:tcPr>
          <w:p>
            <w:pPr>
              <w:ind w:left="100"/>
              <w:spacing w:after="0"/>
              <w:rPr>
                <w:sz w:val="20"/>
                <w:szCs w:val="20"/>
                <w:color w:val="auto"/>
              </w:rPr>
            </w:pPr>
            <w:r>
              <w:rPr>
                <w:rFonts w:ascii="Arial" w:cs="Arial" w:eastAsia="Arial" w:hAnsi="Arial"/>
                <w:sz w:val="18"/>
                <w:szCs w:val="18"/>
                <w:color w:val="auto"/>
              </w:rPr>
              <w:t>Damages - Termination</w:t>
            </w:r>
          </w:p>
        </w:tc>
        <w:tc>
          <w:tcPr>
            <w:tcW w:w="3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20.4</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Landlord’s Self-Help; Fees and Expenses</w:t>
            </w:r>
          </w:p>
        </w:tc>
        <w:tc>
          <w:tcPr>
            <w:tcW w:w="3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20" w:type="dxa"/>
            <w:vAlign w:val="bottom"/>
          </w:tcPr>
          <w:p>
            <w:pPr>
              <w:ind w:left="380"/>
              <w:spacing w:after="0"/>
              <w:rPr>
                <w:sz w:val="20"/>
                <w:szCs w:val="20"/>
                <w:color w:val="auto"/>
              </w:rPr>
            </w:pPr>
            <w:r>
              <w:rPr>
                <w:rFonts w:ascii="Arial" w:cs="Arial" w:eastAsia="Arial" w:hAnsi="Arial"/>
                <w:sz w:val="18"/>
                <w:szCs w:val="18"/>
                <w:color w:val="auto"/>
              </w:rPr>
              <w:t>20.5</w:t>
            </w:r>
          </w:p>
        </w:tc>
        <w:tc>
          <w:tcPr>
            <w:tcW w:w="7340" w:type="dxa"/>
            <w:vAlign w:val="bottom"/>
          </w:tcPr>
          <w:p>
            <w:pPr>
              <w:ind w:left="100"/>
              <w:spacing w:after="0"/>
              <w:rPr>
                <w:sz w:val="20"/>
                <w:szCs w:val="20"/>
                <w:color w:val="auto"/>
              </w:rPr>
            </w:pPr>
            <w:r>
              <w:rPr>
                <w:rFonts w:ascii="Arial" w:cs="Arial" w:eastAsia="Arial" w:hAnsi="Arial"/>
                <w:sz w:val="18"/>
                <w:szCs w:val="18"/>
                <w:color w:val="auto"/>
              </w:rPr>
              <w:t>Waiver of Redemption, Statutory Notice and Grace Periods</w:t>
            </w:r>
          </w:p>
        </w:tc>
        <w:tc>
          <w:tcPr>
            <w:tcW w:w="3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20" w:type="dxa"/>
            <w:vAlign w:val="bottom"/>
          </w:tcPr>
          <w:p>
            <w:pPr>
              <w:ind w:left="380"/>
              <w:spacing w:after="0"/>
              <w:rPr>
                <w:sz w:val="20"/>
                <w:szCs w:val="20"/>
                <w:color w:val="auto"/>
              </w:rPr>
            </w:pPr>
            <w:r>
              <w:rPr>
                <w:rFonts w:ascii="Arial" w:cs="Arial" w:eastAsia="Arial" w:hAnsi="Arial"/>
                <w:sz w:val="18"/>
                <w:szCs w:val="18"/>
                <w:color w:val="auto"/>
              </w:rPr>
              <w:t>20.6</w:t>
            </w:r>
          </w:p>
        </w:tc>
        <w:tc>
          <w:tcPr>
            <w:tcW w:w="7340" w:type="dxa"/>
            <w:vAlign w:val="bottom"/>
          </w:tcPr>
          <w:p>
            <w:pPr>
              <w:ind w:left="100"/>
              <w:spacing w:after="0"/>
              <w:rPr>
                <w:sz w:val="20"/>
                <w:szCs w:val="20"/>
                <w:color w:val="auto"/>
              </w:rPr>
            </w:pPr>
            <w:r>
              <w:rPr>
                <w:rFonts w:ascii="Arial" w:cs="Arial" w:eastAsia="Arial" w:hAnsi="Arial"/>
                <w:sz w:val="18"/>
                <w:szCs w:val="18"/>
                <w:color w:val="auto"/>
              </w:rPr>
              <w:t>Landlord’s Remedies Not Exclusive</w:t>
            </w:r>
          </w:p>
        </w:tc>
        <w:tc>
          <w:tcPr>
            <w:tcW w:w="31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20.7</w:t>
            </w:r>
          </w:p>
        </w:tc>
        <w:tc>
          <w:tcPr>
            <w:tcW w:w="7380" w:type="dxa"/>
            <w:vAlign w:val="bottom"/>
          </w:tcPr>
          <w:p>
            <w:pPr>
              <w:ind w:left="40"/>
              <w:spacing w:after="0"/>
              <w:rPr>
                <w:sz w:val="20"/>
                <w:szCs w:val="20"/>
                <w:color w:val="auto"/>
              </w:rPr>
            </w:pPr>
            <w:r>
              <w:rPr>
                <w:rFonts w:ascii="Arial" w:cs="Arial" w:eastAsia="Arial" w:hAnsi="Arial"/>
                <w:sz w:val="18"/>
                <w:szCs w:val="18"/>
                <w:color w:val="auto"/>
              </w:rPr>
              <w:t>No Waiver</w:t>
            </w:r>
          </w:p>
        </w:tc>
        <w:tc>
          <w:tcPr>
            <w:tcW w:w="3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20.8</w:t>
            </w:r>
          </w:p>
        </w:tc>
        <w:tc>
          <w:tcPr>
            <w:tcW w:w="7380" w:type="dxa"/>
            <w:vAlign w:val="bottom"/>
          </w:tcPr>
          <w:p>
            <w:pPr>
              <w:ind w:left="40"/>
              <w:spacing w:after="0"/>
              <w:rPr>
                <w:sz w:val="20"/>
                <w:szCs w:val="20"/>
                <w:color w:val="auto"/>
              </w:rPr>
            </w:pPr>
            <w:r>
              <w:rPr>
                <w:rFonts w:ascii="Arial" w:cs="Arial" w:eastAsia="Arial" w:hAnsi="Arial"/>
                <w:sz w:val="18"/>
                <w:szCs w:val="18"/>
                <w:color w:val="auto"/>
              </w:rPr>
              <w:t>Restrictions on Tenant’s Rights</w:t>
            </w:r>
          </w:p>
        </w:tc>
        <w:tc>
          <w:tcPr>
            <w:tcW w:w="3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20.9</w:t>
            </w:r>
          </w:p>
        </w:tc>
        <w:tc>
          <w:tcPr>
            <w:tcW w:w="7380" w:type="dxa"/>
            <w:vAlign w:val="bottom"/>
          </w:tcPr>
          <w:p>
            <w:pPr>
              <w:ind w:left="40"/>
              <w:spacing w:after="0"/>
              <w:rPr>
                <w:sz w:val="20"/>
                <w:szCs w:val="20"/>
                <w:color w:val="auto"/>
              </w:rPr>
            </w:pPr>
            <w:r>
              <w:rPr>
                <w:rFonts w:ascii="Arial" w:cs="Arial" w:eastAsia="Arial" w:hAnsi="Arial"/>
                <w:sz w:val="18"/>
                <w:szCs w:val="18"/>
                <w:color w:val="auto"/>
              </w:rPr>
              <w:t>Landlord Default</w:t>
            </w:r>
          </w:p>
        </w:tc>
        <w:tc>
          <w:tcPr>
            <w:tcW w:w="3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7380" w:type="dxa"/>
            <w:vAlign w:val="bottom"/>
          </w:tcPr>
          <w:p>
            <w:pPr>
              <w:ind w:left="40"/>
              <w:spacing w:after="0"/>
              <w:rPr>
                <w:sz w:val="20"/>
                <w:szCs w:val="20"/>
                <w:color w:val="auto"/>
              </w:rPr>
            </w:pPr>
            <w:r>
              <w:rPr>
                <w:rFonts w:ascii="Arial" w:cs="Arial" w:eastAsia="Arial" w:hAnsi="Arial"/>
                <w:sz w:val="18"/>
                <w:szCs w:val="18"/>
                <w:color w:val="auto"/>
              </w:rPr>
              <w:t>SURRENDER; ABANDONED PROPERTY; HOLD-OVER</w:t>
            </w:r>
          </w:p>
        </w:tc>
        <w:tc>
          <w:tcPr>
            <w:tcW w:w="3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21.1</w:t>
            </w:r>
          </w:p>
        </w:tc>
        <w:tc>
          <w:tcPr>
            <w:tcW w:w="7380" w:type="dxa"/>
            <w:vAlign w:val="bottom"/>
          </w:tcPr>
          <w:p>
            <w:pPr>
              <w:ind w:left="40"/>
              <w:spacing w:after="0"/>
              <w:rPr>
                <w:sz w:val="20"/>
                <w:szCs w:val="20"/>
                <w:color w:val="auto"/>
              </w:rPr>
            </w:pPr>
            <w:r>
              <w:rPr>
                <w:rFonts w:ascii="Arial" w:cs="Arial" w:eastAsia="Arial" w:hAnsi="Arial"/>
                <w:sz w:val="18"/>
                <w:szCs w:val="18"/>
                <w:color w:val="auto"/>
              </w:rPr>
              <w:t>Surrender</w:t>
            </w:r>
          </w:p>
        </w:tc>
        <w:tc>
          <w:tcPr>
            <w:tcW w:w="3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21.2</w:t>
            </w:r>
          </w:p>
        </w:tc>
        <w:tc>
          <w:tcPr>
            <w:tcW w:w="7380" w:type="dxa"/>
            <w:vAlign w:val="bottom"/>
          </w:tcPr>
          <w:p>
            <w:pPr>
              <w:ind w:left="40"/>
              <w:spacing w:after="0"/>
              <w:rPr>
                <w:sz w:val="20"/>
                <w:szCs w:val="20"/>
                <w:color w:val="auto"/>
              </w:rPr>
            </w:pPr>
            <w:r>
              <w:rPr>
                <w:rFonts w:ascii="Arial" w:cs="Arial" w:eastAsia="Arial" w:hAnsi="Arial"/>
                <w:sz w:val="18"/>
                <w:szCs w:val="18"/>
                <w:color w:val="auto"/>
              </w:rPr>
              <w:t>Abandoned Property</w:t>
            </w:r>
          </w:p>
        </w:tc>
        <w:tc>
          <w:tcPr>
            <w:tcW w:w="3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21.3</w:t>
            </w:r>
          </w:p>
        </w:tc>
        <w:tc>
          <w:tcPr>
            <w:tcW w:w="7380" w:type="dxa"/>
            <w:vAlign w:val="bottom"/>
          </w:tcPr>
          <w:p>
            <w:pPr>
              <w:ind w:left="40"/>
              <w:spacing w:after="0"/>
              <w:rPr>
                <w:sz w:val="20"/>
                <w:szCs w:val="20"/>
                <w:color w:val="auto"/>
              </w:rPr>
            </w:pPr>
            <w:r>
              <w:rPr>
                <w:rFonts w:ascii="Arial" w:cs="Arial" w:eastAsia="Arial" w:hAnsi="Arial"/>
                <w:sz w:val="18"/>
                <w:szCs w:val="18"/>
                <w:color w:val="auto"/>
              </w:rPr>
              <w:t>Holdover</w:t>
            </w:r>
          </w:p>
        </w:tc>
        <w:tc>
          <w:tcPr>
            <w:tcW w:w="3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21.4</w:t>
            </w:r>
          </w:p>
        </w:tc>
        <w:tc>
          <w:tcPr>
            <w:tcW w:w="7380" w:type="dxa"/>
            <w:vAlign w:val="bottom"/>
          </w:tcPr>
          <w:p>
            <w:pPr>
              <w:ind w:left="40"/>
              <w:spacing w:after="0"/>
              <w:rPr>
                <w:sz w:val="20"/>
                <w:szCs w:val="20"/>
                <w:color w:val="auto"/>
              </w:rPr>
            </w:pPr>
            <w:r>
              <w:rPr>
                <w:rFonts w:ascii="Arial" w:cs="Arial" w:eastAsia="Arial" w:hAnsi="Arial"/>
                <w:sz w:val="18"/>
                <w:szCs w:val="18"/>
                <w:color w:val="auto"/>
              </w:rPr>
              <w:t>Warranties</w:t>
            </w:r>
          </w:p>
        </w:tc>
        <w:tc>
          <w:tcPr>
            <w:tcW w:w="3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22.</w:t>
            </w:r>
          </w:p>
        </w:tc>
        <w:tc>
          <w:tcPr>
            <w:tcW w:w="7380" w:type="dxa"/>
            <w:vAlign w:val="bottom"/>
          </w:tcPr>
          <w:p>
            <w:pPr>
              <w:ind w:left="40"/>
              <w:spacing w:after="0"/>
              <w:rPr>
                <w:sz w:val="20"/>
                <w:szCs w:val="20"/>
                <w:color w:val="auto"/>
              </w:rPr>
            </w:pPr>
            <w:r>
              <w:rPr>
                <w:rFonts w:ascii="Arial" w:cs="Arial" w:eastAsia="Arial" w:hAnsi="Arial"/>
                <w:sz w:val="18"/>
                <w:szCs w:val="18"/>
                <w:color w:val="auto"/>
              </w:rPr>
              <w:t>MORTGAGEE RIGHTS</w:t>
            </w:r>
          </w:p>
        </w:tc>
        <w:tc>
          <w:tcPr>
            <w:tcW w:w="3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22.1</w:t>
            </w:r>
          </w:p>
        </w:tc>
        <w:tc>
          <w:tcPr>
            <w:tcW w:w="7380" w:type="dxa"/>
            <w:vAlign w:val="bottom"/>
          </w:tcPr>
          <w:p>
            <w:pPr>
              <w:ind w:left="40"/>
              <w:spacing w:after="0"/>
              <w:rPr>
                <w:sz w:val="20"/>
                <w:szCs w:val="20"/>
                <w:color w:val="auto"/>
              </w:rPr>
            </w:pPr>
            <w:r>
              <w:rPr>
                <w:rFonts w:ascii="Arial" w:cs="Arial" w:eastAsia="Arial" w:hAnsi="Arial"/>
                <w:sz w:val="18"/>
                <w:szCs w:val="18"/>
                <w:color w:val="auto"/>
              </w:rPr>
              <w:t>Subordination</w:t>
            </w:r>
          </w:p>
        </w:tc>
        <w:tc>
          <w:tcPr>
            <w:tcW w:w="3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22.2</w:t>
            </w:r>
          </w:p>
        </w:tc>
        <w:tc>
          <w:tcPr>
            <w:tcW w:w="7380" w:type="dxa"/>
            <w:vAlign w:val="bottom"/>
          </w:tcPr>
          <w:p>
            <w:pPr>
              <w:ind w:left="40"/>
              <w:spacing w:after="0"/>
              <w:rPr>
                <w:sz w:val="20"/>
                <w:szCs w:val="20"/>
                <w:color w:val="auto"/>
              </w:rPr>
            </w:pPr>
            <w:r>
              <w:rPr>
                <w:rFonts w:ascii="Arial" w:cs="Arial" w:eastAsia="Arial" w:hAnsi="Arial"/>
                <w:sz w:val="18"/>
                <w:szCs w:val="18"/>
                <w:color w:val="auto"/>
              </w:rPr>
              <w:t>Notices</w:t>
            </w:r>
          </w:p>
        </w:tc>
        <w:tc>
          <w:tcPr>
            <w:tcW w:w="3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22.3</w:t>
            </w:r>
          </w:p>
        </w:tc>
        <w:tc>
          <w:tcPr>
            <w:tcW w:w="7380" w:type="dxa"/>
            <w:vAlign w:val="bottom"/>
          </w:tcPr>
          <w:p>
            <w:pPr>
              <w:ind w:left="40"/>
              <w:spacing w:after="0"/>
              <w:rPr>
                <w:sz w:val="20"/>
                <w:szCs w:val="20"/>
                <w:color w:val="auto"/>
              </w:rPr>
            </w:pPr>
            <w:r>
              <w:rPr>
                <w:rFonts w:ascii="Arial" w:cs="Arial" w:eastAsia="Arial" w:hAnsi="Arial"/>
                <w:sz w:val="18"/>
                <w:szCs w:val="18"/>
                <w:color w:val="auto"/>
              </w:rPr>
              <w:t>Mortgagee Consent</w:t>
            </w:r>
          </w:p>
        </w:tc>
        <w:tc>
          <w:tcPr>
            <w:tcW w:w="3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23.</w:t>
            </w:r>
          </w:p>
        </w:tc>
        <w:tc>
          <w:tcPr>
            <w:tcW w:w="7380" w:type="dxa"/>
            <w:vAlign w:val="bottom"/>
          </w:tcPr>
          <w:p>
            <w:pPr>
              <w:ind w:left="40"/>
              <w:spacing w:after="0"/>
              <w:rPr>
                <w:sz w:val="20"/>
                <w:szCs w:val="20"/>
                <w:color w:val="auto"/>
              </w:rPr>
            </w:pPr>
            <w:r>
              <w:rPr>
                <w:rFonts w:ascii="Arial" w:cs="Arial" w:eastAsia="Arial" w:hAnsi="Arial"/>
                <w:sz w:val="18"/>
                <w:szCs w:val="18"/>
                <w:color w:val="auto"/>
              </w:rPr>
              <w:t>QUIET ENJOYMENT</w:t>
            </w:r>
          </w:p>
        </w:tc>
        <w:tc>
          <w:tcPr>
            <w:tcW w:w="3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24.</w:t>
            </w:r>
          </w:p>
        </w:tc>
        <w:tc>
          <w:tcPr>
            <w:tcW w:w="7380" w:type="dxa"/>
            <w:vAlign w:val="bottom"/>
          </w:tcPr>
          <w:p>
            <w:pPr>
              <w:ind w:left="40"/>
              <w:spacing w:after="0"/>
              <w:rPr>
                <w:sz w:val="20"/>
                <w:szCs w:val="20"/>
                <w:color w:val="auto"/>
              </w:rPr>
            </w:pPr>
            <w:r>
              <w:rPr>
                <w:rFonts w:ascii="Arial" w:cs="Arial" w:eastAsia="Arial" w:hAnsi="Arial"/>
                <w:sz w:val="18"/>
                <w:szCs w:val="18"/>
                <w:color w:val="auto"/>
              </w:rPr>
              <w:t>NOTICES</w:t>
            </w:r>
          </w:p>
        </w:tc>
        <w:tc>
          <w:tcPr>
            <w:tcW w:w="3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25.</w:t>
            </w:r>
          </w:p>
        </w:tc>
        <w:tc>
          <w:tcPr>
            <w:tcW w:w="738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25.1</w:t>
            </w:r>
          </w:p>
        </w:tc>
        <w:tc>
          <w:tcPr>
            <w:tcW w:w="7380" w:type="dxa"/>
            <w:vAlign w:val="bottom"/>
          </w:tcPr>
          <w:p>
            <w:pPr>
              <w:ind w:left="40"/>
              <w:spacing w:after="0"/>
              <w:rPr>
                <w:sz w:val="20"/>
                <w:szCs w:val="20"/>
                <w:color w:val="auto"/>
              </w:rPr>
            </w:pPr>
            <w:r>
              <w:rPr>
                <w:rFonts w:ascii="Arial" w:cs="Arial" w:eastAsia="Arial" w:hAnsi="Arial"/>
                <w:sz w:val="18"/>
                <w:szCs w:val="18"/>
                <w:color w:val="auto"/>
              </w:rPr>
              <w:t>Separability</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25.2</w:t>
            </w:r>
          </w:p>
        </w:tc>
        <w:tc>
          <w:tcPr>
            <w:tcW w:w="7380" w:type="dxa"/>
            <w:vAlign w:val="bottom"/>
          </w:tcPr>
          <w:p>
            <w:pPr>
              <w:ind w:left="40"/>
              <w:spacing w:after="0"/>
              <w:rPr>
                <w:sz w:val="20"/>
                <w:szCs w:val="20"/>
                <w:color w:val="auto"/>
              </w:rPr>
            </w:pPr>
            <w:r>
              <w:rPr>
                <w:rFonts w:ascii="Arial" w:cs="Arial" w:eastAsia="Arial" w:hAnsi="Arial"/>
                <w:sz w:val="18"/>
                <w:szCs w:val="18"/>
                <w:color w:val="auto"/>
              </w:rPr>
              <w:t>Captions</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25.3</w:t>
            </w:r>
          </w:p>
        </w:tc>
        <w:tc>
          <w:tcPr>
            <w:tcW w:w="7380" w:type="dxa"/>
            <w:vAlign w:val="bottom"/>
          </w:tcPr>
          <w:p>
            <w:pPr>
              <w:ind w:left="40"/>
              <w:spacing w:after="0"/>
              <w:rPr>
                <w:sz w:val="20"/>
                <w:szCs w:val="20"/>
                <w:color w:val="auto"/>
              </w:rPr>
            </w:pPr>
            <w:r>
              <w:rPr>
                <w:rFonts w:ascii="Arial" w:cs="Arial" w:eastAsia="Arial" w:hAnsi="Arial"/>
                <w:sz w:val="18"/>
                <w:szCs w:val="18"/>
                <w:color w:val="auto"/>
              </w:rPr>
              <w:t>Broker</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25.4</w:t>
            </w:r>
          </w:p>
        </w:tc>
        <w:tc>
          <w:tcPr>
            <w:tcW w:w="738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25.5</w:t>
            </w:r>
          </w:p>
        </w:tc>
        <w:tc>
          <w:tcPr>
            <w:tcW w:w="73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25.6</w:t>
            </w:r>
          </w:p>
        </w:tc>
        <w:tc>
          <w:tcPr>
            <w:tcW w:w="7380" w:type="dxa"/>
            <w:vAlign w:val="bottom"/>
          </w:tcPr>
          <w:p>
            <w:pPr>
              <w:ind w:left="40"/>
              <w:spacing w:after="0"/>
              <w:rPr>
                <w:sz w:val="20"/>
                <w:szCs w:val="20"/>
                <w:color w:val="auto"/>
              </w:rPr>
            </w:pPr>
            <w:r>
              <w:rPr>
                <w:rFonts w:ascii="Arial" w:cs="Arial" w:eastAsia="Arial" w:hAnsi="Arial"/>
                <w:sz w:val="18"/>
                <w:szCs w:val="18"/>
                <w:color w:val="auto"/>
              </w:rPr>
              <w:t>Representation of Authority</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25.7</w:t>
            </w:r>
          </w:p>
        </w:tc>
        <w:tc>
          <w:tcPr>
            <w:tcW w:w="7380" w:type="dxa"/>
            <w:vAlign w:val="bottom"/>
          </w:tcPr>
          <w:p>
            <w:pPr>
              <w:ind w:left="40"/>
              <w:spacing w:after="0"/>
              <w:rPr>
                <w:sz w:val="20"/>
                <w:szCs w:val="20"/>
                <w:color w:val="auto"/>
              </w:rPr>
            </w:pPr>
            <w:r>
              <w:rPr>
                <w:rFonts w:ascii="Arial" w:cs="Arial" w:eastAsia="Arial" w:hAnsi="Arial"/>
                <w:sz w:val="18"/>
                <w:szCs w:val="18"/>
                <w:color w:val="auto"/>
              </w:rPr>
              <w:t>Expenses Incurred by Landlord Upon Tenant Requests</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25.8</w:t>
            </w:r>
          </w:p>
        </w:tc>
        <w:tc>
          <w:tcPr>
            <w:tcW w:w="7380" w:type="dxa"/>
            <w:vAlign w:val="bottom"/>
          </w:tcPr>
          <w:p>
            <w:pPr>
              <w:ind w:left="40"/>
              <w:spacing w:after="0"/>
              <w:rPr>
                <w:sz w:val="20"/>
                <w:szCs w:val="20"/>
                <w:color w:val="auto"/>
              </w:rPr>
            </w:pPr>
            <w:r>
              <w:rPr>
                <w:rFonts w:ascii="Arial" w:cs="Arial" w:eastAsia="Arial" w:hAnsi="Arial"/>
                <w:sz w:val="18"/>
                <w:szCs w:val="18"/>
                <w:color w:val="auto"/>
              </w:rPr>
              <w:t>Survival</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25.9</w:t>
            </w:r>
          </w:p>
        </w:tc>
        <w:tc>
          <w:tcPr>
            <w:tcW w:w="738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25.10</w:t>
            </w:r>
          </w:p>
        </w:tc>
        <w:tc>
          <w:tcPr>
            <w:tcW w:w="7380" w:type="dxa"/>
            <w:vAlign w:val="bottom"/>
          </w:tcPr>
          <w:p>
            <w:pPr>
              <w:ind w:left="40"/>
              <w:spacing w:after="0"/>
              <w:rPr>
                <w:sz w:val="20"/>
                <w:szCs w:val="20"/>
                <w:color w:val="auto"/>
              </w:rPr>
            </w:pPr>
            <w:r>
              <w:rPr>
                <w:rFonts w:ascii="Arial" w:cs="Arial" w:eastAsia="Arial" w:hAnsi="Arial"/>
                <w:sz w:val="18"/>
                <w:szCs w:val="18"/>
                <w:color w:val="auto"/>
              </w:rPr>
              <w:t>Binding Effect</w:t>
            </w:r>
          </w:p>
        </w:tc>
        <w:tc>
          <w:tcPr>
            <w:tcW w:w="3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25.11</w:t>
            </w:r>
          </w:p>
        </w:tc>
        <w:tc>
          <w:tcPr>
            <w:tcW w:w="7380" w:type="dxa"/>
            <w:vAlign w:val="bottom"/>
          </w:tcPr>
          <w:p>
            <w:pPr>
              <w:ind w:left="40"/>
              <w:spacing w:after="0"/>
              <w:rPr>
                <w:sz w:val="20"/>
                <w:szCs w:val="20"/>
                <w:color w:val="auto"/>
              </w:rPr>
            </w:pPr>
            <w:r>
              <w:rPr>
                <w:rFonts w:ascii="Arial" w:cs="Arial" w:eastAsia="Arial" w:hAnsi="Arial"/>
                <w:sz w:val="18"/>
                <w:szCs w:val="18"/>
                <w:color w:val="auto"/>
              </w:rPr>
              <w:t>Landlord Obligations upon Transfer</w:t>
            </w:r>
          </w:p>
        </w:tc>
        <w:tc>
          <w:tcPr>
            <w:tcW w:w="3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25.12</w:t>
            </w:r>
          </w:p>
        </w:tc>
        <w:tc>
          <w:tcPr>
            <w:tcW w:w="7380" w:type="dxa"/>
            <w:vAlign w:val="bottom"/>
          </w:tcPr>
          <w:p>
            <w:pPr>
              <w:ind w:left="40"/>
              <w:spacing w:after="0"/>
              <w:rPr>
                <w:sz w:val="20"/>
                <w:szCs w:val="20"/>
                <w:color w:val="auto"/>
              </w:rPr>
            </w:pPr>
            <w:r>
              <w:rPr>
                <w:rFonts w:ascii="Arial" w:cs="Arial" w:eastAsia="Arial" w:hAnsi="Arial"/>
                <w:sz w:val="18"/>
                <w:szCs w:val="18"/>
                <w:color w:val="auto"/>
              </w:rPr>
              <w:t>No Grant of Interest</w:t>
            </w:r>
          </w:p>
        </w:tc>
        <w:tc>
          <w:tcPr>
            <w:tcW w:w="3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25.13</w:t>
            </w:r>
          </w:p>
        </w:tc>
        <w:tc>
          <w:tcPr>
            <w:tcW w:w="7380" w:type="dxa"/>
            <w:vAlign w:val="bottom"/>
          </w:tcPr>
          <w:p>
            <w:pPr>
              <w:ind w:left="40"/>
              <w:spacing w:after="0"/>
              <w:rPr>
                <w:sz w:val="20"/>
                <w:szCs w:val="20"/>
                <w:color w:val="auto"/>
              </w:rPr>
            </w:pPr>
            <w:r>
              <w:rPr>
                <w:rFonts w:ascii="Arial" w:cs="Arial" w:eastAsia="Arial" w:hAnsi="Arial"/>
                <w:sz w:val="18"/>
                <w:szCs w:val="18"/>
                <w:color w:val="auto"/>
              </w:rPr>
              <w:t>Financial Information</w:t>
            </w:r>
          </w:p>
        </w:tc>
        <w:tc>
          <w:tcPr>
            <w:tcW w:w="3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25.14</w:t>
            </w:r>
          </w:p>
        </w:tc>
        <w:tc>
          <w:tcPr>
            <w:tcW w:w="7380" w:type="dxa"/>
            <w:vAlign w:val="bottom"/>
          </w:tcPr>
          <w:p>
            <w:pPr>
              <w:ind w:left="40"/>
              <w:spacing w:after="0"/>
              <w:rPr>
                <w:sz w:val="20"/>
                <w:szCs w:val="20"/>
                <w:color w:val="auto"/>
              </w:rPr>
            </w:pPr>
            <w:r>
              <w:rPr>
                <w:rFonts w:ascii="Arial" w:cs="Arial" w:eastAsia="Arial" w:hAnsi="Arial"/>
                <w:sz w:val="18"/>
                <w:szCs w:val="18"/>
                <w:color w:val="auto"/>
              </w:rPr>
              <w:t>OFAC Certificate</w:t>
            </w:r>
          </w:p>
        </w:tc>
        <w:tc>
          <w:tcPr>
            <w:tcW w:w="3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25.15</w:t>
            </w:r>
          </w:p>
        </w:tc>
        <w:tc>
          <w:tcPr>
            <w:tcW w:w="7380" w:type="dxa"/>
            <w:vAlign w:val="bottom"/>
          </w:tcPr>
          <w:p>
            <w:pPr>
              <w:ind w:left="40"/>
              <w:spacing w:after="0"/>
              <w:rPr>
                <w:sz w:val="20"/>
                <w:szCs w:val="20"/>
                <w:color w:val="auto"/>
              </w:rPr>
            </w:pPr>
            <w:r>
              <w:rPr>
                <w:rFonts w:ascii="Arial" w:cs="Arial" w:eastAsia="Arial" w:hAnsi="Arial"/>
                <w:sz w:val="18"/>
                <w:szCs w:val="18"/>
                <w:color w:val="auto"/>
              </w:rPr>
              <w:t>Confidential Information</w:t>
            </w:r>
          </w:p>
        </w:tc>
        <w:tc>
          <w:tcPr>
            <w:tcW w:w="3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25.16</w:t>
            </w:r>
          </w:p>
        </w:tc>
        <w:tc>
          <w:tcPr>
            <w:tcW w:w="7380" w:type="dxa"/>
            <w:vAlign w:val="bottom"/>
          </w:tcPr>
          <w:p>
            <w:pPr>
              <w:ind w:left="40"/>
              <w:spacing w:after="0"/>
              <w:rPr>
                <w:sz w:val="20"/>
                <w:szCs w:val="20"/>
                <w:color w:val="auto"/>
              </w:rPr>
            </w:pPr>
            <w:r>
              <w:rPr>
                <w:rFonts w:ascii="Arial" w:cs="Arial" w:eastAsia="Arial" w:hAnsi="Arial"/>
                <w:sz w:val="18"/>
                <w:szCs w:val="18"/>
                <w:color w:val="auto"/>
              </w:rPr>
              <w:t>Notice of Lease</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00" w:type="dxa"/>
            <w:vAlign w:val="bottom"/>
          </w:tcPr>
          <w:p>
            <w:pPr>
              <w:ind w:left="340"/>
              <w:spacing w:after="0"/>
              <w:rPr>
                <w:sz w:val="20"/>
                <w:szCs w:val="20"/>
                <w:color w:val="auto"/>
              </w:rPr>
            </w:pPr>
            <w:r>
              <w:rPr>
                <w:rFonts w:ascii="Arial" w:cs="Arial" w:eastAsia="Arial" w:hAnsi="Arial"/>
                <w:sz w:val="18"/>
                <w:szCs w:val="18"/>
                <w:color w:val="auto"/>
                <w:w w:val="97"/>
              </w:rPr>
              <w:t>25.17</w:t>
            </w:r>
          </w:p>
        </w:tc>
        <w:tc>
          <w:tcPr>
            <w:tcW w:w="7380" w:type="dxa"/>
            <w:vAlign w:val="bottom"/>
          </w:tcPr>
          <w:p>
            <w:pPr>
              <w:ind w:left="40"/>
              <w:spacing w:after="0"/>
              <w:rPr>
                <w:sz w:val="20"/>
                <w:szCs w:val="20"/>
                <w:color w:val="auto"/>
              </w:rPr>
            </w:pPr>
            <w:r>
              <w:rPr>
                <w:rFonts w:ascii="Arial" w:cs="Arial" w:eastAsia="Arial" w:hAnsi="Arial"/>
                <w:sz w:val="18"/>
                <w:szCs w:val="18"/>
                <w:color w:val="auto"/>
              </w:rPr>
              <w:t>Publicity</w:t>
            </w:r>
          </w:p>
        </w:tc>
        <w:tc>
          <w:tcPr>
            <w:tcW w:w="31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341" w:name="page342"/>
    <w:bookmarkEnd w:id="34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OF LEASE (this “</w:t>
      </w:r>
      <w:r>
        <w:rPr>
          <w:rFonts w:ascii="Arial" w:cs="Arial" w:eastAsia="Arial" w:hAnsi="Arial"/>
          <w:sz w:val="17"/>
          <w:szCs w:val="17"/>
          <w:b w:val="1"/>
          <w:bCs w:val="1"/>
          <w:u w:val="single" w:color="auto"/>
          <w:color w:val="auto"/>
        </w:rPr>
        <w:t>Lease</w:t>
      </w:r>
      <w:r>
        <w:rPr>
          <w:rFonts w:ascii="Arial" w:cs="Arial" w:eastAsia="Arial" w:hAnsi="Arial"/>
          <w:sz w:val="17"/>
          <w:szCs w:val="17"/>
          <w:color w:val="auto"/>
        </w:rPr>
        <w:t>”) is hereby made and entered into on the Execution Date by and between Landlord and Tenant.</w:t>
      </w:r>
    </w:p>
    <w:p>
      <w:pPr>
        <w:spacing w:after="0" w:line="24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Each reference in this Lease to any of the terms and titles contained in any Exhibit attached to this Lease shall be deemed and construed to incorporate the data stated under that term or title in such Exhibit. All capitalized terms not otherwise defined herein shall have the meanings ascribed to them as set forth in the Lease Summary Sheet which is attached hereto and incorporated herein by reference.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LEASE GRANT; TERM; APPURTENANT RIGHTS; EXCLUSIONS</w:t>
      </w:r>
    </w:p>
    <w:p>
      <w:pPr>
        <w:spacing w:after="0" w:line="117"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1.1 Lease Grant</w:t>
      </w:r>
      <w:r>
        <w:rPr>
          <w:rFonts w:ascii="Arial" w:cs="Arial" w:eastAsia="Arial" w:hAnsi="Arial"/>
          <w:sz w:val="16"/>
          <w:szCs w:val="16"/>
          <w:color w:val="auto"/>
        </w:rPr>
        <w:t>. Landlord hereby leases to Tenant, and Tenant hereby leases from Landlord, the Premises upon and subject to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for a term of years commencing on the Term Commencement Date and, unless earlier terminated or extended pursuant to the terms hereof, ending on the Expiration Date (the “</w:t>
      </w:r>
      <w:r>
        <w:rPr>
          <w:rFonts w:ascii="Arial" w:cs="Arial" w:eastAsia="Arial" w:hAnsi="Arial"/>
          <w:sz w:val="16"/>
          <w:szCs w:val="16"/>
          <w:b w:val="1"/>
          <w:bCs w:val="1"/>
          <w:u w:val="single" w:color="auto"/>
          <w:color w:val="auto"/>
        </w:rPr>
        <w:t>Initial Term</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Initial Term and any duly exercised Extension Terms are hereinafter collectively referred to as the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Extension Term.</w:t>
      </w:r>
    </w:p>
    <w:p>
      <w:pPr>
        <w:spacing w:after="0" w:line="121" w:lineRule="exact"/>
        <w:rPr>
          <w:sz w:val="20"/>
          <w:szCs w:val="20"/>
          <w:color w:val="auto"/>
        </w:rPr>
      </w:pPr>
    </w:p>
    <w:p>
      <w:pPr>
        <w:ind w:firstLine="921"/>
        <w:spacing w:after="0" w:line="268" w:lineRule="auto"/>
        <w:tabs>
          <w:tab w:leader="none" w:pos="1158" w:val="left"/>
        </w:tabs>
        <w:numPr>
          <w:ilvl w:val="0"/>
          <w:numId w:val="244"/>
        </w:numPr>
        <w:rPr>
          <w:rFonts w:ascii="Arial" w:cs="Arial" w:eastAsia="Arial" w:hAnsi="Arial"/>
          <w:sz w:val="17"/>
          <w:szCs w:val="17"/>
          <w:color w:val="auto"/>
        </w:rPr>
      </w:pPr>
      <w:r>
        <w:rPr>
          <w:rFonts w:ascii="Arial" w:cs="Arial" w:eastAsia="Arial" w:hAnsi="Arial"/>
          <w:sz w:val="17"/>
          <w:szCs w:val="17"/>
          <w:color w:val="auto"/>
        </w:rPr>
        <w:t>Provided that the following conditions, which may be waived by Landlord in its sole discretion, are satisfied (i) Tenant, an Affiliated Entity (hereinafter defined) and/or a Successor (hereinafter defined) is/are then occupying at least fifty percent (50%) of the Premises; and (ii) no Event of Default nor an event which, with the passage of time and/or the giving of notice would constitute an Event of Default has occurred and is continuing (1) as of the date of the Extension Notice (hereinafter defined), and (2) at the commencement of the Extension Term (hereinafter defined), Tenant shall have the option to extend the Term for one (1) additional term of five (5) years (“</w:t>
      </w:r>
      <w:r>
        <w:rPr>
          <w:rFonts w:ascii="Arial" w:cs="Arial" w:eastAsia="Arial" w:hAnsi="Arial"/>
          <w:sz w:val="17"/>
          <w:szCs w:val="17"/>
          <w:b w:val="1"/>
          <w:bCs w:val="1"/>
          <w:u w:val="single" w:color="auto"/>
          <w:color w:val="auto"/>
        </w:rPr>
        <w:t>Extension Term</w:t>
      </w:r>
      <w:r>
        <w:rPr>
          <w:rFonts w:ascii="Arial" w:cs="Arial" w:eastAsia="Arial" w:hAnsi="Arial"/>
          <w:sz w:val="17"/>
          <w:szCs w:val="17"/>
          <w:color w:val="auto"/>
        </w:rPr>
        <w:t>”), such Extension Term commencing as of the day immediately following the expiration of the Initial Term. Tenant must exercise its option to extend, if at all, by giving Landlord written notice (the “</w:t>
      </w:r>
      <w:r>
        <w:rPr>
          <w:rFonts w:ascii="Arial" w:cs="Arial" w:eastAsia="Arial" w:hAnsi="Arial"/>
          <w:sz w:val="17"/>
          <w:szCs w:val="17"/>
          <w:b w:val="1"/>
          <w:bCs w:val="1"/>
          <w:u w:val="single" w:color="auto"/>
          <w:color w:val="auto"/>
        </w:rPr>
        <w:t>Extension Notice</w:t>
      </w:r>
      <w:r>
        <w:rPr>
          <w:rFonts w:ascii="Arial" w:cs="Arial" w:eastAsia="Arial" w:hAnsi="Arial"/>
          <w:sz w:val="17"/>
          <w:szCs w:val="17"/>
          <w:color w:val="auto"/>
        </w:rPr>
        <w:t xml:space="preserve">”) on or before the date that is nine (9) months prior to the expiration of the Initial Term of this Lease, </w:t>
      </w:r>
      <w:r>
        <w:rPr>
          <w:rFonts w:ascii="Arial" w:cs="Arial" w:eastAsia="Arial" w:hAnsi="Arial"/>
          <w:sz w:val="17"/>
          <w:szCs w:val="17"/>
          <w:i w:val="1"/>
          <w:iCs w:val="1"/>
          <w:color w:val="auto"/>
        </w:rPr>
        <w:t>time being of the essence</w:t>
      </w:r>
      <w:r>
        <w:rPr>
          <w:rFonts w:ascii="Arial" w:cs="Arial" w:eastAsia="Arial" w:hAnsi="Arial"/>
          <w:sz w:val="17"/>
          <w:szCs w:val="17"/>
          <w:color w:val="auto"/>
        </w:rPr>
        <w:t>. Upon the timely giving of such notice, the Term shall be deemed extended for the Extension Term upon all of the terms and conditions of this Lease, without the need for further act or deed of either party, except that Base Rent during such Extension Term shall be calculated in accordance with this Section 1.2, Landlord shall have no obligation to construct or renovate the Premises, and Tenant shall have no further right to extend the Term other than the single Extension Term provided above. If Tenant fails to give timely notice, as aforesaid, Tenant shall have no further right to extend the Term. Notwithstanding the fact that Tenant’s proper and timely exercise of such option to extend the Term shall be self executing, the parties shall promptly execute a lease amendment reflecting the Extension Term after Tenant exercises such option. The execution of such lease amendment shall not be deemed to waive any of the conditions to Tenant’s exercise of its rights under this Section 1.2.</w:t>
      </w:r>
    </w:p>
    <w:p>
      <w:pPr>
        <w:spacing w:after="0" w:line="181" w:lineRule="exact"/>
        <w:rPr>
          <w:rFonts w:ascii="Arial" w:cs="Arial" w:eastAsia="Arial" w:hAnsi="Arial"/>
          <w:sz w:val="17"/>
          <w:szCs w:val="17"/>
          <w:color w:val="auto"/>
        </w:rPr>
      </w:pPr>
    </w:p>
    <w:p>
      <w:pPr>
        <w:jc w:val="both"/>
        <w:ind w:right="80" w:firstLine="921"/>
        <w:spacing w:after="0" w:line="314" w:lineRule="auto"/>
        <w:tabs>
          <w:tab w:leader="none" w:pos="116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Base Rent payable by Tenant with respect to the Extension Term (the “</w:t>
      </w:r>
      <w:r>
        <w:rPr>
          <w:rFonts w:ascii="Arial" w:cs="Arial" w:eastAsia="Arial" w:hAnsi="Arial"/>
          <w:sz w:val="16"/>
          <w:szCs w:val="16"/>
          <w:b w:val="1"/>
          <w:bCs w:val="1"/>
          <w:u w:val="single" w:color="auto"/>
          <w:color w:val="auto"/>
        </w:rPr>
        <w:t>Extension Term Base Rent</w:t>
      </w:r>
      <w:r>
        <w:rPr>
          <w:rFonts w:ascii="Arial" w:cs="Arial" w:eastAsia="Arial" w:hAnsi="Arial"/>
          <w:sz w:val="16"/>
          <w:szCs w:val="16"/>
          <w:color w:val="auto"/>
        </w:rPr>
        <w:t>”) shall be determined in accordance with the process described hereafter. Extension Term Base Rent payable by Tenant with respect to the Extension Term shall be the fair market rental value of the Premises then demised to Tenant as of the commencement of the Extension Term as determined in accordance with the process described below, for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80"/>
          </w:cols>
          <w:pgMar w:left="240" w:top="270" w:right="279" w:bottom="1440" w:gutter="0" w:footer="0" w:header="0"/>
        </w:sectPr>
      </w:pPr>
    </w:p>
    <w:bookmarkStart w:id="342" w:name="page343"/>
    <w:bookmarkEnd w:id="342"/>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renewals of combination laboratory and office space in the Alewife area of Cambridge, Massachusetts, of equivalent quality, size, utility and location, with the length of the Extension Term, the credit standing of Tenant and all other relevant factors to be taken into account, including, without limitation, any concessions granted to tenants in the marketplace (such as, without limitation, free rent, free parking, tenant improvement allowances, lease assumptions, and moving and other allowances) and proximity to public transportation. Within thirty (30) days after receipt of the Extension Notice, Landlord shall deliver to Tenant written notice of its determination of the Extension Term Base Rent for the Extension Term. Tenant shall, within thirty (30) days after receipt of such notice, notify Landlord in writing whether Tenant accepts or rejects Landlord’s determination of the Extension Term Base Rent (“</w:t>
      </w:r>
      <w:r>
        <w:rPr>
          <w:rFonts w:ascii="Arial" w:cs="Arial" w:eastAsia="Arial" w:hAnsi="Arial"/>
          <w:sz w:val="17"/>
          <w:szCs w:val="17"/>
          <w:b w:val="1"/>
          <w:bCs w:val="1"/>
          <w:u w:val="single" w:color="auto"/>
          <w:color w:val="auto"/>
        </w:rPr>
        <w:t>Tenant’s Response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If Tenant fails timely to deliver Tenant’s Response Notice, then Landlord shall send Tenant a written reminder notice (“</w:t>
      </w:r>
      <w:r>
        <w:rPr>
          <w:rFonts w:ascii="Arial" w:cs="Arial" w:eastAsia="Arial" w:hAnsi="Arial"/>
          <w:sz w:val="17"/>
          <w:szCs w:val="17"/>
          <w:b w:val="1"/>
          <w:bCs w:val="1"/>
          <w:u w:val="single" w:color="auto"/>
          <w:color w:val="auto"/>
        </w:rPr>
        <w:t>Reminder Notice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specifically referring to this Section 1.2(b) and advising Tenant of the effect of failing to send a timely Tenant’s Response Notice, and if Tenant fails to deliver a Tenant’s Response to Notice to Landlord on or before the date ten (10) days after Tenant receives a Reminder Notice, then Landlord’s determination of the Extension Term Base Rent shall be binding on Tenant.</w:t>
      </w:r>
    </w:p>
    <w:p>
      <w:pPr>
        <w:spacing w:after="0" w:line="178" w:lineRule="exact"/>
        <w:rPr>
          <w:sz w:val="20"/>
          <w:szCs w:val="20"/>
          <w:color w:val="auto"/>
        </w:rPr>
      </w:pPr>
    </w:p>
    <w:p>
      <w:pPr>
        <w:ind w:right="80" w:firstLine="921"/>
        <w:spacing w:after="0" w:line="264" w:lineRule="auto"/>
        <w:tabs>
          <w:tab w:leader="none" w:pos="115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If and only if Tenant’s Response Notice is timely delivered to Landlord and indicates both that Tenant rejects Landlord’s determination of the Extension Term Base Rent and desires to submit the matter to arbitration, then the Extension Term Base Rent shall be determined in accordance with the procedure set forth in Section 1.2(d).</w:t>
      </w:r>
    </w:p>
    <w:p>
      <w:pPr>
        <w:spacing w:after="0" w:line="181" w:lineRule="exact"/>
        <w:rPr>
          <w:rFonts w:ascii="Arial" w:cs="Arial" w:eastAsia="Arial" w:hAnsi="Arial"/>
          <w:sz w:val="18"/>
          <w:szCs w:val="18"/>
          <w:color w:val="auto"/>
        </w:rPr>
      </w:pPr>
    </w:p>
    <w:p>
      <w:pPr>
        <w:ind w:right="140" w:firstLine="921"/>
        <w:spacing w:after="0" w:line="285" w:lineRule="auto"/>
        <w:tabs>
          <w:tab w:leader="none" w:pos="1168" w:val="left"/>
        </w:tabs>
        <w:numPr>
          <w:ilvl w:val="1"/>
          <w:numId w:val="245"/>
        </w:numPr>
        <w:rPr>
          <w:rFonts w:ascii="Arial" w:cs="Arial" w:eastAsia="Arial" w:hAnsi="Arial"/>
          <w:sz w:val="16"/>
          <w:szCs w:val="16"/>
          <w:color w:val="auto"/>
        </w:rPr>
      </w:pPr>
      <w:r>
        <w:rPr>
          <w:rFonts w:ascii="Arial" w:cs="Arial" w:eastAsia="Arial" w:hAnsi="Arial"/>
          <w:sz w:val="16"/>
          <w:szCs w:val="16"/>
          <w:color w:val="auto"/>
        </w:rPr>
        <w:t>If, pursuant to the provisions of this Section 1.2, a dispute as to fair market rental value is to be submitted to appraisal, then, on or before the date (“</w:t>
      </w:r>
      <w:r>
        <w:rPr>
          <w:rFonts w:ascii="Arial" w:cs="Arial" w:eastAsia="Arial" w:hAnsi="Arial"/>
          <w:sz w:val="16"/>
          <w:szCs w:val="16"/>
          <w:b w:val="1"/>
          <w:bCs w:val="1"/>
          <w:u w:val="single" w:color="auto"/>
          <w:color w:val="auto"/>
        </w:rPr>
        <w:t>Appraiser Designation Date</w:t>
      </w:r>
      <w:r>
        <w:rPr>
          <w:rFonts w:ascii="Arial" w:cs="Arial" w:eastAsia="Arial" w:hAnsi="Arial"/>
          <w:sz w:val="16"/>
          <w:szCs w:val="16"/>
          <w:color w:val="auto"/>
        </w:rPr>
        <w:t>”) twenty (20) days after receipt by Landlord of Tenant’s Response Notice indicating Tenant’s desire to submit the determination of the Extension Term Base Rent to arbitration, Tenant and Landlord shall each notify the other, in writing, of their respective selections of an appraiser (respectively, “</w:t>
      </w:r>
      <w:r>
        <w:rPr>
          <w:rFonts w:ascii="Arial" w:cs="Arial" w:eastAsia="Arial" w:hAnsi="Arial"/>
          <w:sz w:val="16"/>
          <w:szCs w:val="16"/>
          <w:b w:val="1"/>
          <w:bCs w:val="1"/>
          <w:u w:val="single" w:color="auto"/>
          <w:color w:val="auto"/>
        </w:rPr>
        <w:t>Landlord’s Appraiser</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Tenant’s Appraiser</w:t>
      </w:r>
      <w:r>
        <w:rPr>
          <w:rFonts w:ascii="Arial" w:cs="Arial" w:eastAsia="Arial" w:hAnsi="Arial"/>
          <w:sz w:val="16"/>
          <w:szCs w:val="16"/>
          <w:color w:val="auto"/>
        </w:rPr>
        <w:t>”). Landlord’s Appraiser and Tenant’s Appraiser shall then jointly select a third appraiser (the “</w:t>
      </w:r>
      <w:r>
        <w:rPr>
          <w:rFonts w:ascii="Arial" w:cs="Arial" w:eastAsia="Arial" w:hAnsi="Arial"/>
          <w:sz w:val="16"/>
          <w:szCs w:val="16"/>
          <w:b w:val="1"/>
          <w:bCs w:val="1"/>
          <w:u w:val="single" w:color="auto"/>
          <w:color w:val="auto"/>
        </w:rPr>
        <w:t>Third Appraiser</w:t>
      </w:r>
      <w:r>
        <w:rPr>
          <w:rFonts w:ascii="Arial" w:cs="Arial" w:eastAsia="Arial" w:hAnsi="Arial"/>
          <w:sz w:val="16"/>
          <w:szCs w:val="16"/>
          <w:color w:val="auto"/>
        </w:rPr>
        <w:t>”) within ten (10) days of their appointment. All of the appraisers selected shall be individuals with at least ten</w:t>
      </w:r>
    </w:p>
    <w:p>
      <w:pPr>
        <w:spacing w:after="0" w:line="2" w:lineRule="exact"/>
        <w:rPr>
          <w:rFonts w:ascii="Arial" w:cs="Arial" w:eastAsia="Arial" w:hAnsi="Arial"/>
          <w:sz w:val="16"/>
          <w:szCs w:val="16"/>
          <w:color w:val="auto"/>
        </w:rPr>
      </w:pPr>
    </w:p>
    <w:p>
      <w:pPr>
        <w:ind w:firstLine="8"/>
        <w:spacing w:after="0" w:line="287" w:lineRule="auto"/>
        <w:tabs>
          <w:tab w:leader="none" w:pos="34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consecutive years’ commercial appraisal experience in the area in which the Premises are located, shall be members of the Appraisal Institute (M.A.I.), and, in the case of the Third Appraiser, shall not have acted in any capacity for either Landlord or Tenant within five (5) years of his or her selection. The three appraisers shall determine the Extension Term Base Rent in accordance with the requirements and criteria set forth in Section 1.2(b) above, employing the method commonly known as Baseball Arbitration, whereby Landlord’s Appraiser and Tenant’s Appraiser each sets forth its determination of the Extension Term Base Rent as defined above, and the Third Appraiser must select one or the other (it being understood that the Third Appraiser shall be expressly prohibited from selecting a compromise figure). Landlord’s Appraiser and Tenant’s Appraiser shall deliver their determinations of the Extension Term Base Rent to the Third Appraiser within five (5) days of the appointment of the Third Appraiser and the Third Appraiser shall render his or her decision within ten (10) days after receipt of both of the other two determinations of the Extension Term Base Rent. The Third Appraiser’s decision shall be binding on both Landlord and Tenant. Each party shall bear the cost of its own appraiser and the cost of the Third Appraiser shall be shared equally by the parties.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3" w:right="239" w:bottom="1440" w:gutter="0" w:footer="0" w:header="0"/>
        </w:sectPr>
      </w:pPr>
    </w:p>
    <w:bookmarkStart w:id="343" w:name="page344"/>
    <w:bookmarkEnd w:id="34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 Appurtenant Rights.</w:t>
      </w:r>
    </w:p>
    <w:p>
      <w:pPr>
        <w:spacing w:after="0" w:line="121" w:lineRule="exact"/>
        <w:rPr>
          <w:sz w:val="20"/>
          <w:szCs w:val="20"/>
          <w:color w:val="auto"/>
        </w:rPr>
      </w:pPr>
    </w:p>
    <w:p>
      <w:pPr>
        <w:ind w:firstLine="921"/>
        <w:spacing w:after="0" w:line="288" w:lineRule="auto"/>
        <w:tabs>
          <w:tab w:leader="none" w:pos="1157"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Common Areas</w:t>
      </w:r>
      <w:r>
        <w:rPr>
          <w:rFonts w:ascii="Arial" w:cs="Arial" w:eastAsia="Arial" w:hAnsi="Arial"/>
          <w:sz w:val="16"/>
          <w:szCs w:val="16"/>
          <w:color w:val="auto"/>
        </w:rPr>
        <w:t>. Subject to the terms of this Lease and the Rules and Regulations (hereinafter defined), Tenant and its employees, invitees and licensees, shall have, as appurtenant to the Premises, rights to use in common with others entitled thereto, the following areas (such areas are hereinafter referred to as the “</w:t>
      </w: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 xml:space="preserve">”): (i) the common loading docks and the common shipping and receiving area, as shown on </w:t>
      </w:r>
      <w:r>
        <w:rPr>
          <w:rFonts w:ascii="Arial" w:cs="Arial" w:eastAsia="Arial" w:hAnsi="Arial"/>
          <w:sz w:val="16"/>
          <w:szCs w:val="16"/>
          <w:u w:val="single" w:color="auto"/>
          <w:color w:val="auto"/>
        </w:rPr>
        <w:t>Exhibit 1A</w:t>
      </w:r>
      <w:r>
        <w:rPr>
          <w:rFonts w:ascii="Arial" w:cs="Arial" w:eastAsia="Arial" w:hAnsi="Arial"/>
          <w:sz w:val="16"/>
          <w:szCs w:val="16"/>
          <w:color w:val="auto"/>
        </w:rPr>
        <w:t xml:space="preserve"> attached hereto,</w:t>
      </w:r>
    </w:p>
    <w:p>
      <w:pPr>
        <w:ind w:right="260" w:firstLine="8"/>
        <w:spacing w:after="0" w:line="261" w:lineRule="auto"/>
        <w:tabs>
          <w:tab w:leader="none" w:pos="26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common walkways and driveways necessary for access to the Building, and (iii) other areas and facilities designated by Landlord from time to time for the common use of tenants of the Building; and no other appurtenant rights or easements</w:t>
      </w:r>
    </w:p>
    <w:p>
      <w:pPr>
        <w:spacing w:after="0" w:line="183" w:lineRule="exact"/>
        <w:rPr>
          <w:rFonts w:ascii="Arial" w:cs="Arial" w:eastAsia="Arial" w:hAnsi="Arial"/>
          <w:sz w:val="18"/>
          <w:szCs w:val="18"/>
          <w:color w:val="auto"/>
        </w:rPr>
      </w:pPr>
    </w:p>
    <w:p>
      <w:pPr>
        <w:ind w:right="200" w:firstLine="921"/>
        <w:spacing w:after="0" w:line="291" w:lineRule="auto"/>
        <w:tabs>
          <w:tab w:leader="none" w:pos="1168"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Parking</w:t>
      </w:r>
      <w:r>
        <w:rPr>
          <w:rFonts w:ascii="Arial" w:cs="Arial" w:eastAsia="Arial" w:hAnsi="Arial"/>
          <w:sz w:val="16"/>
          <w:szCs w:val="16"/>
          <w:color w:val="auto"/>
        </w:rPr>
        <w:t>. During the Term, Landlord shall, subject to the terms hereof make available up to eighty (81) surface parking spaces for Tenant’s exclusive use (“</w:t>
      </w:r>
      <w:r>
        <w:rPr>
          <w:rFonts w:ascii="Arial" w:cs="Arial" w:eastAsia="Arial" w:hAnsi="Arial"/>
          <w:sz w:val="16"/>
          <w:szCs w:val="16"/>
          <w:b w:val="1"/>
          <w:bCs w:val="1"/>
          <w:u w:val="single" w:color="auto"/>
          <w:color w:val="auto"/>
        </w:rPr>
        <w:t>Tenant’s Parking Spaces</w:t>
      </w:r>
      <w:r>
        <w:rPr>
          <w:rFonts w:ascii="Arial" w:cs="Arial" w:eastAsia="Arial" w:hAnsi="Arial"/>
          <w:sz w:val="16"/>
          <w:szCs w:val="16"/>
          <w:color w:val="auto"/>
        </w:rPr>
        <w:t>”) located in the surface parking area serving the Property (“</w:t>
      </w:r>
      <w:r>
        <w:rPr>
          <w:rFonts w:ascii="Arial" w:cs="Arial" w:eastAsia="Arial" w:hAnsi="Arial"/>
          <w:sz w:val="16"/>
          <w:szCs w:val="16"/>
          <w:b w:val="1"/>
          <w:bCs w:val="1"/>
          <w:u w:val="single" w:color="auto"/>
          <w:color w:val="auto"/>
        </w:rPr>
        <w:t>Parking Area</w:t>
      </w:r>
      <w:r>
        <w:rPr>
          <w:rFonts w:ascii="Arial" w:cs="Arial" w:eastAsia="Arial" w:hAnsi="Arial"/>
          <w:sz w:val="16"/>
          <w:szCs w:val="16"/>
          <w:color w:val="auto"/>
        </w:rPr>
        <w:t xml:space="preserve">”), in the locations shown on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attached hereto, without any fee or charge (except that costs of maintenance and repair of the parking areas shall be included in Operating Costs). Landlord shall have no obligation to police the use of Tenant’s Parking Spaces or to install any signage or markings identifying Tenant’s Parking Spaces. Tenant may police the use of Tenant’s Parking Spaces, subject to such procedures as are approved by Landlord in advance (which approval shall not be unreasonably withheld, conditioned, or delayed), and Tenant may install markings or signage on Tenant’s Parking Spaces, provided that Tenant obtains Landlord’s prior written approval, which approval shall not be unreasonably withheld, conditioned, or delayed.</w:t>
      </w:r>
    </w:p>
    <w:p>
      <w:pPr>
        <w:spacing w:after="0" w:line="16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Tenant shall have no right to hypothecate or encumber the Parking Spaces, and shall not sublet, assign, or otherwise transfer the Parking Spaces other than to employees of Tenant occupying the Premises or to a Successor (hereinafter defined), an Affiliated Entity (hereinafter defined) or a transferee pursuant to an approved Transfer under Section 13 of this Lease. Subject to Landlord’s right to reserve parking for other tenants of the Building, said Parking Spaces will be on an unassigned, non-reserved basis, and shall be subject to such reasonable rules and regulations as may be in effect for the use of the parking areas from time to time. Handicap parking spaces must be honored.</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Tenant’s Access.</w:t>
      </w:r>
    </w:p>
    <w:p>
      <w:pPr>
        <w:spacing w:after="0" w:line="121" w:lineRule="exact"/>
        <w:rPr>
          <w:sz w:val="20"/>
          <w:szCs w:val="20"/>
          <w:color w:val="auto"/>
        </w:rPr>
      </w:pPr>
    </w:p>
    <w:p>
      <w:pPr>
        <w:ind w:right="20" w:firstLine="921"/>
        <w:spacing w:after="0" w:line="271" w:lineRule="auto"/>
        <w:tabs>
          <w:tab w:leader="none" w:pos="115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From and after the Term Commencement Date and until the end of the Term, Tenant shall have access to the Premises twenty-four (24) hours a day, seven (7) days a week, 365 days per year, subject to Legal Requirements (hereinafter defined), Landlord’s reasonable Building security requirements (provided that a copy of such security requirements have been provided to Tenant, the parties hereby acknowledging that Landlord has the right, from time to time, to revise such security requirements, on a reasonable basis), causes beyond Landlord’s reasonable control, the Rules and Regulations, the terms of this Lease and matters of record as of the Execution Date. Tenant shall have the right to install a security system pertaining to the Premises (the “</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System</w:t>
      </w:r>
      <w:r>
        <w:rPr>
          <w:rFonts w:ascii="Arial" w:cs="Arial" w:eastAsia="Arial" w:hAnsi="Arial"/>
          <w:sz w:val="17"/>
          <w:szCs w:val="17"/>
          <w:color w:val="auto"/>
        </w:rPr>
        <w:t>”), provided that: (i) any work performed by Tenant in installing such system shall be performed in accordance with the provisions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Section 11 hereof), and (ii) Tenant shall provide to Landlord card keys to allow Landlord to access the Premises, subject to, and in accordance with, the provisions of this Lease.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69" w:right="239" w:bottom="1440" w:gutter="0" w:footer="0" w:header="0"/>
        </w:sectPr>
      </w:pPr>
    </w:p>
    <w:bookmarkStart w:id="344" w:name="page345"/>
    <w:bookmarkEnd w:id="344"/>
    <w:p>
      <w:pPr>
        <w:ind w:firstLine="921"/>
        <w:spacing w:after="0" w:line="285" w:lineRule="auto"/>
        <w:tabs>
          <w:tab w:leader="none" w:pos="1168" w:val="left"/>
        </w:tabs>
        <w:numPr>
          <w:ilvl w:val="0"/>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Landlord’s approval (which approval shall not be unreasonably withheld, conditioned or delayed), Tenant shall, subject to the provisions of this Section 1.4(b), have the right to access the Premises from and after the date that is fifteen (15) days prior to the Term Commencement Date, for purposes reasonably related to the planning, design and installation of the Tenant’s Property (including, without limitation, Tenant’s furniture, fixtures and telecommunications and other equipment), provided that such entry: (i) shall only be permitted so long as Tenant does not interfere (other than in a de minimis manner) with the performance of Landlord’s Work, (ii) shall be at Tenant’s sole risk, except, subject to Section 14.5, to the extent of damage to property or injury to persons caused by the negligence or willful misconduct of the Landlord Parties (hereinafter defined), and (iii) may only be made in accordance with, and subject to, the provisions of the Lease (including, without limitation, Section 11), except that Tenant shall have no obligation to pay Base Rent, Operating Expenses or Taxes during such entry. In the event that Tenant makes such early entry into the Premises, Tenant shall take necessary reasonable measures to ensure that Tenant’s contractors cooperate in all commercially reasonable ways with Landlord’s contractors to avoid any delay in either Landlord’s Work or any conflict with the performance of Landlord’s Work, Tenant acknowledging that in the case of conflict, the performance of Landlord’s Work shall have priority. Tenant shall, prior to the first entry to the Premises pursuant to this Section 1.4(b), provide Landlord with certificates of insurance evidencing that the insurance required in Section 14 hereof is in full force and effect and covering any person or entity entering the Building. Tenant shall defend, indemnify and hold the Landlord Parties harmless from and against any and all Claims (hereinafter defined) for injury to persons or damage to property to the extent resulting from or relating to Tenant’s access to and use of the Premises prior to the Term Commencement Date as provided under this Section 1.4(b), except to the extent such injury or damage is caused by the negligence or willful misconduct of any of the Landlord Parties. Tenant shall coordinate any access to the Premises prior to the Term Commencement Date with Landlord’s property manager.</w:t>
      </w:r>
    </w:p>
    <w:p>
      <w:pPr>
        <w:spacing w:after="0" w:line="174"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1.5 Exclusions</w:t>
      </w:r>
      <w:r>
        <w:rPr>
          <w:rFonts w:ascii="Arial" w:cs="Arial" w:eastAsia="Arial" w:hAnsi="Arial"/>
          <w:sz w:val="17"/>
          <w:szCs w:val="17"/>
          <w:color w:val="auto"/>
        </w:rPr>
        <w:t>. The following are expressly excluded from the Premises and reserved to Landlord: all the perimeter walls of the Premises (except the</w:t>
      </w:r>
      <w:r>
        <w:rPr>
          <w:rFonts w:ascii="Arial" w:cs="Arial" w:eastAsia="Arial" w:hAnsi="Arial"/>
          <w:sz w:val="17"/>
          <w:szCs w:val="17"/>
          <w:b w:val="1"/>
          <w:bCs w:val="1"/>
          <w:color w:val="auto"/>
        </w:rPr>
        <w:t xml:space="preserve"> </w:t>
      </w:r>
      <w:r>
        <w:rPr>
          <w:rFonts w:ascii="Arial" w:cs="Arial" w:eastAsia="Arial" w:hAnsi="Arial"/>
          <w:sz w:val="17"/>
          <w:szCs w:val="17"/>
          <w:color w:val="auto"/>
        </w:rPr>
        <w:t>inner surfaces thereof), the Common Areas and any sinks located therein, and any space in or adjacent to the Premises used exclusively by parties other than the Tenant Parties for shafts, stacks, pipes, conduits, wires and appurtenant fixtures, fan rooms, ducts, electric or other utilities or other Building facilities, and the use of all of the foregoing, except as expressly permitted pursuant to Section 1.3(a) above.</w:t>
      </w:r>
    </w:p>
    <w:p>
      <w:pPr>
        <w:spacing w:after="0" w:line="165" w:lineRule="exact"/>
        <w:rPr>
          <w:sz w:val="20"/>
          <w:szCs w:val="20"/>
          <w:color w:val="auto"/>
        </w:rPr>
      </w:pPr>
    </w:p>
    <w:p>
      <w:pPr>
        <w:ind w:right="160" w:firstLine="456"/>
        <w:spacing w:after="0" w:line="292" w:lineRule="auto"/>
        <w:rPr>
          <w:sz w:val="20"/>
          <w:szCs w:val="20"/>
          <w:color w:val="auto"/>
        </w:rPr>
      </w:pPr>
      <w:r>
        <w:rPr>
          <w:rFonts w:ascii="Arial" w:cs="Arial" w:eastAsia="Arial" w:hAnsi="Arial"/>
          <w:sz w:val="16"/>
          <w:szCs w:val="16"/>
          <w:b w:val="1"/>
          <w:bCs w:val="1"/>
          <w:color w:val="auto"/>
        </w:rPr>
        <w:t>1.6 Rooftop Use</w:t>
      </w:r>
      <w:r>
        <w:rPr>
          <w:rFonts w:ascii="Arial" w:cs="Arial" w:eastAsia="Arial" w:hAnsi="Arial"/>
          <w:sz w:val="16"/>
          <w:szCs w:val="16"/>
          <w:color w:val="auto"/>
        </w:rPr>
        <w:t>. During the Term, Tenant shall have the right, at no cost to Tenant (except that costs of maintenance and repair of the Rooftop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shall be included in Operating Costs) to use a portion of the Rooftop Premises of the Building in the location shown on </w:t>
      </w:r>
      <w:r>
        <w:rPr>
          <w:rFonts w:ascii="Arial" w:cs="Arial" w:eastAsia="Arial" w:hAnsi="Arial"/>
          <w:sz w:val="16"/>
          <w:szCs w:val="16"/>
          <w:u w:val="single" w:color="auto"/>
          <w:color w:val="auto"/>
        </w:rPr>
        <w:t>Exhibit 1C</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Rooftop</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Premises</w:t>
      </w:r>
      <w:r>
        <w:rPr>
          <w:rFonts w:ascii="Arial" w:cs="Arial" w:eastAsia="Arial" w:hAnsi="Arial"/>
          <w:sz w:val="16"/>
          <w:szCs w:val="16"/>
          <w:color w:val="auto"/>
        </w:rPr>
        <w:t>”) for the installation of certain equipment approved by Landlord (which approval shall not be unreasonably withheld) and purchased and installed</w:t>
      </w:r>
      <w:r>
        <w:rPr>
          <w:rFonts w:ascii="Arial" w:cs="Arial" w:eastAsia="Arial" w:hAnsi="Arial"/>
          <w:sz w:val="16"/>
          <w:szCs w:val="16"/>
          <w:b w:val="1"/>
          <w:bCs w:val="1"/>
          <w:color w:val="auto"/>
        </w:rPr>
        <w:t xml:space="preserve"> </w:t>
      </w:r>
      <w:r>
        <w:rPr>
          <w:rFonts w:ascii="Arial" w:cs="Arial" w:eastAsia="Arial" w:hAnsi="Arial"/>
          <w:sz w:val="16"/>
          <w:szCs w:val="16"/>
          <w:color w:val="auto"/>
        </w:rPr>
        <w:t>by or for Tenant in accordance with the terms of this Lease (any equipment installed by or for Tenant within the Rooftop Premises, as the same may be modified, altered or replaced during the Term, is collectively referred to herein as “</w:t>
      </w:r>
      <w:r>
        <w:rPr>
          <w:rFonts w:ascii="Arial" w:cs="Arial" w:eastAsia="Arial" w:hAnsi="Arial"/>
          <w:sz w:val="16"/>
          <w:szCs w:val="16"/>
          <w:b w:val="1"/>
          <w:bCs w:val="1"/>
          <w:u w:val="single" w:color="auto"/>
          <w:color w:val="auto"/>
        </w:rPr>
        <w:t>Tenant’s Rooftop Premises Equipment</w:t>
      </w:r>
      <w:r>
        <w:rPr>
          <w:rFonts w:ascii="Arial" w:cs="Arial" w:eastAsia="Arial" w:hAnsi="Arial"/>
          <w:sz w:val="16"/>
          <w:szCs w:val="16"/>
          <w:color w:val="auto"/>
        </w:rPr>
        <w:t>”). Landlord’s approval of such equipment shall not be unreasonably withheld, conditioned or delayed provided Tenant demonstrates to Landlord’s reasonable satisfaction that the proposed equipment (i) does not interfere with any base building equipment operated by Landlord on the roof; (ii) will not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345" w:name="page346"/>
    <w:bookmarkEnd w:id="3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affect the structural integrity of the Building or impact the roof or the roof membrane in any manner; (iii) shall be adequately screened so as to minimize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visibility of such equipment; and (iv) shall be adequately sound-proofed to meet all requirements of Legal Requirements and Landlord’s specified maximum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decibel levels for equipment operations. Tenant shall not install or operate Tenant’s Rooftop Premises Equipment until Tenant has obtained and submitted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copies of all required governmental permits, licenses, and authorizations necessary for the installation and operation thereof. In addition, Tenant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comply with all reasonable construction rules and regulations promulgated by Landlord in connection with the installation, maintenance and operation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Tenant’s Rooftop Premises Equipment. Landlord shall have no obligation to provide any services including, without limitation, electric current or gas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Rooftop Premises or to Tenant’s Rooftop Premises Equipment. Notwithstanding the foregoing, Tenant may cause such services to be provided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Rooftop Premises and/or any Tenant’s Rooftop Premises Equipment subject to the provisions hereof (including, without limitation, the provisions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11 of the Lease). Tenant shall be responsible for the cost of repairing and maintaining Tenant’s Rooftop Premises. Equipment and the cost of repairing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damage to the Building (except to the extent, subject to Section 14.5, that such damage is caused by the negligence or willful misconduct of any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Landlord Parties), or the cost of any necessary improvements to the Building, caused by or as a result of the installation, replacement and/or removal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Tenant’s Rooftop Premises Equipment. Landlord makes no warranties or representations to Tenant as to the suitability of the Rooftop Premises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installation and operation of Tenant’s Rooftop Premises Equipment. In the event that at any time during the Term, Landlord determines, in its sole but bona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fide business judgment, that the operation and/or periodic testing of Tenant’s Rooftop Premises Equipment interferes with the operation of the Building 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operations of any of the occupants of the Building, then Tenant shall, upon notice from Landlord, cause all further testing of Tenant’s Rooftop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Premises Equipment to occur after normal business hours (hereinafter defined).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Tenant’s Right of First Offer. </w:t>
      </w:r>
      <w:r>
        <w:rPr>
          <w:rFonts w:ascii="Arial" w:cs="Arial" w:eastAsia="Arial" w:hAnsi="Arial"/>
          <w:sz w:val="18"/>
          <w:szCs w:val="18"/>
          <w:color w:val="auto"/>
        </w:rPr>
        <w:t>See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10</w:t>
      </w:r>
      <w:r>
        <w:rPr>
          <w:rFonts w:ascii="Arial" w:cs="Arial" w:eastAsia="Arial" w:hAnsi="Arial"/>
          <w:sz w:val="18"/>
          <w:szCs w:val="18"/>
          <w:b w:val="1"/>
          <w:bCs w:val="1"/>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RIGHTS RESERVED TO LANDLORD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2.1 Additions and Alterations</w:t>
      </w:r>
      <w:r>
        <w:rPr>
          <w:rFonts w:ascii="Arial" w:cs="Arial" w:eastAsia="Arial" w:hAnsi="Arial"/>
          <w:sz w:val="16"/>
          <w:szCs w:val="16"/>
          <w:color w:val="auto"/>
        </w:rPr>
        <w:t>. Landlord reserves the right, at any time and from time to time, but upon prior written notice to Tenant (except that:</w:t>
      </w:r>
    </w:p>
    <w:p>
      <w:pPr>
        <w:spacing w:after="0" w:line="50" w:lineRule="exact"/>
        <w:rPr>
          <w:sz w:val="20"/>
          <w:szCs w:val="20"/>
          <w:color w:val="auto"/>
        </w:rPr>
      </w:pPr>
    </w:p>
    <w:p>
      <w:pPr>
        <w:ind w:right="40" w:firstLine="8"/>
        <w:spacing w:after="0" w:line="290" w:lineRule="auto"/>
        <w:tabs>
          <w:tab w:leader="none" w:pos="21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email notice shall be sufficient for the purposes of this Section 2.1, and (ii) no prior notice shall be required in an emergency) to make such changes, alterations, additions, improvements, repairs or replacements in or to the Property (including the Premises but, with respect to the Premises, only for purposes of repairs, maintenance, replacements and the exercise of any other rights expressly reserved to Landlord herein) and the fixtures and equipment therein, as well as in or to the street entrances and/or the Common Areas, as it may deem necessary or desirable, provided, however, that there be no material obstruction of permanent access to, or material interference with the use and enjoyment of, the Premises by Tenant. Subject to the foregoing, Landlord expressly reserves the right to temporarily close all, or any portion, of the Common Areas for the purpose of making repairs or changes thereto.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346" w:name="page347"/>
    <w:bookmarkEnd w:id="34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Additions to the Property.</w:t>
      </w:r>
    </w:p>
    <w:p>
      <w:pPr>
        <w:spacing w:after="0" w:line="117" w:lineRule="exact"/>
        <w:rPr>
          <w:sz w:val="20"/>
          <w:szCs w:val="20"/>
          <w:color w:val="auto"/>
        </w:rPr>
      </w:pPr>
    </w:p>
    <w:p>
      <w:pPr>
        <w:ind w:firstLine="464"/>
        <w:spacing w:after="0" w:line="274" w:lineRule="auto"/>
        <w:tabs>
          <w:tab w:leader="none" w:pos="70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Landlord may at any time or from time to time (i) construct additional improvements and related site improvements (collectively, “</w:t>
      </w:r>
      <w:r>
        <w:rPr>
          <w:rFonts w:ascii="Arial" w:cs="Arial" w:eastAsia="Arial" w:hAnsi="Arial"/>
          <w:sz w:val="17"/>
          <w:szCs w:val="17"/>
          <w:b w:val="1"/>
          <w:bCs w:val="1"/>
          <w:u w:val="single" w:color="auto"/>
          <w:color w:val="auto"/>
        </w:rPr>
        <w:t>Future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Development</w:t>
      </w:r>
      <w:r>
        <w:rPr>
          <w:rFonts w:ascii="Arial" w:cs="Arial" w:eastAsia="Arial" w:hAnsi="Arial"/>
          <w:sz w:val="17"/>
          <w:szCs w:val="17"/>
          <w:color w:val="auto"/>
        </w:rPr>
        <w:t>”) in all or any part of the Property and/or (ii) change the location or arrangement of any improvement outside the Building in or on the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or all or any part of the Common Areas, or add or deduct any land to or from the Property; provided that, in connection with the exercise of the foregoing reserved rights: (i) Landlord shall have no right to relocate Tenant’s Parking Spaces (except to the extent required by applicable Legal Requirements, (ii) there shall be material adverse affect on Tenant’s use of, or access to, the Common Areas or the Premises, and (iii) there shall be no material increase in Tenant’s obligations or material interference with, or material reduction to, Tenant’s rights under this Lease.</w:t>
      </w:r>
    </w:p>
    <w:p>
      <w:pPr>
        <w:spacing w:after="0" w:line="177" w:lineRule="exact"/>
        <w:rPr>
          <w:rFonts w:ascii="Arial" w:cs="Arial" w:eastAsia="Arial" w:hAnsi="Arial"/>
          <w:sz w:val="17"/>
          <w:szCs w:val="17"/>
          <w:color w:val="auto"/>
        </w:rPr>
      </w:pPr>
    </w:p>
    <w:p>
      <w:pPr>
        <w:ind w:right="40" w:firstLine="464"/>
        <w:spacing w:after="0" w:line="276" w:lineRule="auto"/>
        <w:tabs>
          <w:tab w:leader="none" w:pos="71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In case any excavation shall be made for building or improvements or for any other purpose upon the land adjacent to or near the Premises, Tenant will, upon prior written notice to Tenant (except that: (i) email notice shall be sufficient for the purposes of this Section 2.2(b), and (ii) no prior notice shall be required in an emergency) afford without charge to Landlord, or the person or persons, firms or corporations causing or making such excavation, license to enter upon the Premises for the purpose of doing such work as Landlord or such person or persons, firms or corporation shall deem to be necessary to preserve the walls or structures of the building from injury, and to protect the building by proper securing of foundations.</w:t>
      </w:r>
    </w:p>
    <w:p>
      <w:pPr>
        <w:spacing w:after="0" w:line="16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2.3 Name and Address of Building</w:t>
      </w:r>
      <w:r>
        <w:rPr>
          <w:rFonts w:ascii="Arial" w:cs="Arial" w:eastAsia="Arial" w:hAnsi="Arial"/>
          <w:sz w:val="18"/>
          <w:szCs w:val="18"/>
          <w:color w:val="auto"/>
        </w:rPr>
        <w:t>. Landlord reserves the right at any time and from time to time: (i) at Landlord’s election, to change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and/or the Property, and (ii) if required by governmental authorities, to change the address of the Building and/or the Property, provided Landlord gives Tenant at least three (3) months’ prior written notice thereof and compensates Tenant for its reasonable, out-of-pocket costs of implementing such changes (e.g., replacement of letterhead and business cards). Notwithstanding the foregoing, in no event shall the name of the Building be changed, during the Term of this Lease, to be the name of another tenant of the Building.</w:t>
      </w:r>
    </w:p>
    <w:p>
      <w:pPr>
        <w:spacing w:after="0" w:line="18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2.4 Landlord’s Access</w:t>
      </w:r>
      <w:r>
        <w:rPr>
          <w:rFonts w:ascii="Arial" w:cs="Arial" w:eastAsia="Arial" w:hAnsi="Arial"/>
          <w:sz w:val="17"/>
          <w:szCs w:val="17"/>
          <w:color w:val="auto"/>
        </w:rPr>
        <w:t>. Subject to the terms hereof, Tenant shall (a) upon reasonable advance written notice (Tenant hereby agreeing that email notice</w:t>
      </w:r>
      <w:r>
        <w:rPr>
          <w:rFonts w:ascii="Arial" w:cs="Arial" w:eastAsia="Arial" w:hAnsi="Arial"/>
          <w:sz w:val="17"/>
          <w:szCs w:val="17"/>
          <w:b w:val="1"/>
          <w:bCs w:val="1"/>
          <w:color w:val="auto"/>
        </w:rPr>
        <w:t xml:space="preserve"> </w:t>
      </w:r>
      <w:r>
        <w:rPr>
          <w:rFonts w:ascii="Arial" w:cs="Arial" w:eastAsia="Arial" w:hAnsi="Arial"/>
          <w:sz w:val="17"/>
          <w:szCs w:val="17"/>
          <w:color w:val="auto"/>
        </w:rPr>
        <w:t>of at least 48 hours, (except that no notice shall be required in emergency situations), permit Landlord and any holder of a Mortgage (hereinafter defined) (each such holder, a “</w:t>
      </w:r>
      <w:r>
        <w:rPr>
          <w:rFonts w:ascii="Arial" w:cs="Arial" w:eastAsia="Arial" w:hAnsi="Arial"/>
          <w:sz w:val="17"/>
          <w:szCs w:val="17"/>
          <w:b w:val="1"/>
          <w:bCs w:val="1"/>
          <w:u w:val="single" w:color="auto"/>
          <w:color w:val="auto"/>
        </w:rPr>
        <w:t>Mortgagee</w:t>
      </w:r>
      <w:r>
        <w:rPr>
          <w:rFonts w:ascii="Arial" w:cs="Arial" w:eastAsia="Arial" w:hAnsi="Arial"/>
          <w:sz w:val="17"/>
          <w:szCs w:val="17"/>
          <w:color w:val="auto"/>
        </w:rPr>
        <w:t>”), and the agents, representatives, employees and contractors of each of them, to have reasonable access to the Premises at all reasonable hours for the purposes of inspection as permitted pursuant to the provisions of this Lease or as necessary in order to enable Landlord to perform its obligations under this Lease, making repairs, replacements or improvements in or to the Premises or the Building or equipment therein (including, without limitation, sanitary, electrical, heating, air conditioning or other systems), complying with all applicable laws, ordinances, rules, regulations, statutes, by-laws, court decisions and orders and requirements of all public authorities, including the American with Disabilities Act (collectively, “</w:t>
      </w:r>
      <w:r>
        <w:rPr>
          <w:rFonts w:ascii="Arial" w:cs="Arial" w:eastAsia="Arial" w:hAnsi="Arial"/>
          <w:sz w:val="17"/>
          <w:szCs w:val="17"/>
          <w:b w:val="1"/>
          <w:bCs w:val="1"/>
          <w:u w:val="single" w:color="auto"/>
          <w:color w:val="auto"/>
        </w:rPr>
        <w:t>Legal Requirements</w:t>
      </w:r>
      <w:r>
        <w:rPr>
          <w:rFonts w:ascii="Arial" w:cs="Arial" w:eastAsia="Arial" w:hAnsi="Arial"/>
          <w:sz w:val="17"/>
          <w:szCs w:val="17"/>
          <w:color w:val="auto"/>
        </w:rPr>
        <w:t>”), or exercising any right reserved to Landlord under this Lease (including without limitation the right to take upon or through the Premises all necessary materials, tools and equipment); and (b) permit Landlord and its agents and employees, at reasonable times, upon reasonable advance, notice of at least 48 hours, to show the Premises during normal business hours (i.e., Monday – Friday, 8 A.M. – 6 P.M., Saturday, 8 A.M. – 1 P.M., excluding “</w:t>
      </w:r>
      <w:r>
        <w:rPr>
          <w:rFonts w:ascii="Arial" w:cs="Arial" w:eastAsia="Arial" w:hAnsi="Arial"/>
          <w:sz w:val="17"/>
          <w:szCs w:val="17"/>
          <w:b w:val="1"/>
          <w:bCs w:val="1"/>
          <w:u w:val="single" w:color="auto"/>
          <w:color w:val="auto"/>
        </w:rPr>
        <w:t>Building Holidays</w:t>
      </w:r>
      <w:r>
        <w:rPr>
          <w:rFonts w:ascii="Arial" w:cs="Arial" w:eastAsia="Arial" w:hAnsi="Arial"/>
          <w:sz w:val="17"/>
          <w:szCs w:val="17"/>
          <w:color w:val="auto"/>
        </w:rPr>
        <w:t>” (i.e., New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0" w:right="239" w:bottom="1440" w:gutter="0" w:footer="0" w:header="0"/>
        </w:sectPr>
      </w:pPr>
    </w:p>
    <w:bookmarkStart w:id="347" w:name="page348"/>
    <w:bookmarkEnd w:id="347"/>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Year’s Day, Memorial Day, Independence Day, Labor Day, Thanksgiving Day and Christmas Day)) to any prospective Mortgagee or purchaser of the Building and/or the Property or of the interest of Landlord therein, and, during the last twelve (12) months of the Term or at any time after the occurrence of an Event of Default, prospective tenants, and (c) for the purposes set forth in Section 17. In addition, to the extent that it is necessary to enter the Premises in order to access any area that serves any portion of the Building outside the Premises, then Tenant shall, upon as much advance notice as is practical under the circumstances, and in any event at least 48 hours’ prior written notice (except that no notice shall be required in emergency situations), permit contractors engaged by other occupants of the Building to pass through the Premises in order to access such areas but only (except in emergencies) if accompanied by representatives of Landlord and Tenant and otherwise subject to the terms and conditions of Section 2.6. Notwithstanding anything to the contrary herein contained, if Landlord gives timely proper notice of its intent to access the Premises, as permitted hereunder, and Landlord’s access is precluded by either Tenant’s failure to make a Tenant representative available to permit such access or by reason of other provisions of this Section 2.4, then Landlord shall be temporarily relieved of responsibility to perform its obligations under the Lease only to the extent and for the period of time that Landlord is prevented from performing such obligations by reason of Landlord’s lack of access to the Premises, or any portion thereof.</w:t>
      </w:r>
    </w:p>
    <w:p>
      <w:pPr>
        <w:spacing w:after="0" w:line="169" w:lineRule="exact"/>
        <w:rPr>
          <w:sz w:val="20"/>
          <w:szCs w:val="20"/>
          <w:color w:val="auto"/>
        </w:rPr>
      </w:pPr>
    </w:p>
    <w:p>
      <w:pPr>
        <w:ind w:right="540" w:firstLine="456"/>
        <w:spacing w:after="0" w:line="266" w:lineRule="auto"/>
        <w:rPr>
          <w:sz w:val="20"/>
          <w:szCs w:val="20"/>
          <w:color w:val="auto"/>
        </w:rPr>
      </w:pPr>
      <w:r>
        <w:rPr>
          <w:rFonts w:ascii="Arial" w:cs="Arial" w:eastAsia="Arial" w:hAnsi="Arial"/>
          <w:sz w:val="18"/>
          <w:szCs w:val="18"/>
          <w:b w:val="1"/>
          <w:bCs w:val="1"/>
          <w:color w:val="auto"/>
        </w:rPr>
        <w:t>2.5 Pipes, Ducts and Conduits</w:t>
      </w:r>
      <w:r>
        <w:rPr>
          <w:rFonts w:ascii="Arial" w:cs="Arial" w:eastAsia="Arial" w:hAnsi="Arial"/>
          <w:sz w:val="18"/>
          <w:szCs w:val="18"/>
          <w:color w:val="auto"/>
        </w:rPr>
        <w:t>. Tenant shall permit Landlord to erect, use, maintain and relocate pipes, ducts and conduits in and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provided the same do not materially reduce the floor area or materially adversely affect the appearance thereof and use and enjoyment of the Premises for Tenant’s Permitted Uses.</w:t>
      </w:r>
    </w:p>
    <w:p>
      <w:pPr>
        <w:spacing w:after="0" w:line="176" w:lineRule="exact"/>
        <w:rPr>
          <w:sz w:val="20"/>
          <w:szCs w:val="20"/>
          <w:color w:val="auto"/>
        </w:rPr>
      </w:pPr>
    </w:p>
    <w:p>
      <w:pPr>
        <w:jc w:val="both"/>
        <w:ind w:right="340" w:firstLine="456"/>
        <w:spacing w:after="0" w:line="347" w:lineRule="auto"/>
        <w:rPr>
          <w:sz w:val="20"/>
          <w:szCs w:val="20"/>
          <w:color w:val="auto"/>
        </w:rPr>
      </w:pPr>
      <w:r>
        <w:rPr>
          <w:rFonts w:ascii="Arial" w:cs="Arial" w:eastAsia="Arial" w:hAnsi="Arial"/>
          <w:sz w:val="16"/>
          <w:szCs w:val="16"/>
          <w:b w:val="1"/>
          <w:bCs w:val="1"/>
          <w:color w:val="auto"/>
        </w:rPr>
        <w:t>2.6 Minimize Interference</w:t>
      </w:r>
      <w:r>
        <w:rPr>
          <w:rFonts w:ascii="Arial" w:cs="Arial" w:eastAsia="Arial" w:hAnsi="Arial"/>
          <w:sz w:val="16"/>
          <w:szCs w:val="16"/>
          <w:color w:val="auto"/>
        </w:rPr>
        <w:t>. Except in the event of an emergency, Landlord shall use commercially reasonable efforts to minimize any interference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Tenant’s business operations and use and occupancy of the Premises in connection with the exercise any of the foregoing rights under this Section 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CONDITION OF PREMISES; CONSTRUCTION.</w:t>
      </w:r>
    </w:p>
    <w:p>
      <w:pPr>
        <w:spacing w:after="0" w:line="117"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3.1 Condition of Premises</w:t>
      </w:r>
      <w:r>
        <w:rPr>
          <w:rFonts w:ascii="Arial" w:cs="Arial" w:eastAsia="Arial" w:hAnsi="Arial"/>
          <w:sz w:val="17"/>
          <w:szCs w:val="17"/>
          <w:color w:val="auto"/>
        </w:rPr>
        <w:t>. Except for Landlord’s obligation to perform Landlord’s Work (hereinafter defined), any warranties or representations made</w:t>
      </w:r>
      <w:r>
        <w:rPr>
          <w:rFonts w:ascii="Arial" w:cs="Arial" w:eastAsia="Arial" w:hAnsi="Arial"/>
          <w:sz w:val="17"/>
          <w:szCs w:val="17"/>
          <w:b w:val="1"/>
          <w:bCs w:val="1"/>
          <w:color w:val="auto"/>
        </w:rPr>
        <w:t xml:space="preserve"> </w:t>
      </w:r>
      <w:r>
        <w:rPr>
          <w:rFonts w:ascii="Arial" w:cs="Arial" w:eastAsia="Arial" w:hAnsi="Arial"/>
          <w:sz w:val="17"/>
          <w:szCs w:val="17"/>
          <w:color w:val="auto"/>
        </w:rPr>
        <w:t>by Landlord which are expressly set forth in this Lease, Landlord’s repair and maintenance obligations hereunder , Tenant acknowledges and agrees that Tenant is leasing the Premises in their “</w:t>
      </w:r>
      <w:r>
        <w:rPr>
          <w:rFonts w:ascii="Arial" w:cs="Arial" w:eastAsia="Arial" w:hAnsi="Arial"/>
          <w:sz w:val="17"/>
          <w:szCs w:val="17"/>
          <w:b w:val="1"/>
          <w:bCs w:val="1"/>
          <w:color w:val="auto"/>
        </w:rPr>
        <w:t>AS IS</w:t>
      </w:r>
      <w:r>
        <w:rPr>
          <w:rFonts w:ascii="Arial" w:cs="Arial" w:eastAsia="Arial" w:hAnsi="Arial"/>
          <w:sz w:val="17"/>
          <w:szCs w:val="17"/>
          <w:color w:val="auto"/>
        </w:rPr>
        <w:t>,” “</w:t>
      </w:r>
      <w:r>
        <w:rPr>
          <w:rFonts w:ascii="Arial" w:cs="Arial" w:eastAsia="Arial" w:hAnsi="Arial"/>
          <w:sz w:val="17"/>
          <w:szCs w:val="17"/>
          <w:b w:val="1"/>
          <w:bCs w:val="1"/>
          <w:color w:val="auto"/>
        </w:rPr>
        <w:t>WHERE IS</w:t>
      </w:r>
      <w:r>
        <w:rPr>
          <w:rFonts w:ascii="Arial" w:cs="Arial" w:eastAsia="Arial" w:hAnsi="Arial"/>
          <w:sz w:val="17"/>
          <w:szCs w:val="17"/>
          <w:color w:val="auto"/>
        </w:rPr>
        <w:t>” condition and with all faults on the Term Commencement Date, without representations or warranties, express or implied, in fact or by law, of any kind, and without recourse to Landlord.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Landlord’s Work.</w:t>
      </w:r>
    </w:p>
    <w:p>
      <w:pPr>
        <w:spacing w:after="0" w:line="121" w:lineRule="exact"/>
        <w:rPr>
          <w:sz w:val="20"/>
          <w:szCs w:val="20"/>
          <w:color w:val="auto"/>
        </w:rPr>
      </w:pPr>
    </w:p>
    <w:p>
      <w:pPr>
        <w:ind w:firstLine="921"/>
        <w:spacing w:after="0" w:line="257" w:lineRule="auto"/>
        <w:tabs>
          <w:tab w:leader="none" w:pos="115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delays due to governmental regulation, unusual scarcity of or inability to obtain labor or materials, labor difficulties, Casualty or other causes reasonably beyond Landlord’s control (collectively “</w:t>
      </w:r>
      <w:r>
        <w:rPr>
          <w:rFonts w:ascii="Arial" w:cs="Arial" w:eastAsia="Arial" w:hAnsi="Arial"/>
          <w:sz w:val="18"/>
          <w:szCs w:val="18"/>
          <w:b w:val="1"/>
          <w:bCs w:val="1"/>
          <w:u w:val="single" w:color="auto"/>
          <w:color w:val="auto"/>
        </w:rPr>
        <w:t>Landlord’s Force Majeure</w:t>
      </w:r>
      <w:r>
        <w:rPr>
          <w:rFonts w:ascii="Arial" w:cs="Arial" w:eastAsia="Arial" w:hAnsi="Arial"/>
          <w:sz w:val="18"/>
          <w:szCs w:val="18"/>
          <w:color w:val="auto"/>
        </w:rPr>
        <w:t>”) and subject to any Tenant Delay, Landlord, at Landlord’s sole cost and expense, shall perform the work (“</w:t>
      </w:r>
      <w:r>
        <w:rPr>
          <w:rFonts w:ascii="Arial" w:cs="Arial" w:eastAsia="Arial" w:hAnsi="Arial"/>
          <w:sz w:val="18"/>
          <w:szCs w:val="18"/>
          <w:b w:val="1"/>
          <w:bCs w:val="1"/>
          <w:u w:val="single" w:color="auto"/>
          <w:color w:val="auto"/>
        </w:rPr>
        <w:t>Landlord’s Work</w:t>
      </w:r>
      <w:r>
        <w:rPr>
          <w:rFonts w:ascii="Arial" w:cs="Arial" w:eastAsia="Arial" w:hAnsi="Arial"/>
          <w:sz w:val="18"/>
          <w:szCs w:val="18"/>
          <w:color w:val="auto"/>
        </w:rPr>
        <w:t xml:space="preserve">”) in order to prepare the Premises for Tenant’s occupancy in accordance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attached hereto. Landlord shall use diligent efforts to substantially complete Landlord’s Work by the Estimated Term Commencement Date. However, except to the extent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73" w:right="259" w:bottom="1440" w:gutter="0" w:footer="0" w:header="0"/>
        </w:sectPr>
      </w:pPr>
    </w:p>
    <w:bookmarkStart w:id="348" w:name="page349"/>
    <w:bookmarkEnd w:id="348"/>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such failure constitutes a delay in the occurrence of the Term Commencement Date (as provided in the definition of the Term Commencement Date), and, except for Tenant’s remedies set forth in Section 3.3: (i) Tenant’s sole remedies shall be a delay in the Term Commencement Date, (ii) except as expressly set forth in this Lease, Tenant shall have no claim or rights against Landlord, and Landlord shall have no liability or obligation to Tenant in the event of delay in Landlord’s Work, and (iii) no delay in Landlord’s Work shall have any effect on the parties rights or obligations under this Lease.</w:t>
      </w:r>
    </w:p>
    <w:p>
      <w:pPr>
        <w:spacing w:after="0" w:line="258" w:lineRule="exact"/>
        <w:rPr>
          <w:sz w:val="20"/>
          <w:szCs w:val="20"/>
          <w:color w:val="auto"/>
        </w:rPr>
      </w:pPr>
    </w:p>
    <w:p>
      <w:pPr>
        <w:ind w:left="1180" w:hanging="259"/>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881"/>
        <w:spacing w:after="0" w:line="273" w:lineRule="auto"/>
        <w:tabs>
          <w:tab w:leader="none" w:pos="1551" w:val="left"/>
        </w:tabs>
        <w:numPr>
          <w:ilvl w:val="1"/>
          <w:numId w:val="2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Tenant Delay</w:t>
      </w:r>
      <w:r>
        <w:rPr>
          <w:rFonts w:ascii="Arial" w:cs="Arial" w:eastAsia="Arial" w:hAnsi="Arial"/>
          <w:sz w:val="17"/>
          <w:szCs w:val="17"/>
          <w:color w:val="auto"/>
        </w:rPr>
        <w:t>” shall mean any act or omission by Tenant and/or Tenant’s agents, employees or contractors (collectively with Tenant, the “</w:t>
      </w:r>
      <w:r>
        <w:rPr>
          <w:rFonts w:ascii="Arial" w:cs="Arial" w:eastAsia="Arial" w:hAnsi="Arial"/>
          <w:sz w:val="17"/>
          <w:szCs w:val="17"/>
          <w:b w:val="1"/>
          <w:bCs w:val="1"/>
          <w:u w:val="single" w:color="auto"/>
          <w:color w:val="auto"/>
        </w:rPr>
        <w:t>Tenant Parties</w:t>
      </w:r>
      <w:r>
        <w:rPr>
          <w:rFonts w:ascii="Arial" w:cs="Arial" w:eastAsia="Arial" w:hAnsi="Arial"/>
          <w:sz w:val="17"/>
          <w:szCs w:val="17"/>
          <w:color w:val="auto"/>
        </w:rPr>
        <w:t>”) which causes an actual delay in the performance of Landlord’s Work. Notwithstanding the foregoing, except where a Tenant Delay arises from Tenant’s failure timely to act within on or before a date or time period expressly set forth in the Lease (in which event no Tenant Delay Notice shall be required): (x) in no event shall any act or omission be deemed to be a Tenant Delay until and unless Landlord has given Tenant written notice (the “</w:t>
      </w:r>
      <w:r>
        <w:rPr>
          <w:rFonts w:ascii="Arial" w:cs="Arial" w:eastAsia="Arial" w:hAnsi="Arial"/>
          <w:sz w:val="17"/>
          <w:szCs w:val="17"/>
          <w:b w:val="1"/>
          <w:bCs w:val="1"/>
          <w:u w:val="single" w:color="auto"/>
          <w:color w:val="auto"/>
        </w:rPr>
        <w:t>Tenant Delay Notice</w:t>
      </w:r>
      <w:r>
        <w:rPr>
          <w:rFonts w:ascii="Arial" w:cs="Arial" w:eastAsia="Arial" w:hAnsi="Arial"/>
          <w:sz w:val="17"/>
          <w:szCs w:val="17"/>
          <w:color w:val="auto"/>
        </w:rPr>
        <w:t>”) advising Tenant (a) that a Tenant Delay is occurring, and (b) of the basis on which Landlord has determined that a Tenant Delay is occurring, and (y) no period of time prior to the time that Tenant receives a Tenant Delay Notice shall be included in the period of time charged to Tenant pursuant to such Tenant Delay Notice.</w:t>
      </w:r>
    </w:p>
    <w:p>
      <w:pPr>
        <w:spacing w:after="0" w:line="64" w:lineRule="exact"/>
        <w:rPr>
          <w:rFonts w:ascii="Arial" w:cs="Arial" w:eastAsia="Arial" w:hAnsi="Arial"/>
          <w:sz w:val="17"/>
          <w:szCs w:val="17"/>
          <w:color w:val="auto"/>
        </w:rPr>
      </w:pPr>
    </w:p>
    <w:p>
      <w:pPr>
        <w:ind w:left="460" w:right="40" w:firstLine="881"/>
        <w:spacing w:after="0" w:line="269" w:lineRule="auto"/>
        <w:tabs>
          <w:tab w:leader="none" w:pos="1601" w:val="left"/>
        </w:tabs>
        <w:numPr>
          <w:ilvl w:val="1"/>
          <w:numId w:val="2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Substantially complete</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Substantial Completion</w:t>
      </w:r>
      <w:r>
        <w:rPr>
          <w:rFonts w:ascii="Arial" w:cs="Arial" w:eastAsia="Arial" w:hAnsi="Arial"/>
          <w:sz w:val="17"/>
          <w:szCs w:val="17"/>
          <w:color w:val="auto"/>
        </w:rPr>
        <w:t>,” when referring to Landlord’s Work, shall mean that: (1) Landlord’s Work is completed, other than minor work which does not materially affect Tenant’s use of, or access to, the Premises, (2) the Premises (provided that Tenant complies with the restrictions on Tenant’s use of the Mezzanine Premises, as set forth in Section 4.1 hereof) and those portions of the common areas of the Building which affect Tenant’s occupancy are in conformance with all applicable building codes, permits, laws and regulations, including without limitation, ADA, (3) all structural elements and subsystems of the Building, including but not limited to HVAC, mechanical, electrical, lighting, plumbing, and life safety systems, will be in good working condition and repair, (4) Landlord has delivered to Tenant a certificate of substantial completion from Landlord’s architect stating that Landlord’s Work is substantially complete, and (5) such evidence as is customarily provided by the City of Cambridge to evidence its acceptance of Landlord’s Work and Tenant’s right to lawfully occupy the Premises (e.g., sign-offs on the Building permit by all applicable City of Cambridge departments or a certificate of occupancy, which may be a temporary certificate of occupancy) has been provided by the City of Cambridge. No costs incurred by Landlord in satisfying the definition of Substantial Completion shall be included in Operating Costs. Notwithstanding anything to the contrary herein contained, in the event that Landlord’s Work is delayed by reason of any Tenant Delay, then Landlord shall be deemed to have achieved Substantial Completion of Landlord’s Work on the date that Landlord would have achieved Substantial Completion of Landlord’s Work, but for such Tenant Delay.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00"/>
          </w:cols>
          <w:pgMar w:left="240" w:top="274" w:right="259" w:bottom="1440" w:gutter="0" w:footer="0" w:header="0"/>
        </w:sectPr>
      </w:pPr>
    </w:p>
    <w:bookmarkStart w:id="349" w:name="page350"/>
    <w:bookmarkEnd w:id="349"/>
    <w:p>
      <w:pPr>
        <w:ind w:left="460" w:right="20" w:firstLine="881"/>
        <w:spacing w:after="0" w:line="256" w:lineRule="auto"/>
        <w:tabs>
          <w:tab w:leader="none" w:pos="1651" w:val="left"/>
        </w:tabs>
        <w:numPr>
          <w:ilvl w:val="1"/>
          <w:numId w:val="25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Punchlist</w:t>
      </w:r>
      <w:r>
        <w:rPr>
          <w:rFonts w:ascii="Arial" w:cs="Arial" w:eastAsia="Arial" w:hAnsi="Arial"/>
          <w:sz w:val="18"/>
          <w:szCs w:val="18"/>
          <w:color w:val="auto"/>
        </w:rPr>
        <w:t>. Promptly following substantial completion of Landlord’s Work, Landlord shall provide Tenant with a punchlist prepared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architect (the “</w:t>
      </w:r>
      <w:r>
        <w:rPr>
          <w:rFonts w:ascii="Arial" w:cs="Arial" w:eastAsia="Arial" w:hAnsi="Arial"/>
          <w:sz w:val="18"/>
          <w:szCs w:val="18"/>
          <w:b w:val="1"/>
          <w:bCs w:val="1"/>
          <w:u w:val="single" w:color="auto"/>
          <w:color w:val="auto"/>
        </w:rPr>
        <w:t>Punchlist</w:t>
      </w:r>
      <w:r>
        <w:rPr>
          <w:rFonts w:ascii="Arial" w:cs="Arial" w:eastAsia="Arial" w:hAnsi="Arial"/>
          <w:sz w:val="18"/>
          <w:szCs w:val="18"/>
          <w:color w:val="auto"/>
        </w:rPr>
        <w:t>”) incorporating those items jointly identified by Landlord and Tenant during their joint inspection of Landlord’s Work, of outstanding items (the “</w:t>
      </w:r>
      <w:r>
        <w:rPr>
          <w:rFonts w:ascii="Arial" w:cs="Arial" w:eastAsia="Arial" w:hAnsi="Arial"/>
          <w:sz w:val="18"/>
          <w:szCs w:val="18"/>
          <w:b w:val="1"/>
          <w:bCs w:val="1"/>
          <w:u w:val="single" w:color="auto"/>
          <w:color w:val="auto"/>
        </w:rPr>
        <w:t>Punchlist Items</w:t>
      </w:r>
      <w:r>
        <w:rPr>
          <w:rFonts w:ascii="Arial" w:cs="Arial" w:eastAsia="Arial" w:hAnsi="Arial"/>
          <w:sz w:val="18"/>
          <w:szCs w:val="18"/>
          <w:color w:val="auto"/>
        </w:rPr>
        <w:t>”). Promptly after substantial completion of Landlord’s Work, Landlord and Tenant shall jointly inspect the Premises. Subject to Landlord’s Force Majeure and Tenant Delays, Landlord shall complete all Punchlist Items within thirty (30) days of the date of the Punchlist (other than seasonal items, such as landscaping, requiring a longer period), provided that Tenant reasonably cooperates in connection with the completion of such Punchlist Items.</w:t>
      </w:r>
    </w:p>
    <w:p>
      <w:pPr>
        <w:spacing w:after="0" w:line="187" w:lineRule="exact"/>
        <w:rPr>
          <w:rFonts w:ascii="Arial" w:cs="Arial" w:eastAsia="Arial" w:hAnsi="Arial"/>
          <w:sz w:val="18"/>
          <w:szCs w:val="18"/>
          <w:color w:val="auto"/>
        </w:rPr>
      </w:pPr>
    </w:p>
    <w:p>
      <w:pPr>
        <w:ind w:firstLine="921"/>
        <w:spacing w:after="0" w:line="286" w:lineRule="auto"/>
        <w:tabs>
          <w:tab w:leader="none" w:pos="1157" w:val="left"/>
        </w:tabs>
        <w:numPr>
          <w:ilvl w:val="0"/>
          <w:numId w:val="256"/>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Warranty Regarding Quality of Landlord’s Work</w:t>
      </w:r>
      <w:r>
        <w:rPr>
          <w:rFonts w:ascii="Arial" w:cs="Arial" w:eastAsia="Arial" w:hAnsi="Arial"/>
          <w:sz w:val="16"/>
          <w:szCs w:val="16"/>
          <w:color w:val="auto"/>
        </w:rPr>
        <w:t>. Subject to the terms of this Section 3.2(c), Landlord warrants that: (i) the materials and</w:t>
      </w:r>
      <w:r>
        <w:rPr>
          <w:rFonts w:ascii="Arial" w:cs="Arial" w:eastAsia="Arial" w:hAnsi="Arial"/>
          <w:sz w:val="16"/>
          <w:szCs w:val="16"/>
          <w:b w:val="1"/>
          <w:bCs w:val="1"/>
          <w:color w:val="auto"/>
        </w:rPr>
        <w:t xml:space="preserve"> </w:t>
      </w:r>
      <w:r>
        <w:rPr>
          <w:rFonts w:ascii="Arial" w:cs="Arial" w:eastAsia="Arial" w:hAnsi="Arial"/>
          <w:sz w:val="16"/>
          <w:szCs w:val="16"/>
          <w:color w:val="auto"/>
        </w:rPr>
        <w:t>workmanship comprising Landlord’s Work will comply with Legal Requirements (provided that Tenant complies with the restrictions on Tenant’s use of the Mezzanine Premises, as set forth in Section 4.1 hereof), and (ii) (ii) the materials and workmanship comprising Landlord’s Work be free from defects or deficiencies, and (iii) the HVAC system serving the Premises (“</w:t>
      </w:r>
      <w:r>
        <w:rPr>
          <w:rFonts w:ascii="Arial" w:cs="Arial" w:eastAsia="Arial" w:hAnsi="Arial"/>
          <w:sz w:val="16"/>
          <w:szCs w:val="16"/>
          <w:b w:val="1"/>
          <w:bCs w:val="1"/>
          <w:u w:val="single" w:color="auto"/>
          <w:color w:val="auto"/>
        </w:rPr>
        <w:t>Premises HVAC System</w:t>
      </w:r>
      <w:r>
        <w:rPr>
          <w:rFonts w:ascii="Arial" w:cs="Arial" w:eastAsia="Arial" w:hAnsi="Arial"/>
          <w:sz w:val="16"/>
          <w:szCs w:val="16"/>
          <w:color w:val="auto"/>
        </w:rPr>
        <w:t>”) will comply with Legal Requirements and be free from defects or deficiencies (“</w:t>
      </w:r>
      <w:r>
        <w:rPr>
          <w:rFonts w:ascii="Arial" w:cs="Arial" w:eastAsia="Arial" w:hAnsi="Arial"/>
          <w:sz w:val="16"/>
          <w:szCs w:val="16"/>
          <w:b w:val="1"/>
          <w:bCs w:val="1"/>
          <w:u w:val="single" w:color="auto"/>
          <w:color w:val="auto"/>
        </w:rPr>
        <w:t>Warranty Regarding Landlord’s Work</w:t>
      </w:r>
      <w:r>
        <w:rPr>
          <w:rFonts w:ascii="Arial" w:cs="Arial" w:eastAsia="Arial" w:hAnsi="Arial"/>
          <w:sz w:val="16"/>
          <w:szCs w:val="16"/>
          <w:color w:val="auto"/>
        </w:rPr>
        <w:t>”). Any portion of Landlord’s Work or the Premises HVAC System not conforming to the previous sentence may be considered defective. The Warranty Regarding Landlord’s Work excludes remedy for damage caused by abuse by any of the Tenant Parties or modifications not made by Landlord or any Landlord Parties or improper or insufficient maintenance by Tenant, it being understood and agreed that normal wear and tear and normal usage are not deemed defects or deficiencies. Landlord agrees that it shall, without cost to Tenant, correct any portion of Landlord’s Work which is found to be defective promptly following the date that Tenant gives Landlord written notice (a “</w:t>
      </w:r>
      <w:r>
        <w:rPr>
          <w:rFonts w:ascii="Arial" w:cs="Arial" w:eastAsia="Arial" w:hAnsi="Arial"/>
          <w:sz w:val="16"/>
          <w:szCs w:val="16"/>
          <w:b w:val="1"/>
          <w:bCs w:val="1"/>
          <w:u w:val="single" w:color="auto"/>
          <w:color w:val="auto"/>
        </w:rPr>
        <w:t>Defect Notice</w:t>
      </w:r>
      <w:r>
        <w:rPr>
          <w:rFonts w:ascii="Arial" w:cs="Arial" w:eastAsia="Arial" w:hAnsi="Arial"/>
          <w:sz w:val="16"/>
          <w:szCs w:val="16"/>
          <w:color w:val="auto"/>
        </w:rPr>
        <w:t>”) of such defective condition, provided that the Defect Notice is delivered to Landlord on or before the date (the “</w:t>
      </w:r>
      <w:r>
        <w:rPr>
          <w:rFonts w:ascii="Arial" w:cs="Arial" w:eastAsia="Arial" w:hAnsi="Arial"/>
          <w:sz w:val="16"/>
          <w:szCs w:val="16"/>
          <w:b w:val="1"/>
          <w:bCs w:val="1"/>
          <w:u w:val="single" w:color="auto"/>
          <w:color w:val="auto"/>
        </w:rPr>
        <w:t>Warranty Expiration Date</w:t>
      </w:r>
      <w:r>
        <w:rPr>
          <w:rFonts w:ascii="Arial" w:cs="Arial" w:eastAsia="Arial" w:hAnsi="Arial"/>
          <w:sz w:val="16"/>
          <w:szCs w:val="16"/>
          <w:color w:val="auto"/>
        </w:rPr>
        <w:t xml:space="preserve">”) that is three hundred sixty (360) days following the substantial completion of the applicable phase of Landlord’s Work, </w:t>
      </w:r>
      <w:r>
        <w:rPr>
          <w:rFonts w:ascii="Arial" w:cs="Arial" w:eastAsia="Arial" w:hAnsi="Arial"/>
          <w:sz w:val="16"/>
          <w:szCs w:val="16"/>
          <w:i w:val="1"/>
          <w:iCs w:val="1"/>
          <w:color w:val="auto"/>
        </w:rPr>
        <w:t>time being of the essence</w:t>
      </w:r>
      <w:r>
        <w:rPr>
          <w:rFonts w:ascii="Arial" w:cs="Arial" w:eastAsia="Arial" w:hAnsi="Arial"/>
          <w:sz w:val="16"/>
          <w:szCs w:val="16"/>
          <w:color w:val="auto"/>
        </w:rPr>
        <w:t>, it being understood and agreed that there shall be a separate Warranty Expiration Date for each phase of Landlord’s Work. The cost of repairing such defective work shall not be included in Operating Costs. Landlord’s obligations under this Section 3.2(c) shall expire on the Warranty Expiration Date and be of no further force and effect except with respect to any defects or deficiencies in Landlord’s Work disclosed in any Defect Notice delivered before the Warranty Expiration Date. In addition to and notwithstanding the foregoing, Landlord hereby agrees to use reasonable efforts to enforce its warranties against any contractor performing any portion of Landlord’s Work.</w:t>
      </w:r>
    </w:p>
    <w:p>
      <w:pPr>
        <w:spacing w:after="0" w:line="168" w:lineRule="exact"/>
        <w:rPr>
          <w:rFonts w:ascii="Arial" w:cs="Arial" w:eastAsia="Arial" w:hAnsi="Arial"/>
          <w:sz w:val="16"/>
          <w:szCs w:val="16"/>
          <w:color w:val="auto"/>
        </w:rPr>
      </w:pPr>
    </w:p>
    <w:p>
      <w:pPr>
        <w:ind w:right="180" w:firstLine="921"/>
        <w:spacing w:after="0" w:line="266" w:lineRule="auto"/>
        <w:tabs>
          <w:tab w:leader="none" w:pos="1168"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Sole Remedies</w:t>
      </w:r>
      <w:r>
        <w:rPr>
          <w:rFonts w:ascii="Arial" w:cs="Arial" w:eastAsia="Arial" w:hAnsi="Arial"/>
          <w:sz w:val="18"/>
          <w:szCs w:val="18"/>
          <w:color w:val="auto"/>
        </w:rPr>
        <w:t>. The remedies set forth under Section 3.2(c) above set forth Tenant’s sole remedies, both at law and in equity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breach of the Warranty Regarding Landlord’s Work; provided however, that nothing in Section 3.2 shall be deemed to limit Landlord’s obligations for maintenance and repair in accordance with Section 10.2 of the Lease.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0" w:right="239" w:bottom="1440" w:gutter="0" w:footer="0" w:header="0"/>
        </w:sectPr>
      </w:pPr>
    </w:p>
    <w:bookmarkStart w:id="350" w:name="page351"/>
    <w:bookmarkEnd w:id="35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 Tenant’s Remedies in the Event of Delays in Term Commencement Date.</w:t>
      </w:r>
    </w:p>
    <w:p>
      <w:pPr>
        <w:spacing w:after="0" w:line="121" w:lineRule="exact"/>
        <w:rPr>
          <w:sz w:val="20"/>
          <w:szCs w:val="20"/>
          <w:color w:val="auto"/>
        </w:rPr>
      </w:pPr>
    </w:p>
    <w:p>
      <w:pPr>
        <w:ind w:left="1160" w:hanging="239"/>
        <w:spacing w:after="0"/>
        <w:tabs>
          <w:tab w:leader="none" w:pos="1160"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Rent Credit in Connection with a Delay in Term Commencement Date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40" w:firstLine="881"/>
        <w:spacing w:after="0" w:line="259" w:lineRule="auto"/>
        <w:tabs>
          <w:tab w:leader="none" w:pos="1551" w:val="left"/>
        </w:tabs>
        <w:numPr>
          <w:ilvl w:val="2"/>
          <w:numId w:val="257"/>
        </w:numPr>
        <w:rPr>
          <w:rFonts w:ascii="Arial" w:cs="Arial" w:eastAsia="Arial" w:hAnsi="Arial"/>
          <w:sz w:val="18"/>
          <w:szCs w:val="18"/>
          <w:color w:val="auto"/>
        </w:rPr>
      </w:pPr>
      <w:r>
        <w:rPr>
          <w:rFonts w:ascii="Arial" w:cs="Arial" w:eastAsia="Arial" w:hAnsi="Arial"/>
          <w:sz w:val="18"/>
          <w:szCs w:val="18"/>
          <w:i w:val="1"/>
          <w:iCs w:val="1"/>
          <w:u w:val="single" w:color="auto"/>
          <w:color w:val="auto"/>
        </w:rPr>
        <w:t>Initial Rent Credit Date</w:t>
      </w:r>
      <w:r>
        <w:rPr>
          <w:rFonts w:ascii="Arial" w:cs="Arial" w:eastAsia="Arial" w:hAnsi="Arial"/>
          <w:sz w:val="18"/>
          <w:szCs w:val="18"/>
          <w:color w:val="auto"/>
        </w:rPr>
        <w:t>. If the Term Commencement Date occurs between the Initial Rent Credit Date (defined below) and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Rent Credit Date (defined below), inclusive, then Tenant shall be entitled to a credit against Tenant’s obligation to pay Base Rent following the Term Commencement Date equal to one (1) day of Base Rent for each day between the Initial Rent Credit Date and the date of Substantial Completion of Landlord’s Work.</w:t>
      </w:r>
    </w:p>
    <w:p>
      <w:pPr>
        <w:spacing w:after="0" w:line="78" w:lineRule="exact"/>
        <w:rPr>
          <w:rFonts w:ascii="Arial" w:cs="Arial" w:eastAsia="Arial" w:hAnsi="Arial"/>
          <w:sz w:val="18"/>
          <w:szCs w:val="18"/>
          <w:color w:val="auto"/>
        </w:rPr>
      </w:pPr>
    </w:p>
    <w:p>
      <w:pPr>
        <w:ind w:left="460" w:right="40" w:firstLine="881"/>
        <w:spacing w:after="0" w:line="291" w:lineRule="auto"/>
        <w:tabs>
          <w:tab w:leader="none" w:pos="1601" w:val="left"/>
        </w:tabs>
        <w:numPr>
          <w:ilvl w:val="2"/>
          <w:numId w:val="257"/>
        </w:numPr>
        <w:rPr>
          <w:rFonts w:ascii="Arial" w:cs="Arial" w:eastAsia="Arial" w:hAnsi="Arial"/>
          <w:sz w:val="16"/>
          <w:szCs w:val="16"/>
          <w:color w:val="auto"/>
        </w:rPr>
      </w:pPr>
      <w:r>
        <w:rPr>
          <w:rFonts w:ascii="Arial" w:cs="Arial" w:eastAsia="Arial" w:hAnsi="Arial"/>
          <w:sz w:val="16"/>
          <w:szCs w:val="16"/>
          <w:i w:val="1"/>
          <w:iCs w:val="1"/>
          <w:u w:val="single" w:color="auto"/>
          <w:color w:val="auto"/>
        </w:rPr>
        <w:t>Second Rent Credit Date</w:t>
      </w:r>
      <w:r>
        <w:rPr>
          <w:rFonts w:ascii="Arial" w:cs="Arial" w:eastAsia="Arial" w:hAnsi="Arial"/>
          <w:sz w:val="16"/>
          <w:szCs w:val="16"/>
          <w:color w:val="auto"/>
        </w:rPr>
        <w:t>. If the date of Substantial Completion of Landlord’s Work occurs after the Second Rent Credit Date, then</w:t>
      </w:r>
      <w:r>
        <w:rPr>
          <w:rFonts w:ascii="Arial" w:cs="Arial" w:eastAsia="Arial" w:hAnsi="Arial"/>
          <w:sz w:val="16"/>
          <w:szCs w:val="16"/>
          <w:i w:val="1"/>
          <w:iCs w:val="1"/>
          <w:color w:val="auto"/>
        </w:rPr>
        <w:t xml:space="preserve"> </w:t>
      </w:r>
      <w:r>
        <w:rPr>
          <w:rFonts w:ascii="Arial" w:cs="Arial" w:eastAsia="Arial" w:hAnsi="Arial"/>
          <w:sz w:val="16"/>
          <w:szCs w:val="16"/>
          <w:color w:val="auto"/>
        </w:rPr>
        <w:t>Tenant shall be entitled to a credit against Tenant’s obligation to pay Base Rent following the Term Commencement Date equal to the sum of: (x) thirty</w:t>
      </w:r>
    </w:p>
    <w:p>
      <w:pPr>
        <w:ind w:left="460" w:right="240" w:firstLine="4"/>
        <w:spacing w:after="0" w:line="261" w:lineRule="auto"/>
        <w:tabs>
          <w:tab w:leader="none" w:pos="80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days of Base Rent, plus (y) two days of Base Rent for each day between the Second Rent Credit Date and the date of Substantial Completion of Landlord’s Work.</w:t>
      </w:r>
    </w:p>
    <w:p>
      <w:pPr>
        <w:spacing w:after="0" w:line="71" w:lineRule="exact"/>
        <w:rPr>
          <w:rFonts w:ascii="Arial" w:cs="Arial" w:eastAsia="Arial" w:hAnsi="Arial"/>
          <w:sz w:val="18"/>
          <w:szCs w:val="18"/>
          <w:color w:val="auto"/>
        </w:rPr>
      </w:pPr>
    </w:p>
    <w:p>
      <w:pPr>
        <w:ind w:left="460" w:firstLine="881"/>
        <w:spacing w:after="0" w:line="256" w:lineRule="auto"/>
        <w:tabs>
          <w:tab w:leader="none" w:pos="1651" w:val="left"/>
        </w:tabs>
        <w:numPr>
          <w:ilvl w:val="2"/>
          <w:numId w:val="258"/>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 The “</w:t>
      </w:r>
      <w:r>
        <w:rPr>
          <w:rFonts w:ascii="Arial" w:cs="Arial" w:eastAsia="Arial" w:hAnsi="Arial"/>
          <w:sz w:val="18"/>
          <w:szCs w:val="18"/>
          <w:b w:val="1"/>
          <w:bCs w:val="1"/>
          <w:color w:val="auto"/>
        </w:rPr>
        <w:t>Initial Rent Credit Date</w:t>
      </w:r>
      <w:r>
        <w:rPr>
          <w:rFonts w:ascii="Arial" w:cs="Arial" w:eastAsia="Arial" w:hAnsi="Arial"/>
          <w:sz w:val="18"/>
          <w:szCs w:val="18"/>
          <w:color w:val="auto"/>
        </w:rPr>
        <w:t>” shall mean the date thirty (30) days after the Estimated Term Commencement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the Initial Rent Credit Date shall be extended by the lesser of: (x) ninety (90) days, or (y) the length of any delays in Landlord’s Work arising from delay by Landlord’s Force Majeure (as defined in Section 3.2) occurring prior to the Initial Rent Credit Date. The “</w:t>
      </w:r>
      <w:r>
        <w:rPr>
          <w:rFonts w:ascii="Arial" w:cs="Arial" w:eastAsia="Arial" w:hAnsi="Arial"/>
          <w:sz w:val="18"/>
          <w:szCs w:val="18"/>
          <w:b w:val="1"/>
          <w:bCs w:val="1"/>
          <w:color w:val="auto"/>
        </w:rPr>
        <w:t>Second Rent</w:t>
      </w:r>
      <w:r>
        <w:rPr>
          <w:rFonts w:ascii="Arial" w:cs="Arial" w:eastAsia="Arial" w:hAnsi="Arial"/>
          <w:sz w:val="18"/>
          <w:szCs w:val="18"/>
          <w:color w:val="auto"/>
        </w:rPr>
        <w:t xml:space="preserve"> </w:t>
      </w:r>
      <w:r>
        <w:rPr>
          <w:rFonts w:ascii="Arial" w:cs="Arial" w:eastAsia="Arial" w:hAnsi="Arial"/>
          <w:sz w:val="18"/>
          <w:szCs w:val="18"/>
          <w:b w:val="1"/>
          <w:bCs w:val="1"/>
          <w:color w:val="auto"/>
        </w:rPr>
        <w:t>Credit Date</w:t>
      </w:r>
      <w:r>
        <w:rPr>
          <w:rFonts w:ascii="Arial" w:cs="Arial" w:eastAsia="Arial" w:hAnsi="Arial"/>
          <w:sz w:val="18"/>
          <w:szCs w:val="18"/>
          <w:color w:val="auto"/>
        </w:rPr>
        <w:t>” shall mean sixty (60) days after the Estimated Term Commencement Date, provided, however, that the Second Rent Credit Date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by the lesser of: (x) ninety (90) days, or (y) the length of any delays in Landlord Work arising from delay by Landlord’s Force Majeure (as defined in Section 3.2) occurring prior to the Second Rent Credit Date.</w:t>
      </w:r>
    </w:p>
    <w:p>
      <w:pPr>
        <w:spacing w:after="0" w:line="191" w:lineRule="exact"/>
        <w:rPr>
          <w:rFonts w:ascii="Arial" w:cs="Arial" w:eastAsia="Arial" w:hAnsi="Arial"/>
          <w:sz w:val="18"/>
          <w:szCs w:val="18"/>
          <w:color w:val="auto"/>
        </w:rPr>
      </w:pPr>
    </w:p>
    <w:p>
      <w:pPr>
        <w:ind w:right="20" w:firstLine="921"/>
        <w:spacing w:after="0" w:line="288" w:lineRule="auto"/>
        <w:tabs>
          <w:tab w:leader="none" w:pos="1168" w:val="left"/>
        </w:tabs>
        <w:numPr>
          <w:ilvl w:val="1"/>
          <w:numId w:val="258"/>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Right</w:t>
      </w:r>
      <w:r>
        <w:rPr>
          <w:rFonts w:ascii="Arial" w:cs="Arial" w:eastAsia="Arial" w:hAnsi="Arial"/>
          <w:sz w:val="16"/>
          <w:szCs w:val="16"/>
          <w:color w:val="auto"/>
        </w:rPr>
        <w:t>. If the Term Commencement Date has not occurred on or before the Outside Termination Date, as hereinafter defined, then</w:t>
      </w:r>
      <w:r>
        <w:rPr>
          <w:rFonts w:ascii="Arial" w:cs="Arial" w:eastAsia="Arial" w:hAnsi="Arial"/>
          <w:sz w:val="16"/>
          <w:szCs w:val="16"/>
          <w:i w:val="1"/>
          <w:iCs w:val="1"/>
          <w:color w:val="auto"/>
        </w:rPr>
        <w:t xml:space="preserve"> </w:t>
      </w:r>
      <w:r>
        <w:rPr>
          <w:rFonts w:ascii="Arial" w:cs="Arial" w:eastAsia="Arial" w:hAnsi="Arial"/>
          <w:sz w:val="16"/>
          <w:szCs w:val="16"/>
          <w:color w:val="auto"/>
        </w:rPr>
        <w:t>Tenant shall have the right to terminate the Lease, which shall be exercisable by a written thirty (30) day termination notice given on or after the Outside Termination Date but before the date that the Term Commencement Date occurs,. If the Term Commencement Date occurs on or before the thirtieth</w:t>
      </w: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(30th) day after Landlord receives such termination notice, Tenant’s termination notice shall be deemed to be void and of no force or effect. If the Term Commencement Date does not occur on or before such thirtieth (30th) day, this Lease shall terminate and shall be of no further force or effect, and, except for provisions of the lease which are intended to survive termination of the Lease (e.g. indemnification provisions), neither party shall have any further obligation to the other party. For the purposes hereof, the “</w:t>
      </w:r>
      <w:r>
        <w:rPr>
          <w:rFonts w:ascii="Arial" w:cs="Arial" w:eastAsia="Arial" w:hAnsi="Arial"/>
          <w:sz w:val="18"/>
          <w:szCs w:val="18"/>
          <w:b w:val="1"/>
          <w:bCs w:val="1"/>
          <w:color w:val="auto"/>
        </w:rPr>
        <w:t>Outside Termination Date</w:t>
      </w:r>
      <w:r>
        <w:rPr>
          <w:rFonts w:ascii="Arial" w:cs="Arial" w:eastAsia="Arial" w:hAnsi="Arial"/>
          <w:sz w:val="18"/>
          <w:szCs w:val="18"/>
          <w:color w:val="auto"/>
        </w:rPr>
        <w:t>” shall be defined as four (4) months after the Estimated Term Commencement Date, provided however, that the Outside Date shall be extended by the lesser of: (x) ninety (90) days, or (y) the length of any delays in Landlord Work arising from delay by Landlord’s Force Majeure (as defined in Section 3.2).</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Financing Milestone.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 For the purposes hereof:</w:t>
      </w:r>
    </w:p>
    <w:p>
      <w:pPr>
        <w:spacing w:after="0" w:line="221" w:lineRule="exact"/>
        <w:rPr>
          <w:sz w:val="20"/>
          <w:szCs w:val="20"/>
          <w:color w:val="auto"/>
        </w:rPr>
      </w:pPr>
    </w:p>
    <w:p>
      <w:pPr>
        <w:ind w:right="380" w:firstLine="921"/>
        <w:spacing w:after="0" w:line="282" w:lineRule="auto"/>
        <w:tabs>
          <w:tab w:leader="none" w:pos="1168"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Financing Milestone</w:t>
      </w:r>
      <w:r>
        <w:rPr>
          <w:rFonts w:ascii="Arial" w:cs="Arial" w:eastAsia="Arial" w:hAnsi="Arial"/>
          <w:sz w:val="18"/>
          <w:szCs w:val="18"/>
          <w:color w:val="auto"/>
        </w:rPr>
        <w:t>. Landlord shall deemed to have achieved the “</w:t>
      </w:r>
      <w:r>
        <w:rPr>
          <w:rFonts w:ascii="Arial" w:cs="Arial" w:eastAsia="Arial" w:hAnsi="Arial"/>
          <w:sz w:val="18"/>
          <w:szCs w:val="18"/>
          <w:b w:val="1"/>
          <w:bCs w:val="1"/>
          <w:color w:val="auto"/>
        </w:rPr>
        <w:t>Financing Milestone</w:t>
      </w:r>
      <w:r>
        <w:rPr>
          <w:rFonts w:ascii="Arial" w:cs="Arial" w:eastAsia="Arial" w:hAnsi="Arial"/>
          <w:sz w:val="18"/>
          <w:szCs w:val="18"/>
          <w:color w:val="auto"/>
        </w:rPr>
        <w:t>” if Landlord closes a first mortgage loan in the amount of at least twelve ($12,000,000.00) Dollars.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70" w:right="259" w:bottom="1440" w:gutter="0" w:footer="0" w:header="0"/>
        </w:sectPr>
      </w:pPr>
    </w:p>
    <w:bookmarkStart w:id="351" w:name="page352"/>
    <w:bookmarkEnd w:id="3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 </w:t>
      </w:r>
      <w:r>
        <w:rPr>
          <w:rFonts w:ascii="Arial" w:cs="Arial" w:eastAsia="Arial" w:hAnsi="Arial"/>
          <w:sz w:val="18"/>
          <w:szCs w:val="18"/>
          <w:u w:val="single" w:color="auto"/>
          <w:color w:val="auto"/>
        </w:rPr>
        <w:t>Outside Financing Date</w:t>
      </w:r>
      <w:r>
        <w:rPr>
          <w:rFonts w:ascii="Arial" w:cs="Arial" w:eastAsia="Arial" w:hAnsi="Arial"/>
          <w:sz w:val="18"/>
          <w:szCs w:val="18"/>
          <w:color w:val="auto"/>
        </w:rPr>
        <w:t>. The “</w:t>
      </w:r>
      <w:r>
        <w:rPr>
          <w:rFonts w:ascii="Arial" w:cs="Arial" w:eastAsia="Arial" w:hAnsi="Arial"/>
          <w:sz w:val="18"/>
          <w:szCs w:val="18"/>
          <w:b w:val="1"/>
          <w:bCs w:val="1"/>
          <w:color w:val="auto"/>
        </w:rPr>
        <w:t>Outside Financing Date</w:t>
      </w:r>
      <w:r>
        <w:rPr>
          <w:rFonts w:ascii="Arial" w:cs="Arial" w:eastAsia="Arial" w:hAnsi="Arial"/>
          <w:sz w:val="18"/>
          <w:szCs w:val="18"/>
          <w:color w:val="auto"/>
        </w:rPr>
        <w:t>” is the date fifty (50) days after the Execution Date.</w:t>
      </w:r>
    </w:p>
    <w:p>
      <w:pPr>
        <w:spacing w:after="0" w:line="229" w:lineRule="exact"/>
        <w:rPr>
          <w:sz w:val="20"/>
          <w:szCs w:val="20"/>
          <w:color w:val="auto"/>
        </w:rPr>
      </w:pPr>
    </w:p>
    <w:p>
      <w:pPr>
        <w:ind w:right="80" w:firstLine="921"/>
        <w:spacing w:after="0" w:line="291" w:lineRule="auto"/>
        <w:tabs>
          <w:tab w:leader="none" w:pos="115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If Landlord does not achieve the Financing Milestone on or before the Outside Financing Date, then Tenant shall have the right, after the Outside Financing Date but on or before the date thirty (30) days after the Outside Financing Date, to give written notice to Landlord (“</w:t>
      </w:r>
      <w:r>
        <w:rPr>
          <w:rFonts w:ascii="Arial" w:cs="Arial" w:eastAsia="Arial" w:hAnsi="Arial"/>
          <w:sz w:val="16"/>
          <w:szCs w:val="16"/>
          <w:b w:val="1"/>
          <w:bCs w:val="1"/>
          <w:color w:val="auto"/>
        </w:rPr>
        <w:t>Financing</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Notice</w:t>
      </w:r>
      <w:r>
        <w:rPr>
          <w:rFonts w:ascii="Arial" w:cs="Arial" w:eastAsia="Arial" w:hAnsi="Arial"/>
          <w:sz w:val="16"/>
          <w:szCs w:val="16"/>
          <w:color w:val="auto"/>
        </w:rPr>
        <w:t>”) terminating the Lease. If the Financing Milestone is not achieved on or before the date ten (10) days after Landlord receives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Termination Notice, then Landlord shall promptly return the Letter of Credit to Tenant, this Lease shall terminate, and, except for provisions of the lease which are intended to survive termination of the Lease (e.g. indemnification provisions), neither party shall have any further obligation to the other party. If the Financing Milestone occurs on or before the date ten (10) days after Landlord receives the Financing Termination Notice, then the Financing Termination Notice shall be void and without force or effect, and Tenant shall have no right to terminate the Lease pursuant to this Section 3.4.</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3.5 Tenant’s Early Access.</w:t>
      </w:r>
    </w:p>
    <w:p>
      <w:pPr>
        <w:spacing w:after="0" w:line="12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Except as otherwise provided in this Section 3.5, Tenant shall not be permitted to take possession of or enter the Premises prior to the Term Commencement Date without Landlord’s permission. If Tenant takes possession of or enters the Premises before the Term Commencement Date, Tenant shall be subject to the terms and conditions of this Lease; provided, however, except for the cost of services requested by Tenant (e.g., after hours HVAC service), Tenant shall not be required to pay Rent for any entry or possession before the Term Commencement Date during which Tenant, with Landlord’s approval, has entered, or is in possession of, the Premises for the sole purpose of performing improvements or installing furniture, equipment or other personal property. Landlord hereby agrees that Tenant has the right to enter the Premises fifteen (15) days prior to the Term Commencement Date, during normal business hours and without payment of Annual Base Rent, Tenant’s Share of Operating Costs, or Tenant’s Share of Taxes, to install its phone, data, and furniture systems in compliance with the terms of this Lease. Tenant shall perform any such work in such a manner as not to interfere, in other than a de minimus manner, with or delay the completion of the Landlord Work (defined in </w:t>
      </w:r>
      <w:r>
        <w:rPr>
          <w:rFonts w:ascii="Arial" w:cs="Arial" w:eastAsia="Arial" w:hAnsi="Arial"/>
          <w:sz w:val="16"/>
          <w:szCs w:val="16"/>
          <w:b w:val="1"/>
          <w:bCs w:val="1"/>
          <w:color w:val="auto"/>
        </w:rPr>
        <w:t>Exhibit C</w:t>
      </w:r>
      <w:r>
        <w:rPr>
          <w:rFonts w:ascii="Arial" w:cs="Arial" w:eastAsia="Arial" w:hAnsi="Arial"/>
          <w:sz w:val="16"/>
          <w:szCs w:val="16"/>
          <w:color w:val="auto"/>
        </w:rPr>
        <w:t>). Any such interference or delay shall constitute a Tenant Delay. Such right of entry shall be deemed a license from Landlord to Tenant, and any entry thereunder shall be at the risk of Tenant.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USE OF PREMISES</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4.1 Permitted Uses</w:t>
      </w:r>
      <w:r>
        <w:rPr>
          <w:rFonts w:ascii="Arial" w:cs="Arial" w:eastAsia="Arial" w:hAnsi="Arial"/>
          <w:sz w:val="18"/>
          <w:szCs w:val="18"/>
          <w:color w:val="auto"/>
        </w:rPr>
        <w:t>. During the Term, Tenant shall use the Premises only for the Permitted Uses and for no other purposes. Service and utility areas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a part of the Premises) shall be used only for the particular purpose for which they are designed. Tenant shall keep the Premises equipped with appropriate safety appliances to the extent required by applicable laws or insurance requirements. Tenant acknowledges that the Mezzanine Premises will only be accessible by staircase. Therefore, Tenant covenants and agrees that it will not use the Mezzanine Premises for any use which would cause the Mezzanine Premises to be in violation of the Americans with Disabilities Act or any other law, ordinance or regulation controlling or relating to access to the Mezzanine Premises.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0" w:right="239" w:bottom="1440" w:gutter="0" w:footer="0" w:header="0"/>
        </w:sectPr>
      </w:pPr>
    </w:p>
    <w:bookmarkStart w:id="352" w:name="page353"/>
    <w:bookmarkEnd w:id="35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 Prohibited Uses.</w:t>
      </w:r>
    </w:p>
    <w:p>
      <w:pPr>
        <w:spacing w:after="0" w:line="121" w:lineRule="exact"/>
        <w:rPr>
          <w:sz w:val="20"/>
          <w:szCs w:val="20"/>
          <w:color w:val="auto"/>
        </w:rPr>
      </w:pPr>
    </w:p>
    <w:p>
      <w:pPr>
        <w:ind w:firstLine="921"/>
        <w:spacing w:after="0" w:line="286" w:lineRule="auto"/>
        <w:tabs>
          <w:tab w:leader="none" w:pos="115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Notwithstanding any other provision of this Lease, Tenant shall not use the Premises or the Building, or any part thereof, or suffer or permit the use or occupancy of the Premises or the Building or any part thereof by any of the Tenant Parties (i) in a manner which would violate any of the covenants, agreements, terms, provisions and conditions of this Lease; (ii) for any unlawful purposes or in any unlawful manner; (iii) which, in the reasonable judgment of Landlord (taking into account the use of the Building as a combination laboratory, research and development and office building and the Permitted Uses) shall (a) materially impair the appearance or reputation of the Building; (b) materially impair, interfere with or otherwise diminish the quality of any of the Building services or the proper and economic heating, cleaning, ventilating, air conditioning or other servicing of the Building or Premises, or the use or occupancy of any of the Common Areas; (c) occasion material discomfort, inconvenience or annoyance in any material respect (and Tenant shall not install or use any electrical or other equipment of any kind which, in the reasonable judgment of Landlord, will cause any such impairment, interference, discomfort, inconvenience, annoyance or injury), or cause any injury or damage to any occupants of the Premises or other tenants or occupants of the Building or their property; or (d) cause harmful air emissions, laboratory odors or noises or any unusual or other objectionable odors, noises or emissions to emanate from the Premises; (iv) in a manner which is inconsistent with the operation and/or maintenance of the Building as a first-class combination office, research, development and laboratory facility; (v) for any fermentation processes whatsoever; or (vi) in a manner which shall increase such insurance rates on the Building or on property located therein over that applicable when Tenant first took occupancy of the Premises hereunder.</w:t>
      </w:r>
    </w:p>
    <w:p>
      <w:pPr>
        <w:spacing w:after="0" w:line="174" w:lineRule="exact"/>
        <w:rPr>
          <w:rFonts w:ascii="Arial" w:cs="Arial" w:eastAsia="Arial" w:hAnsi="Arial"/>
          <w:sz w:val="16"/>
          <w:szCs w:val="16"/>
          <w:color w:val="auto"/>
        </w:rPr>
      </w:pPr>
    </w:p>
    <w:p>
      <w:pPr>
        <w:ind w:right="80" w:firstLine="921"/>
        <w:spacing w:after="0" w:line="270" w:lineRule="auto"/>
        <w:tabs>
          <w:tab w:leader="none" w:pos="116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With respect to the use and occupancy of the Premises and the Common Areas, Tenant will not: (i) place or maintain any signage (except as set forth in Section 12.2 below), trash, refuse or other articles in any vestibule or entry of the Premises, on the footwalks or corridors adjacent thereto or elsewhere on the exterior of the Premises, nor obstruct any driveway, corridor, footwalk, parking area, mall or any other Common Areas; (ii) permit undue accumulations of or burn garbage, trash, rubbish or other refuse within or without the Premises; (iii) permit the parking of vehicles so as to interfere with: (x) the ability of others, entitled thereto, to park in the common parking areas, or (y) the use of any driveway, corridor, footwalk, or other Common Areas; (iv) receive or ship articles of any kind outside of those areas reasonably designated by Landlord; (v) conduct or permit to be conducted any auction, going out of business sale, bankruptcy sale (unless directed by court order), or other similar type sale in or connected with the Premises; or (vi) except for any disclosures required by applicable law or stock exchange rule, use the name of Landlord, or any of Landlord’s affiliates in any publicity, promotion, trailer, press release, advertising, printed, or display materials without Landlord’s prior written consent.</w:t>
      </w:r>
    </w:p>
    <w:p>
      <w:pPr>
        <w:spacing w:after="0" w:line="17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4.3 Chemical Safety Program</w:t>
      </w:r>
      <w:r>
        <w:rPr>
          <w:rFonts w:ascii="Arial" w:cs="Arial" w:eastAsia="Arial" w:hAnsi="Arial"/>
          <w:sz w:val="18"/>
          <w:szCs w:val="18"/>
          <w:color w:val="auto"/>
        </w:rPr>
        <w:t>. Tenant shall establish and maintain a chemical safety program administered by a licensed, qualified individual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requirements of the Massachusetts Water Resources Authority (“</w:t>
      </w:r>
      <w:r>
        <w:rPr>
          <w:rFonts w:ascii="Arial" w:cs="Arial" w:eastAsia="Arial" w:hAnsi="Arial"/>
          <w:sz w:val="18"/>
          <w:szCs w:val="18"/>
          <w:b w:val="1"/>
          <w:bCs w:val="1"/>
          <w:u w:val="single" w:color="auto"/>
          <w:color w:val="auto"/>
        </w:rPr>
        <w:t>MWRA</w:t>
      </w:r>
      <w:r>
        <w:rPr>
          <w:rFonts w:ascii="Arial" w:cs="Arial" w:eastAsia="Arial" w:hAnsi="Arial"/>
          <w:sz w:val="18"/>
          <w:szCs w:val="18"/>
          <w:color w:val="auto"/>
        </w:rPr>
        <w:t>”) and any other applicable governmental authority. Tenant shall be solely responsible for all costs incurred in connection with such chemical safety program, and Tenant shall provide Landlord with such documentation as Landlord may reasonably require evidencing Tenant’s compliance with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269" w:right="259" w:bottom="1440" w:gutter="0" w:footer="0" w:header="0"/>
        </w:sectPr>
      </w:pPr>
    </w:p>
    <w:bookmarkStart w:id="353" w:name="page354"/>
    <w:bookmarkEnd w:id="3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 of (a) the MWRA and any other applicable governmental authority with respect to such chemical safety program pertaining to the Building and</w:t>
      </w:r>
    </w:p>
    <w:p>
      <w:pPr>
        <w:spacing w:after="0" w:line="46" w:lineRule="exact"/>
        <w:rPr>
          <w:sz w:val="20"/>
          <w:szCs w:val="20"/>
          <w:color w:val="auto"/>
        </w:rPr>
      </w:pPr>
    </w:p>
    <w:p>
      <w:pPr>
        <w:jc w:val="both"/>
        <w:ind w:right="60" w:firstLine="8"/>
        <w:spacing w:after="0" w:line="273" w:lineRule="auto"/>
        <w:tabs>
          <w:tab w:leader="none" w:pos="25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this Section. Tenant shall obtain and maintain during the Term (i) any permit required by the MWRA (“</w:t>
      </w:r>
      <w:r>
        <w:rPr>
          <w:rFonts w:ascii="Arial" w:cs="Arial" w:eastAsia="Arial" w:hAnsi="Arial"/>
          <w:sz w:val="17"/>
          <w:szCs w:val="17"/>
          <w:b w:val="1"/>
          <w:bCs w:val="1"/>
          <w:u w:val="single" w:color="auto"/>
          <w:color w:val="auto"/>
        </w:rPr>
        <w:t>MWRA Permit</w:t>
      </w:r>
      <w:r>
        <w:rPr>
          <w:rFonts w:ascii="Arial" w:cs="Arial" w:eastAsia="Arial" w:hAnsi="Arial"/>
          <w:sz w:val="17"/>
          <w:szCs w:val="17"/>
          <w:color w:val="auto"/>
        </w:rPr>
        <w:t>”) and (ii) a wastewater treatment operator license from the Commonwealth of Massachusetts with respect to Tenant’s use of any acid neutralization tank serving the Premises. Tenant shall not introduce anything into the acid neutralization tank serving the Premises, if any (x) in violation of the terms of the MWRA Permit, (y) in violation of applicable laws or (z) that would interfere with the proper functioning of any such acid neutralization tank.</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RENT; ADDITIONAL RENT</w:t>
      </w:r>
    </w:p>
    <w:p>
      <w:pPr>
        <w:spacing w:after="0" w:line="11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5.1 Base Rent. </w:t>
      </w:r>
      <w:r>
        <w:rPr>
          <w:rFonts w:ascii="Arial" w:cs="Arial" w:eastAsia="Arial" w:hAnsi="Arial"/>
          <w:sz w:val="18"/>
          <w:szCs w:val="18"/>
          <w:color w:val="auto"/>
        </w:rPr>
        <w:t>During the Term, Tenant shall pay to Landlord Base Rent in equal monthly installments, in advance and without demand on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each month for and with respect to such month. Unless otherwise expressly provided herein, the payment of Base Rent, additional rent and other charges reserved and covenanted to be paid under this Lease with respect to the Premises (collectively, “</w:t>
      </w:r>
      <w:r>
        <w:rPr>
          <w:rFonts w:ascii="Arial" w:cs="Arial" w:eastAsia="Arial" w:hAnsi="Arial"/>
          <w:sz w:val="18"/>
          <w:szCs w:val="18"/>
          <w:b w:val="1"/>
          <w:bCs w:val="1"/>
          <w:u w:val="single" w:color="auto"/>
          <w:color w:val="auto"/>
        </w:rPr>
        <w:t>Rent</w:t>
      </w:r>
      <w:r>
        <w:rPr>
          <w:rFonts w:ascii="Arial" w:cs="Arial" w:eastAsia="Arial" w:hAnsi="Arial"/>
          <w:sz w:val="18"/>
          <w:szCs w:val="18"/>
          <w:color w:val="auto"/>
        </w:rPr>
        <w:t>”) shall commence on the Fixed Term Commencement Date, and shall be prorated for any partial months. Rent shall be payable to Landlord or, if Landlord shall so direct in writing, to Landlord’s agent or nominee, in lawful money of the United States which shall be legal tender for payment of all debts and dues, public and private, at the time of payment.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Operating Costs.</w:t>
      </w:r>
    </w:p>
    <w:p>
      <w:pPr>
        <w:spacing w:after="0" w:line="117" w:lineRule="exact"/>
        <w:rPr>
          <w:sz w:val="20"/>
          <w:szCs w:val="20"/>
          <w:color w:val="auto"/>
        </w:rPr>
      </w:pPr>
    </w:p>
    <w:p>
      <w:pPr>
        <w:ind w:firstLine="921"/>
        <w:spacing w:after="0" w:line="284" w:lineRule="auto"/>
        <w:tabs>
          <w:tab w:leader="none" w:pos="115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Operating Costs</w:t>
      </w:r>
      <w:r>
        <w:rPr>
          <w:rFonts w:ascii="Arial" w:cs="Arial" w:eastAsia="Arial" w:hAnsi="Arial"/>
          <w:sz w:val="16"/>
          <w:szCs w:val="16"/>
          <w:color w:val="auto"/>
        </w:rPr>
        <w:t>” shall mean all actual costs incurred and expenditures of whatever nature made by Landlord in the operation, management, repair, replacement, maintenance and insurance (including, without limitation, environmental liability insurance and property insurance on Landlord-supplied leasehold improvements for tenants, but not property insurance on tenants’ equipment) of the Property or allocated to the Property, including without limitation all costs of labor (wages, salaries, fringe benefits, etc.) up to and including the Property manager, however denominated, any costs for utilities supplied to exterior areas and the Common Areas, and any costs for repair and replacements, cleaning and maintenance of exterior areas and the Common Areas, related equipment, facilities and appurtenances and HVAC equipment, security services, a management fee and other administrative costs paid to Landlord’s property manager (not to exceed four percent (4%) of gross income of the Building), a commercially reasonable rental factor of Landlord’s management office for the Property, which management office may be located outside the Property and which may serve other properties in addition to the Property (in which event such costs shall be equitably allocated among the properties served by such office), the cost of operating any amenities in the Property available to all tenants of the Property and any subsidy provided by Landlord for or with respect to any such amenity; the cost of the Common Area dumpster service. The cost of capital items shall, for the purposes of including the cost of such items in Operating Costs shall, in accordance with</w:t>
      </w:r>
    </w:p>
    <w:p>
      <w:pPr>
        <w:ind w:right="80"/>
        <w:spacing w:after="0" w:line="254" w:lineRule="auto"/>
        <w:rPr>
          <w:rFonts w:ascii="Arial" w:cs="Arial" w:eastAsia="Arial" w:hAnsi="Arial"/>
          <w:sz w:val="16"/>
          <w:szCs w:val="16"/>
          <w:color w:val="auto"/>
        </w:rPr>
      </w:pPr>
      <w:r>
        <w:rPr>
          <w:rFonts w:ascii="Arial" w:cs="Arial" w:eastAsia="Arial" w:hAnsi="Arial"/>
          <w:sz w:val="18"/>
          <w:szCs w:val="18"/>
          <w:color w:val="auto"/>
        </w:rPr>
        <w:t>Section 5.2(g), be: (i) amortized over the useful life of such improvements (“</w:t>
      </w:r>
      <w:r>
        <w:rPr>
          <w:rFonts w:ascii="Arial" w:cs="Arial" w:eastAsia="Arial" w:hAnsi="Arial"/>
          <w:sz w:val="18"/>
          <w:szCs w:val="18"/>
          <w:b w:val="1"/>
          <w:bCs w:val="1"/>
          <w:u w:val="single" w:color="auto"/>
          <w:color w:val="auto"/>
        </w:rPr>
        <w:t>Amortization Period</w:t>
      </w:r>
      <w:r>
        <w:rPr>
          <w:rFonts w:ascii="Arial" w:cs="Arial" w:eastAsia="Arial" w:hAnsi="Arial"/>
          <w:sz w:val="18"/>
          <w:szCs w:val="18"/>
          <w:color w:val="auto"/>
        </w:rPr>
        <w:t>”), except that the Amortization Period for the purposes of determining the Replacement Cost for Major HVAC Component (as defined in Section 10.1A) shall be the three and one-half year period commencing as of the date that Landlord completes the replacement of the Major HVAC Component in question, and (ii) subject to Section 5.2(b) below, included in Operating Costs. Operating Costs shall not include Excluded Costs (hereinafter defined).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274" w:right="259" w:bottom="1440" w:gutter="0" w:footer="0" w:header="0"/>
        </w:sectPr>
      </w:pPr>
    </w:p>
    <w:bookmarkStart w:id="354" w:name="page355"/>
    <w:bookmarkEnd w:id="354"/>
    <w:p>
      <w:pPr>
        <w:ind w:left="-20" w:firstLine="921"/>
        <w:spacing w:after="0" w:line="284" w:lineRule="auto"/>
        <w:tabs>
          <w:tab w:leader="none" w:pos="1148" w:val="left"/>
        </w:tabs>
        <w:numPr>
          <w:ilvl w:val="0"/>
          <w:numId w:val="2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Excluded Costs</w:t>
      </w:r>
      <w:r>
        <w:rPr>
          <w:rFonts w:ascii="Arial" w:cs="Arial" w:eastAsia="Arial" w:hAnsi="Arial"/>
          <w:sz w:val="16"/>
          <w:szCs w:val="16"/>
          <w:color w:val="auto"/>
        </w:rPr>
        <w:t>” shall be defined as (i) any ground rent, or any mortgage charges (including interest, principal, points and fees); (ii) leasing fees, brokerage commissions, advertising and promotional expenses, legal fees, the cost of tenant improvements, build out allowances, moving expenses, assumption of rent under existing leases and other concessions incurred in connection with leasing space in the Building; (iii) salaries of executives and owners not directly employed in the management/operation of the Property and salaries and other compensation of employees, officers, executives or administrative personnel of Landlord above the position of building manager; (iv) the cost of work done by Landlord for a particular tenant, and the cost of work or services performed for any facility other than the Building or the Property; (v) the cost of items incurred by Landlord performing maintenance, repair, or replacement of the structure elements of the Building, including the structural portions of the roof (the parties expressly agreeing that costs relating to the maintenance, repair or replacement of the roof membrane shall not be deemed to be excluded from Operating Costs pursuant to the provisions of this clause (v)), structural columns, floor slab and exterior walls; (vi) the costs of Landlord’s Work and any contributions made by Landlord to any tenant of the Property in connection with the build-out of its premises; (vii) franchise or income taxes imposed on Landlord; (viii) costs paid directly by individual tenants to suppliers, including tenant electricity, telephone and other utility costs; (ix) increases in premiums for insurance when such increase is caused by the use of the Building by Landlord or any other tenant of the Building; (x) depreciation of the Building, or any part thereof; (xi) costs relating to maintaining Landlord’s existence as a corporation, partnership or other entity; (xii) advertising, promotional or marketing expenses for the Building; (xiii) the cost of repairs incurred by reason of fire or other casualty or condemnation in excess of costs which are included in any commercially reasonable deductible carried by Landlord under its casualty insurance policy (the parties hereby acknowledging that, as of the Execution Date, $10,000 is a commercially reasonable deductible), and the cost of any items for which Landlord is reimbursed by insurance, condemnation awards, refund, rebate or otherwise (provided that the foregoing shall not apply to payments by any tenant of the Building on account of such tenants’ share of Operating Cost and Tax pass-through or escalation over base-year provisions under their leases), and any expenses for repairs or maintenance to the extent covered by warranties, guaranties and service contracts; (xiv) costs incurred in connection with any disputes between Landlord and its employees, between Landlord and Building management, or between Landlord and other tenants or occupants; (xv) accrual or replacement of reserves for future repair or replacement costs; (xvi) any legal expenses arising out of any misconduct or negligence of Landlord or any person for which Landlord is responsible or arising out of dealings between any principals constituting Landlord or arising out of any leasing, sale, syndication, or financing of the Building or the Property or any part thereof or arising out of disputes with tenants, other occupants, or prospective tenants or occupants or out of the construction of the improvements on the Property; (xvii) cost and expense of Landlord’s Work; (xviii) any amounts paid by Landlord for which reimbursement is made from any source, including without limitation any cost recovered under any warranty, guaranty or insurance policy maintained or held by Landlord (provided that the foregoing shall not apply to payments by any tenant of the Building on account of such tenants’ share of Operating Cost and Tax pass-through or escalation over base-year provisions under their leases); (xix) any cost representing an amount paid for services or materials to a related person or entity to the extent such amount exceeds the amount that would be paid for such services or materials at the then existing market rates to an unrelated person or entity (provided however, that the provisions of this clause (xix) shall not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80"/>
          </w:cols>
          <w:pgMar w:left="260" w:top="270" w:right="259" w:bottom="1440" w:gutter="0" w:footer="0" w:header="0"/>
        </w:sectPr>
      </w:pPr>
    </w:p>
    <w:bookmarkStart w:id="355" w:name="page356"/>
    <w:bookmarkEnd w:id="35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apply to or limit management or administrative fees, which for the avoidance of doubt shall be included in Operating Costs only to the extent as provided in Section 5.2(a) above); (xx) costs of any cleanup, containment, abatement, removal or remediation of asbestos or other substances regulated by applicable law, rule, regulation or ordinance and detrimental to the environment or to the health of occupants of the Property, including without limitation Hazardous Materials (as hereinafter defined); (xxi) any increase in the cost of insurance attributable to the particular activities of any tenant which increases the cost of any fire, extended coverage or any other insurance policy covering all or any portion of the Property; (xxii) the cost of acquisition of any sculpture, paintings or other objects of art; and (xxiii) any capital expenditures except those (“</w:t>
      </w:r>
      <w:r>
        <w:rPr>
          <w:rFonts w:ascii="Arial" w:cs="Arial" w:eastAsia="Arial" w:hAnsi="Arial"/>
          <w:sz w:val="16"/>
          <w:szCs w:val="16"/>
          <w:b w:val="1"/>
          <w:bCs w:val="1"/>
          <w:u w:val="single" w:color="auto"/>
          <w:color w:val="auto"/>
        </w:rPr>
        <w:t>Permitted Capital Expenditures</w:t>
      </w:r>
      <w:r>
        <w:rPr>
          <w:rFonts w:ascii="Arial" w:cs="Arial" w:eastAsia="Arial" w:hAnsi="Arial"/>
          <w:sz w:val="16"/>
          <w:szCs w:val="16"/>
          <w:color w:val="auto"/>
        </w:rPr>
        <w:t>”) which either: (a) are required by Legal Requirements which first become effective and applicable to the Property after the Commencement Date, (b) are reasonably projected by Landlord to achieve savings in Operating Expenses (i.e., taking into account the Annual Charge-Off included in Operating Expenses as the result of the capital expenditure in question, or (c) which constitute Replacement Cost for Major HVAC Components, as defined in Section 10.1A.</w:t>
      </w:r>
    </w:p>
    <w:p>
      <w:pPr>
        <w:spacing w:after="0" w:line="163" w:lineRule="exact"/>
        <w:rPr>
          <w:sz w:val="20"/>
          <w:szCs w:val="20"/>
          <w:color w:val="auto"/>
        </w:rPr>
      </w:pPr>
    </w:p>
    <w:p>
      <w:pPr>
        <w:ind w:right="100" w:firstLine="921"/>
        <w:spacing w:after="0" w:line="288" w:lineRule="auto"/>
        <w:tabs>
          <w:tab w:leader="none" w:pos="1157" w:val="left"/>
        </w:tabs>
        <w:numPr>
          <w:ilvl w:val="0"/>
          <w:numId w:val="265"/>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of Operating Costs</w:t>
      </w:r>
      <w:r>
        <w:rPr>
          <w:rFonts w:ascii="Arial" w:cs="Arial" w:eastAsia="Arial" w:hAnsi="Arial"/>
          <w:sz w:val="16"/>
          <w:szCs w:val="16"/>
          <w:color w:val="auto"/>
        </w:rPr>
        <w:t>. Commencing as of the Term Commencement Date and, subject to the last sentence of this Section 5.2(c),</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thereafter throughout the remainder of the Term of the Lease, Tenant shall pay to Landlord, as additional rent, Tenant’s Share of Operating Costs. Landlord may make a good faith estimate of Tenant’s Share of Operating Costs for any fiscal year or part thereof during the Term, and Tenant shall pay to Landlord, on the Term Commencement Date and on the first (1st) day of each calendar month thereafter, an amount equal to Tenant’s Share of Operating Costs for such fiscal year and/or part thereof divided by the number of months therein. Landlord may estimate and re-estimate Tenant’s Share of Operating Costs and deliver a copy of the estimate or re-estimate to Tenant. Thereafter, the monthly installments of Tenant’s Share of Operating Costs shall be appropriately adjusted in accordance with the estimations so that, by the end of the fiscal year in question, Tenant shall have paid all of Tenant’s Share of Operating Costs as estimated by Landlord. Any amounts paid based on such an estimate shall be subject to adjustment as herein provided when actual Operating Costs are available for each fiscal year. As of the Execution Date, the Property’s fiscal year is January 1 — December 31. Notwithstanding the foregoing, Operating Costs shall not include any cost of any Building repairs or replacements performed by Landlord during the ninety (90) day period commencing as of the Term Commencement Date, unless Tenant or any Tenant party is responsible for the cause of such repairs or replacements.</w:t>
      </w:r>
    </w:p>
    <w:p>
      <w:pPr>
        <w:spacing w:after="0" w:line="168" w:lineRule="exact"/>
        <w:rPr>
          <w:rFonts w:ascii="Arial" w:cs="Arial" w:eastAsia="Arial" w:hAnsi="Arial"/>
          <w:sz w:val="16"/>
          <w:szCs w:val="16"/>
          <w:color w:val="auto"/>
        </w:rPr>
      </w:pPr>
    </w:p>
    <w:p>
      <w:pPr>
        <w:ind w:right="20" w:firstLine="921"/>
        <w:spacing w:after="0" w:line="254" w:lineRule="auto"/>
        <w:tabs>
          <w:tab w:leader="none" w:pos="1168"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Annual Reconciliation</w:t>
      </w:r>
      <w:r>
        <w:rPr>
          <w:rFonts w:ascii="Arial" w:cs="Arial" w:eastAsia="Arial" w:hAnsi="Arial"/>
          <w:sz w:val="18"/>
          <w:szCs w:val="18"/>
          <w:color w:val="auto"/>
        </w:rPr>
        <w:t>. Landlord shall, within one hundred twenty (120) days after the end of each fiscal year, deliver to Tenant a reasonably detailed statement of the actual amount of Operating Costs for such fiscal year (“</w:t>
      </w:r>
      <w:r>
        <w:rPr>
          <w:rFonts w:ascii="Arial" w:cs="Arial" w:eastAsia="Arial" w:hAnsi="Arial"/>
          <w:sz w:val="18"/>
          <w:szCs w:val="18"/>
          <w:b w:val="1"/>
          <w:bCs w:val="1"/>
          <w:u w:val="single" w:color="auto"/>
          <w:color w:val="auto"/>
        </w:rPr>
        <w:t>Year End Statement</w:t>
      </w:r>
      <w:r>
        <w:rPr>
          <w:rFonts w:ascii="Arial" w:cs="Arial" w:eastAsia="Arial" w:hAnsi="Arial"/>
          <w:sz w:val="18"/>
          <w:szCs w:val="18"/>
          <w:color w:val="auto"/>
        </w:rPr>
        <w:t>”). Failure of Landlord to provide the Year End Statement within the time prescribed shall not relieve Tenant from its obligations hereunder. If the total of such monthly remittances on account of any fiscal year is greater than Tenant’s Share of Operating Costs actually incurred for such fiscal year, then, Tenant may credit the difference against the next installment(s) of additional rent on account of Operating Costs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Operating Costs actually incurred for such fiscal year, Tenant shall pay the difference to Landlord, as additional rent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80"/>
          </w:cols>
          <w:pgMar w:left="240" w:top="273" w:right="279" w:bottom="1440" w:gutter="0" w:footer="0" w:header="0"/>
        </w:sectPr>
      </w:pPr>
    </w:p>
    <w:bookmarkStart w:id="356" w:name="page357"/>
    <w:bookmarkEnd w:id="356"/>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within thirty (30) days of Tenant’s receipt of an invoice therefor. Landlord’s estimate of Operating Costs for the next fiscal year shall be based upon the Operating Costs actually incurred for the prior fiscal year as reflected in the Year-End Statement plus a reasonable adjustment based upon estimated increases in Operating Costs. The provisions of this Section 5.2(d) shall survive the expiration or earlier termination of this Lease.</w:t>
      </w:r>
    </w:p>
    <w:p>
      <w:pPr>
        <w:spacing w:after="0" w:line="166" w:lineRule="exact"/>
        <w:rPr>
          <w:sz w:val="20"/>
          <w:szCs w:val="20"/>
          <w:color w:val="auto"/>
        </w:rPr>
      </w:pPr>
    </w:p>
    <w:p>
      <w:pPr>
        <w:ind w:right="160" w:firstLine="921"/>
        <w:spacing w:after="0" w:line="277" w:lineRule="auto"/>
        <w:tabs>
          <w:tab w:leader="none" w:pos="1157"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Part Years</w:t>
      </w:r>
      <w:r>
        <w:rPr>
          <w:rFonts w:ascii="Arial" w:cs="Arial" w:eastAsia="Arial" w:hAnsi="Arial"/>
          <w:sz w:val="18"/>
          <w:szCs w:val="18"/>
          <w:color w:val="auto"/>
        </w:rPr>
        <w:t>. If the Term Commencement Date or the Expiration Date occurs in the middle of a fiscal year, Tenant shall be liable for only that portion of the Operating Costs with respect to such fiscal year within the Term.</w:t>
      </w:r>
    </w:p>
    <w:p>
      <w:pPr>
        <w:spacing w:after="0" w:line="170" w:lineRule="exact"/>
        <w:rPr>
          <w:rFonts w:ascii="Arial" w:cs="Arial" w:eastAsia="Arial" w:hAnsi="Arial"/>
          <w:sz w:val="18"/>
          <w:szCs w:val="18"/>
          <w:color w:val="auto"/>
        </w:rPr>
      </w:pPr>
    </w:p>
    <w:p>
      <w:pPr>
        <w:ind w:right="20" w:firstLine="921"/>
        <w:spacing w:after="0" w:line="272" w:lineRule="auto"/>
        <w:tabs>
          <w:tab w:leader="none" w:pos="1138"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Gross-Up</w:t>
      </w:r>
      <w:r>
        <w:rPr>
          <w:rFonts w:ascii="Arial" w:cs="Arial" w:eastAsia="Arial" w:hAnsi="Arial"/>
          <w:sz w:val="17"/>
          <w:szCs w:val="17"/>
          <w:color w:val="auto"/>
        </w:rPr>
        <w:t>. If, during any fiscal year, less than 100% of the Building is occupied by tenants or if Landlord was not supplying all tenants with the services being supplied to Tenant hereunder, actual Operating Costs incurred shall be reasonably extrapolated by Landlord on an item-by-item basis to the reasonable Operating Costs that would have been incurred if the Building was 100% occupied and such services were being supplied to all tenants, and such extrapolated Operating Costs shall, for all purposes hereof, be deemed to be the Operating Costs for such fiscal year. This “gross up” treatment shall be applied only with respect to variable Operating Costs arising from services provided to Common Areas or to space in the Building being occupied by tenants (which services are not provided to vacant space or may be provided only to some tenants) in order to allocate equitably such variable Operating Costs to the tenants receiving the benefits thereof.</w:t>
      </w:r>
    </w:p>
    <w:p>
      <w:pPr>
        <w:spacing w:after="0" w:line="285" w:lineRule="exact"/>
        <w:rPr>
          <w:rFonts w:ascii="Arial" w:cs="Arial" w:eastAsia="Arial" w:hAnsi="Arial"/>
          <w:sz w:val="17"/>
          <w:szCs w:val="17"/>
          <w:color w:val="auto"/>
        </w:rPr>
      </w:pPr>
    </w:p>
    <w:p>
      <w:pPr>
        <w:ind w:left="1180" w:hanging="259"/>
        <w:spacing w:after="0"/>
        <w:tabs>
          <w:tab w:leader="none" w:pos="118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w:t>
      </w:r>
    </w:p>
    <w:p>
      <w:pPr>
        <w:spacing w:after="0" w:line="113" w:lineRule="exact"/>
        <w:rPr>
          <w:sz w:val="20"/>
          <w:szCs w:val="20"/>
          <w:color w:val="auto"/>
        </w:rPr>
      </w:pPr>
    </w:p>
    <w:p>
      <w:pPr>
        <w:ind w:firstLine="921"/>
        <w:spacing w:after="0" w:line="270" w:lineRule="auto"/>
        <w:tabs>
          <w:tab w:leader="none" w:pos="1093" w:val="left"/>
        </w:tabs>
        <w:numPr>
          <w:ilvl w:val="0"/>
          <w:numId w:val="267"/>
        </w:numPr>
        <w:rPr>
          <w:rFonts w:ascii="Arial" w:cs="Arial" w:eastAsia="Arial" w:hAnsi="Arial"/>
          <w:sz w:val="17"/>
          <w:szCs w:val="17"/>
          <w:color w:val="auto"/>
        </w:rPr>
      </w:pPr>
      <w:r>
        <w:rPr>
          <w:rFonts w:ascii="Arial" w:cs="Arial" w:eastAsia="Arial" w:hAnsi="Arial"/>
          <w:sz w:val="17"/>
          <w:szCs w:val="17"/>
          <w:i w:val="1"/>
          <w:iCs w:val="1"/>
          <w:u w:val="single" w:color="auto"/>
          <w:color w:val="auto"/>
        </w:rPr>
        <w:t>Annual Charge-Off</w:t>
      </w:r>
      <w:r>
        <w:rPr>
          <w:rFonts w:ascii="Arial" w:cs="Arial" w:eastAsia="Arial" w:hAnsi="Arial"/>
          <w:sz w:val="17"/>
          <w:szCs w:val="17"/>
          <w:color w:val="auto"/>
        </w:rPr>
        <w:t>. “</w:t>
      </w:r>
      <w:r>
        <w:rPr>
          <w:rFonts w:ascii="Arial" w:cs="Arial" w:eastAsia="Arial" w:hAnsi="Arial"/>
          <w:sz w:val="17"/>
          <w:szCs w:val="17"/>
          <w:b w:val="1"/>
          <w:bCs w:val="1"/>
          <w:color w:val="auto"/>
        </w:rPr>
        <w:t>Annual Charge-Off</w:t>
      </w:r>
      <w:r>
        <w:rPr>
          <w:rFonts w:ascii="Arial" w:cs="Arial" w:eastAsia="Arial" w:hAnsi="Arial"/>
          <w:sz w:val="17"/>
          <w:szCs w:val="17"/>
          <w:color w:val="auto"/>
        </w:rPr>
        <w:t>’ shall be defined as the annual amount of principal and interest payments which would be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repay a loan (“</w:t>
      </w:r>
      <w:r>
        <w:rPr>
          <w:rFonts w:ascii="Arial" w:cs="Arial" w:eastAsia="Arial" w:hAnsi="Arial"/>
          <w:sz w:val="17"/>
          <w:szCs w:val="17"/>
          <w:b w:val="1"/>
          <w:bCs w:val="1"/>
          <w:color w:val="auto"/>
        </w:rPr>
        <w:t>Capital Loan</w:t>
      </w:r>
      <w:r>
        <w:rPr>
          <w:rFonts w:ascii="Arial" w:cs="Arial" w:eastAsia="Arial" w:hAnsi="Arial"/>
          <w:sz w:val="17"/>
          <w:szCs w:val="17"/>
          <w:color w:val="auto"/>
        </w:rPr>
        <w:t>”) in equal monthly installments over the Useful Life, as hereinafter defined, of the capital item in question on a level payment direct reduction basis at an annual interest rate equal to the Capital Interest Rate, as hereinafter defined, where the initial principal balance is the cost of the capital item in question. However, if Landlord reasonably concludes on the basis of engineering estimates that a particular capital expenditure will effect savings in Building operating costs including, without limitation, energy-related costs, and that such projected savings will, on an annual basis (“</w:t>
      </w:r>
      <w:r>
        <w:rPr>
          <w:rFonts w:ascii="Arial" w:cs="Arial" w:eastAsia="Arial" w:hAnsi="Arial"/>
          <w:sz w:val="17"/>
          <w:szCs w:val="17"/>
          <w:b w:val="1"/>
          <w:bCs w:val="1"/>
          <w:color w:val="auto"/>
        </w:rPr>
        <w:t>Projected</w:t>
      </w:r>
      <w:r>
        <w:rPr>
          <w:rFonts w:ascii="Arial" w:cs="Arial" w:eastAsia="Arial" w:hAnsi="Arial"/>
          <w:sz w:val="17"/>
          <w:szCs w:val="17"/>
          <w:color w:val="auto"/>
        </w:rPr>
        <w:t xml:space="preserve"> </w:t>
      </w:r>
      <w:r>
        <w:rPr>
          <w:rFonts w:ascii="Arial" w:cs="Arial" w:eastAsia="Arial" w:hAnsi="Arial"/>
          <w:sz w:val="17"/>
          <w:szCs w:val="17"/>
          <w:b w:val="1"/>
          <w:bCs w:val="1"/>
          <w:color w:val="auto"/>
        </w:rPr>
        <w:t>Annual Savings</w:t>
      </w:r>
      <w:r>
        <w:rPr>
          <w:rFonts w:ascii="Arial" w:cs="Arial" w:eastAsia="Arial" w:hAnsi="Arial"/>
          <w:sz w:val="17"/>
          <w:szCs w:val="17"/>
          <w:color w:val="auto"/>
        </w:rPr>
        <w:t>”), exceed the Annual Charge-Off of such capital expenditure computed as aforesaid, then and in such event, the Annual Charge-Off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to an amount equal to the Projected Annual Savings; and in such circumstances, the increased Annual Charge-Off (in the amount of the Projected Annual Savings) shall be made for such period of time as it would take to fully amortize the cost of the capital item in question, together with interest thereon at the Capital Interest Rate as aforesaid, in equal monthly payments, each in the amount of one-twelfth (1/12th) of the Projected Annual Savings, with such payments being applied first to interest and the balance to principal.</w:t>
      </w:r>
    </w:p>
    <w:p>
      <w:pPr>
        <w:spacing w:after="0" w:line="177" w:lineRule="exact"/>
        <w:rPr>
          <w:rFonts w:ascii="Arial" w:cs="Arial" w:eastAsia="Arial" w:hAnsi="Arial"/>
          <w:sz w:val="17"/>
          <w:szCs w:val="17"/>
          <w:color w:val="auto"/>
        </w:rPr>
      </w:pPr>
    </w:p>
    <w:p>
      <w:pPr>
        <w:ind w:right="500" w:firstLine="921"/>
        <w:spacing w:after="0" w:line="282" w:lineRule="auto"/>
        <w:tabs>
          <w:tab w:leader="none" w:pos="1093" w:val="left"/>
        </w:tabs>
        <w:numPr>
          <w:ilvl w:val="0"/>
          <w:numId w:val="267"/>
        </w:numPr>
        <w:rPr>
          <w:rFonts w:ascii="Arial" w:cs="Arial" w:eastAsia="Arial" w:hAnsi="Arial"/>
          <w:sz w:val="18"/>
          <w:szCs w:val="18"/>
          <w:color w:val="auto"/>
        </w:rPr>
      </w:pPr>
      <w:r>
        <w:rPr>
          <w:rFonts w:ascii="Arial" w:cs="Arial" w:eastAsia="Arial" w:hAnsi="Arial"/>
          <w:sz w:val="18"/>
          <w:szCs w:val="18"/>
          <w:i w:val="1"/>
          <w:iCs w:val="1"/>
          <w:u w:val="single" w:color="auto"/>
          <w:color w:val="auto"/>
        </w:rPr>
        <w:t>Useful Life</w:t>
      </w:r>
      <w:r>
        <w:rPr>
          <w:rFonts w:ascii="Arial" w:cs="Arial" w:eastAsia="Arial" w:hAnsi="Arial"/>
          <w:sz w:val="18"/>
          <w:szCs w:val="18"/>
          <w:color w:val="auto"/>
        </w:rPr>
        <w:t>. “</w:t>
      </w:r>
      <w:r>
        <w:rPr>
          <w:rFonts w:ascii="Arial" w:cs="Arial" w:eastAsia="Arial" w:hAnsi="Arial"/>
          <w:sz w:val="18"/>
          <w:szCs w:val="18"/>
          <w:b w:val="1"/>
          <w:bCs w:val="1"/>
          <w:color w:val="auto"/>
        </w:rPr>
        <w:t>Useful Life</w:t>
      </w:r>
      <w:r>
        <w:rPr>
          <w:rFonts w:ascii="Arial" w:cs="Arial" w:eastAsia="Arial" w:hAnsi="Arial"/>
          <w:sz w:val="18"/>
          <w:szCs w:val="18"/>
          <w:color w:val="auto"/>
        </w:rPr>
        <w:t>” shall be reasonably determined by Landlord in accordance with generally accepted accounting principles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in effect at the time of acquisition of the capital item</w:t>
      </w:r>
    </w:p>
    <w:p>
      <w:pPr>
        <w:spacing w:after="0" w:line="161" w:lineRule="exact"/>
        <w:rPr>
          <w:rFonts w:ascii="Arial" w:cs="Arial" w:eastAsia="Arial" w:hAnsi="Arial"/>
          <w:sz w:val="18"/>
          <w:szCs w:val="18"/>
          <w:color w:val="auto"/>
        </w:rPr>
      </w:pPr>
    </w:p>
    <w:p>
      <w:pPr>
        <w:ind w:right="600" w:firstLine="921"/>
        <w:spacing w:after="0" w:line="282" w:lineRule="auto"/>
        <w:tabs>
          <w:tab w:leader="none" w:pos="1093" w:val="left"/>
        </w:tabs>
        <w:numPr>
          <w:ilvl w:val="0"/>
          <w:numId w:val="267"/>
        </w:numPr>
        <w:rPr>
          <w:rFonts w:ascii="Arial" w:cs="Arial" w:eastAsia="Arial" w:hAnsi="Arial"/>
          <w:sz w:val="18"/>
          <w:szCs w:val="18"/>
          <w:color w:val="auto"/>
        </w:rPr>
      </w:pPr>
      <w:r>
        <w:rPr>
          <w:rFonts w:ascii="Arial" w:cs="Arial" w:eastAsia="Arial" w:hAnsi="Arial"/>
          <w:sz w:val="18"/>
          <w:szCs w:val="18"/>
          <w:i w:val="1"/>
          <w:iCs w:val="1"/>
          <w:u w:val="single" w:color="auto"/>
          <w:color w:val="auto"/>
        </w:rPr>
        <w:t>Capital Interest Rate</w:t>
      </w:r>
      <w:r>
        <w:rPr>
          <w:rFonts w:ascii="Arial" w:cs="Arial" w:eastAsia="Arial" w:hAnsi="Arial"/>
          <w:sz w:val="18"/>
          <w:szCs w:val="18"/>
          <w:color w:val="auto"/>
        </w:rPr>
        <w:t>. “</w:t>
      </w:r>
      <w:r>
        <w:rPr>
          <w:rFonts w:ascii="Arial" w:cs="Arial" w:eastAsia="Arial" w:hAnsi="Arial"/>
          <w:sz w:val="18"/>
          <w:szCs w:val="18"/>
          <w:b w:val="1"/>
          <w:bCs w:val="1"/>
          <w:color w:val="auto"/>
        </w:rPr>
        <w:t>Capital Interest Rate</w:t>
      </w:r>
      <w:r>
        <w:rPr>
          <w:rFonts w:ascii="Arial" w:cs="Arial" w:eastAsia="Arial" w:hAnsi="Arial"/>
          <w:sz w:val="18"/>
          <w:szCs w:val="18"/>
          <w:color w:val="auto"/>
        </w:rPr>
        <w:t>” shall be defined as an annual rate of either one percentage point over the AA Bond 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corporate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80"/>
          </w:cols>
          <w:pgMar w:left="240" w:top="274" w:right="279" w:bottom="1440" w:gutter="0" w:footer="0" w:header="0"/>
        </w:sectPr>
      </w:pPr>
    </w:p>
    <w:bookmarkStart w:id="357" w:name="page358"/>
    <w:bookmarkEnd w:id="357"/>
    <w:p>
      <w:pPr>
        <w:ind w:righ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composite or, if unavailable, its equivalent) as reported in the financial press at the time the capital expenditure is made or, if the capital item is acquired through third-party financing, then the actual (including fluctuating) rate paid by Landlord in financing the acquisition of such capital item.</w:t>
      </w:r>
    </w:p>
    <w:p>
      <w:pPr>
        <w:spacing w:after="0" w:line="147" w:lineRule="exact"/>
        <w:rPr>
          <w:sz w:val="20"/>
          <w:szCs w:val="20"/>
          <w:color w:val="auto"/>
        </w:rPr>
      </w:pPr>
    </w:p>
    <w:p>
      <w:pPr>
        <w:ind w:firstLine="921"/>
        <w:spacing w:after="0" w:line="284" w:lineRule="auto"/>
        <w:tabs>
          <w:tab w:leader="none" w:pos="1168"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Audit Right</w:t>
      </w:r>
      <w:r>
        <w:rPr>
          <w:rFonts w:ascii="Arial" w:cs="Arial" w:eastAsia="Arial" w:hAnsi="Arial"/>
          <w:sz w:val="16"/>
          <w:szCs w:val="16"/>
          <w:color w:val="auto"/>
        </w:rPr>
        <w:t>. Provided there is no Event of Default nor any event which, with the passage of time and/or the giving of notice would constitute an Event of Default, Tenant may, upon at least sixty (60) days’ prior written notice, inspect or audit Landlord’s records relating to Operating Costs for any periods of time within the previous fiscal year before the audit or inspection. However, no audit or inspection shall extend to periods of time before the Term Commencement Date. If Tenant fails to object to the calculation of Tenant’s Share of Operating Costs on the Year-End Statement within ninety (90) days after such statement has been delivered to Tenant and/or fails to complete any such audit or inspection within two hundred forty (240) days after receipt of the Year End Statement, then Tenant shall be deemed to have waived its right to object to the calculation of Tenant’s Share of Operating Costs for the year in question and the calculation thereof as set forth on such statement shall be final. Tenant’s audit or inspection shall be conducted only at Landlord’s offices or the offices of Landlord’s property manager during business hours reasonably designated by Landlord. Tenant shall pay the cost of such audit or inspection. Tenant may not conduct an inspection or have an audit performed more than once during any fiscal year. If, after such inspection or audit is made, it is finally determined or agreed that that an error was made in the calculation of Tenant’s Share of Operating Costs previously charged to Tenant, then, Tenant may credit the difference against the next installment of additional rent on account of Operating Costs due hereunder, except that if such difference is determined after the end of the Term, Landlord shall refund such difference to Tenant within thirty (30) days after such determination to the extent that such difference exceeds any amounts then due from Tenant to Landlord. If, after such inspection or audit is made, it is finally determined or agreed that there was an underpayment by Tenant, then Tenant shall pay to Landlord, as additional rent hereunder, any underpayment of any such costs, as the case may be, within thirty (30) days after receipt of an invoice therefor. Tenant shall maintain the results of any such audit or inspection confidential and shall not be permitted to use any third party to perform such audit or inspection: (A) which is not compensated on a contingency fee basis or in any other manner which is dependent upon the results of such audit or inspection, and (B) which refuses to execute a commercially reasonable confidentiality agreement, whereby it shall agree to maintain the results of such audit or inspection confidential, but subject to commercially reasonable exceptions to such confidentiality. Nothing in the foregoing shall preclude Tenant or its auditor from disclosing any audit or inspection results to third parties, to the extent: (i) required by Legal Requirements, court order, order of governmental authority or pursuant to any requirements or rules of any stock exchange listing, or (ii) in litigation or other dispute resolution proceedings between Landlord and Tenant. The provisions of this Section 5.2(g) shall survive the expiration or earlier termination of this Lease.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Taxes.</w:t>
      </w:r>
    </w:p>
    <w:p>
      <w:pPr>
        <w:spacing w:after="0" w:line="117" w:lineRule="exact"/>
        <w:rPr>
          <w:sz w:val="20"/>
          <w:szCs w:val="20"/>
          <w:color w:val="auto"/>
        </w:rPr>
      </w:pPr>
    </w:p>
    <w:p>
      <w:pPr>
        <w:ind w:right="360" w:firstLine="921"/>
        <w:spacing w:after="0" w:line="266" w:lineRule="auto"/>
        <w:tabs>
          <w:tab w:leader="none" w:pos="115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shall mean the real estate taxes and other taxes, levies and assessments imposed upon the Building and the Land, and upon any personal property of Landlord used in the operation thereof, or on Landlord’s interest therein or such personal property; charges, fees and assessments for transit, housing, police, fire or other services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274" w:right="239" w:bottom="1440" w:gutter="0" w:footer="0" w:header="0"/>
        </w:sectPr>
      </w:pPr>
    </w:p>
    <w:bookmarkStart w:id="358" w:name="page359"/>
    <w:bookmarkEnd w:id="35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purported benefits to the Building and the Land (including without limitation any mandatory community preservation assessments); service or user payments in lieu of taxes; and any and all other taxes, levies, betterments, assessments and charges arising from the ownership, leasing, operation, use or occupancy of the Building and the Land, which are or shall be imposed by federal, state, county, municipal or other governmental authorities. In determining the amount of Taxes for any year, the amount of special assessments to be included shall be limited to the amount of the installment of such special assessment (plus any interest payable thereon) required to be paid during such year had Landlord elected to have such special assessment paid over the maximum period of time permitted by law. Except as provided in the preceding sentence, all references to Taxes “for” a particular year shall be deemed to refer to Taxes levied or assessed with respect to such year without regard to when such taxes are paid or payable. Taxes shall be adjusted to take into account any abatement or refund thereof paid to the Landlord by the taxing authorities in accordance with Sections 5.3(e) and 5.3(f) below. The following are specifically excluded from taxes: penalties or interest or other charges for late payments of taxes, any income, personal property, excess profits, gross receipts, margin, estate, single business, inheritance, succession, transfer, gift, franchise, corporate, capital tax or assessment levied or assessed against Landlord or real property taxes and assessments applicable to any undeveloped portion of the Building being held for future development or any connection, capacity, turn-on, impact or any initial construction of or the initial construction of or to the Building; provided, however, that any of the same and any other tax, excise, fee, levy, charge or assessment, however described, that may in the future be levied or assessed as a substitute for, any tax, levy or assessment which would otherwise constitute Taxes, whether or not now customary or in the contemplation of the parties on the Execution Date of this Lease, shall constitute Taxes, but only to the extent calculated as if the Building and the Land were the only real estate owned by Landlord. The Landlord shall pay, or cause to be paid, before the same become delinquent, all Taxes. From and after substantial completion of any occupiable improvements constructed as part of a Future Development, as defined in Section 2.2, if such improvements are not separately assessed, Landlord shall reasonably allocate Taxes between the Building and such improvements and the land area associated with the same. Taxes shall not include any inheritance, estate, succession, gift, franchise, rental, income or profit tax, capital stock tax, capital levy or excise, or any income taxes arising out of or related to the ownership and operation of the Building and the Land.</w:t>
      </w:r>
    </w:p>
    <w:p>
      <w:pPr>
        <w:spacing w:after="0" w:line="167" w:lineRule="exact"/>
        <w:rPr>
          <w:sz w:val="20"/>
          <w:szCs w:val="20"/>
          <w:color w:val="auto"/>
        </w:rPr>
      </w:pPr>
    </w:p>
    <w:p>
      <w:pPr>
        <w:ind w:right="220" w:firstLine="921"/>
        <w:spacing w:after="0" w:line="282" w:lineRule="auto"/>
        <w:tabs>
          <w:tab w:leader="none" w:pos="116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Period</w:t>
      </w:r>
      <w:r>
        <w:rPr>
          <w:rFonts w:ascii="Arial" w:cs="Arial" w:eastAsia="Arial" w:hAnsi="Arial"/>
          <w:sz w:val="18"/>
          <w:szCs w:val="18"/>
          <w:color w:val="auto"/>
        </w:rPr>
        <w:t>” shall be any fiscal/tax period in respect of which Taxes are due and payable to the appropriate governmental taxing authority (i.e., as mandated by the governmental taxing authority), any portion of which period occurs during the Term of this Lease.</w:t>
      </w:r>
    </w:p>
    <w:p>
      <w:pPr>
        <w:spacing w:after="0" w:line="161" w:lineRule="exact"/>
        <w:rPr>
          <w:rFonts w:ascii="Arial" w:cs="Arial" w:eastAsia="Arial" w:hAnsi="Arial"/>
          <w:sz w:val="18"/>
          <w:szCs w:val="18"/>
          <w:color w:val="auto"/>
        </w:rPr>
      </w:pPr>
    </w:p>
    <w:p>
      <w:pPr>
        <w:ind w:right="40" w:firstLine="921"/>
        <w:spacing w:after="0" w:line="274" w:lineRule="auto"/>
        <w:tabs>
          <w:tab w:leader="none" w:pos="1157" w:val="left"/>
        </w:tabs>
        <w:numPr>
          <w:ilvl w:val="0"/>
          <w:numId w:val="270"/>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of Taxes</w:t>
      </w:r>
      <w:r>
        <w:rPr>
          <w:rFonts w:ascii="Arial" w:cs="Arial" w:eastAsia="Arial" w:hAnsi="Arial"/>
          <w:sz w:val="17"/>
          <w:szCs w:val="17"/>
          <w:color w:val="auto"/>
        </w:rPr>
        <w:t>. Commencing as of the Term Commencement Date and continuing thereafter throughout the remainder of the Term of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 Tenant shall pay to Landlord, as additional rent, Tenant’s Share of Taxes relating to or allocable to the Building and Tenant’s Share of Taxes relating to or allocable to the Land. Landlord may make a good faith estimate of the Taxes to be due by Tenant for any Tax Period or part thereof during the Term, and Tenant shall pay to Landlord, on the Term Commencement Date and on the first (1st) day of each calendar month thereafter, an amount equal to Tenant’s Share of Taxes for such Tax Period or part thereof divided by the number of months therein. Landlord may estimate and re-estimate Tenant’s Share of Taxes and deliver a copy of the estimate or re-estimate to Tenant. Thereafter,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274" w:right="259" w:bottom="1440" w:gutter="0" w:footer="0" w:header="0"/>
        </w:sectPr>
      </w:pPr>
    </w:p>
    <w:bookmarkStart w:id="359" w:name="page360"/>
    <w:bookmarkEnd w:id="359"/>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monthly installments of Tenant’s Share of Taxes shall be appropriately adjusted in accordance with the estimations so that, by the end of the Tax Period in question, Tenant shall have paid all of Tenant’s Share of Taxes as estimated by Landlord. Any amounts paid based on such an estimate shall be subject to adjustment as herein provided when actual Taxes are available for each Tax Period. If the total of such monthly remittances is greater than Tenant’s Share of Taxes actually due for such Tax Period, then, Tenant may credit the difference against the next installment of additional rent on account of Taxes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Taxes actually due for such Tax Period, Tenant shall pay the difference to Landlord, as additional rent hereunder, within thirty (30) days of Tenant’s receipt of an invoice therefor. Landlord’s estimate for the next Tax Period shall be based upon actual Taxes for the prior Tax Period plus a reasonable adjustment based upon estimated increases in Taxes. Landlord shall provide Tenant with a copy of each Tax bill received by Landlord within ten (10) days after Landlord’s receipt of such Tax bill; provided however, that in no event shall Landlord’s failure to timely deliver any Tax bill de deemed to be a default by Landlord in its obligations hereunder or be considered to be a waiver of Landlord’s right to receive payment from Tenant of Tenant’s Share of the Taxes imposed pursuant to such Tax bill. The provisions of this Section 5.3(c) shall survive the expiration or earlier termination of this Lease.</w:t>
      </w:r>
    </w:p>
    <w:p>
      <w:pPr>
        <w:spacing w:after="0" w:line="165" w:lineRule="exact"/>
        <w:rPr>
          <w:sz w:val="20"/>
          <w:szCs w:val="20"/>
          <w:color w:val="auto"/>
        </w:rPr>
      </w:pPr>
    </w:p>
    <w:p>
      <w:pPr>
        <w:ind w:right="160" w:firstLine="921"/>
        <w:spacing w:after="0" w:line="266" w:lineRule="auto"/>
        <w:tabs>
          <w:tab w:leader="none" w:pos="1168" w:val="left"/>
        </w:tabs>
        <w:numPr>
          <w:ilvl w:val="0"/>
          <w:numId w:val="271"/>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Abatements</w:t>
      </w:r>
      <w:r>
        <w:rPr>
          <w:rFonts w:ascii="Arial" w:cs="Arial" w:eastAsia="Arial" w:hAnsi="Arial"/>
          <w:sz w:val="18"/>
          <w:szCs w:val="18"/>
          <w:color w:val="auto"/>
        </w:rPr>
        <w:t>. Appropriate credit against Taxes shall be given for any refund obtained by reason of a reduction in any Taxes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assessors or the administrative, judicial or other governmental agency responsible therefor after deduction of Landlord’s expenditures for reasonable out of pocket and documented legal fees and for other reasonable expenses incurred in obtaining the Tax refund</w:t>
      </w:r>
    </w:p>
    <w:p>
      <w:pPr>
        <w:spacing w:after="0" w:line="176" w:lineRule="exact"/>
        <w:rPr>
          <w:rFonts w:ascii="Arial" w:cs="Arial" w:eastAsia="Arial" w:hAnsi="Arial"/>
          <w:sz w:val="18"/>
          <w:szCs w:val="18"/>
          <w:color w:val="auto"/>
        </w:rPr>
      </w:pPr>
    </w:p>
    <w:p>
      <w:pPr>
        <w:ind w:right="40" w:firstLine="921"/>
        <w:spacing w:after="0" w:line="277" w:lineRule="auto"/>
        <w:tabs>
          <w:tab w:leader="none" w:pos="1157" w:val="left"/>
        </w:tabs>
        <w:numPr>
          <w:ilvl w:val="0"/>
          <w:numId w:val="271"/>
        </w:numPr>
        <w:rPr>
          <w:rFonts w:ascii="Arial" w:cs="Arial" w:eastAsia="Arial" w:hAnsi="Arial"/>
          <w:sz w:val="17"/>
          <w:szCs w:val="17"/>
          <w:color w:val="auto"/>
        </w:rPr>
      </w:pPr>
      <w:r>
        <w:rPr>
          <w:rFonts w:ascii="Arial" w:cs="Arial" w:eastAsia="Arial" w:hAnsi="Arial"/>
          <w:sz w:val="17"/>
          <w:szCs w:val="17"/>
          <w:b w:val="1"/>
          <w:bCs w:val="1"/>
          <w:u w:val="single" w:color="auto"/>
          <w:color w:val="auto"/>
        </w:rPr>
        <w:t>Abatement Process</w:t>
      </w:r>
      <w:r>
        <w:rPr>
          <w:rFonts w:ascii="Arial" w:cs="Arial" w:eastAsia="Arial" w:hAnsi="Arial"/>
          <w:sz w:val="17"/>
          <w:szCs w:val="17"/>
          <w:color w:val="auto"/>
        </w:rPr>
        <w:t>. If Tenant is then leasing space in the Building containing at least fifty (50%) percent of the rentable area of the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so request in writing by written notice to Landlord at least ten (10) business days prior to the last day for applying for an abatement of Taxes payable by Landlord with respect to any fiscal year, then either: (i) Landlord shall (unless Landlord has previously applied for abatement with respect such fiscal year) apply for, and diligently prosecute, an abatement of Taxes for such fiscal year, or (ii) Landlord shall permit Tenant, at its sole expense, to apply for an abatement of Taxes for such fiscal year. If Landlord elects to allow Tenant to apply for an abatement of Taxes for a fiscal year, then:</w:t>
      </w:r>
    </w:p>
    <w:p>
      <w:pPr>
        <w:spacing w:after="0" w:line="64" w:lineRule="exact"/>
        <w:rPr>
          <w:rFonts w:ascii="Arial" w:cs="Arial" w:eastAsia="Arial" w:hAnsi="Arial"/>
          <w:sz w:val="17"/>
          <w:szCs w:val="17"/>
          <w:color w:val="auto"/>
        </w:rPr>
      </w:pPr>
    </w:p>
    <w:p>
      <w:pPr>
        <w:ind w:left="460" w:right="320" w:firstLine="881"/>
        <w:spacing w:after="0" w:line="264" w:lineRule="auto"/>
        <w:tabs>
          <w:tab w:leader="none" w:pos="155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Landlord agrees to cooperate with the Tenant, in such manner as Tenant may reasonably request, but at no expense to Landlord, including Landlord’s agreement to sign all necessary instruments in connection with such application or appeal, provided Landlord deems the same appropriate in its reasonable discretion.</w:t>
      </w:r>
    </w:p>
    <w:p>
      <w:pPr>
        <w:spacing w:after="0" w:line="73" w:lineRule="exact"/>
        <w:rPr>
          <w:rFonts w:ascii="Arial" w:cs="Arial" w:eastAsia="Arial" w:hAnsi="Arial"/>
          <w:sz w:val="18"/>
          <w:szCs w:val="18"/>
          <w:color w:val="auto"/>
        </w:rPr>
      </w:pPr>
    </w:p>
    <w:p>
      <w:pPr>
        <w:ind w:left="460" w:firstLine="881"/>
        <w:spacing w:after="0" w:line="277" w:lineRule="auto"/>
        <w:tabs>
          <w:tab w:leader="none" w:pos="160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Upon the request of Tenant, and if required to preserve the right to challenge such Taxes, Landlord will pay all Taxes under protest or in such other manner as will preserve the right to challenge such Taxes.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274" w:right="259" w:bottom="1440" w:gutter="0" w:footer="0" w:header="0"/>
        </w:sectPr>
      </w:pPr>
    </w:p>
    <w:bookmarkStart w:id="360" w:name="page361"/>
    <w:bookmarkEnd w:id="360"/>
    <w:p>
      <w:pPr>
        <w:ind w:left="400" w:firstLine="881"/>
        <w:spacing w:after="0" w:line="277" w:lineRule="auto"/>
        <w:tabs>
          <w:tab w:leader="none" w:pos="1591" w:val="left"/>
        </w:tabs>
        <w:numPr>
          <w:ilvl w:val="1"/>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shall be a condition to the right of Tenant to apply for an abatement with respect to any fiscal year, that Tenant has paid its respective shares of all Taxes due for such fiscal year.</w:t>
      </w:r>
    </w:p>
    <w:p>
      <w:pPr>
        <w:spacing w:after="0" w:line="170" w:lineRule="exact"/>
        <w:rPr>
          <w:rFonts w:ascii="Arial" w:cs="Arial" w:eastAsia="Arial" w:hAnsi="Arial"/>
          <w:sz w:val="18"/>
          <w:szCs w:val="18"/>
          <w:color w:val="auto"/>
        </w:rPr>
      </w:pPr>
    </w:p>
    <w:p>
      <w:pPr>
        <w:ind w:left="-60" w:right="240" w:firstLine="921"/>
        <w:spacing w:after="0" w:line="277" w:lineRule="auto"/>
        <w:tabs>
          <w:tab w:leader="none" w:pos="107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Landlord will reimburse Tenant for its respective share of any refund of Taxes received as a result of any tax contest minus their respective share of expenses incurred by Landlord in order to obtain the refund.</w:t>
      </w:r>
    </w:p>
    <w:p>
      <w:pPr>
        <w:spacing w:after="0" w:line="166" w:lineRule="exact"/>
        <w:rPr>
          <w:rFonts w:ascii="Arial" w:cs="Arial" w:eastAsia="Arial" w:hAnsi="Arial"/>
          <w:sz w:val="18"/>
          <w:szCs w:val="18"/>
          <w:color w:val="auto"/>
        </w:rPr>
      </w:pPr>
    </w:p>
    <w:p>
      <w:pPr>
        <w:ind w:left="-60" w:right="20" w:firstLine="921"/>
        <w:spacing w:after="0" w:line="282" w:lineRule="auto"/>
        <w:tabs>
          <w:tab w:leader="none" w:pos="1108" w:val="left"/>
        </w:tabs>
        <w:numPr>
          <w:ilvl w:val="0"/>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Part Years</w:t>
      </w:r>
      <w:r>
        <w:rPr>
          <w:rFonts w:ascii="Arial" w:cs="Arial" w:eastAsia="Arial" w:hAnsi="Arial"/>
          <w:sz w:val="18"/>
          <w:szCs w:val="18"/>
          <w:color w:val="auto"/>
        </w:rPr>
        <w:t>. If the Term Commencement Date or the Expiration Date occurs in the middle of a Tax Period, Tenant shall be liable for only that</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Taxes, as the case may be, with respect to such Tax Period within the Term.</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5.4 Late Payments.</w:t>
      </w:r>
    </w:p>
    <w:p>
      <w:pPr>
        <w:spacing w:after="0" w:line="121" w:lineRule="exact"/>
        <w:rPr>
          <w:sz w:val="20"/>
          <w:szCs w:val="20"/>
          <w:color w:val="auto"/>
        </w:rPr>
      </w:pPr>
    </w:p>
    <w:p>
      <w:pPr>
        <w:jc w:val="both"/>
        <w:ind w:left="-60" w:right="80" w:firstLine="921"/>
        <w:spacing w:after="0" w:line="264" w:lineRule="auto"/>
        <w:tabs>
          <w:tab w:leader="none" w:pos="109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payment of Rent due hereunder not paid within five (5) business days after the same is due shall bear interest for each month or fraction thereof from the due date until paid in full at the rate of ten (10%) percent per annum, or at any applicable lesser maximum legally permissible rate for debts of this nature (the “</w:t>
      </w:r>
      <w:r>
        <w:rPr>
          <w:rFonts w:ascii="Arial" w:cs="Arial" w:eastAsia="Arial" w:hAnsi="Arial"/>
          <w:sz w:val="18"/>
          <w:szCs w:val="18"/>
          <w:b w:val="1"/>
          <w:bCs w:val="1"/>
          <w:u w:val="single" w:color="auto"/>
          <w:color w:val="auto"/>
        </w:rPr>
        <w:t>Lease Interest Rate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0" w:right="80" w:firstLine="921"/>
        <w:spacing w:after="0" w:line="273" w:lineRule="auto"/>
        <w:tabs>
          <w:tab w:leader="none" w:pos="110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Additionally, if Tenant fails to make any payment within five (5) business days after the due date therefor, Landlord may charge Tenant a fee (“</w:t>
      </w:r>
      <w:r>
        <w:rPr>
          <w:rFonts w:ascii="Arial" w:cs="Arial" w:eastAsia="Arial" w:hAnsi="Arial"/>
          <w:sz w:val="17"/>
          <w:szCs w:val="17"/>
          <w:b w:val="1"/>
          <w:bCs w:val="1"/>
          <w:u w:val="single" w:color="auto"/>
          <w:color w:val="auto"/>
        </w:rPr>
        <w:t>Late Fee</w:t>
      </w:r>
      <w:r>
        <w:rPr>
          <w:rFonts w:ascii="Arial" w:cs="Arial" w:eastAsia="Arial" w:hAnsi="Arial"/>
          <w:sz w:val="17"/>
          <w:szCs w:val="17"/>
          <w:color w:val="auto"/>
        </w:rPr>
        <w:t>”), which shall constitute liquidated damages, equal to One Thousand and NO/100 Dollars ($1,000.00) for each such late payment. Notwithstanding the foregoing, Landlord agrees that no Late Fee shall be due with respect to any payment due from Tenant during any calendar year, unless an Initial Late Fee Event has previously occurred during such twelve (12) month period. An “</w:t>
      </w:r>
      <w:r>
        <w:rPr>
          <w:rFonts w:ascii="Arial" w:cs="Arial" w:eastAsia="Arial" w:hAnsi="Arial"/>
          <w:sz w:val="17"/>
          <w:szCs w:val="17"/>
          <w:b w:val="1"/>
          <w:bCs w:val="1"/>
          <w:u w:val="single" w:color="auto"/>
          <w:color w:val="auto"/>
        </w:rPr>
        <w:t>Initial Late Fee Event</w:t>
      </w:r>
      <w:r>
        <w:rPr>
          <w:rFonts w:ascii="Arial" w:cs="Arial" w:eastAsia="Arial" w:hAnsi="Arial"/>
          <w:sz w:val="17"/>
          <w:szCs w:val="17"/>
          <w:color w:val="auto"/>
        </w:rPr>
        <w:t>” shall mean any failure by Tenant to make a payment when due, which failure is not cured on or before the date five (5) business days after Landlord gives Tenant written notice that such payment is past due. Landlord agrees to waive the Late Fee with respect to the Initial Late Fee Event which occurs in any calendar year.</w:t>
      </w:r>
    </w:p>
    <w:p>
      <w:pPr>
        <w:spacing w:after="0" w:line="178" w:lineRule="exact"/>
        <w:rPr>
          <w:rFonts w:ascii="Arial" w:cs="Arial" w:eastAsia="Arial" w:hAnsi="Arial"/>
          <w:sz w:val="17"/>
          <w:szCs w:val="17"/>
          <w:color w:val="auto"/>
        </w:rPr>
      </w:pPr>
    </w:p>
    <w:p>
      <w:pPr>
        <w:ind w:left="-60" w:right="180" w:firstLine="921"/>
        <w:spacing w:after="0" w:line="277" w:lineRule="auto"/>
        <w:tabs>
          <w:tab w:leader="none" w:pos="109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For each Tenant payment check to Landlord that is returned by a bank for any reason, Tenant shall pay a returned check charge equal to the amount as shall be customarily charged by Landlord’s bank at the time.</w:t>
      </w:r>
    </w:p>
    <w:p>
      <w:pPr>
        <w:spacing w:after="0" w:line="170" w:lineRule="exact"/>
        <w:rPr>
          <w:rFonts w:ascii="Arial" w:cs="Arial" w:eastAsia="Arial" w:hAnsi="Arial"/>
          <w:sz w:val="18"/>
          <w:szCs w:val="18"/>
          <w:color w:val="auto"/>
        </w:rPr>
      </w:pPr>
    </w:p>
    <w:p>
      <w:pPr>
        <w:ind w:left="-60" w:right="140" w:firstLine="921"/>
        <w:spacing w:after="0" w:line="342" w:lineRule="auto"/>
        <w:tabs>
          <w:tab w:leader="none" w:pos="110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Money paid by Tenant to Landlord shall be applied to Tenant’s account in the following order: first, to any unpaid additional rent, including without limitation late charges, returned check charges, legal fees and/or court costs chargeable to Tenant hereunder; and then to unpaid Base Rent.</w:t>
      </w:r>
    </w:p>
    <w:p>
      <w:pPr>
        <w:spacing w:after="0" w:line="123" w:lineRule="exact"/>
        <w:rPr>
          <w:rFonts w:ascii="Arial" w:cs="Arial" w:eastAsia="Arial" w:hAnsi="Arial"/>
          <w:sz w:val="16"/>
          <w:szCs w:val="16"/>
          <w:color w:val="auto"/>
        </w:rPr>
      </w:pPr>
    </w:p>
    <w:p>
      <w:pPr>
        <w:ind w:left="-60" w:right="20" w:firstLine="921"/>
        <w:spacing w:after="0" w:line="255" w:lineRule="auto"/>
        <w:tabs>
          <w:tab w:leader="none" w:pos="109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parties agree that the late charge referenced in Section 5.4(b) represents a fair and reasonable estimate of the costs that Landlord will incur by reason of any late payment by Tenant, and the payment of late charges and interest are distinct and separate in that the payment of interest is to compensate Landlord for the use of Landlord’s money by Tenant, while the payment of late charges is to compensate Landlord for Landlords processing, administrative and other costs incurred by Landlord as a result of Tenant’s delinquent payments. Acceptance of a late charge or interest shall not constitute a waiver of Tenant’s default with respect to the overdue amount or prevent Landlord from exercising any of the other rights and remedies available to Landlord under this Lease or at law or in equity now or hereafter in effect.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20"/>
          </w:cols>
          <w:pgMar w:left="300" w:top="273" w:right="279" w:bottom="1440" w:gutter="0" w:footer="0" w:header="0"/>
        </w:sectPr>
      </w:pPr>
    </w:p>
    <w:bookmarkStart w:id="361" w:name="page362"/>
    <w:bookmarkEnd w:id="361"/>
    <w:p>
      <w:pPr>
        <w:ind w:right="14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 No Offset; Independent Covenants; Waiver</w:t>
      </w:r>
      <w:r>
        <w:rPr>
          <w:rFonts w:ascii="Arial" w:cs="Arial" w:eastAsia="Arial" w:hAnsi="Arial"/>
          <w:sz w:val="16"/>
          <w:szCs w:val="16"/>
          <w:color w:val="auto"/>
        </w:rPr>
        <w:t>. Rent shall be paid without notice or demand, and without setoff, counterclaim, defense, abatement,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suspension, deferment, reduction or deduction, except as expressly provided herein. </w:t>
      </w:r>
      <w:r>
        <w:rPr>
          <w:rFonts w:ascii="Arial" w:cs="Arial" w:eastAsia="Arial" w:hAnsi="Arial"/>
          <w:sz w:val="16"/>
          <w:szCs w:val="16"/>
          <w:b w:val="1"/>
          <w:bCs w:val="1"/>
          <w:color w:val="auto"/>
        </w:rPr>
        <w:t>TENANT WAIVES ALL RIGHTS (I) TO ANY ABATEMENT,</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color w:val="auto"/>
        </w:rPr>
        <w:t xml:space="preserve">SUSPENSION, DEFERMENT, REDUCTION OR DEDUCTION OF OR FROM RENT (EXCEPT AS EXPRESSLY SET FORTH IN SECTION 10.5 OF THE LEASE), AND (II) TO QUIT, TERMINATE OR SURRENDER THIS LEASE OR THE PREMISES OR ANY PART THEREOF, EXCEPT AS EXPRESSLY PROVIDED HEREIN. TENANT HEREBY ACKNOWLEDGES AND AGREES THAT THE OBLIGATIONS OF TENANT HEREUNDER SHALL BE SEPARATE AND INDEPENDENT COVENANTS AND AGREEMENTS, THAT RENT SHALL CONTINUE TO BE PAYABLE IN ALL EVENTS AND THAT THE OBLIGATIONS OF TENANT HEREUNDER SHALL CONTINUE UNAFFECTED, UNLESS THE REQUIREMENT TO PAY OR PERFORM THE SAME SHALL HAVE BEEN TERMINATED PURSUANT TO AN EXPRESS PROVISION OF THIS LEASE. LANDLORD AND TENANT EACH ACKNOWLEDGES AND AGREES THAT THE INDEPENDENT NATURE OF THE OBLIGATIONS OF TENANT HEREUNDER REPRESENTS FAIR, REASONABLE, AND ACCEPTED COMMERCIAL PRACTICE WITH RESPECT TO THE TYPE OF PROPERTY SUBJECT TO THIS LEASE, AND THAT THIS AGREEMENT IS THE PRODUCT OF FREE AND INFORMED NEGOTIATION DURING WHICH BOTH LANDLORD AND TENANT WERE REPRESENTED BY COUNSEL SKILLED IN NEGOTIATING AND DRAFTING COMMERCIAL LEASES IN MASSACHUSETTS, AND THAT THE ACKNOWLEDGEMENTS AND AGREEMENTS CONTAINED HEREIN ARE MADE WITH FULL KNOWLEDGE OF THE HOLDING IN </w:t>
      </w:r>
      <w:r>
        <w:rPr>
          <w:rFonts w:ascii="Arial" w:cs="Arial" w:eastAsia="Arial" w:hAnsi="Arial"/>
          <w:sz w:val="18"/>
          <w:szCs w:val="18"/>
          <w:b w:val="1"/>
          <w:bCs w:val="1"/>
          <w:u w:val="single" w:color="auto"/>
          <w:color w:val="auto"/>
        </w:rPr>
        <w:t>WESSON V. LEONE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ENTERPRISES, INC.,</w:t>
      </w:r>
      <w:r>
        <w:rPr>
          <w:rFonts w:ascii="Arial" w:cs="Arial" w:eastAsia="Arial" w:hAnsi="Arial"/>
          <w:sz w:val="18"/>
          <w:szCs w:val="18"/>
          <w:b w:val="1"/>
          <w:bCs w:val="1"/>
          <w:color w:val="auto"/>
        </w:rPr>
        <w:t xml:space="preserve"> 437 MASS. 708 (2002). SUCH ACKNOWLEDGEMENTS, AGREEMENTS AND WAIVERS BY TENANT ARE A MATERIAL INDUCEMENT TO LANDLORD ENTERING INTO THIS LEASE.</w:t>
      </w:r>
    </w:p>
    <w:p>
      <w:pPr>
        <w:spacing w:after="0" w:line="19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5.6 Survival</w:t>
      </w:r>
      <w:r>
        <w:rPr>
          <w:rFonts w:ascii="Arial" w:cs="Arial" w:eastAsia="Arial" w:hAnsi="Arial"/>
          <w:sz w:val="18"/>
          <w:szCs w:val="18"/>
          <w:color w:val="auto"/>
        </w:rPr>
        <w:t>. Any obligations under this Section 5 which shall not have been paid at the expiration or earlier termination of the Term shall survive such</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or earlier termination and shall be paid when and as the amount of same shall be determined and be due.</w:t>
      </w:r>
    </w:p>
    <w:p>
      <w:pPr>
        <w:spacing w:after="0" w:line="270" w:lineRule="exact"/>
        <w:rPr>
          <w:sz w:val="20"/>
          <w:szCs w:val="20"/>
          <w:color w:val="auto"/>
        </w:rPr>
      </w:pPr>
    </w:p>
    <w:p>
      <w:pPr>
        <w:ind w:left="640" w:hanging="176"/>
        <w:spacing w:after="0"/>
        <w:tabs>
          <w:tab w:leader="none" w:pos="64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17" w:lineRule="exact"/>
        <w:rPr>
          <w:rFonts w:ascii="Arial" w:cs="Arial" w:eastAsia="Arial" w:hAnsi="Arial"/>
          <w:sz w:val="18"/>
          <w:szCs w:val="18"/>
          <w:b w:val="1"/>
          <w:bCs w:val="1"/>
          <w:color w:val="auto"/>
        </w:rPr>
      </w:pPr>
    </w:p>
    <w:p>
      <w:pPr>
        <w:ind w:left="640" w:hanging="176"/>
        <w:spacing w:after="0"/>
        <w:tabs>
          <w:tab w:leader="none" w:pos="64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LETTER OF CREDIT/CASH SECURITY DEPOSIT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Amount</w:t>
      </w:r>
      <w:r>
        <w:rPr>
          <w:rFonts w:ascii="Arial" w:cs="Arial" w:eastAsia="Arial" w:hAnsi="Arial"/>
          <w:sz w:val="17"/>
          <w:szCs w:val="17"/>
          <w:color w:val="auto"/>
        </w:rPr>
        <w:t>. Contemporaneously with the execution of this Lease, Tenant shall deliver either (i) cash in the amount (the “</w:t>
      </w:r>
      <w:r>
        <w:rPr>
          <w:rFonts w:ascii="Arial" w:cs="Arial" w:eastAsia="Arial" w:hAnsi="Arial"/>
          <w:sz w:val="17"/>
          <w:szCs w:val="17"/>
          <w:b w:val="1"/>
          <w:bCs w:val="1"/>
          <w:u w:val="single" w:color="auto"/>
          <w:color w:val="auto"/>
        </w:rPr>
        <w:t>Security Amount</w:t>
      </w:r>
      <w:r>
        <w:rPr>
          <w:rFonts w:ascii="Arial" w:cs="Arial" w:eastAsia="Arial" w:hAnsi="Arial"/>
          <w:sz w:val="17"/>
          <w:szCs w:val="17"/>
          <w:color w:val="auto"/>
        </w:rPr>
        <w:t>”)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Lease Summary Sheet (the “</w:t>
      </w:r>
      <w:r>
        <w:rPr>
          <w:rFonts w:ascii="Arial" w:cs="Arial" w:eastAsia="Arial" w:hAnsi="Arial"/>
          <w:sz w:val="17"/>
          <w:szCs w:val="17"/>
          <w:b w:val="1"/>
          <w:bCs w:val="1"/>
          <w:u w:val="single" w:color="auto"/>
          <w:color w:val="auto"/>
        </w:rPr>
        <w:t>Cash Security Deposit</w:t>
      </w:r>
      <w:r>
        <w:rPr>
          <w:rFonts w:ascii="Arial" w:cs="Arial" w:eastAsia="Arial" w:hAnsi="Arial"/>
          <w:sz w:val="17"/>
          <w:szCs w:val="17"/>
          <w:color w:val="auto"/>
        </w:rPr>
        <w:t>”), which shall be held by Landlord in accordance with Section 7.5 below, or (ii) an irrevocable letter of credit to Landlord which shall be (a) in the amount (the “</w:t>
      </w:r>
      <w:r>
        <w:rPr>
          <w:rFonts w:ascii="Arial" w:cs="Arial" w:eastAsia="Arial" w:hAnsi="Arial"/>
          <w:sz w:val="17"/>
          <w:szCs w:val="17"/>
          <w:b w:val="1"/>
          <w:bCs w:val="1"/>
          <w:u w:val="single" w:color="auto"/>
          <w:color w:val="auto"/>
        </w:rPr>
        <w:t>Security Amount</w:t>
      </w:r>
      <w:r>
        <w:rPr>
          <w:rFonts w:ascii="Arial" w:cs="Arial" w:eastAsia="Arial" w:hAnsi="Arial"/>
          <w:sz w:val="17"/>
          <w:szCs w:val="17"/>
          <w:color w:val="auto"/>
        </w:rPr>
        <w:t xml:space="preserve">”) specified in the Lease Summary Sheet, (b) substantially in the form attached hereto as </w:t>
      </w:r>
      <w:r>
        <w:rPr>
          <w:rFonts w:ascii="Arial" w:cs="Arial" w:eastAsia="Arial" w:hAnsi="Arial"/>
          <w:sz w:val="17"/>
          <w:szCs w:val="17"/>
          <w:b w:val="1"/>
          <w:bCs w:val="1"/>
          <w:u w:val="single" w:color="auto"/>
          <w:color w:val="auto"/>
        </w:rPr>
        <w:t>Exhibit 5</w:t>
      </w:r>
      <w:r>
        <w:rPr>
          <w:rFonts w:ascii="Arial" w:cs="Arial" w:eastAsia="Arial" w:hAnsi="Arial"/>
          <w:sz w:val="17"/>
          <w:szCs w:val="17"/>
          <w:color w:val="auto"/>
        </w:rPr>
        <w:t>; (c) issued by a bank with a rating of A or better and otherwise reasonably acceptable to Landlord upon which presentment may be made in Boston, Massachusetts; and (d) for a term of one (1) year, subject to extension in accordance with the terms hereof (the “</w:t>
      </w:r>
      <w:r>
        <w:rPr>
          <w:rFonts w:ascii="Arial" w:cs="Arial" w:eastAsia="Arial" w:hAnsi="Arial"/>
          <w:sz w:val="17"/>
          <w:szCs w:val="17"/>
          <w:b w:val="1"/>
          <w:bCs w:val="1"/>
          <w:u w:val="single" w:color="auto"/>
          <w:color w:val="auto"/>
        </w:rPr>
        <w:t>Letter of Credit</w:t>
      </w:r>
      <w:r>
        <w:rPr>
          <w:rFonts w:ascii="Arial" w:cs="Arial" w:eastAsia="Arial" w:hAnsi="Arial"/>
          <w:sz w:val="17"/>
          <w:szCs w:val="17"/>
          <w:color w:val="auto"/>
        </w:rPr>
        <w:t>”). The Letter of Credit shall be held by Landlord, without liability for interest, as security for the faithful performance by Tenant of all of the terms, covenants and conditions of this Lease by the Tenant to be kept and performed during the Term.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270" w:right="239" w:bottom="1440" w:gutter="0" w:footer="0" w:header="0"/>
        </w:sectPr>
      </w:pPr>
    </w:p>
    <w:bookmarkStart w:id="362" w:name="page363"/>
    <w:bookmarkEnd w:id="36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the Letter of Credit be deemed to be a prepayment of Rent nor shall it be considered a measure of liquidated damages. Unless the Letter of Credit is automatically renewing, at least thirty (30) days prior to the maturity date of the Letter of Credit (or any replacement Letter of Credit), Tenant shall deliver to Landlord a replacement Letter of Credit which shall have a maturity date no earlier than the next anniversary of the Commencement Date or one (1) year from its date of delivery to Landlord, whichever is later.</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7.2 Application of Proceeds of Letter of Credit</w:t>
      </w:r>
      <w:r>
        <w:rPr>
          <w:rFonts w:ascii="Arial" w:cs="Arial" w:eastAsia="Arial" w:hAnsi="Arial"/>
          <w:sz w:val="17"/>
          <w:szCs w:val="17"/>
          <w:color w:val="auto"/>
        </w:rPr>
        <w:t>. Upon an Event of Default, or if any proceeding shall be instituted by or against Tenant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provisions of any Act of Congress or State law relating to bankruptcy, reorganizations, arrangements, compositions or other relief from creditors (and, in the case of any proceeding instituted against it, if Tenant shall fail to have such proceedings dismissed within thirty (30) days) or if Tenant is adjudged bankrupt or insolvent as a result of any such proceeding, Landlord at its sole option may draw down all or a part of the Letter of Credit. The balance of any Letter of Credit cash proceeds (after applying the amount drawn to cure Tenant’s default and/or to Landlord’s damages arising therefrom) shall be held in accordance with Section 7.5 below. Should the entire Letter of Credit, or any portion thereof, be drawn down by Landlord, Tenant shall, upon the written demand of Landlord, deliver a replacement Letter of Credit in the amount drawn, and Tenant’s failure to do so within ten (10) days after receipt of such written demand shall constitute an additional Event of Default hereunder. Upon delivery of such replacement Letter of Credit, Landlord shall return to Tenant the balance of any Letter of Credit cash proceeds that are being held in accordance with Section 7.5 below. The application of all or any part of the cash proceeds of the Letter of Credit to any obligation or default of Tenant under this Lease shall not deprive Landlord of any other rights or remedies Landlord may have nor shall such application by Landlord constitute a waiver by Landlord.</w:t>
      </w:r>
    </w:p>
    <w:p>
      <w:pPr>
        <w:spacing w:after="0" w:line="174"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7.3 Transfer of Letter of Credit</w:t>
      </w:r>
      <w:r>
        <w:rPr>
          <w:rFonts w:ascii="Arial" w:cs="Arial" w:eastAsia="Arial" w:hAnsi="Arial"/>
          <w:sz w:val="16"/>
          <w:szCs w:val="16"/>
          <w:color w:val="auto"/>
        </w:rPr>
        <w:t>. In the event that Landlord transfers its interest in the Premises, Tenant shall upon notice from Landlord, deliver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 amendment to the Letter of Credit or a replacement Letter of Credit naming Landlord’s successor as the beneficiary thereof If Tenant fails to deliver such amendment or replacement within ten (10) days after written notice from Landlord, Landlord shall have the right to draw down the entire amount of the Letter of Credit and hold the proceeds thereof in accordance with Section 7.5 below. Landlord shall pay the fee charged by the issuer of the Letter of Credit in connection with any such transfer, provided, however, in connection with the first such transfer, Tenant shall pay to Landlord, as additional rent, an amount equal to such fee charged by the issuer, which payment shall be made within thirty (30) days after demand therefor.</w:t>
      </w:r>
    </w:p>
    <w:p>
      <w:pPr>
        <w:spacing w:after="0" w:line="15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7.4 Credit of Issuer of Letter of Credit</w:t>
      </w:r>
      <w:r>
        <w:rPr>
          <w:rFonts w:ascii="Arial" w:cs="Arial" w:eastAsia="Arial" w:hAnsi="Arial"/>
          <w:sz w:val="16"/>
          <w:szCs w:val="16"/>
          <w:color w:val="auto"/>
        </w:rPr>
        <w:t>. In event of a material adverse change in the financial position of any bank or institution which has issued the</w:t>
      </w:r>
      <w:r>
        <w:rPr>
          <w:rFonts w:ascii="Arial" w:cs="Arial" w:eastAsia="Arial" w:hAnsi="Arial"/>
          <w:sz w:val="16"/>
          <w:szCs w:val="16"/>
          <w:b w:val="1"/>
          <w:bCs w:val="1"/>
          <w:color w:val="auto"/>
        </w:rPr>
        <w:t xml:space="preserve"> </w:t>
      </w:r>
      <w:r>
        <w:rPr>
          <w:rFonts w:ascii="Arial" w:cs="Arial" w:eastAsia="Arial" w:hAnsi="Arial"/>
          <w:sz w:val="16"/>
          <w:szCs w:val="16"/>
          <w:color w:val="auto"/>
        </w:rPr>
        <w:t>Letter of Credit or any replacement Letter of Credit hereunder, Landlord reserves the right to require that Tenant change the issuing bank or institution to another bank or institution reasonably approved by Landlord. Tenant shall, within ten (10) days after receipt of written notice from Landlord, which notice shall include the basis for Landlord’s reasonable belief that there has been a material adverse change in the financial position of the issuer of the Letter of Credit, replace the then-outstanding letter of credit with a like Letter of Credit from another bank or institution approved by Landlord.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00"/>
          </w:cols>
          <w:pgMar w:left="240" w:top="274" w:right="259" w:bottom="1440" w:gutter="0" w:footer="0" w:header="0"/>
        </w:sectPr>
      </w:pPr>
    </w:p>
    <w:bookmarkStart w:id="363" w:name="page364"/>
    <w:bookmarkEnd w:id="363"/>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7.5 Cash Proceeds of Letter of Credit</w:t>
      </w:r>
      <w:r>
        <w:rPr>
          <w:rFonts w:ascii="Arial" w:cs="Arial" w:eastAsia="Arial" w:hAnsi="Arial"/>
          <w:sz w:val="18"/>
          <w:szCs w:val="18"/>
          <w:color w:val="auto"/>
        </w:rPr>
        <w:t>. Landlord shall hold the Cash Security Deposit and/or the balance of proceeds remaining after a draw on the</w:t>
      </w:r>
      <w:r>
        <w:rPr>
          <w:rFonts w:ascii="Arial" w:cs="Arial" w:eastAsia="Arial" w:hAnsi="Arial"/>
          <w:sz w:val="18"/>
          <w:szCs w:val="18"/>
          <w:b w:val="1"/>
          <w:bCs w:val="1"/>
          <w:color w:val="auto"/>
        </w:rPr>
        <w:t xml:space="preserve"> </w:t>
      </w:r>
      <w:r>
        <w:rPr>
          <w:rFonts w:ascii="Arial" w:cs="Arial" w:eastAsia="Arial" w:hAnsi="Arial"/>
          <w:sz w:val="18"/>
          <w:szCs w:val="18"/>
          <w:color w:val="auto"/>
        </w:rPr>
        <w:t>Letter of Credit (each hereinafter referred to as the “</w:t>
      </w: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 as security for Tenant’s performance of all its Lease obligations. After an Event of Default, Landlord may apply the Security Deposit, or any part thereof, to Landlord’s damages without prejudice to any other Landlord remedy. Landlord has no obligation to pay interest on the Security Deposit and may co-mingle the Security Deposit with Landlord’s funds. If Landlord conveys its interest under this Lease, the Security Deposit, or any part not applied previously, shall be turned over to the grantee in which case Tenant shall look solely to the grantee for the proper application and return of the Security Deposit.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Reductions in the Amount of Letter of Credit.</w:t>
      </w:r>
    </w:p>
    <w:p>
      <w:pPr>
        <w:spacing w:after="0" w:line="121" w:lineRule="exact"/>
        <w:rPr>
          <w:sz w:val="20"/>
          <w:szCs w:val="20"/>
          <w:color w:val="auto"/>
        </w:rPr>
      </w:pPr>
    </w:p>
    <w:p>
      <w:pPr>
        <w:ind w:right="120" w:firstLine="921"/>
        <w:spacing w:after="0" w:line="293" w:lineRule="auto"/>
        <w:tabs>
          <w:tab w:leader="none" w:pos="1158" w:val="left"/>
        </w:tabs>
        <w:numPr>
          <w:ilvl w:val="1"/>
          <w:numId w:val="276"/>
        </w:numPr>
        <w:rPr>
          <w:rFonts w:ascii="Arial" w:cs="Arial" w:eastAsia="Arial" w:hAnsi="Arial"/>
          <w:sz w:val="16"/>
          <w:szCs w:val="16"/>
          <w:color w:val="auto"/>
        </w:rPr>
      </w:pPr>
      <w:r>
        <w:rPr>
          <w:rFonts w:ascii="Arial" w:cs="Arial" w:eastAsia="Arial" w:hAnsi="Arial"/>
          <w:sz w:val="16"/>
          <w:szCs w:val="16"/>
          <w:color w:val="auto"/>
        </w:rPr>
        <w:t>If Tenant satisfies the Base Security Reduction Conditions, as hereinafter defined, then the Security Amount shall be reduced to $800,000 as of the Base Security Reduction Date, as hereinafter defined occurs. If, in addition to satisfying the Base Security Reduction Conditions, Tenant also satisfies the applicable Maximum Security Reduction Conditions, as hereinafter defined, then: (i) the Security Amount shall be reduced to $650,000 as of the third anniversary of the Term Commencement Date (“</w:t>
      </w:r>
      <w:r>
        <w:rPr>
          <w:rFonts w:ascii="Arial" w:cs="Arial" w:eastAsia="Arial" w:hAnsi="Arial"/>
          <w:sz w:val="16"/>
          <w:szCs w:val="16"/>
          <w:b w:val="1"/>
          <w:bCs w:val="1"/>
          <w:color w:val="auto"/>
        </w:rPr>
        <w:t>Second Reduction</w:t>
      </w:r>
      <w:r>
        <w:rPr>
          <w:rFonts w:ascii="Arial" w:cs="Arial" w:eastAsia="Arial" w:hAnsi="Arial"/>
          <w:sz w:val="16"/>
          <w:szCs w:val="16"/>
          <w:color w:val="auto"/>
        </w:rPr>
        <w:t>”), and (ii) the Security Amount shall be further reduced to $500,000 as of the fourth anniversary of the Term Commencement Date (“</w:t>
      </w:r>
      <w:r>
        <w:rPr>
          <w:rFonts w:ascii="Arial" w:cs="Arial" w:eastAsia="Arial" w:hAnsi="Arial"/>
          <w:sz w:val="16"/>
          <w:szCs w:val="16"/>
          <w:b w:val="1"/>
          <w:bCs w:val="1"/>
          <w:color w:val="auto"/>
        </w:rPr>
        <w:t>Third Reduction</w:t>
      </w:r>
      <w:r>
        <w:rPr>
          <w:rFonts w:ascii="Arial" w:cs="Arial" w:eastAsia="Arial" w:hAnsi="Arial"/>
          <w:sz w:val="16"/>
          <w:szCs w:val="16"/>
          <w:color w:val="auto"/>
        </w:rPr>
        <w:t>”). In no event shall the Security Amount be reduced below $500,000. The Base Security Reduction Date and the third and fourth anniversaries of the Term Commencement Date are referred to collectively herein as “</w:t>
      </w:r>
      <w:r>
        <w:rPr>
          <w:rFonts w:ascii="Arial" w:cs="Arial" w:eastAsia="Arial" w:hAnsi="Arial"/>
          <w:sz w:val="16"/>
          <w:szCs w:val="16"/>
          <w:b w:val="1"/>
          <w:bCs w:val="1"/>
          <w:color w:val="auto"/>
        </w:rPr>
        <w:t>Reduction Dates</w:t>
      </w:r>
      <w:r>
        <w:rPr>
          <w:rFonts w:ascii="Arial" w:cs="Arial" w:eastAsia="Arial" w:hAnsi="Arial"/>
          <w:sz w:val="16"/>
          <w:szCs w:val="16"/>
          <w:color w:val="auto"/>
        </w:rPr>
        <w:t>”.</w:t>
      </w:r>
    </w:p>
    <w:p>
      <w:pPr>
        <w:spacing w:after="0" w:line="268" w:lineRule="exact"/>
        <w:rPr>
          <w:rFonts w:ascii="Arial" w:cs="Arial" w:eastAsia="Arial" w:hAnsi="Arial"/>
          <w:sz w:val="16"/>
          <w:szCs w:val="16"/>
          <w:color w:val="auto"/>
        </w:rPr>
      </w:pPr>
    </w:p>
    <w:p>
      <w:pPr>
        <w:ind w:left="1180" w:hanging="259"/>
        <w:spacing w:after="0"/>
        <w:tabs>
          <w:tab w:leader="none" w:pos="1180" w:val="left"/>
        </w:tabs>
        <w:numPr>
          <w:ilvl w:val="1"/>
          <w:numId w:val="276"/>
        </w:numPr>
        <w:rPr>
          <w:rFonts w:ascii="Arial" w:cs="Arial" w:eastAsia="Arial" w:hAnsi="Arial"/>
          <w:sz w:val="18"/>
          <w:szCs w:val="18"/>
          <w:color w:val="auto"/>
        </w:rPr>
      </w:pPr>
      <w:r>
        <w:rPr>
          <w:rFonts w:ascii="Arial" w:cs="Arial" w:eastAsia="Arial" w:hAnsi="Arial"/>
          <w:sz w:val="18"/>
          <w:szCs w:val="18"/>
          <w:b w:val="1"/>
          <w:bCs w:val="1"/>
          <w:u w:val="single" w:color="auto"/>
          <w:color w:val="auto"/>
        </w:rPr>
        <w:t>Reduction Conditions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95" w:lineRule="auto"/>
        <w:tabs>
          <w:tab w:leader="none" w:pos="111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Base Security Reduction Conditions</w:t>
      </w:r>
      <w:r>
        <w:rPr>
          <w:rFonts w:ascii="Arial" w:cs="Arial" w:eastAsia="Arial" w:hAnsi="Arial"/>
          <w:sz w:val="16"/>
          <w:szCs w:val="16"/>
          <w:color w:val="auto"/>
        </w:rPr>
        <w:t>” shall be deemed to be satisfied by Tenant, if all of the following occur: (x) Tenant is in full compliance with Tenant’s obligations under the Lease as of Base Security Reduction Date, as hereinafter defined, (y) there has been no monetary or material non-monetary Event of Default by Tenant prior to the Base Security Reduction Date, and (z) Tenant delivers to Landlord evidence, reasonably satisfactory to Landlord, that Tenant has received an aggregate Equity Infusion, as hereinafter defined during the period commencing as of the Execution Date of this Lease and expiring as of the second anniversary of the Term Commencement Date of not less than $50,000,000. The date that Tenant first satisfies all of the Base Security Reduction Conditions is referred to herein as the “</w:t>
      </w:r>
      <w:r>
        <w:rPr>
          <w:rFonts w:ascii="Arial" w:cs="Arial" w:eastAsia="Arial" w:hAnsi="Arial"/>
          <w:sz w:val="16"/>
          <w:szCs w:val="16"/>
          <w:b w:val="1"/>
          <w:bCs w:val="1"/>
          <w:color w:val="auto"/>
        </w:rPr>
        <w:t>Base Security Reduction Date</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460" w:right="160" w:firstLine="443"/>
        <w:spacing w:after="0" w:line="274" w:lineRule="auto"/>
        <w:tabs>
          <w:tab w:leader="none" w:pos="116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Maximum Security Reduction Conditions</w:t>
      </w:r>
      <w:r>
        <w:rPr>
          <w:rFonts w:ascii="Arial" w:cs="Arial" w:eastAsia="Arial" w:hAnsi="Arial"/>
          <w:sz w:val="17"/>
          <w:szCs w:val="17"/>
          <w:color w:val="auto"/>
        </w:rPr>
        <w:t xml:space="preserve">” shall be deemed to be satisfied by Tenant for the purposes of achieving the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Reduction</w:t>
      </w:r>
      <w:r>
        <w:rPr>
          <w:rFonts w:ascii="Arial" w:cs="Arial" w:eastAsia="Arial" w:hAnsi="Arial"/>
          <w:sz w:val="17"/>
          <w:szCs w:val="17"/>
          <w:color w:val="auto"/>
        </w:rPr>
        <w:t>, if all of the following occur: (x) Tenant is in full compliance with Tenant’s obligations under the Lease as of the third anniversary of the Term Commencement Date, (y) there has been no monetary or material non-monetary Event of Default by Tenant prior to the third anniversary of the Term Commencement Date, and (z) Tenant delivers to Landlord evidence, reasonably satisfactory to Landlord, that the aggregate amount of Equity Infusion and Net Revenue, as hereinafter defined, received by Tenant during the period commencing as of the Execution Date of this Lease and expiring as of the second anniversary of the Term Commencement Date of not less than $150,000,000.</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00"/>
          </w:cols>
          <w:pgMar w:left="240" w:top="270" w:right="259" w:bottom="1440" w:gutter="0" w:footer="0" w:header="0"/>
        </w:sectPr>
      </w:pPr>
    </w:p>
    <w:bookmarkStart w:id="364" w:name="page365"/>
    <w:bookmarkEnd w:id="364"/>
    <w:p>
      <w:pPr>
        <w:ind w:left="460" w:right="60" w:firstLine="443"/>
        <w:spacing w:after="0" w:line="256" w:lineRule="auto"/>
        <w:tabs>
          <w:tab w:leader="none" w:pos="1213"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8"/>
          <w:szCs w:val="18"/>
          <w:b w:val="1"/>
          <w:bCs w:val="1"/>
          <w:color w:val="auto"/>
        </w:rPr>
        <w:t>Maximum Security Reduction Conditions</w:t>
      </w:r>
      <w:r>
        <w:rPr>
          <w:rFonts w:ascii="Arial" w:cs="Arial" w:eastAsia="Arial" w:hAnsi="Arial"/>
          <w:sz w:val="18"/>
          <w:szCs w:val="18"/>
          <w:color w:val="auto"/>
        </w:rPr>
        <w:t xml:space="preserve">” shall be deemed to be satisfied by Tenant for the purposes of achieving the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Reduction</w:t>
      </w:r>
      <w:r>
        <w:rPr>
          <w:rFonts w:ascii="Arial" w:cs="Arial" w:eastAsia="Arial" w:hAnsi="Arial"/>
          <w:sz w:val="18"/>
          <w:szCs w:val="18"/>
          <w:color w:val="auto"/>
        </w:rPr>
        <w:t>, if all of the following occur: (x) Tenant is in full compliance with Tenant’s obligations under the Lease as of the fourth anniversary of the Term Commencement Date, (y) there has been no monetary or material non-monetary Event of Default by Tenant prior to the fourth anniversary of the Term Commencement Date, and (z) the aggregate amount of Equity Infusion and Net Revenue, as hereinafter defined, received by Tenant during the period commencing as of the Execution Date of this Lease and expiring as of the second anniversary of the Term Commencement Date of not less than $150,000,000.</w:t>
      </w:r>
    </w:p>
    <w:p>
      <w:pPr>
        <w:spacing w:after="0" w:line="79" w:lineRule="exact"/>
        <w:rPr>
          <w:rFonts w:ascii="Arial" w:cs="Arial" w:eastAsia="Arial" w:hAnsi="Arial"/>
          <w:sz w:val="18"/>
          <w:szCs w:val="18"/>
          <w:color w:val="auto"/>
        </w:rPr>
      </w:pPr>
    </w:p>
    <w:p>
      <w:pPr>
        <w:ind w:left="460" w:right="160" w:firstLine="443"/>
        <w:spacing w:after="0" w:line="347" w:lineRule="auto"/>
        <w:tabs>
          <w:tab w:leader="none" w:pos="120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Infusion</w:t>
      </w:r>
      <w:r>
        <w:rPr>
          <w:rFonts w:ascii="Arial" w:cs="Arial" w:eastAsia="Arial" w:hAnsi="Arial"/>
          <w:sz w:val="16"/>
          <w:szCs w:val="16"/>
          <w:color w:val="auto"/>
        </w:rPr>
        <w:t>” shall be defined as defined as the sale of treasury stock or other equity interests directly in the Tenant entity itself which are owned by the Tenant entity so that, as the Tenant entity itself receives the proceeds of such sale and are considered to be assets of Tenant.</w:t>
      </w:r>
    </w:p>
    <w:p>
      <w:pPr>
        <w:spacing w:after="0" w:line="8" w:lineRule="exact"/>
        <w:rPr>
          <w:rFonts w:ascii="Arial" w:cs="Arial" w:eastAsia="Arial" w:hAnsi="Arial"/>
          <w:sz w:val="16"/>
          <w:szCs w:val="16"/>
          <w:color w:val="auto"/>
        </w:rPr>
      </w:pPr>
    </w:p>
    <w:p>
      <w:pPr>
        <w:ind w:left="460" w:right="420" w:firstLine="443"/>
        <w:spacing w:after="0" w:line="282" w:lineRule="auto"/>
        <w:tabs>
          <w:tab w:leader="none" w:pos="115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Revenue</w:t>
      </w:r>
      <w:r>
        <w:rPr>
          <w:rFonts w:ascii="Arial" w:cs="Arial" w:eastAsia="Arial" w:hAnsi="Arial"/>
          <w:sz w:val="18"/>
          <w:szCs w:val="18"/>
          <w:color w:val="auto"/>
        </w:rPr>
        <w:t>” shall be defined, for any period, as the gross income received by Tenant from the sale of goods and services during such period, net of all costs incurred by Tenant in operating its business during such period.</w:t>
      </w:r>
    </w:p>
    <w:p>
      <w:pPr>
        <w:spacing w:after="0" w:line="165" w:lineRule="exact"/>
        <w:rPr>
          <w:rFonts w:ascii="Arial" w:cs="Arial" w:eastAsia="Arial" w:hAnsi="Arial"/>
          <w:sz w:val="18"/>
          <w:szCs w:val="18"/>
          <w:color w:val="auto"/>
        </w:rPr>
      </w:pPr>
    </w:p>
    <w:p>
      <w:pPr>
        <w:ind w:firstLine="921"/>
        <w:spacing w:after="0" w:line="259" w:lineRule="auto"/>
        <w:tabs>
          <w:tab w:leader="none" w:pos="1158"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If Landlord declines to reduce the Security Amount as of a Reduction Date as the result of Tenant’s failure to satisfy any applicable Reduction Condition, but Tenant subsequently satisfies all necessary Reduction Conditions after the applicable Reduction Date, then the Security Amount shall, on the date that Tenant satisfies all necessary Reduction Conditions applicable to such Reduction Date, be reduced to the reduced Security Amount applicable to the Reduction Date in question.</w:t>
      </w:r>
    </w:p>
    <w:p>
      <w:pPr>
        <w:spacing w:after="0" w:line="186" w:lineRule="exact"/>
        <w:rPr>
          <w:rFonts w:ascii="Arial" w:cs="Arial" w:eastAsia="Arial" w:hAnsi="Arial"/>
          <w:sz w:val="18"/>
          <w:szCs w:val="18"/>
          <w:color w:val="auto"/>
        </w:rPr>
      </w:pPr>
    </w:p>
    <w:p>
      <w:pPr>
        <w:ind w:right="160" w:firstLine="921"/>
        <w:spacing w:after="0" w:line="255" w:lineRule="auto"/>
        <w:tabs>
          <w:tab w:leader="none" w:pos="1168"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such reduction in the Security Amount shall be effected within ten (10) business days of Tenant’s written request made after the applicable Reduction Date. If Landlord is then holding a Letter(s) of Credit rather than a cash security deposit, the reduction in the Security Amount may be effected by either, at Tenant’s election, Tenant’s delivering to Landlord: (i) a new Letter of Credit complying with the provisions of this Section 7, in the applicable reduced Security Amount in exchange for the Letter of Credit which is then being held by Landlord; or (ii) an amendment to the Letter of Credit then being held by Landlord, in a form reasonably satisfactory to Landlord, from the bank issuing such Letter of Credit, reflecting the applicable Security Amount.</w:t>
      </w:r>
    </w:p>
    <w:p>
      <w:pPr>
        <w:spacing w:after="0" w:line="189"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7.7 Return of Security Deposit or Letter of Credit</w:t>
      </w:r>
      <w:r>
        <w:rPr>
          <w:rFonts w:ascii="Arial" w:cs="Arial" w:eastAsia="Arial" w:hAnsi="Arial"/>
          <w:sz w:val="18"/>
          <w:szCs w:val="18"/>
          <w:color w:val="auto"/>
        </w:rPr>
        <w:t>. Should Tenant comply with all of such terms, covenants and conditions and promptly pay all</w:t>
      </w:r>
      <w:r>
        <w:rPr>
          <w:rFonts w:ascii="Arial" w:cs="Arial" w:eastAsia="Arial" w:hAnsi="Arial"/>
          <w:sz w:val="18"/>
          <w:szCs w:val="18"/>
          <w:b w:val="1"/>
          <w:bCs w:val="1"/>
          <w:color w:val="auto"/>
        </w:rPr>
        <w:t xml:space="preserve"> </w:t>
      </w:r>
      <w:r>
        <w:rPr>
          <w:rFonts w:ascii="Arial" w:cs="Arial" w:eastAsia="Arial" w:hAnsi="Arial"/>
          <w:sz w:val="18"/>
          <w:szCs w:val="18"/>
          <w:color w:val="auto"/>
        </w:rPr>
        <w:t>sums payable by Tenant to Landlord hereunder, the Security Deposit and/or Letter of Credit or the remaining proceeds therefrom, as applicable, shall be returned to Tenant within forty-five (45) days after the end of the Term, less any portion thereof which may have been utilized by Landlord to cure any default or applied to any actual damage suffered by Landlord.</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SECURITY INTEREST IN TENANT’S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00"/>
          </w:cols>
          <w:pgMar w:left="240" w:top="270" w:right="259" w:bottom="1440" w:gutter="0" w:footer="0" w:header="0"/>
        </w:sectPr>
      </w:pPr>
    </w:p>
    <w:bookmarkStart w:id="365" w:name="page366"/>
    <w:bookmarkEnd w:id="36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 UTILITIES, LANDLORD’S SERVICES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9.1 Electricity and Water/Sewer. </w:t>
      </w:r>
      <w:r>
        <w:rPr>
          <w:rFonts w:ascii="Arial" w:cs="Arial" w:eastAsia="Arial" w:hAnsi="Arial"/>
          <w:sz w:val="17"/>
          <w:szCs w:val="17"/>
          <w:color w:val="auto"/>
        </w:rPr>
        <w:t>Landlord shall contract with the utility companies providing electricity and water/sewer service to the Building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obtain such service for the Premises. Landlord represents to Tenant that the electrical capacity available to the Premises will be sufficient to support the equipment described on </w:t>
      </w:r>
      <w:r>
        <w:rPr>
          <w:rFonts w:ascii="Arial" w:cs="Arial" w:eastAsia="Arial" w:hAnsi="Arial"/>
          <w:sz w:val="17"/>
          <w:szCs w:val="17"/>
          <w:u w:val="single" w:color="auto"/>
          <w:color w:val="auto"/>
        </w:rPr>
        <w:t>Exhibit 3-3</w:t>
      </w:r>
      <w:r>
        <w:rPr>
          <w:rFonts w:ascii="Arial" w:cs="Arial" w:eastAsia="Arial" w:hAnsi="Arial"/>
          <w:sz w:val="17"/>
          <w:szCs w:val="17"/>
          <w:color w:val="auto"/>
        </w:rPr>
        <w:t>. Commencing on the Commencement Date, Tenant shall pay all charges for electricity and water/sewer services furnished to the Premises, as Additional Rent, as measured by applicable sub-metering equipment, in accordance with Section 9.2. Landlord shall, as an Operating Cost, maintain and keep in good order, condition and repair such metering equipment.</w:t>
      </w:r>
    </w:p>
    <w:p>
      <w:pPr>
        <w:spacing w:after="0" w:line="168"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 xml:space="preserve">9.2 Billing Procedures. </w:t>
      </w:r>
      <w:r>
        <w:rPr>
          <w:rFonts w:ascii="Arial" w:cs="Arial" w:eastAsia="Arial" w:hAnsi="Arial"/>
          <w:sz w:val="18"/>
          <w:szCs w:val="18"/>
          <w:color w:val="auto"/>
        </w:rPr>
        <w:t>Tenant shall reimburse Landlord for the entire cost of such electric current and water/sewer consumed in the Premises,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71" w:lineRule="exact"/>
        <w:rPr>
          <w:sz w:val="20"/>
          <w:szCs w:val="20"/>
          <w:color w:val="auto"/>
        </w:rPr>
      </w:pPr>
    </w:p>
    <w:p>
      <w:pPr>
        <w:ind w:left="900" w:hanging="446"/>
        <w:spacing w:after="0" w:line="259"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Commencing as of the Commencement Date and continuing until the procedures set forth in Section 9.2(b) are effected, Tenant shall pay to Landlord at the same time and in the same manner that it pays its monthly payments of Base Rent hereunder, estimated payments (i.e., based upon Landlord’s reasonable estimates) on account of Tenant’s obligation to reimburse Landlord for electricity and water/sewer services consumed in the Premises.</w:t>
      </w:r>
    </w:p>
    <w:p>
      <w:pPr>
        <w:spacing w:after="0" w:line="92" w:lineRule="exact"/>
        <w:rPr>
          <w:rFonts w:ascii="Arial" w:cs="Arial" w:eastAsia="Arial" w:hAnsi="Arial"/>
          <w:sz w:val="18"/>
          <w:szCs w:val="18"/>
          <w:color w:val="auto"/>
        </w:rPr>
      </w:pPr>
    </w:p>
    <w:p>
      <w:pPr>
        <w:ind w:left="900" w:right="40" w:hanging="446"/>
        <w:spacing w:after="0" w:line="271" w:lineRule="auto"/>
        <w:tabs>
          <w:tab w:leader="none" w:pos="90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Periodically after the Commencement Date (but at last once every 12 months), Landlord shall determine the actual cost of electricity and water/sewer services consumed by Tenant in the Premises (i.e. by reading the applicable sub-meter and by applying the applicable rate which shall not exceed the retail rate which would have been payable by Tenant had Tenant obtained such services directly from the utility company providing electric current and water/sewer to Landlord. If the total of Tenant’s estimated monthly payments on account of such period is less than the actual cost of electricity and/or water/sewer services consumed in the Premises during such period, Tenant shall pay the difference to Landlord when billed therefor. If the total of Tenant’s estimated monthly payments on account of such period is greater than the actual cost of electricity and/or water/sewer services consumed in the Premises during such period, Tenant may credit the difference against its next installment of rental or other charges due hereunder.</w:t>
      </w:r>
    </w:p>
    <w:p>
      <w:pPr>
        <w:spacing w:after="0" w:line="84" w:lineRule="exact"/>
        <w:rPr>
          <w:rFonts w:ascii="Arial" w:cs="Arial" w:eastAsia="Arial" w:hAnsi="Arial"/>
          <w:sz w:val="17"/>
          <w:szCs w:val="17"/>
          <w:color w:val="auto"/>
        </w:rPr>
      </w:pPr>
    </w:p>
    <w:p>
      <w:pPr>
        <w:ind w:left="900" w:right="420" w:hanging="446"/>
        <w:spacing w:after="0" w:line="264"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After each adjustment, as set forth in Section 9.2(b) above, the amount of estimated monthly payments on account of Tenant’s obligation to reimburse Landlord for electricity and/or water/sewer services in the Premises (as applicable) shall be adjusted based upon the actual cost of electricity and/or water/sewer services consumed during the immediately preceding period.</w:t>
      </w:r>
    </w:p>
    <w:p>
      <w:pPr>
        <w:spacing w:after="0" w:line="17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9.3 Gas. </w:t>
      </w:r>
      <w:r>
        <w:rPr>
          <w:rFonts w:ascii="Arial" w:cs="Arial" w:eastAsia="Arial" w:hAnsi="Arial"/>
          <w:sz w:val="18"/>
          <w:szCs w:val="18"/>
          <w:color w:val="auto"/>
        </w:rPr>
        <w:t>Tenant shall pay all charges for gas furnished to the Premises and/or any equipment exclusively serving the Premises as additional rent,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applicable metering equipment. Landlord shall, as an Operating Cost, maintain and keep in good order, condition and repair the metering equipment used to measure gas furnished to the Premises and any equipment exclusively serving the same. Tenant shall pay the full amount of any charges attributable to such meter on or before the due date therefor directly to the supplier thereof.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269" w:right="239" w:bottom="1440" w:gutter="0" w:footer="0" w:header="0"/>
        </w:sectPr>
      </w:pPr>
    </w:p>
    <w:bookmarkStart w:id="366" w:name="page367"/>
    <w:bookmarkEnd w:id="366"/>
    <w:p>
      <w:pPr>
        <w:jc w:val="both"/>
        <w:ind w:right="20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9.4 Other Utilities. </w:t>
      </w:r>
      <w:r>
        <w:rPr>
          <w:rFonts w:ascii="Arial" w:cs="Arial" w:eastAsia="Arial" w:hAnsi="Arial"/>
          <w:sz w:val="18"/>
          <w:szCs w:val="18"/>
          <w:color w:val="auto"/>
        </w:rPr>
        <w:t>Subject to Landlord’s reasonable rules and regulations governing the same, Tenant shall obtain and pay, as and when due,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utilities and services consumed in and/or furnished to the Premises, together with all taxes, penalties, surcharges and maintenance charges pertaining thereto.</w:t>
      </w:r>
    </w:p>
    <w:p>
      <w:pPr>
        <w:spacing w:after="0" w:line="176"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9.5 Interruption or Curtailment of Utilities. </w:t>
      </w:r>
      <w:r>
        <w:rPr>
          <w:rFonts w:ascii="Arial" w:cs="Arial" w:eastAsia="Arial" w:hAnsi="Arial"/>
          <w:sz w:val="16"/>
          <w:szCs w:val="16"/>
          <w:color w:val="auto"/>
        </w:rPr>
        <w:t>When necessary by reason of accident or emergency, or for repairs, alterations, replacements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which in the reasonable judgment of Landlord are desirable or necessary to be made, Landlord reserves the right, upon as much prior notice to Tenant as is practicable under the circumstances and no less than twenty-four (24) hours’ notice except in the event of an emergency, to interrupt, curtail, or stop (i) the furnishing of hot and/or cold water, and (ii) the operation of the plumbing and electric systems. Landlord shall exercise reasonable diligence to eliminate the cause of any such interruption, curtailment, stoppage or suspension, but, except as set forth in Section 10.5 below, there shall be no diminution or abatement of Rent or other compensation due from Landlord to Tenant hereunder, nor shall this Lease be affected or any of Tenant’s obligations hereunder reduced, and Landlord shall have no responsibility or liability for any such interruption, curtailment, stoppage, or suspension of services or systems.</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9.6 Utility Connections. </w:t>
      </w:r>
      <w:r>
        <w:rPr>
          <w:rFonts w:ascii="Arial" w:cs="Arial" w:eastAsia="Arial" w:hAnsi="Arial"/>
          <w:sz w:val="18"/>
          <w:szCs w:val="18"/>
          <w:color w:val="auto"/>
        </w:rPr>
        <w:t>Landlord shall make electricity, water and natural gas connections available to the Premises prior to the 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thereafter throughout the Term.</w:t>
      </w:r>
    </w:p>
    <w:p>
      <w:pPr>
        <w:spacing w:after="0" w:line="162"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 xml:space="preserve">9.7 Trash. </w:t>
      </w:r>
      <w:r>
        <w:rPr>
          <w:rFonts w:ascii="Arial" w:cs="Arial" w:eastAsia="Arial" w:hAnsi="Arial"/>
          <w:sz w:val="17"/>
          <w:szCs w:val="17"/>
          <w:color w:val="auto"/>
        </w:rPr>
        <w:t>Landlord shall make available to Tenant an area on the Property in which Tenant shall locate a trash receptacle (“</w:t>
      </w:r>
      <w:r>
        <w:rPr>
          <w:rFonts w:ascii="Arial" w:cs="Arial" w:eastAsia="Arial" w:hAnsi="Arial"/>
          <w:sz w:val="17"/>
          <w:szCs w:val="17"/>
          <w:b w:val="1"/>
          <w:bCs w:val="1"/>
          <w:u w:val="single" w:color="auto"/>
          <w:color w:val="auto"/>
        </w:rPr>
        <w:t>Tenant’s Trash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Receptacle</w:t>
      </w:r>
      <w:r>
        <w:rPr>
          <w:rFonts w:ascii="Arial" w:cs="Arial" w:eastAsia="Arial" w:hAnsi="Arial"/>
          <w:sz w:val="17"/>
          <w:szCs w:val="17"/>
          <w:color w:val="auto"/>
        </w:rPr>
        <w:t>”) approved by Landlord (which approval shall not be unreasonably withheld, conditioned, or delayed). Throughout the Term, Tenant shall, at its</w:t>
      </w:r>
      <w:r>
        <w:rPr>
          <w:rFonts w:ascii="Arial" w:cs="Arial" w:eastAsia="Arial" w:hAnsi="Arial"/>
          <w:sz w:val="17"/>
          <w:szCs w:val="17"/>
          <w:b w:val="1"/>
          <w:bCs w:val="1"/>
          <w:color w:val="auto"/>
        </w:rPr>
        <w:t xml:space="preserve"> </w:t>
      </w:r>
      <w:r>
        <w:rPr>
          <w:rFonts w:ascii="Arial" w:cs="Arial" w:eastAsia="Arial" w:hAnsi="Arial"/>
          <w:sz w:val="17"/>
          <w:szCs w:val="17"/>
          <w:color w:val="auto"/>
        </w:rPr>
        <w:t>sole cost and expense: (i) keep any garbage, trash, rubbish and refuse (collectively, “</w:t>
      </w:r>
      <w:r>
        <w:rPr>
          <w:rFonts w:ascii="Arial" w:cs="Arial" w:eastAsia="Arial" w:hAnsi="Arial"/>
          <w:sz w:val="17"/>
          <w:szCs w:val="17"/>
          <w:b w:val="1"/>
          <w:bCs w:val="1"/>
          <w:u w:val="single" w:color="auto"/>
          <w:color w:val="auto"/>
        </w:rPr>
        <w:t>Trash</w:t>
      </w:r>
      <w:r>
        <w:rPr>
          <w:rFonts w:ascii="Arial" w:cs="Arial" w:eastAsia="Arial" w:hAnsi="Arial"/>
          <w:sz w:val="17"/>
          <w:szCs w:val="17"/>
          <w:color w:val="auto"/>
        </w:rPr>
        <w:t>”) in vermin-proof containers within the interior of the Premises until removed; and (ii) deposit such Trash on a daily basis, in receptacles (e.g., dumpsters or compactors) designated by Landlord. Landlord shall furnish (or authorize others to furnish) a service for the removal of Trash from receptacles designated by Landlord, the costs of which shall be allocated among the tenants using such receptacle. In no event shall Tenant place any Hazardous Materials in such designated receptacles.</w:t>
      </w:r>
    </w:p>
    <w:p>
      <w:pPr>
        <w:spacing w:after="0" w:line="174"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9.8 Landlord’s Services</w:t>
      </w:r>
      <w:r>
        <w:rPr>
          <w:rFonts w:ascii="Arial" w:cs="Arial" w:eastAsia="Arial" w:hAnsi="Arial"/>
          <w:sz w:val="18"/>
          <w:szCs w:val="18"/>
          <w:color w:val="auto"/>
        </w:rPr>
        <w:t>. Subject to reimbursement pursuant to Section 5.2 above, Landlord shall provide the services described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6</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made a part hereof.</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MAINTENANCE AND REPAIRS</w:t>
      </w:r>
    </w:p>
    <w:p>
      <w:pPr>
        <w:spacing w:after="0" w:line="117"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10.1 Maintenance and Repairs by Tenant. </w:t>
      </w:r>
      <w:r>
        <w:rPr>
          <w:rFonts w:ascii="Arial" w:cs="Arial" w:eastAsia="Arial" w:hAnsi="Arial"/>
          <w:sz w:val="17"/>
          <w:szCs w:val="17"/>
          <w:color w:val="auto"/>
        </w:rPr>
        <w:t>Tenant shall keep neat and clean and free of insects, rodents, vermin and other pests and in good repair,</w:t>
      </w:r>
      <w:r>
        <w:rPr>
          <w:rFonts w:ascii="Arial" w:cs="Arial" w:eastAsia="Arial" w:hAnsi="Arial"/>
          <w:sz w:val="17"/>
          <w:szCs w:val="17"/>
          <w:b w:val="1"/>
          <w:bCs w:val="1"/>
          <w:color w:val="auto"/>
        </w:rPr>
        <w:t xml:space="preserve"> </w:t>
      </w:r>
      <w:r>
        <w:rPr>
          <w:rFonts w:ascii="Arial" w:cs="Arial" w:eastAsia="Arial" w:hAnsi="Arial"/>
          <w:sz w:val="17"/>
          <w:szCs w:val="17"/>
          <w:color w:val="auto"/>
        </w:rPr>
        <w:t>order and condition the Premises, including without limitation the entire interior of the Premises, all electronic, phone and data cabling and related equipment that is installed by or for the exclusive benefit of the Tenant (whether located in the Premises or other portions of the Building), all fixtures, equipment and lighting therein, electrical equipment wiring, doors, non structural walls, windows and floor coverings, reasonable wear and tear and damage by Casualty and Taking, and damage caused by Landlord, or Landlord’s agents, employees, or contractors excepted. Tenant shall be solely responsible, at Tenant’s sole cost and expense, for the proper maintenance of all building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360"/>
          </w:cols>
          <w:pgMar w:left="240" w:top="269" w:right="299" w:bottom="1440" w:gutter="0" w:footer="0" w:header="0"/>
        </w:sectPr>
      </w:pPr>
    </w:p>
    <w:bookmarkStart w:id="367" w:name="page368"/>
    <w:bookmarkEnd w:id="36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systems, life-safety, sanitary, heating and air conditioning (subject, however, to Section 10.1A below), plumbing (other than water and sewer service), security or other systems and of all equipment and appliances located within and/or exclusively serving the Premises. Commencing as of the Commencement Date and continuing thereafter throughout the Term of the Lease, Tenant agrees to provide regular maintenance by contract with a reputable qualified service contractor for the heating and air conditioning equipment servicing the Premises (“</w:t>
      </w:r>
      <w:r>
        <w:rPr>
          <w:rFonts w:ascii="Arial" w:cs="Arial" w:eastAsia="Arial" w:hAnsi="Arial"/>
          <w:sz w:val="16"/>
          <w:szCs w:val="16"/>
          <w:b w:val="1"/>
          <w:bCs w:val="1"/>
          <w:u w:val="single" w:color="auto"/>
          <w:color w:val="auto"/>
        </w:rPr>
        <w:t>Premises HVAC Equipment</w:t>
      </w:r>
      <w:r>
        <w:rPr>
          <w:rFonts w:ascii="Arial" w:cs="Arial" w:eastAsia="Arial" w:hAnsi="Arial"/>
          <w:sz w:val="16"/>
          <w:szCs w:val="16"/>
          <w:color w:val="auto"/>
        </w:rPr>
        <w:t>”). Such maintenance contract and contractor shall be subject to Landlord’s reasonable approval (Landlord hereby agreeing that, as of the Execution Date, Landlord has approved Environmental Systems Incorporated to perform maintenance services for Tenant with respect to the Premises HVAC Equipment). Tenant, at Landlord’s request, shall at reasonable intervals provide Landlord with copies of such contracts and maintenance and repair records and/or reports.</w:t>
      </w:r>
    </w:p>
    <w:p>
      <w:pPr>
        <w:spacing w:after="0" w:line="16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10.1A Maintenance of Premises HVAC Equipment</w:t>
      </w:r>
      <w:r>
        <w:rPr>
          <w:rFonts w:ascii="Arial" w:cs="Arial" w:eastAsia="Arial" w:hAnsi="Arial"/>
          <w:sz w:val="18"/>
          <w:szCs w:val="18"/>
          <w:color w:val="auto"/>
        </w:rPr>
        <w:t>. The parties acknowledge that, as of the Commencement Date, the Premises HVAC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consist of three (3) pieces of mechanical equipment: a McQuay unit, an Aaon unit, and a Carrier unit (each an “</w:t>
      </w:r>
      <w:r>
        <w:rPr>
          <w:rFonts w:ascii="Arial" w:cs="Arial" w:eastAsia="Arial" w:hAnsi="Arial"/>
          <w:sz w:val="18"/>
          <w:szCs w:val="18"/>
          <w:b w:val="1"/>
          <w:bCs w:val="1"/>
          <w:u w:val="single" w:color="auto"/>
          <w:color w:val="auto"/>
        </w:rPr>
        <w:t>HVAC Unit</w:t>
      </w:r>
      <w:r>
        <w:rPr>
          <w:rFonts w:ascii="Arial" w:cs="Arial" w:eastAsia="Arial" w:hAnsi="Arial"/>
          <w:sz w:val="18"/>
          <w:szCs w:val="18"/>
          <w:color w:val="auto"/>
        </w:rPr>
        <w:t>”). Notwithstanding the provisions of Section 10.1, the following shall set forth the obligations of the parties with respect to the maintenance, repair, and replacement of the Premises HVAC Equipment:</w:t>
      </w:r>
    </w:p>
    <w:p>
      <w:pPr>
        <w:spacing w:after="0" w:line="184" w:lineRule="exact"/>
        <w:rPr>
          <w:sz w:val="20"/>
          <w:szCs w:val="20"/>
          <w:color w:val="auto"/>
        </w:rPr>
      </w:pPr>
    </w:p>
    <w:p>
      <w:pPr>
        <w:ind w:right="80" w:firstLine="464"/>
        <w:spacing w:after="0" w:line="257" w:lineRule="auto"/>
        <w:tabs>
          <w:tab w:leader="none" w:pos="671"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First Year of Term</w:t>
      </w:r>
      <w:r>
        <w:rPr>
          <w:rFonts w:ascii="Arial" w:cs="Arial" w:eastAsia="Arial" w:hAnsi="Arial"/>
          <w:sz w:val="18"/>
          <w:szCs w:val="18"/>
          <w:color w:val="auto"/>
        </w:rPr>
        <w:t>. During the one year period commencing as of the Commencement Date, Landlord shall be responsible for all repairs and replacements (but not ordinary maintenance of the Premises HVAC Equipment, which shall be the responsibility of Tenant in accordance with Section 10.1) which are required in order to keep the Premises HVAC Equipment in good working order, except to the extent that the same are required by reason of the negligence, willful misconduct or fault of Tenant or any Tenant Party, or as the result of fire, other casualty or taking. No costs incurred by Landlord pursuant to this Section 10.1A(i) shall be included in Operating Expenses.</w:t>
      </w:r>
    </w:p>
    <w:p>
      <w:pPr>
        <w:spacing w:after="0" w:line="188" w:lineRule="exact"/>
        <w:rPr>
          <w:rFonts w:ascii="Arial" w:cs="Arial" w:eastAsia="Arial" w:hAnsi="Arial"/>
          <w:sz w:val="18"/>
          <w:szCs w:val="18"/>
          <w:color w:val="auto"/>
        </w:rPr>
      </w:pPr>
    </w:p>
    <w:p>
      <w:pPr>
        <w:ind w:firstLine="464"/>
        <w:spacing w:after="0" w:line="255" w:lineRule="auto"/>
        <w:tabs>
          <w:tab w:leader="none" w:pos="721"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Replacement of Major Components of Premises HVAC Equipment</w:t>
      </w:r>
      <w:r>
        <w:rPr>
          <w:rFonts w:ascii="Arial" w:cs="Arial" w:eastAsia="Arial" w:hAnsi="Arial"/>
          <w:sz w:val="18"/>
          <w:szCs w:val="18"/>
          <w:color w:val="auto"/>
        </w:rPr>
        <w:t>. If any major component of the Premises HVAC Equipment (including, without limitation, compressors, fan motors, variable frequency drives, and controllers) must be replaced, for any reason other than as the result of fire, other casualty or taking, then Landlord shall cause such replacement to be made. If, subject to Section 14.5, the need for such replacement arises from the negligence, willful misconduct or fault of Tenant or any Tenant Party, then Tenant shall be responsible for the entire cost of such replacement and shall reimburse Landlord for such cost within thirty (30) days of demand. Otherwise, the costs (“</w:t>
      </w:r>
      <w:r>
        <w:rPr>
          <w:rFonts w:ascii="Arial" w:cs="Arial" w:eastAsia="Arial" w:hAnsi="Arial"/>
          <w:sz w:val="18"/>
          <w:szCs w:val="18"/>
          <w:b w:val="1"/>
          <w:bCs w:val="1"/>
          <w:color w:val="auto"/>
        </w:rPr>
        <w:t>Replacement Cost for Major HVAC Component</w:t>
      </w:r>
      <w:r>
        <w:rPr>
          <w:rFonts w:ascii="Arial" w:cs="Arial" w:eastAsia="Arial" w:hAnsi="Arial"/>
          <w:sz w:val="18"/>
          <w:szCs w:val="18"/>
          <w:color w:val="auto"/>
        </w:rPr>
        <w:t>”) so incurred by Landlord shall be considered to be a Permitted Capital Expenditure, within the meaning of Section 5.2(a) and be included in Operating Expenses, on an amortized basis, as more particularly set forth in Section 5.2(a).</w:t>
      </w:r>
    </w:p>
    <w:p>
      <w:pPr>
        <w:spacing w:after="0" w:line="189" w:lineRule="exact"/>
        <w:rPr>
          <w:rFonts w:ascii="Arial" w:cs="Arial" w:eastAsia="Arial" w:hAnsi="Arial"/>
          <w:sz w:val="18"/>
          <w:szCs w:val="18"/>
          <w:color w:val="auto"/>
        </w:rPr>
      </w:pPr>
    </w:p>
    <w:p>
      <w:pPr>
        <w:ind w:right="300" w:firstLine="464"/>
        <w:spacing w:after="0" w:line="257" w:lineRule="auto"/>
        <w:tabs>
          <w:tab w:leader="none" w:pos="771"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Replacement of an HVAC Unit</w:t>
      </w:r>
      <w:r>
        <w:rPr>
          <w:rFonts w:ascii="Arial" w:cs="Arial" w:eastAsia="Arial" w:hAnsi="Arial"/>
          <w:sz w:val="18"/>
          <w:szCs w:val="18"/>
          <w:color w:val="auto"/>
        </w:rPr>
        <w:t>. If it is not possible to maintain any of the HVAC Units in good operating condition without replacing the entire HVAC Unit, then Landlord shall cause such replacement to be made. If, subject to Section 14.5, the need for such replacement arises from the negligence, willful misconduct or fault of Tenant or any Tenant Party, then Tenant shall be responsible for the entire cost of such replacement and shall reimburse Landlord for such cost within thirty (30) days of demand. Otherwise, Landlord shall be responsible for the entirety of such cost and such cost shall not be included in Operating Expenses.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274" w:right="239" w:bottom="1440" w:gutter="0" w:footer="0" w:header="0"/>
        </w:sectPr>
      </w:pPr>
    </w:p>
    <w:bookmarkStart w:id="368" w:name="page369"/>
    <w:bookmarkEnd w:id="368"/>
    <w:p>
      <w:pPr>
        <w:ind w:firstLine="464"/>
        <w:spacing w:after="0" w:line="286" w:lineRule="auto"/>
        <w:tabs>
          <w:tab w:leader="none" w:pos="761"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Disputes with respect to HVAC Repair or Replacement</w:t>
      </w:r>
      <w:r>
        <w:rPr>
          <w:rFonts w:ascii="Arial" w:cs="Arial" w:eastAsia="Arial" w:hAnsi="Arial"/>
          <w:sz w:val="17"/>
          <w:szCs w:val="17"/>
          <w:color w:val="auto"/>
        </w:rPr>
        <w:t>. Any dispute between the parties with respect to the need for repair or replacement of any component of the Premises HVAC Equipment or the need for replacement of an entire HVAC Unit may, upon the written election of either party, be submitted to arbitration in accordance with the Commercial Arbitration Rules of the American Arbitration Association, Boston, Massachusetts office.</w:t>
      </w:r>
    </w:p>
    <w:p>
      <w:pPr>
        <w:spacing w:after="0" w:line="1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 xml:space="preserve">10.2 Maintenance and Repairs by Landlord. </w:t>
      </w:r>
      <w:r>
        <w:rPr>
          <w:rFonts w:ascii="Arial" w:cs="Arial" w:eastAsia="Arial" w:hAnsi="Arial"/>
          <w:sz w:val="17"/>
          <w:szCs w:val="17"/>
          <w:color w:val="auto"/>
        </w:rPr>
        <w:t>Except as otherwise provided in Section 15, and subject to Tenant’s obligations in Section 10.1 above,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maintain, repair and replace, and keep in reasonable condition the Building foundation, the roof, Building structure, structural floor slabs and columns in good repair, order and condition. In addition, Landlord shall operate and maintain the Common Areas in reasonable condition, and shall cause all paved portions of the Common Areas to be reasonably free from ice and snow. When Landlord performs maintenance, repair and replacement work, Landlord shall use reasonable efforts to minimize any interference with Tenant’s use and occupancy of the Premises, but this shall not require that such work be performed after Business Hours, other than work that, by its nature, will disrupt normal business activities, which disruptive work will be performed after Business Hours (except in an emergency). Except in the event of emergency, Landlord will not enter the Premises under this Section 10.2 without giving Tenant reasonable advance notice. Landlord shall cause the Common Areas to comply with all the applicable federal, state and municipal laws, ordinances and regulations including, without limitation, Title III of the Americans with Disabilities Act of 1990 and the regulations and standards promulgated thereunder throughout the Term and any extension thereof</w:t>
      </w:r>
    </w:p>
    <w:p>
      <w:pPr>
        <w:spacing w:after="0" w:line="17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color w:val="auto"/>
        </w:rPr>
        <w:t xml:space="preserve">10.3 Accidents to Sanitary and Other Systems. </w:t>
      </w:r>
      <w:r>
        <w:rPr>
          <w:rFonts w:ascii="Arial" w:cs="Arial" w:eastAsia="Arial" w:hAnsi="Arial"/>
          <w:sz w:val="16"/>
          <w:szCs w:val="16"/>
          <w:color w:val="auto"/>
        </w:rPr>
        <w:t>Tenant shall give to Landlord prompt notice of any fire or accident in the Premises or in the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and of any damage to, or defective condition in, any part or appurtenance of the Building including, without limitation, sanitary, electrical, ventilation, heating and air conditioning or other systems located in, or passing through, the Premises. Except as otherwise provided in Section 15, and subject to Tenant’s obligations in Section 10.1 above, such damage or defective condition shall be remedied by Landlord with reasonable diligence, but, subject to Section 14.5 below, if such damage or defective condition was caused by any of the Tenant Parties, the cost to remedy the same shall be paid by Tenant.</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10.4 Floor Load–Heavy Equipment</w:t>
      </w:r>
      <w:r>
        <w:rPr>
          <w:rFonts w:ascii="Arial" w:cs="Arial" w:eastAsia="Arial" w:hAnsi="Arial"/>
          <w:sz w:val="17"/>
          <w:szCs w:val="17"/>
          <w:color w:val="auto"/>
        </w:rPr>
        <w:t>. Tenant shall not place a load upon any floor of the, Premises exceeding the floor load which such floor was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to carry and which is allowed by Legal Requirements. Landlord reserves the right to prescribe the weight and position of all safes, heavy machinery, heavy equipment, freight, bulky matter or fixtures (collectively, “</w:t>
      </w:r>
      <w:r>
        <w:rPr>
          <w:rFonts w:ascii="Arial" w:cs="Arial" w:eastAsia="Arial" w:hAnsi="Arial"/>
          <w:sz w:val="17"/>
          <w:szCs w:val="17"/>
          <w:b w:val="1"/>
          <w:bCs w:val="1"/>
          <w:u w:val="single" w:color="auto"/>
          <w:color w:val="auto"/>
        </w:rPr>
        <w:t>Heavy Equipment”</w:t>
      </w:r>
      <w:r>
        <w:rPr>
          <w:rFonts w:ascii="Arial" w:cs="Arial" w:eastAsia="Arial" w:hAnsi="Arial"/>
          <w:sz w:val="17"/>
          <w:szCs w:val="17"/>
          <w:color w:val="auto"/>
        </w:rPr>
        <w:t>), which shall be placed so as to distribute the weight. Heavy Equipment shall be placed and maintained by Tenant at Tenant’s expense in settings sufficient in Landlord’s reasonable judgment to absorb and prevent vibration, noise and annoyance. Tenant shall not move any Heavy Equipment into or out of the Building without giving Landlord prior written notice thereof and observing all of Landlord’s Rules and Regulations with respect to the same. If such Heavy Equipment requires special handling, Tenant agrees to employ only persons holding a Master Rigger’s License to do said work, and that all work in connection therewith shall comply with Legal Requirements. Any such moving shall be at the sole risk and hazard of Tenant and Tenant will defend, indemnify and save Landlord and Landlord’s agents (including without limitation its property manager), contractors and employees (collectively with Landlord,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274" w:right="239" w:bottom="1440" w:gutter="0" w:footer="0" w:header="0"/>
        </w:sectPr>
      </w:pPr>
    </w:p>
    <w:bookmarkStart w:id="369" w:name="page370"/>
    <w:bookmarkEnd w:id="369"/>
    <w:p>
      <w:pPr>
        <w:ind w:right="2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8"/>
          <w:szCs w:val="18"/>
          <w:b w:val="1"/>
          <w:bCs w:val="1"/>
          <w:u w:val="single" w:color="auto"/>
          <w:color w:val="auto"/>
        </w:rPr>
        <w:t>Landlord Parties</w:t>
      </w:r>
      <w:r>
        <w:rPr>
          <w:rFonts w:ascii="Arial" w:cs="Arial" w:eastAsia="Arial" w:hAnsi="Arial"/>
          <w:sz w:val="18"/>
          <w:szCs w:val="18"/>
          <w:color w:val="auto"/>
        </w:rPr>
        <w:t>”) harmless from and against any and all claims, damages, losses, penalties, costs, expenses and fees (including without limitation reasonable legal fees) (collectively, “</w:t>
      </w:r>
      <w:r>
        <w:rPr>
          <w:rFonts w:ascii="Arial" w:cs="Arial" w:eastAsia="Arial" w:hAnsi="Arial"/>
          <w:sz w:val="18"/>
          <w:szCs w:val="18"/>
          <w:b w:val="1"/>
          <w:bCs w:val="1"/>
          <w:u w:val="single" w:color="auto"/>
          <w:color w:val="auto"/>
        </w:rPr>
        <w:t>Claims</w:t>
      </w:r>
      <w:r>
        <w:rPr>
          <w:rFonts w:ascii="Arial" w:cs="Arial" w:eastAsia="Arial" w:hAnsi="Arial"/>
          <w:sz w:val="18"/>
          <w:szCs w:val="18"/>
          <w:color w:val="auto"/>
        </w:rPr>
        <w:t>”) resulting directly or indirectly from such moving. Proper placement of all Heavy Equipment in the Premises shall be Tenant’s responsibility.</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Service Interruptions.</w:t>
      </w:r>
    </w:p>
    <w:p>
      <w:pPr>
        <w:spacing w:after="0" w:line="121" w:lineRule="exact"/>
        <w:rPr>
          <w:sz w:val="20"/>
          <w:szCs w:val="20"/>
          <w:color w:val="auto"/>
        </w:rPr>
      </w:pPr>
    </w:p>
    <w:p>
      <w:pPr>
        <w:ind w:right="20" w:firstLine="921"/>
        <w:spacing w:after="0" w:line="283" w:lineRule="auto"/>
        <w:tabs>
          <w:tab w:leader="none" w:pos="1157"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Abatement of Rent</w:t>
      </w:r>
      <w:r>
        <w:rPr>
          <w:rFonts w:ascii="Arial" w:cs="Arial" w:eastAsia="Arial" w:hAnsi="Arial"/>
          <w:sz w:val="16"/>
          <w:szCs w:val="16"/>
          <w:color w:val="auto"/>
        </w:rPr>
        <w:t>. In the event that: (i) there shall be an interruption, curtailment or suspension of any service or failure to perform any obligation required to be provided or performed by Landlord pursuant to Sections 9 and/or 10 (and no reasonably equivalent alternative service or supply is provided by Landlord) that shall materially interfere with Tenant’s use and enjoyment of the Premises, or any portion thereof (any such event, a “</w:t>
      </w:r>
      <w:r>
        <w:rPr>
          <w:rFonts w:ascii="Arial" w:cs="Arial" w:eastAsia="Arial" w:hAnsi="Arial"/>
          <w:sz w:val="16"/>
          <w:szCs w:val="16"/>
          <w:b w:val="1"/>
          <w:bCs w:val="1"/>
          <w:u w:val="single" w:color="auto"/>
          <w:color w:val="auto"/>
        </w:rPr>
        <w:t>Service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Interruption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(ii) such Service Interruption shall continue for five (5) consecutive business days following receipt by Landlord of written notice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Service Interruption Notice</w:t>
      </w:r>
      <w:r>
        <w:rPr>
          <w:rFonts w:ascii="Arial" w:cs="Arial" w:eastAsia="Arial" w:hAnsi="Arial"/>
          <w:sz w:val="16"/>
          <w:szCs w:val="16"/>
          <w:color w:val="auto"/>
        </w:rPr>
        <w:t>”) from Tenant describing such Service Interruption (“</w:t>
      </w:r>
      <w:r>
        <w:rPr>
          <w:rFonts w:ascii="Arial" w:cs="Arial" w:eastAsia="Arial" w:hAnsi="Arial"/>
          <w:sz w:val="16"/>
          <w:szCs w:val="16"/>
          <w:b w:val="1"/>
          <w:bCs w:val="1"/>
          <w:u w:val="single" w:color="auto"/>
          <w:color w:val="auto"/>
        </w:rPr>
        <w:t>Abatement Service Interruption Cure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(iii) such Service Interruption shall not have been caused by an act or omission of Tenant or Tenant’s agents, employees, contractors or invitees (an event that satisfies the foregoing conditions (i)-(iii) being referred to hereinafter as a “</w:t>
      </w:r>
      <w:r>
        <w:rPr>
          <w:rFonts w:ascii="Arial" w:cs="Arial" w:eastAsia="Arial" w:hAnsi="Arial"/>
          <w:sz w:val="16"/>
          <w:szCs w:val="16"/>
          <w:b w:val="1"/>
          <w:bCs w:val="1"/>
          <w:u w:val="single" w:color="auto"/>
          <w:color w:val="auto"/>
        </w:rPr>
        <w:t>Material Service Interruption</w:t>
      </w:r>
      <w:r>
        <w:rPr>
          <w:rFonts w:ascii="Arial" w:cs="Arial" w:eastAsia="Arial" w:hAnsi="Arial"/>
          <w:sz w:val="16"/>
          <w:szCs w:val="16"/>
          <w:color w:val="auto"/>
        </w:rPr>
        <w:t xml:space="preserve">”) then, Tenant, subject to the next following sentence, shall be entitled to an equitable abatement of Base Rent, Operating Costs and Taxes based on the nature and duration of the Material Service Interruption and the area of the Premises affected, for any and all days following the Material Service Interruption Cure Period that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(x) the Material Service Interruption is continuing and (y) Tenant does not use such affected areas of the Premises for a bona fide business purpose. The Abatement Service Interruption Cure Period shall be extended by reason of any delays in Landlord’s ability to cure the Service Interruption in question caused by Landlord’s Force Majeure, provided however, that in no event shall the Abatement Service Interruption Cure Period with respect to any Service Interruption be longer than twelve</w:t>
      </w:r>
    </w:p>
    <w:p>
      <w:pPr>
        <w:spacing w:after="0" w:line="3" w:lineRule="exact"/>
        <w:rPr>
          <w:rFonts w:ascii="Arial" w:cs="Arial" w:eastAsia="Arial" w:hAnsi="Arial"/>
          <w:sz w:val="16"/>
          <w:szCs w:val="16"/>
          <w:color w:val="auto"/>
        </w:rPr>
      </w:pPr>
    </w:p>
    <w:p>
      <w:pPr>
        <w:ind w:left="360" w:hanging="352"/>
        <w:spacing w:after="0"/>
        <w:tabs>
          <w:tab w:leader="none" w:pos="3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consecutive business days after Landlord receives the applicable Service Interruption Notice.</w:t>
      </w:r>
    </w:p>
    <w:p>
      <w:pPr>
        <w:spacing w:after="0" w:line="210" w:lineRule="exact"/>
        <w:rPr>
          <w:rFonts w:ascii="Arial" w:cs="Arial" w:eastAsia="Arial" w:hAnsi="Arial"/>
          <w:sz w:val="18"/>
          <w:szCs w:val="18"/>
          <w:color w:val="auto"/>
        </w:rPr>
      </w:pPr>
    </w:p>
    <w:p>
      <w:pPr>
        <w:ind w:firstLine="921"/>
        <w:spacing w:after="0" w:line="288" w:lineRule="auto"/>
        <w:tabs>
          <w:tab w:leader="none" w:pos="1168"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Tenant’s Termination Right</w:t>
      </w:r>
      <w:r>
        <w:rPr>
          <w:rFonts w:ascii="Arial" w:cs="Arial" w:eastAsia="Arial" w:hAnsi="Arial"/>
          <w:sz w:val="16"/>
          <w:szCs w:val="16"/>
          <w:color w:val="auto"/>
        </w:rPr>
        <w:t xml:space="preserve">. In the event that: (i) a Service Interruption occurs,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 such Service Interruption continues for a period of ninety (90) consecutive days after Landlord receives a Service Interruption Notice with respect to such Service Interruption (“</w:t>
      </w:r>
      <w:r>
        <w:rPr>
          <w:rFonts w:ascii="Arial" w:cs="Arial" w:eastAsia="Arial" w:hAnsi="Arial"/>
          <w:sz w:val="16"/>
          <w:szCs w:val="16"/>
          <w:b w:val="1"/>
          <w:bCs w:val="1"/>
          <w:u w:val="single" w:color="auto"/>
          <w:color w:val="auto"/>
        </w:rPr>
        <w:t>Termination Service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Interruption Cure 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(iii) such Service Interruption shall not have been caused by an act or omission of Tenant or Tenant’s agents,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contractors or invitees,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(iv) for so long as Tenant ceases to use the affected portion of the Premises during such Service Interruption, then Tenant shall have the right to terminate this Lease by giving a written termination notice to Landlord after the expiration of the Termination Service Interruption Cure Period. If such Service Interruption is cured within ten (10) days (“</w:t>
      </w:r>
      <w:r>
        <w:rPr>
          <w:rFonts w:ascii="Arial" w:cs="Arial" w:eastAsia="Arial" w:hAnsi="Arial"/>
          <w:sz w:val="16"/>
          <w:szCs w:val="16"/>
          <w:b w:val="1"/>
          <w:bCs w:val="1"/>
          <w:u w:val="single" w:color="auto"/>
          <w:color w:val="auto"/>
        </w:rPr>
        <w:t>Post-Termination Notice Cure Period</w:t>
      </w:r>
      <w:r>
        <w:rPr>
          <w:rFonts w:ascii="Arial" w:cs="Arial" w:eastAsia="Arial" w:hAnsi="Arial"/>
          <w:sz w:val="16"/>
          <w:szCs w:val="16"/>
          <w:color w:val="auto"/>
        </w:rPr>
        <w:t>’) after Landlord receives such termination notice, then Tenant shall have no right to terminate this Lease based upon such Service Interruption and Tenant’s termination notice shall be of no force or effect. The Termination Service Interruption Cure Period and the Post-Termination Notice Cure Period shall each be extended by reason of any delays in Landlord’s ability to cure the Service Interruption in question caused by Landlord’s Force Majeure, provided however, that in no event shall the aggregate extension of the Termination Service Interruption Cure Period and the Post-Termination Notice Cure Period by reason of Landlord’s Force Majeure exceed sixty (60) days.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00"/>
          </w:cols>
          <w:pgMar w:left="240" w:top="270" w:right="259" w:bottom="1440" w:gutter="0" w:footer="0" w:header="0"/>
        </w:sectPr>
      </w:pPr>
    </w:p>
    <w:bookmarkStart w:id="370" w:name="page371"/>
    <w:bookmarkEnd w:id="370"/>
    <w:p>
      <w:pPr>
        <w:ind w:left="1160" w:hanging="239"/>
        <w:spacing w:after="0"/>
        <w:tabs>
          <w:tab w:leader="none" w:pos="11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10.5 shall not apply in the event of a Service Interruption caused by Casualty or Taking (see Section 15 hereof).</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provisions of this Section 10.5 set forth Tenant’s sole rights and remedies, both in law and in equity, in the event of any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Interruption</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ALTERATIONS AND IMPROVEMENTS BY TENANT</w:t>
      </w:r>
    </w:p>
    <w:p>
      <w:pPr>
        <w:spacing w:after="0" w:line="11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b w:val="1"/>
          <w:bCs w:val="1"/>
          <w:color w:val="auto"/>
        </w:rPr>
        <w:t>11.1 Landlord’s Consent Required</w:t>
      </w:r>
      <w:r>
        <w:rPr>
          <w:rFonts w:ascii="Arial" w:cs="Arial" w:eastAsia="Arial" w:hAnsi="Arial"/>
          <w:sz w:val="16"/>
          <w:szCs w:val="16"/>
          <w:color w:val="auto"/>
        </w:rPr>
        <w:t>. Tenant shall not make any alterations, decorations, installations, removals, additions or 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w:t>
      </w:r>
      <w:r>
        <w:rPr>
          <w:rFonts w:ascii="Arial" w:cs="Arial" w:eastAsia="Arial" w:hAnsi="Arial"/>
          <w:sz w:val="16"/>
          <w:szCs w:val="16"/>
          <w:b w:val="1"/>
          <w:bCs w:val="1"/>
          <w:u w:val="single" w:color="auto"/>
          <w:color w:val="auto"/>
        </w:rPr>
        <w:t>Alterations</w:t>
      </w:r>
      <w:r>
        <w:rPr>
          <w:rFonts w:ascii="Arial" w:cs="Arial" w:eastAsia="Arial" w:hAnsi="Arial"/>
          <w:sz w:val="16"/>
          <w:szCs w:val="16"/>
          <w:color w:val="auto"/>
        </w:rPr>
        <w:t>”) in or to the Premises without Landlord’s prior written approval of the contractor(s), written plans and specifications (“</w:t>
      </w:r>
      <w:r>
        <w:rPr>
          <w:rFonts w:ascii="Arial" w:cs="Arial" w:eastAsia="Arial" w:hAnsi="Arial"/>
          <w:sz w:val="16"/>
          <w:szCs w:val="16"/>
          <w:b w:val="1"/>
          <w:bCs w:val="1"/>
          <w:u w:val="single" w:color="auto"/>
          <w:color w:val="auto"/>
        </w:rPr>
        <w:t>Tenant’s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Plans</w:t>
      </w:r>
      <w:r>
        <w:rPr>
          <w:rFonts w:ascii="Arial" w:cs="Arial" w:eastAsia="Arial" w:hAnsi="Arial"/>
          <w:sz w:val="16"/>
          <w:szCs w:val="16"/>
          <w:color w:val="auto"/>
        </w:rPr>
        <w:t>”) and a time schedule therefor. Such approval shall not be unreasonably withheld, conditioned or delayed, except that Landlord may withhold its</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on the basis of Landlord’s bona fide business judgment with respect to: (i) aesthetic matters relating to Alterations which are visible from the exterior of the Building, and (ii) Alterations affecting the exterior of the Building. Landlord reserves the right to require that Tenant use Landlord’s preferred vendor(s) for any Alterations that involve roof penetrations, alarm tie-ins, sprinklers, fire alarm and other life safety equipment. Tenant shall not make any amendments or additions to plans and specifications approved by Landlord without Landlord’s prior written consent. Tenant shall be responsible for all elements of the design of Tenant’s plans (including, without limitation, compliance with Legal Requirements, functionality of design, the structural integrity of the design, the configuration of the Premises and the placement of Tenant’s furniture, appliances and equipment), and Landlord’s approval of Tenant’s plans shall in no event relieve Tenant of the responsibility for such design. In seeking Landlord’s approval, Tenant shall provide Landlord, at least ten (10) business days in advance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Landlord shall, within five (5) business days after Landlord receives a written request (“</w:t>
      </w:r>
      <w:r>
        <w:rPr>
          <w:rFonts w:ascii="Arial" w:cs="Arial" w:eastAsia="Arial" w:hAnsi="Arial"/>
          <w:sz w:val="16"/>
          <w:szCs w:val="16"/>
          <w:b w:val="1"/>
          <w:bCs w:val="1"/>
          <w:color w:val="auto"/>
        </w:rPr>
        <w:t>Tenant’s Plan Approval Request</w:t>
      </w:r>
      <w:r>
        <w:rPr>
          <w:rFonts w:ascii="Arial" w:cs="Arial" w:eastAsia="Arial" w:hAnsi="Arial"/>
          <w:sz w:val="16"/>
          <w:szCs w:val="16"/>
          <w:color w:val="auto"/>
        </w:rPr>
        <w:t xml:space="preserve">”) from Tenant requesting Landlord’s approval of Tenant’s Plans, whether Landlord approves or objects to Tenant’s Plans and shall specify in reasonable detail the manner, if any, in which Tenant’s Plans are unacceptable. Tenant’s Plan Approval Request shall include Tenant’s Plans. If Landlord fails to respond to Tenant’s Plan Approval Request in writing, as required above, within such five (5) business day period, then Landlord shall be deemed to have approved Tenant’s Plan Approval Request, but only if Tenant’s Plan Approval Request includes a statement, in </w:t>
      </w:r>
      <w:r>
        <w:rPr>
          <w:rFonts w:ascii="Arial" w:cs="Arial" w:eastAsia="Arial" w:hAnsi="Arial"/>
          <w:sz w:val="16"/>
          <w:szCs w:val="16"/>
          <w:b w:val="1"/>
          <w:bCs w:val="1"/>
          <w:color w:val="auto"/>
        </w:rPr>
        <w:t>14 POINT BOLD</w:t>
      </w:r>
    </w:p>
    <w:p>
      <w:pPr>
        <w:spacing w:after="0" w:line="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TYPE, REFERRING TO THIS SECTION 11.1 AND ADVISING LANDLORD THAT, IF LANDLORD FAILS RESPOND TO TENANT’S PLAN APPROVAL REQUEST WITHIN FIVE (5) BUSINESS DAYS AFTER LANDLORD’S RECEIPT OF TENANT’S PLAN APPROVAL REQUEST, THEN TENANT’S PLAN APPROVAL REQUEST SHALL BE DEEMED TO BE APPROVED</w:t>
      </w:r>
      <w:r>
        <w:rPr>
          <w:rFonts w:ascii="Arial" w:cs="Arial" w:eastAsia="Arial" w:hAnsi="Arial"/>
          <w:sz w:val="18"/>
          <w:szCs w:val="18"/>
          <w:color w:val="auto"/>
        </w:rPr>
        <w:t>. Landlord shall have no liability or responsibility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claim, injury or damage alleged to have been caused by the particular materials (whether building standard or non-building standard), appliances or equipment selected by Tenant 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273" w:right="239" w:bottom="1440" w:gutter="0" w:footer="0" w:header="0"/>
        </w:sectPr>
      </w:pPr>
    </w:p>
    <w:bookmarkStart w:id="371" w:name="page372"/>
    <w:bookmarkEnd w:id="37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any work performed by or on behalf of Tenant. Except as otherwise expressly set forth herein, all Alterations shall be done at Tenant’s sole cost and expense and at such times and in such manner as Landlord may from time to time reasonably designate. If Tenant shall make any Alterations (other than the initial Tenant Improvement Work which shall be performed by Landlord), then Landlord may elect by written notice to Tenant given at the time of such approval to require Tenant, at or before the expiration or sooner termination of the Term of this Lease, to restore the Premises to substantially the same condition as existed immediately prior to the Alterations. Tenant shall provide Landlord with reproducible record drawings (in CAD format) of all Alterations within sixty (60) days after completion thereof.</w:t>
      </w:r>
    </w:p>
    <w:p>
      <w:pPr>
        <w:spacing w:after="0" w:line="193"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Notwithstanding the terms of this Section, Tenant shall have the right, without obtaining the prior consent of Landlord but upon notice to Landlord given ten (10) days prior to the commencement of any work (which notice shall specify the nature of the work in reasonable detail), to make alterations, additions or improvements to the Premises where:</w:t>
      </w:r>
    </w:p>
    <w:p>
      <w:pPr>
        <w:spacing w:after="0" w:line="73" w:lineRule="exact"/>
        <w:rPr>
          <w:sz w:val="20"/>
          <w:szCs w:val="20"/>
          <w:color w:val="auto"/>
        </w:rPr>
      </w:pPr>
    </w:p>
    <w:p>
      <w:pPr>
        <w:ind w:left="460" w:right="400" w:firstLine="881"/>
        <w:spacing w:after="0" w:line="277" w:lineRule="auto"/>
        <w:tabs>
          <w:tab w:leader="none" w:pos="155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same are within the interior of the Premises within the Building, and do not affect the exterior of the Premises and the Building (including no signs on windows); and</w:t>
      </w:r>
    </w:p>
    <w:p>
      <w:pPr>
        <w:spacing w:after="0" w:line="62" w:lineRule="exact"/>
        <w:rPr>
          <w:rFonts w:ascii="Arial" w:cs="Arial" w:eastAsia="Arial" w:hAnsi="Arial"/>
          <w:sz w:val="18"/>
          <w:szCs w:val="18"/>
          <w:color w:val="auto"/>
        </w:rPr>
      </w:pPr>
    </w:p>
    <w:p>
      <w:pPr>
        <w:ind w:left="460" w:right="240" w:firstLine="881"/>
        <w:spacing w:after="0" w:line="277" w:lineRule="auto"/>
        <w:tabs>
          <w:tab w:leader="none" w:pos="160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same do not affect the roof, any structural element of the Building, the mechanical, electrical, plumbing, heating, ventilating, air-conditioning and fire protection systems of the Building.</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color w:val="auto"/>
        </w:rPr>
        <w:t>11.2 After-Hours</w:t>
      </w:r>
      <w:r>
        <w:rPr>
          <w:rFonts w:ascii="Arial" w:cs="Arial" w:eastAsia="Arial" w:hAnsi="Arial"/>
          <w:sz w:val="17"/>
          <w:szCs w:val="17"/>
          <w:color w:val="auto"/>
        </w:rPr>
        <w:t>. Landlord and Tenant recognize that to the extent Tenant elects to perform some or all of the Alterations during times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normal construction hours (i.e., Monday-Friday, 7:00 a.m. to 3:00 p.m., excluding holidays), Landlord may need to make arrangements to have supervisory personnel on site. Accordingly, Landlord and Tenant agree as follows: Tenant shall give Landlord at least two (2) business days’ prior written notice of any time outside of normal construction hours when Tenant intends to perform any Alterations (the “</w:t>
      </w:r>
      <w:r>
        <w:rPr>
          <w:rFonts w:ascii="Arial" w:cs="Arial" w:eastAsia="Arial" w:hAnsi="Arial"/>
          <w:sz w:val="17"/>
          <w:szCs w:val="17"/>
          <w:b w:val="1"/>
          <w:bCs w:val="1"/>
          <w:u w:val="single" w:color="auto"/>
          <w:color w:val="auto"/>
        </w:rPr>
        <w:t>After-Hours Work</w:t>
      </w:r>
      <w:r>
        <w:rPr>
          <w:rFonts w:ascii="Arial" w:cs="Arial" w:eastAsia="Arial" w:hAnsi="Arial"/>
          <w:sz w:val="17"/>
          <w:szCs w:val="17"/>
          <w:color w:val="auto"/>
        </w:rPr>
        <w:t>”). Tenant shall reimburse Landlord, within ten (10) days after written demand therefor, for the cost of Landlord’s supervisory personnel overseeing the After-Hours Work. In addition, if construction during normal construction hours unreasonably disturbs other tenants of the Building, in Landlord’s reasonable discretion, Landlord may require Tenant to stop the performance of Alterations during normal construction hours and to perform the same after hours, subject to the foregoing requirement to pay for the cost of Landlord’s supervisory personnel.</w:t>
      </w:r>
    </w:p>
    <w:p>
      <w:pPr>
        <w:spacing w:after="0" w:line="172"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b w:val="1"/>
          <w:bCs w:val="1"/>
          <w:color w:val="auto"/>
        </w:rPr>
        <w:t>11.3 Harmonious Relations</w:t>
      </w:r>
      <w:r>
        <w:rPr>
          <w:rFonts w:ascii="Arial" w:cs="Arial" w:eastAsia="Arial" w:hAnsi="Arial"/>
          <w:sz w:val="17"/>
          <w:szCs w:val="17"/>
          <w:color w:val="auto"/>
        </w:rPr>
        <w:t>. Tenant agrees that it will not, either directly or indirectly, use any contractors if their use will create any difficulty,</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in the nature of a . labor dispute or otherwise, with other contractors and/or labor engaged by Tenant or Landlord or others in the construction, maintenance and/or operation, of the Building, the Property or any part thereof. In the event of any such difficulty, upon Landlord’s written request, Tenant shall cause all contractors, mechanics or laborers causing such difficulty to leave the Property immediately.</w:t>
      </w:r>
    </w:p>
    <w:p>
      <w:pPr>
        <w:spacing w:after="0" w:line="165" w:lineRule="exact"/>
        <w:rPr>
          <w:sz w:val="20"/>
          <w:szCs w:val="20"/>
          <w:color w:val="auto"/>
        </w:rPr>
      </w:pPr>
    </w:p>
    <w:p>
      <w:pPr>
        <w:ind w:right="80" w:firstLine="456"/>
        <w:spacing w:after="0" w:line="313" w:lineRule="auto"/>
        <w:rPr>
          <w:sz w:val="20"/>
          <w:szCs w:val="20"/>
          <w:color w:val="auto"/>
        </w:rPr>
      </w:pPr>
      <w:r>
        <w:rPr>
          <w:rFonts w:ascii="Arial" w:cs="Arial" w:eastAsia="Arial" w:hAnsi="Arial"/>
          <w:sz w:val="17"/>
          <w:szCs w:val="17"/>
          <w:b w:val="1"/>
          <w:bCs w:val="1"/>
          <w:color w:val="auto"/>
        </w:rPr>
        <w:t>11.4 Liens</w:t>
      </w:r>
      <w:r>
        <w:rPr>
          <w:rFonts w:ascii="Arial" w:cs="Arial" w:eastAsia="Arial" w:hAnsi="Arial"/>
          <w:sz w:val="17"/>
          <w:szCs w:val="17"/>
          <w:color w:val="auto"/>
        </w:rPr>
        <w:t>. No Alterations shall be undertaken by Tenant until (i) Tenant has made provision for written waiver of liens from all contractors providing</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in excess of $25,000 for such Alteration, and (ii) with respect to any Alterations made by Tenant, the cost of which</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380"/>
          </w:cols>
          <w:pgMar w:left="240" w:top="273" w:right="279" w:bottom="1440" w:gutter="0" w:footer="0" w:header="0"/>
        </w:sectPr>
      </w:pPr>
    </w:p>
    <w:bookmarkStart w:id="372" w:name="page373"/>
    <w:bookmarkEnd w:id="372"/>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exceed $250,000, Tenant has procured appropriate surety payment and performance bonds (“</w:t>
      </w:r>
      <w:r>
        <w:rPr>
          <w:rFonts w:ascii="Arial" w:cs="Arial" w:eastAsia="Arial" w:hAnsi="Arial"/>
          <w:sz w:val="18"/>
          <w:szCs w:val="18"/>
          <w:b w:val="1"/>
          <w:bCs w:val="1"/>
          <w:u w:val="single" w:color="auto"/>
          <w:color w:val="auto"/>
        </w:rPr>
        <w:t>Bonds</w:t>
      </w:r>
      <w:r>
        <w:rPr>
          <w:rFonts w:ascii="Arial" w:cs="Arial" w:eastAsia="Arial" w:hAnsi="Arial"/>
          <w:sz w:val="18"/>
          <w:szCs w:val="18"/>
          <w:color w:val="auto"/>
        </w:rPr>
        <w:t>”) which shall name Landlord as an additional obligee and has filed lien bond(s) (in jurisdictions where available) on behalf of such contractors. Any mechanic’s lien filed against the Premises or the Building for work claimed to have been done for, or materials claimed to have been furnished to, Tenant shall be discharged by Tenant within ten (10) business days thereafter, at Tenant’s expense by filing the bond required by law or otherwise.</w:t>
      </w:r>
    </w:p>
    <w:p>
      <w:pPr>
        <w:spacing w:after="0" w:line="18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11.5 General Requirements</w:t>
      </w:r>
      <w:r>
        <w:rPr>
          <w:rFonts w:ascii="Arial" w:cs="Arial" w:eastAsia="Arial" w:hAnsi="Arial"/>
          <w:sz w:val="18"/>
          <w:szCs w:val="18"/>
          <w:color w:val="auto"/>
        </w:rPr>
        <w:t>. Unless Landlord and Tenant otherwise agree in writing, Tenant shall (a) procure or cause others to procure on its behalf</w:t>
      </w:r>
      <w:r>
        <w:rPr>
          <w:rFonts w:ascii="Arial" w:cs="Arial" w:eastAsia="Arial" w:hAnsi="Arial"/>
          <w:sz w:val="18"/>
          <w:szCs w:val="18"/>
          <w:b w:val="1"/>
          <w:bCs w:val="1"/>
          <w:color w:val="auto"/>
        </w:rPr>
        <w:t xml:space="preserve"> </w:t>
      </w:r>
      <w:r>
        <w:rPr>
          <w:rFonts w:ascii="Arial" w:cs="Arial" w:eastAsia="Arial" w:hAnsi="Arial"/>
          <w:sz w:val="18"/>
          <w:szCs w:val="18"/>
          <w:color w:val="auto"/>
        </w:rPr>
        <w:t>all necessary permits before undertaking any Alterations in the Premises (and provide copies thereof to Landlord); (b) perform all of such Alterations in a good and workmanlike manner, employing materials of good quality and in compliance with Landlord’s construction rules and regulations, all insurance requirements of this Lease, and Legal Requirements; and (c) defend, indemnify and hold the Landlord Parties harmless from and against any and all Claims occasioned by or growing out of such Alterations, except to the extent the same results from the negligence or willful misconduct of Landlord or Landlord’s managing agent.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SIGNAGE</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12.1 Restrictions</w:t>
      </w:r>
      <w:r>
        <w:rPr>
          <w:rFonts w:ascii="Arial" w:cs="Arial" w:eastAsia="Arial" w:hAnsi="Arial"/>
          <w:sz w:val="18"/>
          <w:szCs w:val="18"/>
          <w:color w:val="auto"/>
        </w:rPr>
        <w:t>. Tenant shall have the right, at Tenant’s expense, to install Building standard signage identifying Tenant’s business at the entrance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In addition, Tenant’s name shall be listed in the Building directory. The cost of the initial installation of all such signage shall be at Landlord’s cost, and any changes shall be at Tenant’s cost. Subject to the foregoing, and subject to Section 12.2 below, Tenant shall not place or suffer to be placed or maintained on the exterior of the Premises, or any part of the interior visible from the exterior thereof, any sign, banner, advertising matter or any other thing of any kind (including, without limitation, any hand-lettered advertising), and shall not place or maintain any decoration, letter or advertising matter on the glass of any window or door of the Premises without first obtaining Landlord’s written approval. No signs may be put on or in any window or elsewhere if visible from the exterior of the Building.</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12.2 Façade Signage and Monument Signage.</w:t>
      </w:r>
    </w:p>
    <w:p>
      <w:pPr>
        <w:spacing w:after="0" w:line="121" w:lineRule="exact"/>
        <w:rPr>
          <w:sz w:val="20"/>
          <w:szCs w:val="20"/>
          <w:color w:val="auto"/>
        </w:rPr>
      </w:pPr>
    </w:p>
    <w:p>
      <w:pPr>
        <w:ind w:firstLine="921"/>
        <w:spacing w:after="0" w:line="285" w:lineRule="auto"/>
        <w:tabs>
          <w:tab w:leader="none" w:pos="1157"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Exterior Signage</w:t>
      </w:r>
      <w:r>
        <w:rPr>
          <w:rFonts w:ascii="Arial" w:cs="Arial" w:eastAsia="Arial" w:hAnsi="Arial"/>
          <w:sz w:val="16"/>
          <w:szCs w:val="16"/>
          <w:color w:val="auto"/>
        </w:rPr>
        <w:t>. So long as (w) there is no Event of Default of Tenant, (x) Tenant has not assigned the Lease to an entity other than an Affiliated Entity or a Successor, (y) Tenant is leasing at least 23,000 rentable square feet in the Building, and (z) the Lease is in full force and effect (the “</w:t>
      </w:r>
      <w:r>
        <w:rPr>
          <w:rFonts w:ascii="Arial" w:cs="Arial" w:eastAsia="Arial" w:hAnsi="Arial"/>
          <w:sz w:val="16"/>
          <w:szCs w:val="16"/>
          <w:b w:val="1"/>
          <w:bCs w:val="1"/>
          <w:color w:val="auto"/>
        </w:rPr>
        <w:t>Façade Signage Conditions</w:t>
      </w:r>
      <w:r>
        <w:rPr>
          <w:rFonts w:ascii="Arial" w:cs="Arial" w:eastAsia="Arial" w:hAnsi="Arial"/>
          <w:sz w:val="16"/>
          <w:szCs w:val="16"/>
          <w:color w:val="auto"/>
        </w:rPr>
        <w:t>”), then, subject to the provisions of this Section 12.2, Tenant shall have the right to, at Tenant’s cost and expense, to install a sign (“</w:t>
      </w:r>
      <w:r>
        <w:rPr>
          <w:rFonts w:ascii="Arial" w:cs="Arial" w:eastAsia="Arial" w:hAnsi="Arial"/>
          <w:sz w:val="16"/>
          <w:szCs w:val="16"/>
          <w:b w:val="1"/>
          <w:bCs w:val="1"/>
          <w:color w:val="auto"/>
        </w:rPr>
        <w:t>Tenant’s Façade Sign</w:t>
      </w:r>
      <w:r>
        <w:rPr>
          <w:rFonts w:ascii="Arial" w:cs="Arial" w:eastAsia="Arial" w:hAnsi="Arial"/>
          <w:sz w:val="16"/>
          <w:szCs w:val="16"/>
          <w:color w:val="auto"/>
        </w:rPr>
        <w:t xml:space="preserve">”) on the south facing wall of the Building above Tenant’s exclusive entrance on such south-facing wall in the location shown on </w:t>
      </w:r>
      <w:r>
        <w:rPr>
          <w:rFonts w:ascii="Arial" w:cs="Arial" w:eastAsia="Arial" w:hAnsi="Arial"/>
          <w:sz w:val="16"/>
          <w:szCs w:val="16"/>
          <w:u w:val="single" w:color="auto"/>
          <w:color w:val="auto"/>
        </w:rPr>
        <w:t>Exhibit 13</w:t>
      </w:r>
      <w:r>
        <w:rPr>
          <w:rFonts w:ascii="Arial" w:cs="Arial" w:eastAsia="Arial" w:hAnsi="Arial"/>
          <w:sz w:val="16"/>
          <w:szCs w:val="16"/>
          <w:color w:val="auto"/>
        </w:rPr>
        <w:t>. In addition, so long as (x) there is no Event of Default of Tenant, (y) Tenant is leasing at least 12,000 rentable square feet in the Building, and</w:t>
      </w:r>
    </w:p>
    <w:p>
      <w:pPr>
        <w:spacing w:after="0" w:line="2" w:lineRule="exact"/>
        <w:rPr>
          <w:rFonts w:ascii="Arial" w:cs="Arial" w:eastAsia="Arial" w:hAnsi="Arial"/>
          <w:sz w:val="16"/>
          <w:szCs w:val="16"/>
          <w:color w:val="auto"/>
        </w:rPr>
      </w:pPr>
    </w:p>
    <w:p>
      <w:pPr>
        <w:ind w:firstLine="8"/>
        <w:spacing w:after="0" w:line="254" w:lineRule="auto"/>
        <w:tabs>
          <w:tab w:leader="none" w:pos="24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Lease is in full force and effect (the “</w:t>
      </w:r>
      <w:r>
        <w:rPr>
          <w:rFonts w:ascii="Arial" w:cs="Arial" w:eastAsia="Arial" w:hAnsi="Arial"/>
          <w:sz w:val="18"/>
          <w:szCs w:val="18"/>
          <w:b w:val="1"/>
          <w:bCs w:val="1"/>
          <w:color w:val="auto"/>
        </w:rPr>
        <w:t>Monument Signage Conditions</w:t>
      </w:r>
      <w:r>
        <w:rPr>
          <w:rFonts w:ascii="Arial" w:cs="Arial" w:eastAsia="Arial" w:hAnsi="Arial"/>
          <w:sz w:val="18"/>
          <w:szCs w:val="18"/>
          <w:color w:val="auto"/>
        </w:rPr>
        <w:t>”), then, subject to the provisions of this Section 12.2, Tenant shall have the right to, at Tenant’s cost and expense, to install a sign (“</w:t>
      </w:r>
      <w:r>
        <w:rPr>
          <w:rFonts w:ascii="Arial" w:cs="Arial" w:eastAsia="Arial" w:hAnsi="Arial"/>
          <w:sz w:val="18"/>
          <w:szCs w:val="18"/>
          <w:b w:val="1"/>
          <w:bCs w:val="1"/>
          <w:color w:val="auto"/>
        </w:rPr>
        <w:t>Tenant’s Monument Sign</w:t>
      </w:r>
      <w:r>
        <w:rPr>
          <w:rFonts w:ascii="Arial" w:cs="Arial" w:eastAsia="Arial" w:hAnsi="Arial"/>
          <w:sz w:val="18"/>
          <w:szCs w:val="18"/>
          <w:color w:val="auto"/>
        </w:rPr>
        <w:t xml:space="preserve">”) on the monument to be constructed by Landlord on the Property. Such monument shall be in the location shown on </w:t>
      </w:r>
      <w:r>
        <w:rPr>
          <w:rFonts w:ascii="Arial" w:cs="Arial" w:eastAsia="Arial" w:hAnsi="Arial"/>
          <w:sz w:val="18"/>
          <w:szCs w:val="18"/>
          <w:u w:val="single" w:color="auto"/>
          <w:color w:val="auto"/>
        </w:rPr>
        <w:t>Exhibit 13</w:t>
      </w:r>
      <w:r>
        <w:rPr>
          <w:rFonts w:ascii="Arial" w:cs="Arial" w:eastAsia="Arial" w:hAnsi="Arial"/>
          <w:sz w:val="18"/>
          <w:szCs w:val="18"/>
          <w:color w:val="auto"/>
        </w:rPr>
        <w:t>, and shall be a common monument (i.e. other tenant(s) in the Building may have identification signage installed on such monument. Tenant’s Façade Sign and Tenant’s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00"/>
          </w:cols>
          <w:pgMar w:left="240" w:top="270" w:right="259" w:bottom="1440" w:gutter="0" w:footer="0" w:header="0"/>
        </w:sectPr>
      </w:pPr>
    </w:p>
    <w:bookmarkStart w:id="373" w:name="page374"/>
    <w:bookmarkEnd w:id="373"/>
    <w:p>
      <w:pPr>
        <w:ind w:right="1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Monument Sign are referred to collectively herein as “</w:t>
      </w:r>
      <w:r>
        <w:rPr>
          <w:rFonts w:ascii="Arial" w:cs="Arial" w:eastAsia="Arial" w:hAnsi="Arial"/>
          <w:sz w:val="18"/>
          <w:szCs w:val="18"/>
          <w:b w:val="1"/>
          <w:bCs w:val="1"/>
          <w:color w:val="auto"/>
        </w:rPr>
        <w:t>Tenant’s Exterior Signage</w:t>
      </w:r>
      <w:r>
        <w:rPr>
          <w:rFonts w:ascii="Arial" w:cs="Arial" w:eastAsia="Arial" w:hAnsi="Arial"/>
          <w:sz w:val="18"/>
          <w:szCs w:val="18"/>
          <w:color w:val="auto"/>
        </w:rPr>
        <w:t>”, and the Façade Signage Conditions and Monument Signage Conditions, as applicable, are hereinafter referred to herein as “</w:t>
      </w:r>
      <w:r>
        <w:rPr>
          <w:rFonts w:ascii="Arial" w:cs="Arial" w:eastAsia="Arial" w:hAnsi="Arial"/>
          <w:sz w:val="18"/>
          <w:szCs w:val="18"/>
          <w:b w:val="1"/>
          <w:bCs w:val="1"/>
          <w:color w:val="auto"/>
        </w:rPr>
        <w:t>Exterior Signage Conditions</w:t>
      </w:r>
      <w:r>
        <w:rPr>
          <w:rFonts w:ascii="Arial" w:cs="Arial" w:eastAsia="Arial" w:hAnsi="Arial"/>
          <w:sz w:val="18"/>
          <w:szCs w:val="18"/>
          <w:color w:val="auto"/>
        </w:rPr>
        <w:t>”. Landlord covenants and agrees that, so long as the Facade Signage Conditions are satisfied, then there shall be no other signage permitted on such south facing wall.</w:t>
      </w:r>
    </w:p>
    <w:p>
      <w:pPr>
        <w:spacing w:after="0" w:line="180" w:lineRule="exact"/>
        <w:rPr>
          <w:sz w:val="20"/>
          <w:szCs w:val="20"/>
          <w:color w:val="auto"/>
        </w:rPr>
      </w:pPr>
    </w:p>
    <w:p>
      <w:pPr>
        <w:ind w:left="1180" w:hanging="259"/>
        <w:spacing w:after="0"/>
        <w:tabs>
          <w:tab w:leader="none" w:pos="1180"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t>Exterior Signage Conditions and Obligations</w:t>
      </w:r>
      <w:r>
        <w:rPr>
          <w:rFonts w:ascii="Arial" w:cs="Arial" w:eastAsia="Arial" w:hAnsi="Arial"/>
          <w:sz w:val="16"/>
          <w:szCs w:val="16"/>
          <w:color w:val="auto"/>
        </w:rPr>
        <w:t>. Tenant’s right to maintain Tenant’s Exterior Signage are subject to the following conditions and</w:t>
      </w:r>
    </w:p>
    <w:p>
      <w:pPr>
        <w:spacing w:after="0" w:line="46"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obligations: (a) Tenant’s Exterior Signage shall be subject to the prior written approval of Landlord as to location, size, materials, manner of attachment and appearance of Tenant’s Exterior Signage, and the materials, design, lighting and method of installation of Tenant’s Exterior Signage, and any requested changes thereto, shall be subject to Landlord’s prior written approval, which approval shall not be unreasonably withheld, conditioned or delayed, (b) Tenant’s Exterior Signage shall comply with all Legal Requirements (and Tenant shall have obtained any necessary permits prior to installing Tenant’s Exterior Signage), (c) Tenant shall have obtained all governmental permits and approvals required in connection therewith, (d) the maintenance and removal of such Tenant’s Exterior Signage (including, without limitation, the repair and cleaning of the existing monument façade and exterior of the Building, as applicable, upon removal of Tenant’s Exterior Signage) shall be performed at Tenant’s sole cost and expense in accordance with the terms and conditions governing alterations pursuant to Article 11 hereof, (e) Tenant’s Exterior Signage shall be subject to Landlord’s reasonable regulations, and (f) Tenant shall have the right, from time to time throughout the Term of this Lease, to replace Tenant’s Exterior Signage (if any) with signage which is equivalent to the signage being replaced, subject to all of the terms and conditions of this Section 12.2.</w:t>
      </w:r>
    </w:p>
    <w:p>
      <w:pPr>
        <w:spacing w:after="0" w:line="179" w:lineRule="exact"/>
        <w:rPr>
          <w:rFonts w:ascii="Arial" w:cs="Arial" w:eastAsia="Arial" w:hAnsi="Arial"/>
          <w:sz w:val="16"/>
          <w:szCs w:val="16"/>
          <w:color w:val="auto"/>
        </w:rPr>
      </w:pPr>
    </w:p>
    <w:p>
      <w:pPr>
        <w:ind w:right="320" w:firstLine="921"/>
        <w:spacing w:after="0" w:line="291" w:lineRule="auto"/>
        <w:tabs>
          <w:tab w:leader="none" w:pos="1157"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t>Removal of Tenant’s Exterior Signage</w:t>
      </w:r>
      <w:r>
        <w:rPr>
          <w:rFonts w:ascii="Arial" w:cs="Arial" w:eastAsia="Arial" w:hAnsi="Arial"/>
          <w:sz w:val="16"/>
          <w:szCs w:val="16"/>
          <w:color w:val="auto"/>
        </w:rPr>
        <w:t>. Notwithstanding the foregoing provisions of this Section 12.2 to the contrary: (i) within thirty (30) days after the date on which there occurs, and remains uncured, a failure of one or more of the applicable Tenant’s Exterior Signage Conditions, or</w:t>
      </w:r>
    </w:p>
    <w:p>
      <w:pPr>
        <w:ind w:right="160" w:firstLine="8"/>
        <w:spacing w:after="0" w:line="252" w:lineRule="auto"/>
        <w:tabs>
          <w:tab w:leader="none" w:pos="26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immediately upon the expiration or earlier termination of the Term of the Lease, Tenant shall, at Tenant’s cost and expense, remove the applicable Tenant’s Exterior Signage and restore all damage to the Building caused by the installation and/or removal of Tenant’s Exterior Signage, which removal and restoration shall be performed in accordance with the terms and conditions governing alterations pursuant to Article 11 hereof. The right to the Tenant’s Exterior Signage granted pursuant to this Section 12.2 is personal to Tenant, and may not be exercised by any occupant, subtenant, or other assignee of Tenant, other than an Affiliated Entity or Successor (the parties hereby agreeing that Tenant shall be responsible for the cost of any change in Tenant’s Exterior Signage).</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ASSIGNMENT, MORTGAGING AND SUBLETTING</w:t>
      </w:r>
    </w:p>
    <w:p>
      <w:pPr>
        <w:spacing w:after="0" w:line="11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13.1 Landlord’s Consent Required</w:t>
      </w:r>
      <w:r>
        <w:rPr>
          <w:rFonts w:ascii="Arial" w:cs="Arial" w:eastAsia="Arial" w:hAnsi="Arial"/>
          <w:sz w:val="18"/>
          <w:szCs w:val="18"/>
          <w:color w:val="auto"/>
        </w:rPr>
        <w:t>. Tenant shall not mortgage or encumber this Lease in whole or in part whether at one time or at intervals, by</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law or otherwise. Except as expressly otherwise set forth herein, Tenant shall not, without Landlord’s prior written consent, assign, sublet, license or transfer this Lease or the Premises in whole or in part whether by changes in the ownership or control of Tenant, or any direct or indirect owner of Tenant, whether at one time or at intervals, by sale or transfer of stock, partnership or beneficial interests, operation of law or otherwise, or permit the occupancy of all or any portion of the Premises by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270" w:right="239" w:bottom="1440" w:gutter="0" w:footer="0" w:header="0"/>
        </w:sectPr>
      </w:pPr>
    </w:p>
    <w:bookmarkStart w:id="374" w:name="page375"/>
    <w:bookmarkEnd w:id="374"/>
    <w:p>
      <w:pPr>
        <w:ind w:right="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or entity other than Tenant’s employees (each of the foregoing, a “</w:t>
      </w:r>
      <w:r>
        <w:rPr>
          <w:rFonts w:ascii="Arial" w:cs="Arial" w:eastAsia="Arial" w:hAnsi="Arial"/>
          <w:sz w:val="17"/>
          <w:szCs w:val="17"/>
          <w:b w:val="1"/>
          <w:bCs w:val="1"/>
          <w:u w:val="single" w:color="auto"/>
          <w:color w:val="auto"/>
        </w:rPr>
        <w:t>Transfer</w:t>
      </w:r>
      <w:r>
        <w:rPr>
          <w:rFonts w:ascii="Arial" w:cs="Arial" w:eastAsia="Arial" w:hAnsi="Arial"/>
          <w:sz w:val="17"/>
          <w:szCs w:val="17"/>
          <w:color w:val="auto"/>
        </w:rPr>
        <w:t>”). Any purported Transfer made without Landlord’s consent, if required hereunder, shall be void and confer no rights upon any third person, provided that if there is a Transfer, Landlord may collect rent from the transferee without waiving the prohibition against Transfers, accepting the transferee, or releasing Tenant from full performance under this Lease. No Transfer shall relieve Tenant of its primary obligation as party Tenant hereunder, nor shall it reduce or increase Landlord’s obligations under this Lease.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13.2 Landlord’s Recapture Right.</w:t>
      </w:r>
    </w:p>
    <w:p>
      <w:pPr>
        <w:spacing w:after="0" w:line="121"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Subject to Section 13.6 below, Tenant shall, prior to offering or advertising the Premises or any portion thereof for a Transfer, give a written notice (the “</w:t>
      </w:r>
      <w:r>
        <w:rPr>
          <w:rFonts w:ascii="Arial" w:cs="Arial" w:eastAsia="Arial" w:hAnsi="Arial"/>
          <w:sz w:val="16"/>
          <w:szCs w:val="16"/>
          <w:b w:val="1"/>
          <w:bCs w:val="1"/>
          <w:u w:val="single" w:color="auto"/>
          <w:color w:val="auto"/>
        </w:rPr>
        <w:t>Recapture Offer</w:t>
      </w:r>
      <w:r>
        <w:rPr>
          <w:rFonts w:ascii="Arial" w:cs="Arial" w:eastAsia="Arial" w:hAnsi="Arial"/>
          <w:sz w:val="16"/>
          <w:szCs w:val="16"/>
          <w:color w:val="auto"/>
        </w:rPr>
        <w:t>”) to Landlord which: (i) states that Tenant desires to make a Transfer, (ii) identifies the affected portion of the Premises (the “</w:t>
      </w:r>
      <w:r>
        <w:rPr>
          <w:rFonts w:ascii="Arial" w:cs="Arial" w:eastAsia="Arial" w:hAnsi="Arial"/>
          <w:sz w:val="16"/>
          <w:szCs w:val="16"/>
          <w:b w:val="1"/>
          <w:bCs w:val="1"/>
          <w:u w:val="single" w:color="auto"/>
          <w:color w:val="auto"/>
        </w:rPr>
        <w:t>Recapture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Premises</w:t>
      </w:r>
      <w:r>
        <w:rPr>
          <w:rFonts w:ascii="Arial" w:cs="Arial" w:eastAsia="Arial" w:hAnsi="Arial"/>
          <w:sz w:val="16"/>
          <w:szCs w:val="16"/>
          <w:color w:val="auto"/>
        </w:rPr>
        <w:t>”), (iii) identifies the period of time (the “</w:t>
      </w:r>
      <w:r>
        <w:rPr>
          <w:rFonts w:ascii="Arial" w:cs="Arial" w:eastAsia="Arial" w:hAnsi="Arial"/>
          <w:sz w:val="16"/>
          <w:szCs w:val="16"/>
          <w:b w:val="1"/>
          <w:bCs w:val="1"/>
          <w:u w:val="single" w:color="auto"/>
          <w:color w:val="auto"/>
        </w:rPr>
        <w:t>Recapture Period</w:t>
      </w:r>
      <w:r>
        <w:rPr>
          <w:rFonts w:ascii="Arial" w:cs="Arial" w:eastAsia="Arial" w:hAnsi="Arial"/>
          <w:sz w:val="16"/>
          <w:szCs w:val="16"/>
          <w:color w:val="auto"/>
        </w:rPr>
        <w:t>”) during which Tenant proposes to sublet the Recapture Premises, or indicates that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proposes to assign its interest in this Lease, and (iv) offers to Landlord to terminate this Lease with respect to the Recapture Premises (in the case of a proposed assignment of Tenant’s interest in this Lease or a subletting for the remainder of the term of this Lease) or to suspend the Term for the Recapture Period (i.e. the Term with respect to the Recapture Premises shall be terminated during the Recapture Period and Tenant’s rental obligations shall be proportionately reduced). Landlord shall have the right, to accept such Recapture Offer, by giving written notice (“</w:t>
      </w:r>
      <w:r>
        <w:rPr>
          <w:rFonts w:ascii="Arial" w:cs="Arial" w:eastAsia="Arial" w:hAnsi="Arial"/>
          <w:sz w:val="16"/>
          <w:szCs w:val="16"/>
          <w:b w:val="1"/>
          <w:bCs w:val="1"/>
          <w:u w:val="single" w:color="auto"/>
          <w:color w:val="auto"/>
        </w:rPr>
        <w:t>Recapture Notice</w:t>
      </w:r>
      <w:r>
        <w:rPr>
          <w:rFonts w:ascii="Arial" w:cs="Arial" w:eastAsia="Arial" w:hAnsi="Arial"/>
          <w:sz w:val="16"/>
          <w:szCs w:val="16"/>
          <w:color w:val="auto"/>
        </w:rPr>
        <w:t>”) to Tenant not later than the date thirty (30) days after Landlord receives such Recapture Offer. If Landlord timely gives a Recapture Notice, then the Term of the Lease with respect to the Recapture Premises shall terminate as of the Recapture Termination Date as if the Recapture Termination Date were the Expiration Date of the Term of the Lease, or the Term of the Lease with respect to the Recapture Premises shall be suspended for the Recapture Term, as the case may be. Notwithstanding anything herein to the contrary, Tenant shall have the right, by written notice (“</w:t>
      </w:r>
      <w:r>
        <w:rPr>
          <w:rFonts w:ascii="Arial" w:cs="Arial" w:eastAsia="Arial" w:hAnsi="Arial"/>
          <w:sz w:val="16"/>
          <w:szCs w:val="16"/>
          <w:b w:val="1"/>
          <w:bCs w:val="1"/>
          <w:u w:val="single" w:color="auto"/>
          <w:color w:val="auto"/>
        </w:rPr>
        <w:t>Rescission Notice</w:t>
      </w:r>
      <w:r>
        <w:rPr>
          <w:rFonts w:ascii="Arial" w:cs="Arial" w:eastAsia="Arial" w:hAnsi="Arial"/>
          <w:sz w:val="16"/>
          <w:szCs w:val="16"/>
          <w:color w:val="auto"/>
        </w:rPr>
        <w:t>’) to Landlord on or before the date ten</w:t>
      </w:r>
    </w:p>
    <w:p>
      <w:pPr>
        <w:spacing w:after="0" w:line="5" w:lineRule="exact"/>
        <w:rPr>
          <w:sz w:val="20"/>
          <w:szCs w:val="20"/>
          <w:color w:val="auto"/>
        </w:rPr>
      </w:pPr>
    </w:p>
    <w:p>
      <w:pPr>
        <w:jc w:val="both"/>
        <w:ind w:firstLine="8"/>
        <w:spacing w:after="0" w:line="254" w:lineRule="auto"/>
        <w:tabs>
          <w:tab w:leader="none" w:pos="34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days after Landlord gives a Recapture Notice to Tenant accepting such Recapture Offer, to rescind such Recapture Offer, provided however, that if Tenant so rescinds a Recapture Offer, then Tenant shall have no right to give Landlord a subsequent Recapture Offer (i.e., and no right to enter into any sublease or assignment other than pursuant to Section 13.7 below) during the six (6) month period immediately following the date that Tenant such Rescission Notice to Landlord.</w:t>
      </w:r>
    </w:p>
    <w:p>
      <w:pPr>
        <w:spacing w:after="0" w:line="18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13.3 Standard of Consent to Transfer</w:t>
      </w:r>
      <w:r>
        <w:rPr>
          <w:rFonts w:ascii="Arial" w:cs="Arial" w:eastAsia="Arial" w:hAnsi="Arial"/>
          <w:sz w:val="16"/>
          <w:szCs w:val="16"/>
          <w:color w:val="auto"/>
        </w:rPr>
        <w:t>. If Landlord does not timely give written notice to Tenant accepting a Recapture Offer or declines to accept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then Landlord agrees that, subject to the provisions of this Section 13, Landlord shall not unreasonably withhold, condition or delay its consent to a Transfer on the terms contained in the Recapture Notice to an entity which will use the Premises for the Permitted Uses and, in Landlord’s reasonable opinion: (a) has a business reputation compatible with the operation of a first-class combination laboratory, research, development and office building; and</w:t>
      </w:r>
    </w:p>
    <w:p>
      <w:pPr>
        <w:spacing w:after="0" w:line="3" w:lineRule="exact"/>
        <w:rPr>
          <w:sz w:val="20"/>
          <w:szCs w:val="20"/>
          <w:color w:val="auto"/>
        </w:rPr>
      </w:pPr>
    </w:p>
    <w:p>
      <w:pPr>
        <w:ind w:right="240" w:firstLine="8"/>
        <w:spacing w:after="0" w:line="295" w:lineRule="auto"/>
        <w:tabs>
          <w:tab w:leader="none" w:pos="25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intended use of such entity does not violate any restrictive use provisions then in effect with respect to space in the Building (Landlord hereby agreeing that Landlord shall, within ten (10) days of Landlord’s receipt of a written request therefore from Tenant, advise Tenant of any such restrictive use provisions then in effect); and (c) with respect to any proposed assignment of the Lease only (as distinguished from any other Transfer, including without limitation a sublease), has a tangible net worth and other financial indicators sufficient to meet the assignee’s obligations under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270" w:right="239" w:bottom="1440" w:gutter="0" w:footer="0" w:header="0"/>
        </w:sectPr>
      </w:pPr>
    </w:p>
    <w:bookmarkStart w:id="375" w:name="page376"/>
    <w:bookmarkEnd w:id="375"/>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Lease, taking into account the fact that Tenant remains fully liable for Tenant’s obligations under the Lease. If Landlord consents to a Transfer pursuant to the provisions of this Section 13, then the Landlord, Tenant and the subtenant or assignee in question, as the case may be, shall enter into a Consent in the form attached as </w:t>
      </w:r>
      <w:r>
        <w:rPr>
          <w:rFonts w:ascii="Arial" w:cs="Arial" w:eastAsia="Arial" w:hAnsi="Arial"/>
          <w:sz w:val="18"/>
          <w:szCs w:val="18"/>
          <w:u w:val="single" w:color="auto"/>
          <w:color w:val="auto"/>
        </w:rPr>
        <w:t>Exhibit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7-2</w:t>
      </w:r>
      <w:r>
        <w:rPr>
          <w:rFonts w:ascii="Arial" w:cs="Arial" w:eastAsia="Arial" w:hAnsi="Arial"/>
          <w:sz w:val="18"/>
          <w:szCs w:val="18"/>
          <w:color w:val="auto"/>
        </w:rPr>
        <w:t>, as applicable.</w:t>
      </w:r>
    </w:p>
    <w:p>
      <w:pPr>
        <w:spacing w:after="0" w:line="17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13.4 Listing Confers no Rights</w:t>
      </w:r>
      <w:r>
        <w:rPr>
          <w:rFonts w:ascii="Arial" w:cs="Arial" w:eastAsia="Arial" w:hAnsi="Arial"/>
          <w:sz w:val="18"/>
          <w:szCs w:val="18"/>
          <w:color w:val="auto"/>
        </w:rPr>
        <w:t>. The listing of any name other than that of Tenant, whether on the doors of the Premises or on the Building directory,</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shall not operate to vest in any such other person, firm or corporation any right or interest in this Lease or in the Premises or be deemed to effect or evidence any consent of Landlord, it being expressly understood that any such listing is a privilege extended by Landlord revocable at will by written notice to Tenant.</w:t>
      </w:r>
    </w:p>
    <w:p>
      <w:pPr>
        <w:spacing w:after="0" w:line="180"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13.5 Landlord’s Share of Transfer Profit</w:t>
      </w:r>
      <w:r>
        <w:rPr>
          <w:rFonts w:ascii="Arial" w:cs="Arial" w:eastAsia="Arial" w:hAnsi="Arial"/>
          <w:sz w:val="16"/>
          <w:szCs w:val="16"/>
          <w:color w:val="auto"/>
        </w:rPr>
        <w:t>. Tenant shall, within ten (10) days of receipt thereof, pay to Landlord fifty percent (50%) of any rent, sum</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consideration to be paid or given in connection with any Transfer, either initially or over time, after deducting reasonable actual out-of-pocket expenses incurred by Tenant in connection with such Transfer, including, without limitation, legal, brokerage, design, construction, and incentives paid for by Tenant in connection with such Transfer, in excess of Rent hereunder as if such amount were originally called for by the terms of this Lease as additional rent.</w:t>
      </w:r>
    </w:p>
    <w:p>
      <w:pPr>
        <w:spacing w:after="0" w:line="151"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13.6 Prohibited Transfers</w:t>
      </w:r>
      <w:r>
        <w:rPr>
          <w:rFonts w:ascii="Arial" w:cs="Arial" w:eastAsia="Arial" w:hAnsi="Arial"/>
          <w:sz w:val="17"/>
          <w:szCs w:val="17"/>
          <w:color w:val="auto"/>
        </w:rPr>
        <w:t>. Notwithstanding any contrary provision of this Lease, Tenant shall have no right to make a Transfer unless on both (i)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on which Tenant notifies Landlord of its intention to enter into a Transfer and (ii) the date on which such Transfer is to take effect, Tenant is not in default of any of its obligations under this Lease beyond the applicable cure period. Notwithstanding anything to the contrary contained herein, Tenant agrees that in no event shall Tenant make a Transfer to (a) any government agency; (b) any tenant, subtenant or occupant of other space in the Building; or (c) any entity with whom Landlord shall have engaged in material negotiations for space in the Property in the three (3) months immediately preceding such proposed Transfer, as evidenced by Landlord’s written correspondence with such entity.</w:t>
      </w:r>
    </w:p>
    <w:p>
      <w:pPr>
        <w:spacing w:after="0" w:line="17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13.7 Exceptions to Requirement for Consent</w:t>
      </w:r>
      <w:r>
        <w:rPr>
          <w:rFonts w:ascii="Arial" w:cs="Arial" w:eastAsia="Arial" w:hAnsi="Arial"/>
          <w:sz w:val="16"/>
          <w:szCs w:val="16"/>
          <w:color w:val="auto"/>
        </w:rPr>
        <w:t>. Notwithstanding anything to the contrary herein contained, Tenant shall have the right,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obtaining Landlords consent and without giving Landlord a Recapture Notice, to make a Transfer to (a) an Affiliated Entity (hereinafter defined) so long as such entity remains in such relationship to Tenant, and (b) a Successor, provided that prior to or simultaneously with any such Transfer, such Affiliated Entity or Successor, as the case may be, and Tenant execute and deliver to Landlord a mutually acceptable assignment and assumption agreement, whereby such Affiliated Entity or Successor, as the case may be, shall agree to be independently bound by and upon all the covenants, agreements, terms, provisions and conditions set forth in the Lease on the part of Tenant to be performed, and whereby such Affiliated Entity or Successor, as the case may be, shall expressly agree that the provisions of this Section 13 shall, notwithstanding such Transfer, continue to be binding upon it with respect to all future Transfers, and a Consent in the form attached hereto as </w:t>
      </w:r>
      <w:r>
        <w:rPr>
          <w:rFonts w:ascii="Arial" w:cs="Arial" w:eastAsia="Arial" w:hAnsi="Arial"/>
          <w:sz w:val="16"/>
          <w:szCs w:val="16"/>
          <w:u w:val="single" w:color="auto"/>
          <w:color w:val="auto"/>
        </w:rPr>
        <w:t>Exhibit 7-1</w:t>
      </w:r>
      <w:r>
        <w:rPr>
          <w:rFonts w:ascii="Arial" w:cs="Arial" w:eastAsia="Arial" w:hAnsi="Arial"/>
          <w:sz w:val="16"/>
          <w:szCs w:val="16"/>
          <w:color w:val="auto"/>
        </w:rPr>
        <w:t>. For the purposes hereof, an “</w:t>
      </w:r>
      <w:r>
        <w:rPr>
          <w:rFonts w:ascii="Arial" w:cs="Arial" w:eastAsia="Arial" w:hAnsi="Arial"/>
          <w:sz w:val="16"/>
          <w:szCs w:val="16"/>
          <w:b w:val="1"/>
          <w:bCs w:val="1"/>
          <w:u w:val="single" w:color="auto"/>
          <w:color w:val="auto"/>
        </w:rPr>
        <w:t>Affiliated Entity</w:t>
      </w:r>
      <w:r>
        <w:rPr>
          <w:rFonts w:ascii="Arial" w:cs="Arial" w:eastAsia="Arial" w:hAnsi="Arial"/>
          <w:sz w:val="16"/>
          <w:szCs w:val="16"/>
          <w:color w:val="auto"/>
        </w:rPr>
        <w:t>” shall be defined as any entity which is controlled by, is under common control with, or which controls Tenant, so long as such entity remains in such relationship with Tenant. For the purposes hereof, a “</w:t>
      </w:r>
      <w:r>
        <w:rPr>
          <w:rFonts w:ascii="Arial" w:cs="Arial" w:eastAsia="Arial" w:hAnsi="Arial"/>
          <w:sz w:val="16"/>
          <w:szCs w:val="16"/>
          <w:b w:val="1"/>
          <w:bCs w:val="1"/>
          <w:u w:val="single" w:color="auto"/>
          <w:color w:val="auto"/>
        </w:rPr>
        <w:t>Successor</w:t>
      </w:r>
      <w:r>
        <w:rPr>
          <w:rFonts w:ascii="Arial" w:cs="Arial" w:eastAsia="Arial" w:hAnsi="Arial"/>
          <w:sz w:val="16"/>
          <w:szCs w:val="16"/>
          <w:color w:val="auto"/>
        </w:rPr>
        <w:t>” shall be defined as any entity into or with which Tenant is merged or with which Tenant is consolidated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273" w:right="239" w:bottom="1440" w:gutter="0" w:footer="0" w:header="0"/>
        </w:sectPr>
      </w:pPr>
    </w:p>
    <w:bookmarkStart w:id="376" w:name="page377"/>
    <w:bookmarkEnd w:id="376"/>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which acquires all or substantially all of Tenant’s stock or assets, provided that the surviving entity shall have a net worth equal to or greater than the net worth of Tenant on the day prior to such transaction.</w:t>
      </w:r>
    </w:p>
    <w:p>
      <w:pPr>
        <w:spacing w:after="0" w:line="275" w:lineRule="exact"/>
        <w:rPr>
          <w:sz w:val="20"/>
          <w:szCs w:val="20"/>
          <w:color w:val="auto"/>
        </w:rPr>
      </w:pPr>
    </w:p>
    <w:p>
      <w:pPr>
        <w:ind w:left="460" w:right="6360" w:firstLine="4"/>
        <w:spacing w:after="0" w:line="378" w:lineRule="auto"/>
        <w:tabs>
          <w:tab w:leader="none" w:pos="73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INDEMNIFICATION; EXCULPATION 14.1 Tenant’s Insurance.</w:t>
      </w:r>
    </w:p>
    <w:p>
      <w:pPr>
        <w:ind w:firstLine="921"/>
        <w:spacing w:after="0" w:line="253" w:lineRule="auto"/>
        <w:tabs>
          <w:tab w:leader="none" w:pos="115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Tenant shall procure, pay for and keep in force throughout the Term (and for so long thereafter as Tenant remains in occupancy of the Premises) commercial general liability insurance insuring Tenant on an occurrence basis against all claims and demands for personal injury liability (including, without limitation, bodily injury, sickness, disease, and death) or damage to property which may be claimed to have occurred from and after the time any of the Tenant Parties shall first enter the Premises, of not less than One Million Dollars ($1,000,000) per occurrence and Two Million Dollars ($2,000,000) in the aggregate annually, and from time to time thereafter shall be not less than such higher amounts, if procurable, as may be reasonably required by Landlord. Tenant shall also carry umbrella liability coverage in an amount of no less than Five Million Dollars ($5,000,000). Such policy shall also include contractual liability coverage covering Tenant’s liability assumed under this Lease, including without limitation Tenant’s indemnification obligations. Such insurance policy(ies) shall name Landlord, Landlord’s managing agent and persons claiming by, through or under them, if any, as additional insureds.</w:t>
      </w:r>
    </w:p>
    <w:p>
      <w:pPr>
        <w:spacing w:after="0" w:line="197" w:lineRule="exact"/>
        <w:rPr>
          <w:rFonts w:ascii="Arial" w:cs="Arial" w:eastAsia="Arial" w:hAnsi="Arial"/>
          <w:sz w:val="18"/>
          <w:szCs w:val="18"/>
          <w:color w:val="auto"/>
        </w:rPr>
      </w:pPr>
    </w:p>
    <w:p>
      <w:pPr>
        <w:ind w:firstLine="921"/>
        <w:spacing w:after="0" w:line="255" w:lineRule="auto"/>
        <w:tabs>
          <w:tab w:leader="none" w:pos="116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Tenant shall take out and maintain throughout the Term a policy of fire, vandalism, malicious mischief, extended coverage and so-called “all risk” coverage insurance in an amount equal to one hundred percent (100%) of the replacement cost insuring (i) all items or components of Alterations, other than the initial Tenant Improvement Work to be performed by Landlord (collectively, the “</w:t>
      </w:r>
      <w:r>
        <w:rPr>
          <w:rFonts w:ascii="Arial" w:cs="Arial" w:eastAsia="Arial" w:hAnsi="Arial"/>
          <w:sz w:val="18"/>
          <w:szCs w:val="18"/>
          <w:b w:val="1"/>
          <w:bCs w:val="1"/>
          <w:u w:val="single" w:color="auto"/>
          <w:color w:val="auto"/>
        </w:rPr>
        <w:t>Tenant-Insured Improvements</w:t>
      </w:r>
      <w:r>
        <w:rPr>
          <w:rFonts w:ascii="Arial" w:cs="Arial" w:eastAsia="Arial" w:hAnsi="Arial"/>
          <w:sz w:val="18"/>
          <w:szCs w:val="18"/>
          <w:color w:val="auto"/>
        </w:rPr>
        <w:t>”), and (ii) all of Tenant’s furniture, equipment, fixtures and property of every kind, nature and description related or arising out of Tenant’s leasehold estate hereunder, which may be in or upon the Premises or the Building, including, all of Tenant’s animals (collectively, “</w:t>
      </w:r>
      <w:r>
        <w:rPr>
          <w:rFonts w:ascii="Arial" w:cs="Arial" w:eastAsia="Arial" w:hAnsi="Arial"/>
          <w:sz w:val="18"/>
          <w:szCs w:val="18"/>
          <w:b w:val="1"/>
          <w:bCs w:val="1"/>
          <w:u w:val="single" w:color="auto"/>
          <w:color w:val="auto"/>
        </w:rPr>
        <w:t>Tenant’s Property</w:t>
      </w:r>
      <w:r>
        <w:rPr>
          <w:rFonts w:ascii="Arial" w:cs="Arial" w:eastAsia="Arial" w:hAnsi="Arial"/>
          <w:sz w:val="18"/>
          <w:szCs w:val="18"/>
          <w:color w:val="auto"/>
        </w:rPr>
        <w:t>”). The insurance required to be maintained by Tenant pursuant to this Section 14.1(b) (referred to herein as “</w:t>
      </w:r>
      <w:r>
        <w:rPr>
          <w:rFonts w:ascii="Arial" w:cs="Arial" w:eastAsia="Arial" w:hAnsi="Arial"/>
          <w:sz w:val="18"/>
          <w:szCs w:val="18"/>
          <w:b w:val="1"/>
          <w:bCs w:val="1"/>
          <w:u w:val="single" w:color="auto"/>
          <w:color w:val="auto"/>
        </w:rPr>
        <w:t>Tenant Property Insurance</w:t>
      </w:r>
      <w:r>
        <w:rPr>
          <w:rFonts w:ascii="Arial" w:cs="Arial" w:eastAsia="Arial" w:hAnsi="Arial"/>
          <w:sz w:val="18"/>
          <w:szCs w:val="18"/>
          <w:color w:val="auto"/>
        </w:rPr>
        <w:t>) shall insure the interests of both Landlord and Tenant as their respective interests may appear from time to time.</w:t>
      </w:r>
    </w:p>
    <w:p>
      <w:pPr>
        <w:spacing w:after="0" w:line="189" w:lineRule="exact"/>
        <w:rPr>
          <w:rFonts w:ascii="Arial" w:cs="Arial" w:eastAsia="Arial" w:hAnsi="Arial"/>
          <w:sz w:val="18"/>
          <w:szCs w:val="18"/>
          <w:color w:val="auto"/>
        </w:rPr>
      </w:pPr>
    </w:p>
    <w:p>
      <w:pPr>
        <w:ind w:right="360" w:firstLine="921"/>
        <w:spacing w:after="0" w:line="277" w:lineRule="auto"/>
        <w:tabs>
          <w:tab w:leader="none" w:pos="115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Tenant shall take out and maintain a policy of business interruption insurance throughout the Term sufficient to cover at least twelve (12) months of Rent due hereunder and Tenant’s business losses during such 12-month period.</w:t>
      </w:r>
    </w:p>
    <w:p>
      <w:pPr>
        <w:spacing w:after="0" w:line="170" w:lineRule="exact"/>
        <w:rPr>
          <w:rFonts w:ascii="Arial" w:cs="Arial" w:eastAsia="Arial" w:hAnsi="Arial"/>
          <w:sz w:val="18"/>
          <w:szCs w:val="18"/>
          <w:color w:val="auto"/>
        </w:rPr>
      </w:pPr>
    </w:p>
    <w:p>
      <w:pPr>
        <w:ind w:right="80" w:firstLine="921"/>
        <w:spacing w:after="0" w:line="257" w:lineRule="auto"/>
        <w:tabs>
          <w:tab w:leader="none" w:pos="116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During periods when Tenant’s Work and/or any Alterations are being performed, Tenant shall maintain, or cause to be maintained, so-called all risk or special cause of loss property insurance or its equivalent and/or builders risk insurance on 100% replacement cost coverage basis, including hard and soft costs coverages. Such insurance shall protect and insure Landlord, Landlord’s agents, Tenant and Tenant’s contractors, as their interests may appear, against loss or damage by fire, water damage, vandalism and malicious mischief, and such other risks as are customarily covered by so-called all risk or special cause of loss property / builders risk coverage or its equivalent.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380"/>
          </w:cols>
          <w:pgMar w:left="240" w:top="274" w:right="279" w:bottom="1440" w:gutter="0" w:footer="0" w:header="0"/>
        </w:sectPr>
      </w:pPr>
    </w:p>
    <w:bookmarkStart w:id="377" w:name="page378"/>
    <w:bookmarkEnd w:id="377"/>
    <w:p>
      <w:pPr>
        <w:ind w:left="1160" w:hanging="239"/>
        <w:spacing w:after="0"/>
        <w:tabs>
          <w:tab w:leader="none" w:pos="11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procure and maintain at its sole expense such additional insurance as may be necessary to comply with any Legal Requirements.</w:t>
      </w:r>
    </w:p>
    <w:p>
      <w:pPr>
        <w:spacing w:after="0" w:line="248" w:lineRule="exact"/>
        <w:rPr>
          <w:rFonts w:ascii="Arial" w:cs="Arial" w:eastAsia="Arial" w:hAnsi="Arial"/>
          <w:sz w:val="16"/>
          <w:szCs w:val="16"/>
          <w:color w:val="auto"/>
        </w:rPr>
      </w:pPr>
    </w:p>
    <w:p>
      <w:pPr>
        <w:ind w:right="60" w:firstLine="921"/>
        <w:spacing w:after="0" w:line="277" w:lineRule="auto"/>
        <w:tabs>
          <w:tab w:leader="none" w:pos="113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Tenant shall cause all contractors and subcontractors to maintain during the performance of any Alterations the insurance described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attached hereto.</w:t>
      </w:r>
    </w:p>
    <w:p>
      <w:pPr>
        <w:spacing w:after="0" w:line="166" w:lineRule="exact"/>
        <w:rPr>
          <w:rFonts w:ascii="Arial" w:cs="Arial" w:eastAsia="Arial" w:hAnsi="Arial"/>
          <w:sz w:val="18"/>
          <w:szCs w:val="18"/>
          <w:color w:val="auto"/>
        </w:rPr>
      </w:pPr>
    </w:p>
    <w:p>
      <w:pPr>
        <w:ind w:right="20" w:firstLine="921"/>
        <w:spacing w:after="0" w:line="271" w:lineRule="auto"/>
        <w:tabs>
          <w:tab w:leader="none" w:pos="1168"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insurance required pursuant to Sections 14.1(a), (b), (c), (d) and (e) (collectively, “</w:t>
      </w:r>
      <w:r>
        <w:rPr>
          <w:rFonts w:ascii="Arial" w:cs="Arial" w:eastAsia="Arial" w:hAnsi="Arial"/>
          <w:sz w:val="17"/>
          <w:szCs w:val="17"/>
          <w:b w:val="1"/>
          <w:bCs w:val="1"/>
          <w:u w:val="single" w:color="auto"/>
          <w:color w:val="auto"/>
        </w:rPr>
        <w:t>Tenant’s Insurance Policies</w:t>
      </w:r>
      <w:r>
        <w:rPr>
          <w:rFonts w:ascii="Arial" w:cs="Arial" w:eastAsia="Arial" w:hAnsi="Arial"/>
          <w:sz w:val="17"/>
          <w:szCs w:val="17"/>
          <w:color w:val="auto"/>
        </w:rPr>
        <w:t xml:space="preserve">”) shall be effected with insurers approved by Landlord, with a rating of not less than “A-XI” in the current </w:t>
      </w:r>
      <w:r>
        <w:rPr>
          <w:rFonts w:ascii="Arial" w:cs="Arial" w:eastAsia="Arial" w:hAnsi="Arial"/>
          <w:sz w:val="17"/>
          <w:szCs w:val="17"/>
          <w:i w:val="1"/>
          <w:iCs w:val="1"/>
          <w:color w:val="auto"/>
        </w:rPr>
        <w:t>Best’s Insurance Reports</w:t>
      </w:r>
      <w:r>
        <w:rPr>
          <w:rFonts w:ascii="Arial" w:cs="Arial" w:eastAsia="Arial" w:hAnsi="Arial"/>
          <w:sz w:val="17"/>
          <w:szCs w:val="17"/>
          <w:color w:val="auto"/>
        </w:rPr>
        <w:t>, and authorized to do business in the Commonwealth of Massachusetts under valid and enforceable policies. Tenant’s Insurance Policies shall each provide that it shall not be canceled or modified without at least thirty (30) days’ prior written notice to each insured named therein. Tenant’s Insurance Policies may include deductibles in an amount no greater than the greater of $25,000 or commercially reasonable amounts. On or before the date on which any of the Tenant Parties shall first enter the Premises and thereafter not less than fifteen (15) days prior to the expiration date of each expiring policy, Tenant shall deliver to Landlord binders of Tenant’s Insurance Policies issued by the respective insurers setting forth in full the provisions thereof together with evidence satisfactory to Landlord of the payment of all premiums for such policies. In the event of any claim, and upon Landlord’s request, Tenant shall deliver to Landlord complete copies of Tenant’s Insurance Policies. Upon request of Landlord, Tenant shall deliver to any Mortgagee copies of the foregoing documents.</w:t>
      </w:r>
    </w:p>
    <w:p>
      <w:pPr>
        <w:spacing w:after="0" w:line="174"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14.2 Tenant Indemnification</w:t>
      </w:r>
      <w:r>
        <w:rPr>
          <w:rFonts w:ascii="Arial" w:cs="Arial" w:eastAsia="Arial" w:hAnsi="Arial"/>
          <w:sz w:val="18"/>
          <w:szCs w:val="18"/>
          <w:color w:val="auto"/>
        </w:rPr>
        <w:t>. Except to the extent caused by the negligence or willful misconduct of any of the Landlord Parties, Tenant shall defend,</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and save the Landlord Parties harmless from and against any and all Claims asserted by or on behalf of any person, firm, corporation or public authority arising from:</w:t>
      </w:r>
    </w:p>
    <w:p>
      <w:pPr>
        <w:spacing w:after="0" w:line="180" w:lineRule="exact"/>
        <w:rPr>
          <w:sz w:val="20"/>
          <w:szCs w:val="20"/>
          <w:color w:val="auto"/>
        </w:rPr>
      </w:pPr>
    </w:p>
    <w:p>
      <w:pPr>
        <w:ind w:left="1160" w:hanging="239"/>
        <w:spacing w:after="0"/>
        <w:tabs>
          <w:tab w:leader="none" w:pos="11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Tenant’s breach of any covenant or obligation under this Lease;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injury to or death of any person, or loss of or damage to property, sustained or occurring in, upon, at or about the Premises;</w:t>
      </w:r>
    </w:p>
    <w:p>
      <w:pPr>
        <w:spacing w:after="0" w:line="225" w:lineRule="exact"/>
        <w:rPr>
          <w:rFonts w:ascii="Arial" w:cs="Arial" w:eastAsia="Arial" w:hAnsi="Arial"/>
          <w:sz w:val="18"/>
          <w:szCs w:val="18"/>
          <w:color w:val="auto"/>
        </w:rPr>
      </w:pPr>
    </w:p>
    <w:p>
      <w:pPr>
        <w:ind w:firstLine="921"/>
        <w:spacing w:after="0" w:line="277" w:lineRule="auto"/>
        <w:tabs>
          <w:tab w:leader="none" w:pos="115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injury to or death of any person, or loss of or damage to property arising out of the use or occupancy of the Premises by or the negligence or willful misconduct of any of the Tenant Parties; and</w:t>
      </w:r>
    </w:p>
    <w:p>
      <w:pPr>
        <w:spacing w:after="0" w:line="170"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On account of or based upon any work or thing whatsoever done (other than by Landlord or any of the Landlord Parties) at the Premises during the Term and during the period of time, if any, prior to the Term Commencement Date that any of the Tenant Parties may have been given access to the Premises.</w:t>
      </w:r>
    </w:p>
    <w:p>
      <w:pPr>
        <w:spacing w:after="0" w:line="177"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14.2A Landlord Indemnification</w:t>
      </w:r>
      <w:r>
        <w:rPr>
          <w:rFonts w:ascii="Arial" w:cs="Arial" w:eastAsia="Arial" w:hAnsi="Arial"/>
          <w:sz w:val="17"/>
          <w:szCs w:val="17"/>
          <w:color w:val="auto"/>
        </w:rPr>
        <w:t>. Subject to the limitations of Landlord’s liability set forth in this Lease, Landlord agrees to hold Tenant harmless and</w:t>
      </w:r>
      <w:r>
        <w:rPr>
          <w:rFonts w:ascii="Arial" w:cs="Arial" w:eastAsia="Arial" w:hAnsi="Arial"/>
          <w:sz w:val="17"/>
          <w:szCs w:val="17"/>
          <w:b w:val="1"/>
          <w:bCs w:val="1"/>
          <w:color w:val="auto"/>
        </w:rPr>
        <w:t xml:space="preserve"> </w:t>
      </w:r>
      <w:r>
        <w:rPr>
          <w:rFonts w:ascii="Arial" w:cs="Arial" w:eastAsia="Arial" w:hAnsi="Arial"/>
          <w:sz w:val="17"/>
          <w:szCs w:val="17"/>
          <w:color w:val="auto"/>
        </w:rPr>
        <w:t>to defend, exonerate and indemnify Tenant, its agents and employees from and against any and all claims, liabilities, or penalties asserted by or on behalf of any person, firm, corporation, or public authority for damage to property or injuries to persons sustained or occurring in or about the Building to the extent arising from the negligence or willful misconduct of Landlord or Landlord’s agents, employees or contractors.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273" w:right="239" w:bottom="1440" w:gutter="0" w:footer="0" w:header="0"/>
        </w:sectPr>
      </w:pPr>
    </w:p>
    <w:bookmarkStart w:id="378" w:name="page379"/>
    <w:bookmarkEnd w:id="378"/>
    <w:p>
      <w:pPr>
        <w:ind w:right="240" w:firstLine="456"/>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14.3 Property of Tenant</w:t>
      </w:r>
      <w:r>
        <w:rPr>
          <w:rFonts w:ascii="Arial" w:cs="Arial" w:eastAsia="Arial" w:hAnsi="Arial"/>
          <w:sz w:val="17"/>
          <w:szCs w:val="17"/>
          <w:color w:val="auto"/>
        </w:rPr>
        <w:t>. Tenant covenants and agrees that, to the maximum extent permitted by Legal Requirements, all of Tenant’s Property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shall be at the sole risk and hazard of Tenant, and that if the whole or any part thereof shall be damaged, destroyed, stolen or removed from any cause or reason whatsoever, no part of said damage or loss shall be charged to, or borne by, Landlord, except, subject to Section 14.5 hereof, to the extent such damage or loss is due to the gross negligence or willful misconduct of any of the Landlord Parties.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14.4 Limitation of Landlord’s Liability for Damage or Injury</w:t>
      </w:r>
      <w:r>
        <w:rPr>
          <w:rFonts w:ascii="Arial" w:cs="Arial" w:eastAsia="Arial" w:hAnsi="Arial"/>
          <w:sz w:val="17"/>
          <w:szCs w:val="17"/>
          <w:color w:val="auto"/>
        </w:rPr>
        <w:t>. Landlord shall not be liable for any injury or damage to persons, animals or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fire, explosion, falling plaster, steam, gas, air contaminants or emissions, electricity, electrical or electronic emanations or disturbance, water, rain or snow or leaks from any part of the Building or from the pipes, appliances, equipment or plumbing works or from the roof, street or sub-surface or from any other place or caused by dampness, vandalism, malicious mischief or by any other cause of whatever nature, except to the extent caused by or due to the gross negligence or willful misconduct of any of the Landlord Parties, and then, where notice and an opportunity to cure are appropriate (i.e., where Tenant has actual knowledge of such condition sufficiently in advance of the occurrence of any such injury or damage resulting therefrom as would have enabled Landlord to prevent such damage or loss had Tenant notified Landlord of such condition) only after (i) notice to Landlord of the condition claimed to constitute gross negligence or willful misconduct, and (ii) the expiration of a reasonable time after such notice has been received by Landlord without Landlord having commenced to take all reasonable and practicable means to cure or correct such condition; and pending such cure or correction by Landlord, Tenant shall take all reasonably prudent temporary measures and safeguards to prevent any injury, loss or damage to persons or property. Notwithstanding the foregoing, in no event shall any of the Landlord Parties be liable for any loss which is covered by insurance policies actually carried or required to be so carried by this Lease; nor shall any of the Landlord Parties be liable for any such damage caused by other tenants or persons in the Building or caused by operations in construction of any private, public, or quasi-public work; nor shall any of the Landlord Parties be liable for any latent defect in the Premises or in the Building.</w:t>
      </w:r>
    </w:p>
    <w:p>
      <w:pPr>
        <w:spacing w:after="0" w:line="185"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b w:val="1"/>
          <w:bCs w:val="1"/>
          <w:color w:val="auto"/>
        </w:rPr>
        <w:t>14.5 Waiver of Subrogation; Mutual Release</w:t>
      </w:r>
      <w:r>
        <w:rPr>
          <w:rFonts w:ascii="Arial" w:cs="Arial" w:eastAsia="Arial" w:hAnsi="Arial"/>
          <w:sz w:val="17"/>
          <w:szCs w:val="17"/>
          <w:color w:val="auto"/>
        </w:rPr>
        <w:t>. Landlord and Tenant each hereby waives on behalf of itself and its property insurers (none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shall ever be assigned any such claim or be entitled thereto due to subrogation or otherwise) any and all rights of recovery, claim, action, or cause of action against the other and its agents, officers, servants, partners, shareholders, or employees (collectively, the “</w:t>
      </w:r>
      <w:r>
        <w:rPr>
          <w:rFonts w:ascii="Arial" w:cs="Arial" w:eastAsia="Arial" w:hAnsi="Arial"/>
          <w:sz w:val="17"/>
          <w:szCs w:val="17"/>
          <w:b w:val="1"/>
          <w:bCs w:val="1"/>
          <w:u w:val="single" w:color="auto"/>
          <w:color w:val="auto"/>
        </w:rPr>
        <w:t>Related Parties</w:t>
      </w:r>
      <w:r>
        <w:rPr>
          <w:rFonts w:ascii="Arial" w:cs="Arial" w:eastAsia="Arial" w:hAnsi="Arial"/>
          <w:sz w:val="17"/>
          <w:szCs w:val="17"/>
          <w:color w:val="auto"/>
        </w:rPr>
        <w:t>”) for any loss or damage that may occur to or within the Premises or the Building or any improvements thereto, or any personal property of such party therein which is insured against under any Property Insurance (as defined in Section 14.7) policy actually being maintained by the waiving party from time to time, even if not required hereunder, or which would be insured against under the terms of any Property Insurance policy required to be carried or maintained by the waiving party hereunder, whether or not such insurance coverage is actually being maintained, including, in every instance, such loss or damage that may be caused by the negligence of the other party hereto and/or its Related Parties. Landlord and Tenant each agrees to cause appropriate clauses to be included in its Property Insurance policies necessary to implement the foregoing provisions.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270" w:right="239" w:bottom="1440" w:gutter="0" w:footer="0" w:header="0"/>
        </w:sectPr>
      </w:pPr>
    </w:p>
    <w:bookmarkStart w:id="379" w:name="page380"/>
    <w:bookmarkEnd w:id="379"/>
    <w:p>
      <w:pPr>
        <w:ind w:right="60"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14.6 Tenant’s Acts–Effect on Insurance</w:t>
      </w:r>
      <w:r>
        <w:rPr>
          <w:rFonts w:ascii="Arial" w:cs="Arial" w:eastAsia="Arial" w:hAnsi="Arial"/>
          <w:sz w:val="16"/>
          <w:szCs w:val="16"/>
          <w:color w:val="auto"/>
        </w:rPr>
        <w:t>. Tenant shall not do or permit any Tenant Party to do any act or thing upon the Premises or elsewhere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which will invalidate or be in conflict with any insurance policies covering the Building and the fixtures and property therein; and shall not do, or permit to be done, any act or thing upon the Premises which shall subject Landlord to any liability or responsibility for injury to any person or persons or to property by reason of any business or operation being carried on upon said Premises or for any other reason. Landlord agrees that the use of the Premises for the Contemplated Use will not, per se, violate the provisions of the immediately preceding sentence. If by reason of the failure of Tenant to comply with the provisions hereof the insurance rate applicable to any policy of insurance shall at any time thereafter be higher than it otherwise would be, Tenant shall reimburse Landlord upon demand for that part of any insurance premiums which shall have been charged because of such failure by Tenant, together with interest at the Default Rate until paid in full, within ten (10) days after receipt of an invoice therefor. In addition, Tenant shall reimburse Landlord for any increase in insurance premium arising as a result of Tenant’s use and/or storage of any Hazardous Materials in the Premises.</w:t>
      </w:r>
    </w:p>
    <w:p>
      <w:pPr>
        <w:spacing w:after="0" w:line="16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Landlord shall carry at all times during the Term of this Lease: (i) commercial general liability insurance with respect to the Building, the Land and the Common Areas thereof in an amount not less than Five Million Dollars ($5,000,000) combined single limit per occurrence, (ii) with respect to the Building, excluding Tenant-Insured Improvements, insurance against loss or damage caused by any peril covered under fire, extended coverage and all risk insurance with coverage against vandalism, malicious mischief and such other insurable hazards and contingencies as are from time to time normally insured against by owners of similar first-class multi-tenant buildings in the City of Cambridge or which are required by Landlord’s mortgagee, in an amount equal to one hundred percent (100%) of the full replacement cost thereof above foundation walls (“</w:t>
      </w:r>
      <w:r>
        <w:rPr>
          <w:rFonts w:ascii="Arial" w:cs="Arial" w:eastAsia="Arial" w:hAnsi="Arial"/>
          <w:sz w:val="17"/>
          <w:szCs w:val="17"/>
          <w:b w:val="1"/>
          <w:bCs w:val="1"/>
          <w:u w:val="single" w:color="auto"/>
          <w:color w:val="auto"/>
        </w:rPr>
        <w:t>Landlord Property Insurance</w:t>
      </w:r>
      <w:r>
        <w:rPr>
          <w:rFonts w:ascii="Arial" w:cs="Arial" w:eastAsia="Arial" w:hAnsi="Arial"/>
          <w:sz w:val="17"/>
          <w:szCs w:val="17"/>
          <w:color w:val="auto"/>
        </w:rPr>
        <w:t>), and (iii) rent interruption insurance covering at least eighteen (18) months. Any and all such insurance: (x) may be maintained under a blanket policy affecting other properties of Landlord and/or its affiliated business organizations, and (y) may be written with commercially reasonable deductibles as determined by Landlord. The costs incurred by Landlord related to such insurance shall be included in Operating Expenses. Tenant Property Insurance and Landlord Property Insurance are referred to collectively herein as “</w:t>
      </w:r>
      <w:r>
        <w:rPr>
          <w:rFonts w:ascii="Arial" w:cs="Arial" w:eastAsia="Arial" w:hAnsi="Arial"/>
          <w:sz w:val="17"/>
          <w:szCs w:val="17"/>
          <w:b w:val="1"/>
          <w:bCs w:val="1"/>
          <w:u w:val="single" w:color="auto"/>
          <w:color w:val="auto"/>
        </w:rPr>
        <w:t>Property Insurance</w:t>
      </w:r>
      <w:r>
        <w:rPr>
          <w:rFonts w:ascii="Arial" w:cs="Arial" w:eastAsia="Arial" w:hAnsi="Arial"/>
          <w:sz w:val="17"/>
          <w:szCs w:val="17"/>
          <w:color w:val="auto"/>
        </w:rPr>
        <w:t>”.</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CASUALTY; TAKING</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15.1 Damage</w:t>
      </w:r>
      <w:r>
        <w:rPr>
          <w:rFonts w:ascii="Arial" w:cs="Arial" w:eastAsia="Arial" w:hAnsi="Arial"/>
          <w:sz w:val="17"/>
          <w:szCs w:val="17"/>
          <w:color w:val="auto"/>
        </w:rPr>
        <w:t>. If the Premises are damaged in whole or part because of fire or other casualty (“</w:t>
      </w:r>
      <w:r>
        <w:rPr>
          <w:rFonts w:ascii="Arial" w:cs="Arial" w:eastAsia="Arial" w:hAnsi="Arial"/>
          <w:sz w:val="17"/>
          <w:szCs w:val="17"/>
          <w:b w:val="1"/>
          <w:bCs w:val="1"/>
          <w:u w:val="single" w:color="auto"/>
          <w:color w:val="auto"/>
        </w:rPr>
        <w:t>Casualty</w:t>
      </w:r>
      <w:r>
        <w:rPr>
          <w:rFonts w:ascii="Arial" w:cs="Arial" w:eastAsia="Arial" w:hAnsi="Arial"/>
          <w:sz w:val="17"/>
          <w:szCs w:val="17"/>
          <w:color w:val="auto"/>
        </w:rPr>
        <w:t>”), or if the Premises are subject to a taking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exercise of any power of eminent domain, condemnation, or purchase under threat or in lieu thereof (any of the foregoing, a “</w:t>
      </w:r>
      <w:r>
        <w:rPr>
          <w:rFonts w:ascii="Arial" w:cs="Arial" w:eastAsia="Arial" w:hAnsi="Arial"/>
          <w:sz w:val="17"/>
          <w:szCs w:val="17"/>
          <w:b w:val="1"/>
          <w:bCs w:val="1"/>
          <w:u w:val="single" w:color="auto"/>
          <w:color w:val="auto"/>
        </w:rPr>
        <w:t>Taking</w:t>
      </w:r>
      <w:r>
        <w:rPr>
          <w:rFonts w:ascii="Arial" w:cs="Arial" w:eastAsia="Arial" w:hAnsi="Arial"/>
          <w:sz w:val="17"/>
          <w:szCs w:val="17"/>
          <w:color w:val="auto"/>
        </w:rPr>
        <w:t>”), then unless this Lease is terminated in accordance with Section 15.2 below, Landlord shall restore the Building and/or the Premises to substantially the same condition as existed immediately following completion of Landlord’s Work, or in the event of a partial Taking which affects the Building and the Premises, restore the remainder of the Building and the Premises not so Taken to substantially the same condition as is reasonably feasible. If, in Landlord’s reasonable judgment, any element of the Tenant-Insured Improvements can more effectively be restored as an integral part of Landlord’s restoration of the Building or the Premises, such restoration shall also be made by Landlord, but at Tenant’s sole cost and expense. Subject to rights of Mortgagees, Tenant Delays, Legal Requirements then in existence and to</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360"/>
          </w:cols>
          <w:pgMar w:left="240" w:top="270" w:right="299" w:bottom="1440" w:gutter="0" w:footer="0" w:header="0"/>
        </w:sectPr>
      </w:pPr>
    </w:p>
    <w:bookmarkStart w:id="380" w:name="page381"/>
    <w:bookmarkEnd w:id="38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delays for adjustment of insurance proceeds or Taking awards, as the case may be, and instances of Landlord’s Force Majeure, Landlord shall substantially complete such restoration within one (1) year after Landlord’s receipt of all required permits therefor with respect to substantial reconstruction of at least 50% of the Building, or, within one hundred eighty (180) days after Landlord’s receipt of all required permits therefor in the case of restoration of less than 50% of the Building. Upon substantial completion of such restoration by Landlord, Tenant shall use diligent efforts to complete restoration of any Alterations performed by Tenant after the initial Tenant Improvement Work to substantially the same condition as existed immediately prior to such Casualty or Taking, as the case may be, as soon as reasonably possible. Tenant agrees to cooperate with Landlord in such manner as Landlord may reasonably request to assist Landlord in collecting insurance proceeds due in connection with any Casualty which affects the Premises or the Building. In no event shall Landlord be required to expend more than the Net (hereinafter defined) insurance proceeds Landlord receives for damage to the Premises and/or the Building or the Net Taking award attributable to the Premises and/or the Building. “</w:t>
      </w:r>
      <w:r>
        <w:rPr>
          <w:rFonts w:ascii="Arial" w:cs="Arial" w:eastAsia="Arial" w:hAnsi="Arial"/>
          <w:sz w:val="17"/>
          <w:szCs w:val="17"/>
          <w:b w:val="1"/>
          <w:bCs w:val="1"/>
          <w:u w:val="single" w:color="auto"/>
          <w:color w:val="auto"/>
        </w:rPr>
        <w:t>Net</w:t>
      </w:r>
      <w:r>
        <w:rPr>
          <w:rFonts w:ascii="Arial" w:cs="Arial" w:eastAsia="Arial" w:hAnsi="Arial"/>
          <w:sz w:val="17"/>
          <w:szCs w:val="17"/>
          <w:color w:val="auto"/>
        </w:rPr>
        <w:t>” means the insurance proceeds or Taking award actually paid to Landlord (and not paid over to a Mortgagee in satisfaction of debt) less all costs and expenses, including adjusters and attorney’s fees, of obtaining the same. Except as Landlord may elect pursuant to this Section 15.1, under no circumstances shall Landlord be required to repair any damage to, or make any repairs to or replacements of, any Tenant-Insured Improvements.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15.2 Termination Rights.</w:t>
      </w:r>
    </w:p>
    <w:p>
      <w:pPr>
        <w:spacing w:after="0" w:line="121" w:lineRule="exact"/>
        <w:rPr>
          <w:sz w:val="20"/>
          <w:szCs w:val="20"/>
          <w:color w:val="auto"/>
        </w:rPr>
      </w:pPr>
    </w:p>
    <w:p>
      <w:pPr>
        <w:ind w:right="240" w:firstLine="921"/>
        <w:spacing w:after="0" w:line="277" w:lineRule="auto"/>
        <w:tabs>
          <w:tab w:leader="none" w:pos="1157"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Landlord’s Termination Rights</w:t>
      </w:r>
      <w:r>
        <w:rPr>
          <w:rFonts w:ascii="Arial" w:cs="Arial" w:eastAsia="Arial" w:hAnsi="Arial"/>
          <w:sz w:val="18"/>
          <w:szCs w:val="18"/>
          <w:color w:val="auto"/>
        </w:rPr>
        <w:t>. In the event of a Casualty affecting the Building, Landlord may terminate this Lease upon thirty (30) days’ prior written notice to Tenant if:</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if the estimated time to complete restoration exceeds one (1) year from the date on which Landlord receives all required permits for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restoration; or</w:t>
      </w:r>
    </w:p>
    <w:p>
      <w:pPr>
        <w:spacing w:after="0" w:line="102" w:lineRule="exact"/>
        <w:rPr>
          <w:rFonts w:ascii="Arial" w:cs="Arial" w:eastAsia="Arial" w:hAnsi="Arial"/>
          <w:sz w:val="16"/>
          <w:szCs w:val="16"/>
          <w:color w:val="auto"/>
        </w:rPr>
      </w:pPr>
    </w:p>
    <w:p>
      <w:pPr>
        <w:ind w:left="460" w:right="500" w:firstLine="881"/>
        <w:spacing w:after="0" w:line="277" w:lineRule="auto"/>
        <w:tabs>
          <w:tab w:leader="none" w:pos="1601"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cost of repairing the damage caused by such Casualty is not covered by casualty insurance required to be carried by Landlord pursuant to this Lease, and such cost exceeds five (5%) percent of the then replacement cost of the Building.</w:t>
      </w:r>
    </w:p>
    <w:p>
      <w:pPr>
        <w:spacing w:after="0" w:line="170" w:lineRule="exact"/>
        <w:rPr>
          <w:rFonts w:ascii="Arial" w:cs="Arial" w:eastAsia="Arial" w:hAnsi="Arial"/>
          <w:sz w:val="18"/>
          <w:szCs w:val="18"/>
          <w:color w:val="auto"/>
        </w:rPr>
      </w:pPr>
    </w:p>
    <w:p>
      <w:pPr>
        <w:ind w:right="20" w:firstLine="921"/>
        <w:spacing w:after="0" w:line="291" w:lineRule="auto"/>
        <w:tabs>
          <w:tab w:leader="none" w:pos="1168"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Tenant’s Termination Right</w:t>
      </w:r>
      <w:r>
        <w:rPr>
          <w:rFonts w:ascii="Arial" w:cs="Arial" w:eastAsia="Arial" w:hAnsi="Arial"/>
          <w:sz w:val="16"/>
          <w:szCs w:val="16"/>
          <w:color w:val="auto"/>
        </w:rPr>
        <w:t>. If neither party elects to terminate the Lease pursuant to its rights under any other section of the Lease, and Landlord is so required but fails to complete restoration of the Premises within the time frames and subject to the conditions set forth in Section 15.1 above, then Tenant may terminate this Lease upon thirty (30) days’ written notice to Landlord; provided, however, that if Landlord completes such restoration within thirty (30) days after receipt of any such termination notice, such termination notice shall be null and void and this Lease shall continue in full force and effect. The remedies set forth in this Section 15.2(b) and in Section 15.2(c) below are Tenant’s sole and exclusive rights and remedies based upon Landlord’s failure to complete the restoration of the Premises following a Casualty as set forth herein. Notwithstanding anything to the contrary contained herein, Tenant shall not have the right to terminate this Lease pursuant to this Section 15 if the Casualty was caused by the intentional misconduct of any Tenant Party.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00"/>
          </w:cols>
          <w:pgMar w:left="240" w:top="273" w:right="259" w:bottom="1440" w:gutter="0" w:footer="0" w:header="0"/>
        </w:sectPr>
      </w:pPr>
    </w:p>
    <w:bookmarkStart w:id="381" w:name="page382"/>
    <w:bookmarkEnd w:id="381"/>
    <w:p>
      <w:pPr>
        <w:ind w:left="1160" w:hanging="239"/>
        <w:spacing w:after="0"/>
        <w:tabs>
          <w:tab w:leader="none" w:pos="1160"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Party May Terminate</w:t>
      </w:r>
      <w:r>
        <w:rPr>
          <w:rFonts w:ascii="Arial" w:cs="Arial" w:eastAsia="Arial" w:hAnsi="Arial"/>
          <w:sz w:val="16"/>
          <w:szCs w:val="16"/>
          <w:color w:val="auto"/>
        </w:rPr>
        <w:t>. In the case of any Casualty or Taking affecting the Premises occurring during the last twelve (12) months of the</w:t>
      </w:r>
    </w:p>
    <w:p>
      <w:pPr>
        <w:spacing w:after="0" w:line="46" w:lineRule="exact"/>
        <w:rPr>
          <w:rFonts w:ascii="Arial" w:cs="Arial" w:eastAsia="Arial" w:hAnsi="Arial"/>
          <w:sz w:val="16"/>
          <w:szCs w:val="16"/>
          <w:color w:val="auto"/>
        </w:rPr>
      </w:pPr>
    </w:p>
    <w:p>
      <w:pPr>
        <w:ind w:right="120"/>
        <w:spacing w:after="0" w:line="268" w:lineRule="auto"/>
        <w:rPr>
          <w:rFonts w:ascii="Arial" w:cs="Arial" w:eastAsia="Arial" w:hAnsi="Arial"/>
          <w:sz w:val="16"/>
          <w:szCs w:val="16"/>
          <w:color w:val="auto"/>
        </w:rPr>
      </w:pPr>
      <w:r>
        <w:rPr>
          <w:rFonts w:ascii="Arial" w:cs="Arial" w:eastAsia="Arial" w:hAnsi="Arial"/>
          <w:sz w:val="17"/>
          <w:szCs w:val="17"/>
          <w:color w:val="auto"/>
        </w:rPr>
        <w:t>Term, then: (i) if such Casualty or Taking results in more than twenty-five percent (25%) of the floor area of the Premises being unsuitable for the Permitted Uses, or (ii) the damage to the Premises is estimated to cost more than $250,000 to restore, then either Landlord or Tenant shall have the option to terminate this Lease upon thirty (30) days’ written notice to the other. In addition, if Landlord’s Mortgagee does not release sufficient insurance proceeds to cover the cost of Landlord’s restoration obligations, then Landlord shall (i) notify Tenant thereof, and (ii) have the right to terminate this Lease. If Landlord does not terminate this Lease pursuant to the previous sentence and such notice by Landlord does not include an agreement by Landlord to pay for the difference between the cost of such restoration and such released insurance proceeds, then Tenant may terminate this Lease by written notice to Landlord on or before the date that is thirty (30) days after such notice. Notwithstanding anything to the contrary contained in this Section 15, in no event may Tenant elect to terminate this Lease hereunder if the Casualty that would otherwise give rise to such right results from the willful misconduct of Tenant, its agents, contractors, or employees.</w:t>
      </w:r>
    </w:p>
    <w:p>
      <w:pPr>
        <w:spacing w:after="0" w:line="182" w:lineRule="exact"/>
        <w:rPr>
          <w:rFonts w:ascii="Arial" w:cs="Arial" w:eastAsia="Arial" w:hAnsi="Arial"/>
          <w:sz w:val="16"/>
          <w:szCs w:val="16"/>
          <w:color w:val="auto"/>
        </w:rPr>
      </w:pPr>
    </w:p>
    <w:p>
      <w:pPr>
        <w:ind w:right="700" w:firstLine="921"/>
        <w:spacing w:after="0" w:line="277" w:lineRule="auto"/>
        <w:tabs>
          <w:tab w:leader="none" w:pos="1168"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Automatic Termination</w:t>
      </w:r>
      <w:r>
        <w:rPr>
          <w:rFonts w:ascii="Arial" w:cs="Arial" w:eastAsia="Arial" w:hAnsi="Arial"/>
          <w:sz w:val="18"/>
          <w:szCs w:val="18"/>
          <w:color w:val="auto"/>
        </w:rPr>
        <w:t>. In the case of a Taking of the entire Premises, then this Lease shall automatically terminate as of the date of possession by the Taking authority.</w:t>
      </w:r>
    </w:p>
    <w:p>
      <w:pPr>
        <w:spacing w:after="0" w:line="166"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15.3 Rent Abatement</w:t>
      </w:r>
      <w:r>
        <w:rPr>
          <w:rFonts w:ascii="Arial" w:cs="Arial" w:eastAsia="Arial" w:hAnsi="Arial"/>
          <w:sz w:val="17"/>
          <w:szCs w:val="17"/>
          <w:color w:val="auto"/>
        </w:rPr>
        <w:t>. In the event of a Casualty affecting the Premises, there shall be an equitable adjustment of Base Rent, Operating Costs and</w:t>
      </w:r>
      <w:r>
        <w:rPr>
          <w:rFonts w:ascii="Arial" w:cs="Arial" w:eastAsia="Arial" w:hAnsi="Arial"/>
          <w:sz w:val="17"/>
          <w:szCs w:val="17"/>
          <w:b w:val="1"/>
          <w:bCs w:val="1"/>
          <w:color w:val="auto"/>
        </w:rPr>
        <w:t xml:space="preserve"> </w:t>
      </w:r>
      <w:r>
        <w:rPr>
          <w:rFonts w:ascii="Arial" w:cs="Arial" w:eastAsia="Arial" w:hAnsi="Arial"/>
          <w:sz w:val="17"/>
          <w:szCs w:val="17"/>
          <w:color w:val="auto"/>
        </w:rPr>
        <w:t>Taxes based upon the degree to which Tenant’s ability to conduct its business in the Premises is impaired by reason of such Casualty during the following time period: (i) from and after the date of a Casualty, and continuing until the following portions of the repair and restoration work to be performed by Landlord, as set forth above, are substantially completed: (i) any repair and restoration work to be performed by Landlord within the Premises, and (ii) repair and restoration work with respect to the common areas of the Building and the Property to the extent that damage to the common areas of the Property caused by such Casualty affect Tenant’s use of, or access to, the Premises.</w:t>
      </w:r>
    </w:p>
    <w:p>
      <w:pPr>
        <w:spacing w:after="0" w:line="174" w:lineRule="exact"/>
        <w:rPr>
          <w:sz w:val="20"/>
          <w:szCs w:val="20"/>
          <w:color w:val="auto"/>
        </w:rPr>
      </w:pPr>
    </w:p>
    <w:p>
      <w:pPr>
        <w:ind w:right="200" w:firstLine="456"/>
        <w:spacing w:after="0" w:line="313" w:lineRule="auto"/>
        <w:rPr>
          <w:sz w:val="20"/>
          <w:szCs w:val="20"/>
          <w:color w:val="auto"/>
        </w:rPr>
      </w:pPr>
      <w:r>
        <w:rPr>
          <w:rFonts w:ascii="Arial" w:cs="Arial" w:eastAsia="Arial" w:hAnsi="Arial"/>
          <w:sz w:val="17"/>
          <w:szCs w:val="17"/>
          <w:b w:val="1"/>
          <w:bCs w:val="1"/>
          <w:color w:val="auto"/>
        </w:rPr>
        <w:t xml:space="preserve">15.4 Taking for Temporary Use. </w:t>
      </w:r>
      <w:r>
        <w:rPr>
          <w:rFonts w:ascii="Arial" w:cs="Arial" w:eastAsia="Arial" w:hAnsi="Arial"/>
          <w:sz w:val="17"/>
          <w:szCs w:val="17"/>
          <w:color w:val="auto"/>
        </w:rPr>
        <w:t>If the Premises are Taken for temporary use, this Lease and Tenant’s obligations, including, without limitation,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Rent, shall continue. For purposes hereof, a “</w:t>
      </w:r>
      <w:r>
        <w:rPr>
          <w:rFonts w:ascii="Arial" w:cs="Arial" w:eastAsia="Arial" w:hAnsi="Arial"/>
          <w:sz w:val="17"/>
          <w:szCs w:val="17"/>
          <w:b w:val="1"/>
          <w:bCs w:val="1"/>
          <w:u w:val="single" w:color="auto"/>
          <w:color w:val="auto"/>
        </w:rPr>
        <w:t>Taking for temporary use</w:t>
      </w:r>
      <w:r>
        <w:rPr>
          <w:rFonts w:ascii="Arial" w:cs="Arial" w:eastAsia="Arial" w:hAnsi="Arial"/>
          <w:sz w:val="17"/>
          <w:szCs w:val="17"/>
          <w:color w:val="auto"/>
        </w:rPr>
        <w:t>” shall mean a Taking of ninety (90) days or less.</w:t>
      </w:r>
    </w:p>
    <w:p>
      <w:pPr>
        <w:spacing w:after="0" w:line="138"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 xml:space="preserve">15.5 Disposition of Awards. </w:t>
      </w:r>
      <w:r>
        <w:rPr>
          <w:rFonts w:ascii="Arial" w:cs="Arial" w:eastAsia="Arial" w:hAnsi="Arial"/>
          <w:sz w:val="18"/>
          <w:szCs w:val="18"/>
          <w:color w:val="auto"/>
        </w:rPr>
        <w:t>Except for any separate award for Tenant’s movable trade fixtures, relocation expenses, and unamortized leasehold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paid for by Tenant (provided that the same may not reduce Landlord’s award), all Taking awards to Landlord or Tenant shall be Landlord’s property without Tenant’s participation, and Tenant hereby assigns to Landlord Tenant’s interest, if any, in such award. Tenant may pursue its own claim against the Taking authority.</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ESTOPPEL CERTIFICATE.</w:t>
      </w:r>
    </w:p>
    <w:p>
      <w:pPr>
        <w:spacing w:after="0" w:line="11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Each party (“</w:t>
      </w:r>
      <w:r>
        <w:rPr>
          <w:rFonts w:ascii="Arial" w:cs="Arial" w:eastAsia="Arial" w:hAnsi="Arial"/>
          <w:sz w:val="18"/>
          <w:szCs w:val="18"/>
          <w:b w:val="1"/>
          <w:bCs w:val="1"/>
          <w:u w:val="single" w:color="auto"/>
          <w:color w:val="auto"/>
        </w:rPr>
        <w:t>Responding Party</w:t>
      </w:r>
      <w:r>
        <w:rPr>
          <w:rFonts w:ascii="Arial" w:cs="Arial" w:eastAsia="Arial" w:hAnsi="Arial"/>
          <w:sz w:val="18"/>
          <w:szCs w:val="18"/>
          <w:color w:val="auto"/>
        </w:rPr>
        <w:t>”) shall at any time and from time to time upon not less than ten (10) business days’ prior written notice from the other party (“</w:t>
      </w:r>
      <w:r>
        <w:rPr>
          <w:rFonts w:ascii="Arial" w:cs="Arial" w:eastAsia="Arial" w:hAnsi="Arial"/>
          <w:sz w:val="18"/>
          <w:szCs w:val="18"/>
          <w:b w:val="1"/>
          <w:bCs w:val="1"/>
          <w:u w:val="single" w:color="auto"/>
          <w:color w:val="auto"/>
        </w:rPr>
        <w:t>Requesting Party</w:t>
      </w:r>
      <w:r>
        <w:rPr>
          <w:rFonts w:ascii="Arial" w:cs="Arial" w:eastAsia="Arial" w:hAnsi="Arial"/>
          <w:sz w:val="18"/>
          <w:szCs w:val="18"/>
          <w:color w:val="auto"/>
        </w:rPr>
        <w:t>”), execute, acknowledge and deliver to the Requesting Party a statement in writing certifying: (i)</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380"/>
          </w:cols>
          <w:pgMar w:left="240" w:top="274" w:right="279" w:bottom="1440" w:gutter="0" w:footer="0" w:header="0"/>
        </w:sectPr>
      </w:pPr>
    </w:p>
    <w:bookmarkStart w:id="382" w:name="page383"/>
    <w:bookmarkEnd w:id="38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this Lease is unmodified and in full force and effect (or if there have been modifications, that the same is in full force and effect as modified and stating the modifications), (ii) the dates to which Rent has been paid, (iii) stating, to the Responding Party’s knowledge, whether or not the Requesting Party is in default in performance of any covenant, agreement, term, provision or condition contained in this Lease and, if so, specifying each such default, and (iv) to the best of the knowledge of the Responding Party (without the requirement to perform any investigations requiring the assistance of third parties), such other facts relating to the Lease as Requesting Party may reasonably request, it being intended that any such statement delivered pursuant hereto may be relied upon by any prospective purchaser of the Building or of any interest of Landlord therein, any Mortgagee or prospective Mortgagee thereof, any lessor or prospective lessor thereof, any lessee or prospective lessee thereof, any prospective assignee of any mortgage thereof, or any prospective transferee of Tenant’s interest in the Lease or the Premises, or any portion thereof. </w:t>
      </w:r>
      <w:r>
        <w:rPr>
          <w:rFonts w:ascii="Arial" w:cs="Arial" w:eastAsia="Arial" w:hAnsi="Arial"/>
          <w:sz w:val="16"/>
          <w:szCs w:val="16"/>
          <w:i w:val="1"/>
          <w:iCs w:val="1"/>
          <w:color w:val="auto"/>
        </w:rPr>
        <w:t>Time is of the essence with respect to any such requested certificate</w:t>
      </w:r>
      <w:r>
        <w:rPr>
          <w:rFonts w:ascii="Arial" w:cs="Arial" w:eastAsia="Arial" w:hAnsi="Arial"/>
          <w:sz w:val="16"/>
          <w:szCs w:val="16"/>
          <w:color w:val="auto"/>
        </w:rPr>
        <w:t>, Tenant hereby acknowledging the importance of such certificates in mortgage financing arrangements, prospective sales and the like.</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HAZARDOUS MATERIALS</w:t>
      </w:r>
    </w:p>
    <w:p>
      <w:pPr>
        <w:spacing w:after="0" w:line="11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color w:val="auto"/>
        </w:rPr>
        <w:t>17.1 Prohibition</w:t>
      </w:r>
      <w:r>
        <w:rPr>
          <w:rFonts w:ascii="Arial" w:cs="Arial" w:eastAsia="Arial" w:hAnsi="Arial"/>
          <w:sz w:val="16"/>
          <w:szCs w:val="16"/>
          <w:color w:val="auto"/>
        </w:rPr>
        <w:t>. Tenant shall not, without the prior written consent of Landlord, bring or permit to be brought or kept in or on the Premises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elsewhere in the Building or the Property (i) any inflammable, combustible or explosive fluid, material, chemical or substance (except for standard office supplies stored in proper containers); and (ii) any Hazardous Material (hereinafter defined), other than the types and quantities of Hazardous Materials which are listed on </w:t>
      </w:r>
      <w:r>
        <w:rPr>
          <w:rFonts w:ascii="Arial" w:cs="Arial" w:eastAsia="Arial" w:hAnsi="Arial"/>
          <w:sz w:val="16"/>
          <w:szCs w:val="16"/>
          <w:u w:val="single" w:color="auto"/>
          <w:color w:val="auto"/>
        </w:rPr>
        <w:t>Exhibit 8-1</w:t>
      </w:r>
      <w:r>
        <w:rPr>
          <w:rFonts w:ascii="Arial" w:cs="Arial" w:eastAsia="Arial" w:hAnsi="Arial"/>
          <w:sz w:val="16"/>
          <w:szCs w:val="16"/>
          <w:color w:val="auto"/>
        </w:rPr>
        <w:t xml:space="preserve"> attached hereto (“</w:t>
      </w:r>
      <w:r>
        <w:rPr>
          <w:rFonts w:ascii="Arial" w:cs="Arial" w:eastAsia="Arial" w:hAnsi="Arial"/>
          <w:sz w:val="16"/>
          <w:szCs w:val="16"/>
          <w:b w:val="1"/>
          <w:bCs w:val="1"/>
          <w:u w:val="single" w:color="auto"/>
          <w:color w:val="auto"/>
        </w:rPr>
        <w:t>Tenant’s Hazardous Materials</w:t>
      </w:r>
      <w:r>
        <w:rPr>
          <w:rFonts w:ascii="Arial" w:cs="Arial" w:eastAsia="Arial" w:hAnsi="Arial"/>
          <w:sz w:val="16"/>
          <w:szCs w:val="16"/>
          <w:color w:val="auto"/>
        </w:rPr>
        <w:t>”), provided that the same shall at all times be brought upon, kept or used in so-called ‘control areas’ (the number and size of which shall be reasonably determined by Landlord) and in accordance with all applicable Environmental Laws (hereinafter defined) and prudent environmental practice and (with respect to medical waste and so-called “biohazard” materials) good scientific and medical practice. Tenant shall be responsible for assuring that all laboratory uses are adequately and properly vented. On or before each anniversary of the Rent Commencement Date, and on any earlier date during the 12-month period on which Tenant intends to add a new Hazardous Material or materially increase the quantity of any Hazardous Material to the list of Tenant’s Hazardous Materials, Tenant shall submit to Landlord an updated list of Tenant’s Hazardous Materials for Landlord’s review and approval, which approval shall not be unreasonably withheld, conditioned or delayed. Landlord shall have the right, from time to time, to inspect the Premises for compliance with the terms of this Section 17.1. Notwithstanding the foregoing, with respect to any of Tenant’s Hazardous Materials which Tenant does not properly handle, store or dispose of in compliance with all applicable Environmental Laws (hereinafter defined), prudent environmental practice and (with respect to medical waste and so-called “biohazard materials) good scientific and medical practice, Tenant shall, upon written notice from Landlord, no longer have the right to bring such material into the Building or the Property until Tenant has demonstrated, to Landlord’s reasonable satisfaction, that Tenant has implemented programs to thereafter properly handle, store or dispose of such material. In order to induce Landlord to waive its otherwise applicable requirement that Tenant maintain insurance in favor as Landlord against liability arising from the presence of radioactive materials in the Premises, and without limiting the foregoing, Tenant hereby represents and warrants to Landlord that at no time during the Term will Tenant bring upon, or permit to be brought upon, the Premises any radioactive materials whatsoever.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00"/>
          </w:cols>
          <w:pgMar w:left="240" w:top="273" w:right="259" w:bottom="1440" w:gutter="0" w:footer="0" w:header="0"/>
        </w:sectPr>
      </w:pPr>
    </w:p>
    <w:bookmarkStart w:id="383" w:name="page384"/>
    <w:bookmarkEnd w:id="383"/>
    <w:p>
      <w:pPr>
        <w:ind w:right="20"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17.2 Environmental Laws</w:t>
      </w:r>
      <w:r>
        <w:rPr>
          <w:rFonts w:ascii="Arial" w:cs="Arial" w:eastAsia="Arial" w:hAnsi="Arial"/>
          <w:sz w:val="17"/>
          <w:szCs w:val="17"/>
          <w:color w:val="auto"/>
        </w:rPr>
        <w:t>. For purposes hereof,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shall mean all laws, statutes, ordinances, rules and regulations of any local,</w:t>
      </w:r>
      <w:r>
        <w:rPr>
          <w:rFonts w:ascii="Arial" w:cs="Arial" w:eastAsia="Arial" w:hAnsi="Arial"/>
          <w:sz w:val="17"/>
          <w:szCs w:val="17"/>
          <w:b w:val="1"/>
          <w:bCs w:val="1"/>
          <w:color w:val="auto"/>
        </w:rPr>
        <w:t xml:space="preserve"> </w:t>
      </w:r>
      <w:r>
        <w:rPr>
          <w:rFonts w:ascii="Arial" w:cs="Arial" w:eastAsia="Arial" w:hAnsi="Arial"/>
          <w:sz w:val="17"/>
          <w:szCs w:val="17"/>
          <w:color w:val="auto"/>
        </w:rPr>
        <w:t>state or federal governmental authority having jurisdiction concerning environmental, health and safety matters, including but not limited to any discharge by any of the Tenant Parties into the air, surface water, sewers, soil or groundwater of any Hazardous Material (hereinafter defined) whether within or outside the Premises, including, without limitation (a) the Federal Water Pollution Control Act, 33 U.S.C. Section 1251 et seq., (b) the Federal Resource Conservation and Recovery Act, 42 U.S.C. Section 6901 et seq., (c) the Comprehensive Environmental Response, Compensation and Liability Act, 42 U.S.C. Section 9601 et seq., (d) the Toxic Substances Control Act of 1976, 15 U.S.C. Section 2601 et seq., and (e) Chapter 21E of the General Laws of Massachusetts. Tenant, at its sole cost and expense, shall comply with (i) Environmental Laws, and (ii) any rules, requirements and safety procedures of the Massachusetts Department of Environmental Protection, the City of Cambridge and any insurer of the Building or the Premises with respect to Tenant’s use, storage and disposal of any Hazardous Materials.</w:t>
      </w:r>
    </w:p>
    <w:p>
      <w:pPr>
        <w:spacing w:after="0" w:line="174"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17.3 Hazardous Material Defined</w:t>
      </w:r>
      <w:r>
        <w:rPr>
          <w:rFonts w:ascii="Arial" w:cs="Arial" w:eastAsia="Arial" w:hAnsi="Arial"/>
          <w:sz w:val="18"/>
          <w:szCs w:val="18"/>
          <w:color w:val="auto"/>
        </w:rPr>
        <w:t>. As used herein, the term “</w:t>
      </w:r>
      <w:r>
        <w:rPr>
          <w:rFonts w:ascii="Arial" w:cs="Arial" w:eastAsia="Arial" w:hAnsi="Arial"/>
          <w:sz w:val="18"/>
          <w:szCs w:val="18"/>
          <w:b w:val="1"/>
          <w:bCs w:val="1"/>
          <w:u w:val="single" w:color="auto"/>
          <w:color w:val="auto"/>
        </w:rPr>
        <w:t>Hazardous Material</w:t>
      </w:r>
      <w:r>
        <w:rPr>
          <w:rFonts w:ascii="Arial" w:cs="Arial" w:eastAsia="Arial" w:hAnsi="Arial"/>
          <w:sz w:val="18"/>
          <w:szCs w:val="18"/>
          <w:color w:val="auto"/>
        </w:rPr>
        <w:t>” means asbestos, oil or any hazardous, radioactive or toxic</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material or waste or petroleum derivative which is or becomes regulated by any Environmental Law, including without limitation live organisms, viruses and fungi, medical waste and any so-called “biohazard” materials. The term “</w:t>
      </w:r>
      <w:r>
        <w:rPr>
          <w:rFonts w:ascii="Arial" w:cs="Arial" w:eastAsia="Arial" w:hAnsi="Arial"/>
          <w:sz w:val="18"/>
          <w:szCs w:val="18"/>
          <w:b w:val="1"/>
          <w:bCs w:val="1"/>
          <w:u w:val="single" w:color="auto"/>
          <w:color w:val="auto"/>
        </w:rPr>
        <w:t>Hazardous Material</w:t>
      </w:r>
      <w:r>
        <w:rPr>
          <w:rFonts w:ascii="Arial" w:cs="Arial" w:eastAsia="Arial" w:hAnsi="Arial"/>
          <w:sz w:val="18"/>
          <w:szCs w:val="18"/>
          <w:color w:val="auto"/>
        </w:rPr>
        <w:t>” includes, without limitation, oil and/or any material or substance which is (i) designated as a “hazardous substance,” “hazardous material,” “oil,” “hazardous waste” or toxic substance under any Environmental Law.</w:t>
      </w:r>
    </w:p>
    <w:p>
      <w:pPr>
        <w:spacing w:after="0" w:line="1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17.4 Testing</w:t>
      </w:r>
      <w:r>
        <w:rPr>
          <w:rFonts w:ascii="Arial" w:cs="Arial" w:eastAsia="Arial" w:hAnsi="Arial"/>
          <w:sz w:val="16"/>
          <w:szCs w:val="16"/>
          <w:color w:val="auto"/>
        </w:rPr>
        <w:t>. If any Mortgagee or governmental authority requires testing to determine whether there has been any release of Hazardous Materials and</w:t>
      </w:r>
      <w:r>
        <w:rPr>
          <w:rFonts w:ascii="Arial" w:cs="Arial" w:eastAsia="Arial" w:hAnsi="Arial"/>
          <w:sz w:val="16"/>
          <w:szCs w:val="16"/>
          <w:b w:val="1"/>
          <w:bCs w:val="1"/>
          <w:color w:val="auto"/>
        </w:rPr>
        <w:t xml:space="preserve"> </w:t>
      </w:r>
      <w:r>
        <w:rPr>
          <w:rFonts w:ascii="Arial" w:cs="Arial" w:eastAsia="Arial" w:hAnsi="Arial"/>
          <w:sz w:val="16"/>
          <w:szCs w:val="16"/>
          <w:color w:val="auto"/>
        </w:rPr>
        <w:t>such testing is required as a result of the acts or omissions of any of the Tenant Parties, then Tenant shall reimburse Landlord upon demand, as additional rent, for the reasonable costs thereof, together with interest at the Default Rate until paid in full. Tenant shall execute affidavits, certifications and the like, as may be reasonably requested by Landlord from time to time concerning Tenant’s best knowledge and belief concerning the presence of Hazardous Materials in or on the Premises, the Building or the Property. In addition to the foregoing, if Landlord reasonably believes that any Hazardous Materials have been released on the Premises in violation of this Lease or any Legal Requirement, Landlord shall have the right to conduct appropriate tests of the Premises or any portion thereof to demonstrate that Hazardous Materials are present or that contamination has occurred due to the acts or omissions of any of the Tenant Parties. Tenant shall pay all reasonable costs of such tests to the extent that such tests reveal that Hazardous Materials exist at the Premises in violation of this Lease or any Legal Requirements as a result of the acts or omissions of any of the Tenant Parties. Further, Landlord shall have the right to cause a third party consultant retained by Landlord, at Landlord’s expense (provided, however, that such costs shall be included in Operating Costs), to review, but not more than once in any calendar year, Tenant’s lab operations, procedures and permits to ascertain whether or not Tenant is complying with law and adhering to best industry practices. Tenant agrees to cooperate in good faith with any such review and to provide to such consultant any information requested by such consultant and reasonably required in order for such consultant to perform such review, but nothing contained herein shall require Tenant to provide proprietary or confidential information to such consultant.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00"/>
          </w:cols>
          <w:pgMar w:left="240" w:top="270" w:right="259" w:bottom="1440" w:gutter="0" w:footer="0" w:header="0"/>
        </w:sectPr>
      </w:pPr>
    </w:p>
    <w:bookmarkStart w:id="384" w:name="page385"/>
    <w:bookmarkEnd w:id="38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17.5 Indemnity; Remediation.</w:t>
      </w:r>
    </w:p>
    <w:p>
      <w:pPr>
        <w:spacing w:after="0" w:line="121" w:lineRule="exact"/>
        <w:rPr>
          <w:sz w:val="20"/>
          <w:szCs w:val="20"/>
          <w:color w:val="auto"/>
        </w:rPr>
      </w:pPr>
    </w:p>
    <w:p>
      <w:pPr>
        <w:jc w:val="both"/>
        <w:ind w:firstLine="921"/>
        <w:spacing w:after="0" w:line="288" w:lineRule="auto"/>
        <w:tabs>
          <w:tab w:leader="none" w:pos="115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Tenant hereby covenants and agrees to indemnify, defend and hold the Landlord Parties harmless from and against any and all Claims against any of the Landlord Parties arising out of contamination of any part of the Property or other adjacent property, to the extent that such contamination arises as a result of: (i) the presence of Hazardous Material in the Premises, the presence of which is caused by any act or omission of any of the Tenant Parties, or</w:t>
      </w:r>
    </w:p>
    <w:p>
      <w:pPr>
        <w:ind w:firstLine="8"/>
        <w:spacing w:after="0" w:line="286" w:lineRule="auto"/>
        <w:tabs>
          <w:tab w:leader="none" w:pos="26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from a breach by Tenant of its obligations under this Section 17. This indemnification of the Landlord Parties by Tenant includes, without limitation, reasonable costs incurred in connection with any investigation of site conditions or any cleanup, remedial, removal or restoration work required by any federal, state or local governmental agency or political subdivision because of Hazardous Material present in the soil or ground water on or under the Building based upon the circumstances identified in the first sentence of this Section 17.5. The indemnification and hold harmless obligations of Tenant under this Section 17.5 shall survive the expiration or any earlier termination of this Lease. Without limiting the foregoing, to the extent that the presence of any Hazardous Material in the Building or otherwise in the Property is caused or permitted by any of the Tenant Parties and results in any contamination of any part of the Property or any adjacent property, Tenant shall promptly take all actions at Tenant’s cost and expense as are necessary to return the Property and/or the Building or any adjacent property to their condition as of the date of this Lease, provided that Tenant shall first obtain Landlord’s written approval of such actions, which approval shall not be unreasonably withheld, conditioned or delayed so long as such actions, in Landlord’s reasonable discretion, would not potentially have any adverse effect on the Property, and, in any event, Landlord shall not withhold its approval of any proposed actions which are required by applicable Environmental Laws. The provisions of this Section 17.5 shall survive the expiration or earlier termination of the Lease.</w:t>
      </w:r>
    </w:p>
    <w:p>
      <w:pPr>
        <w:spacing w:after="0" w:line="166" w:lineRule="exact"/>
        <w:rPr>
          <w:rFonts w:ascii="Arial" w:cs="Arial" w:eastAsia="Arial" w:hAnsi="Arial"/>
          <w:sz w:val="16"/>
          <w:szCs w:val="16"/>
          <w:color w:val="auto"/>
        </w:rPr>
      </w:pPr>
    </w:p>
    <w:p>
      <w:pPr>
        <w:ind w:right="120" w:firstLine="921"/>
        <w:spacing w:after="0" w:line="253" w:lineRule="auto"/>
        <w:tabs>
          <w:tab w:leader="none" w:pos="1168" w:val="left"/>
        </w:tabs>
        <w:numPr>
          <w:ilvl w:val="1"/>
          <w:numId w:val="298"/>
        </w:numPr>
        <w:rPr>
          <w:rFonts w:ascii="Arial" w:cs="Arial" w:eastAsia="Arial" w:hAnsi="Arial"/>
          <w:sz w:val="18"/>
          <w:szCs w:val="18"/>
          <w:color w:val="auto"/>
        </w:rPr>
      </w:pPr>
      <w:r>
        <w:rPr>
          <w:rFonts w:ascii="Arial" w:cs="Arial" w:eastAsia="Arial" w:hAnsi="Arial"/>
          <w:sz w:val="18"/>
          <w:szCs w:val="18"/>
          <w:color w:val="auto"/>
        </w:rPr>
        <w:t>Without limiting the obligations set forth in Section 17.5(a) above, if any Hazardous Material is in, on, under, at or about the Building or the Property as a result of the acts or omissions of any of the Tenant Parties and results in any contamination of any part of the Property or any adjacent property that is in violation of any applicable Environmental Law or that requires the performance of any response action pursuant to any Environmental Law, Tenant shall promptly take all actions at Tenant’s sole cost and expense as are necessary to reduce such Hazardous Material to amounts below any applicable Reportable Quantity, any applicable Reportable Concentration and any other applicable standard set forth in any Environmental Law; provided that Tenant shall first obtain Landlord’s written approval of such actions, which approval shall not be unreasonably withheld, conditioned or delayed so long as such actions would not be reasonably expected to have an adverse effect on the market value or utility of the Property for the Permitted Uses, and in any event, Landlord shall not withhold its approval of any proposed actions which are required by applicable Environmental Laws (such approved actions, “</w:t>
      </w:r>
      <w:r>
        <w:rPr>
          <w:rFonts w:ascii="Arial" w:cs="Arial" w:eastAsia="Arial" w:hAnsi="Arial"/>
          <w:sz w:val="18"/>
          <w:szCs w:val="18"/>
          <w:b w:val="1"/>
          <w:bCs w:val="1"/>
          <w:u w:val="single" w:color="auto"/>
          <w:color w:val="auto"/>
        </w:rPr>
        <w:t>Tenant’s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Remediation</w:t>
      </w:r>
      <w:r>
        <w:rPr>
          <w:rFonts w:ascii="Arial" w:cs="Arial" w:eastAsia="Arial" w:hAnsi="Arial"/>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270" w:right="239" w:bottom="1440" w:gutter="0" w:footer="0" w:header="0"/>
        </w:sectPr>
      </w:pPr>
    </w:p>
    <w:bookmarkStart w:id="385" w:name="page386"/>
    <w:bookmarkEnd w:id="385"/>
    <w:p>
      <w:pPr>
        <w:ind w:left="1160" w:hanging="239"/>
        <w:spacing w:after="0"/>
        <w:tabs>
          <w:tab w:leader="none" w:pos="11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Tenant fails to complete Tenant’s Remediation prior to the end of the Term, then:</w:t>
      </w:r>
    </w:p>
    <w:p>
      <w:pPr>
        <w:spacing w:after="0" w:line="225" w:lineRule="exact"/>
        <w:rPr>
          <w:rFonts w:ascii="Arial" w:cs="Arial" w:eastAsia="Arial" w:hAnsi="Arial"/>
          <w:sz w:val="18"/>
          <w:szCs w:val="18"/>
          <w:color w:val="auto"/>
        </w:rPr>
      </w:pPr>
    </w:p>
    <w:p>
      <w:pPr>
        <w:ind w:firstLine="1492"/>
        <w:spacing w:after="0" w:line="255" w:lineRule="auto"/>
        <w:tabs>
          <w:tab w:leader="none" w:pos="1698" w:val="left"/>
        </w:tabs>
        <w:numPr>
          <w:ilvl w:val="1"/>
          <w:numId w:val="299"/>
        </w:numPr>
        <w:rPr>
          <w:rFonts w:ascii="Arial" w:cs="Arial" w:eastAsia="Arial" w:hAnsi="Arial"/>
          <w:sz w:val="18"/>
          <w:szCs w:val="18"/>
          <w:color w:val="auto"/>
        </w:rPr>
      </w:pPr>
      <w:r>
        <w:rPr>
          <w:rFonts w:ascii="Arial" w:cs="Arial" w:eastAsia="Arial" w:hAnsi="Arial"/>
          <w:sz w:val="18"/>
          <w:szCs w:val="18"/>
          <w:color w:val="auto"/>
        </w:rPr>
        <w:t>until the completion of Tenant’s Remediation (as evidenced by the certification of Tenant’s Licensed Site Professional (as such term is defined by applicable Environmental Laws), who shall be reasonably acceptable to Landlord) (the “</w:t>
      </w:r>
      <w:r>
        <w:rPr>
          <w:rFonts w:ascii="Arial" w:cs="Arial" w:eastAsia="Arial" w:hAnsi="Arial"/>
          <w:sz w:val="18"/>
          <w:szCs w:val="18"/>
          <w:b w:val="1"/>
          <w:bCs w:val="1"/>
          <w:u w:val="single" w:color="auto"/>
          <w:color w:val="auto"/>
        </w:rPr>
        <w:t>Remediation Completion Date</w:t>
      </w:r>
      <w:r>
        <w:rPr>
          <w:rFonts w:ascii="Arial" w:cs="Arial" w:eastAsia="Arial" w:hAnsi="Arial"/>
          <w:sz w:val="18"/>
          <w:szCs w:val="18"/>
          <w:color w:val="auto"/>
        </w:rPr>
        <w:t xml:space="preserve">), Tenant shall pay to Landlord, with respect to the portion of the Premises which reasonably cannot be occupied by a new tenant until completion of Tenant’s Remediation, (A) Additional Rent on account of Operating Costs and Taxes and (B) Base Rent in an amount equal to the greater of (1) the fair market rental value of such portion of the Premises (determined in substantial accordance with the process described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above), and (2) Base Rent attributable to such portion of the Premises in effect immediately prior to the end of the Term; and</w:t>
      </w:r>
    </w:p>
    <w:p>
      <w:pPr>
        <w:spacing w:after="0" w:line="193" w:lineRule="exact"/>
        <w:rPr>
          <w:rFonts w:ascii="Arial" w:cs="Arial" w:eastAsia="Arial" w:hAnsi="Arial"/>
          <w:sz w:val="18"/>
          <w:szCs w:val="18"/>
          <w:color w:val="auto"/>
        </w:rPr>
      </w:pPr>
    </w:p>
    <w:p>
      <w:pPr>
        <w:ind w:right="20" w:firstLine="1492"/>
        <w:spacing w:after="0" w:line="289" w:lineRule="auto"/>
        <w:tabs>
          <w:tab w:leader="none" w:pos="1748" w:val="left"/>
        </w:tabs>
        <w:numPr>
          <w:ilvl w:val="1"/>
          <w:numId w:val="299"/>
        </w:numPr>
        <w:rPr>
          <w:rFonts w:ascii="Arial" w:cs="Arial" w:eastAsia="Arial" w:hAnsi="Arial"/>
          <w:sz w:val="16"/>
          <w:szCs w:val="16"/>
          <w:color w:val="auto"/>
        </w:rPr>
      </w:pPr>
      <w:r>
        <w:rPr>
          <w:rFonts w:ascii="Arial" w:cs="Arial" w:eastAsia="Arial" w:hAnsi="Arial"/>
          <w:sz w:val="16"/>
          <w:szCs w:val="16"/>
          <w:color w:val="auto"/>
        </w:rPr>
        <w:t>Tenant shall maintain responsibility for Tenant’s Remediation and Tenant shall complete Tenant’s Remediation as soon as reasonably practicable in accordance with Environmental Laws. If Tenant does not diligently pursue completion of Tenant’s Remediation, Landlord shall have the right to either (A) assume control for overseeing Tenant’s Remediation, in which event Tenant shall pay all reasonable costs and expenses of Tenant’s Remediation (it being understood and agreed that all costs and expenses of Tenant’s Remediation incurred pursuant to contracts entered into by Tenant shall be deemed reasonable) within thirty (30) days of demand therefor (which demand shall be made no more often than monthly), and Landlord shall be substituted as the party identified on any governmental filings as the party responsible for the performance of such Tenant’s Remediation or (B) require Tenant to maintain responsibility for Tenant’s Remediation, in which event Tenant shall complete Tenant’s Remediation as soon as reasonably practicable in accordance with Environmental Laws, it being understood that Tenant’s Remediation shall not contain any requirement that Tenant remediate any contamination to levels or standards more stringent than those associated with the Property’s current office, research and development, laboratory, and vivarium uses.</w:t>
      </w:r>
    </w:p>
    <w:p>
      <w:pPr>
        <w:spacing w:after="0" w:line="166" w:lineRule="exact"/>
        <w:rPr>
          <w:rFonts w:ascii="Arial" w:cs="Arial" w:eastAsia="Arial" w:hAnsi="Arial"/>
          <w:sz w:val="16"/>
          <w:szCs w:val="16"/>
          <w:color w:val="auto"/>
        </w:rPr>
      </w:pPr>
    </w:p>
    <w:p>
      <w:pPr>
        <w:ind w:left="1180" w:hanging="259"/>
        <w:spacing w:after="0"/>
        <w:tabs>
          <w:tab w:leader="none" w:pos="11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17.5</w:t>
      </w:r>
      <w:r>
        <w:rPr>
          <w:rFonts w:ascii="Arial" w:cs="Arial" w:eastAsia="Arial" w:hAnsi="Arial"/>
          <w:sz w:val="18"/>
          <w:szCs w:val="18"/>
          <w:color w:val="auto"/>
        </w:rPr>
        <w:t xml:space="preserve"> shall survive the expiration or earlier termination of this Lease.</w:t>
      </w:r>
    </w:p>
    <w:p>
      <w:pPr>
        <w:spacing w:after="0" w:line="22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17.6 Disclosures</w:t>
      </w:r>
      <w:r>
        <w:rPr>
          <w:rFonts w:ascii="Arial" w:cs="Arial" w:eastAsia="Arial" w:hAnsi="Arial"/>
          <w:sz w:val="18"/>
          <w:szCs w:val="18"/>
          <w:color w:val="auto"/>
        </w:rPr>
        <w:t>. Prior to bringing any Hazardous Material into any part of the Property, Tenant shall deliver to Landlord the following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thereto: (a) a description of handling, storage, use and disposal procedures; (b) all plans or disclosures and/or emergency response plans which Tenant has prepared, including without limitation Tenant’s Spill Response Plan, and all plans which Tenant is required to supply to any governmental agency or authority pursuant to any Environmental Laws; (c) copies of all Required Permits relating thereto; and (d) other information reasonably requested by Landlord.</w:t>
      </w:r>
    </w:p>
    <w:p>
      <w:pPr>
        <w:spacing w:after="0" w:line="184"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17.7 Removal</w:t>
      </w:r>
      <w:r>
        <w:rPr>
          <w:rFonts w:ascii="Arial" w:cs="Arial" w:eastAsia="Arial" w:hAnsi="Arial"/>
          <w:sz w:val="16"/>
          <w:szCs w:val="16"/>
          <w:color w:val="auto"/>
        </w:rPr>
        <w:t>. Tenant shall be responsible, at its sole cost and expense, for Hazardous Material and other biohazard disposal services for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Such services shall be performed by contractors reasonably acceptable to Landlord and on a sufficient basis to ensure that the Premises are at all times kept neat, clean and free of Hazardous Materials and biohazards except in appropriate, specially marked containers reasonably approved by Landlord.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380"/>
          </w:cols>
          <w:pgMar w:left="240" w:top="273" w:right="279" w:bottom="1440" w:gutter="0" w:footer="0" w:header="0"/>
        </w:sectPr>
      </w:pPr>
    </w:p>
    <w:bookmarkStart w:id="386" w:name="page387"/>
    <w:bookmarkEnd w:id="386"/>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17.8 Landlord Obligations with respect to Hazardous Materials</w:t>
      </w:r>
      <w:r>
        <w:rPr>
          <w:rFonts w:ascii="Arial" w:cs="Arial" w:eastAsia="Arial" w:hAnsi="Arial"/>
          <w:sz w:val="18"/>
          <w:szCs w:val="18"/>
          <w:color w:val="auto"/>
        </w:rPr>
        <w:t>.</w:t>
      </w:r>
    </w:p>
    <w:p>
      <w:pPr>
        <w:spacing w:after="0" w:line="121" w:lineRule="exact"/>
        <w:rPr>
          <w:sz w:val="20"/>
          <w:szCs w:val="20"/>
          <w:color w:val="auto"/>
        </w:rPr>
      </w:pPr>
    </w:p>
    <w:p>
      <w:pPr>
        <w:ind w:left="-8" w:right="40" w:firstLine="921"/>
        <w:spacing w:after="0" w:line="269" w:lineRule="auto"/>
        <w:tabs>
          <w:tab w:leader="none" w:pos="1149" w:val="left"/>
        </w:tabs>
        <w:numPr>
          <w:ilvl w:val="1"/>
          <w:numId w:val="300"/>
        </w:numPr>
        <w:rPr>
          <w:rFonts w:ascii="Arial" w:cs="Arial" w:eastAsia="Arial" w:hAnsi="Arial"/>
          <w:sz w:val="17"/>
          <w:szCs w:val="17"/>
          <w:color w:val="auto"/>
        </w:rPr>
      </w:pPr>
      <w:r>
        <w:rPr>
          <w:rFonts w:ascii="Arial" w:cs="Arial" w:eastAsia="Arial" w:hAnsi="Arial"/>
          <w:sz w:val="17"/>
          <w:szCs w:val="17"/>
          <w:u w:val="single" w:color="auto"/>
          <w:color w:val="auto"/>
        </w:rPr>
        <w:t>Landlord Representations, Covenants and Indemnity</w:t>
      </w:r>
      <w:r>
        <w:rPr>
          <w:rFonts w:ascii="Arial" w:cs="Arial" w:eastAsia="Arial" w:hAnsi="Arial"/>
          <w:sz w:val="17"/>
          <w:szCs w:val="17"/>
          <w:color w:val="auto"/>
        </w:rPr>
        <w:t xml:space="preserve">. Landlord hereby represents and warrants to Tenant that, to the Best of Landlord’s Knowledge (as that term is defined in Section 25.17 below) as of the Execution Date, that except to the extent (if any) as may be disclosed in the environmental assessment report listed on </w:t>
      </w:r>
      <w:r>
        <w:rPr>
          <w:rFonts w:ascii="Arial" w:cs="Arial" w:eastAsia="Arial" w:hAnsi="Arial"/>
          <w:sz w:val="17"/>
          <w:szCs w:val="17"/>
          <w:b w:val="1"/>
          <w:bCs w:val="1"/>
          <w:u w:val="single" w:color="auto"/>
          <w:color w:val="auto"/>
        </w:rPr>
        <w:t>Exhibit 8-2</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Disclosed Materials</w:t>
      </w:r>
      <w:r>
        <w:rPr>
          <w:rFonts w:ascii="Arial" w:cs="Arial" w:eastAsia="Arial" w:hAnsi="Arial"/>
          <w:sz w:val="17"/>
          <w:szCs w:val="17"/>
          <w:color w:val="auto"/>
        </w:rPr>
        <w:t>”), there are no Hazardous Materials in the Premises (any Hazardous Materials which exist in the Premises as of the Execution Date in breach of the foregoing representation are hereinafter referred to as “</w:t>
      </w:r>
      <w:r>
        <w:rPr>
          <w:rFonts w:ascii="Arial" w:cs="Arial" w:eastAsia="Arial" w:hAnsi="Arial"/>
          <w:sz w:val="17"/>
          <w:szCs w:val="17"/>
          <w:b w:val="1"/>
          <w:bCs w:val="1"/>
          <w:u w:val="single" w:color="auto"/>
          <w:color w:val="auto"/>
        </w:rPr>
        <w:t>Landlord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Representation HM</w:t>
      </w:r>
      <w:r>
        <w:rPr>
          <w:rFonts w:ascii="Arial" w:cs="Arial" w:eastAsia="Arial" w:hAnsi="Arial"/>
          <w:sz w:val="17"/>
          <w:szCs w:val="17"/>
          <w:color w:val="auto"/>
        </w:rPr>
        <w:t>”). Notwithstanding anything to the contrary in this Section 17 contained, in no event shall Tenant have any obligations to Landlord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Disclosed Materials, except to the extent that Tenant or any Tenant Party exacerbates any the adverse effect of any Disclosed Materials on the Building or the Property. Landlord covenants that neither Landlord, nor Landlord’s agents, employees, or contractors shall bring any Hazardous Materials in or on the Premises or the Property in violation of applicable Environmental Laws (any Hazardous Materials which are introduced to the Premises by Landlord, or Landlord’s agents, employees or contractors in breach of the foregoing covenant are referred to herein as “</w:t>
      </w:r>
      <w:r>
        <w:rPr>
          <w:rFonts w:ascii="Arial" w:cs="Arial" w:eastAsia="Arial" w:hAnsi="Arial"/>
          <w:sz w:val="17"/>
          <w:szCs w:val="17"/>
          <w:b w:val="1"/>
          <w:bCs w:val="1"/>
          <w:u w:val="single" w:color="auto"/>
          <w:color w:val="auto"/>
        </w:rPr>
        <w:t>Landlord Breach HM</w:t>
      </w:r>
      <w:r>
        <w:rPr>
          <w:rFonts w:ascii="Arial" w:cs="Arial" w:eastAsia="Arial" w:hAnsi="Arial"/>
          <w:sz w:val="17"/>
          <w:szCs w:val="17"/>
          <w:color w:val="auto"/>
        </w:rPr>
        <w:t>”. Landlord hereby indemnifies and shall defend and hold Tenant, its officers, directors, employees, and agents harmless from any Claims arising as result of any breach by Landlord of its representations, warranties, or covenants under this Section 17.8(a). The indemnification and hold harmless obligations of Landlord under this Section 17.8 shall survive the expiration or any earlier termination of this Lease.</w:t>
      </w:r>
    </w:p>
    <w:p>
      <w:pPr>
        <w:spacing w:after="0" w:line="179" w:lineRule="exact"/>
        <w:rPr>
          <w:rFonts w:ascii="Arial" w:cs="Arial" w:eastAsia="Arial" w:hAnsi="Arial"/>
          <w:sz w:val="17"/>
          <w:szCs w:val="17"/>
          <w:color w:val="auto"/>
        </w:rPr>
      </w:pPr>
    </w:p>
    <w:p>
      <w:pPr>
        <w:ind w:left="-8" w:firstLine="921"/>
        <w:spacing w:after="0" w:line="283" w:lineRule="auto"/>
        <w:tabs>
          <w:tab w:leader="none" w:pos="1160"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Rent Abatement</w:t>
      </w:r>
      <w:r>
        <w:rPr>
          <w:rFonts w:ascii="Arial" w:cs="Arial" w:eastAsia="Arial" w:hAnsi="Arial"/>
          <w:sz w:val="16"/>
          <w:szCs w:val="16"/>
          <w:color w:val="auto"/>
        </w:rPr>
        <w:t xml:space="preserve">. In the event that: (i) there it is determined that Landlord Representation HM exist in the Premises or Landlord Breach HM are introduced in or on the Property,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 the existence or remediation of such Landlord Representation HM or Landlord Breach HM materially interferes with Tenant’s use and enjoyment of the Premises, or any portion thereof (any such event, a “</w:t>
      </w:r>
      <w:r>
        <w:rPr>
          <w:rFonts w:ascii="Arial" w:cs="Arial" w:eastAsia="Arial" w:hAnsi="Arial"/>
          <w:sz w:val="16"/>
          <w:szCs w:val="16"/>
          <w:b w:val="1"/>
          <w:bCs w:val="1"/>
          <w:u w:val="single" w:color="auto"/>
          <w:color w:val="auto"/>
        </w:rPr>
        <w:t>Landlord HM Event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(iii) such Landlord HM Event shall continue for the applicable Landlord HM Cure Period, as hereinafter defined (an event that satisfies the foregoing conditions (i)-(iii) being referred to hereinafter as an “</w:t>
      </w:r>
      <w:r>
        <w:rPr>
          <w:rFonts w:ascii="Arial" w:cs="Arial" w:eastAsia="Arial" w:hAnsi="Arial"/>
          <w:sz w:val="16"/>
          <w:szCs w:val="16"/>
          <w:b w:val="1"/>
          <w:bCs w:val="1"/>
          <w:u w:val="single" w:color="auto"/>
          <w:color w:val="auto"/>
        </w:rPr>
        <w:t>Landlord HM Interruption</w:t>
      </w:r>
      <w:r>
        <w:rPr>
          <w:rFonts w:ascii="Arial" w:cs="Arial" w:eastAsia="Arial" w:hAnsi="Arial"/>
          <w:sz w:val="16"/>
          <w:szCs w:val="16"/>
          <w:color w:val="auto"/>
        </w:rPr>
        <w:t>”) then Tenant shall be entitled to an equitable abatement of Base Rent, Operating Costs and Taxes based on the nature and duration of the Landlord HM Interruption and the area of the Premises affected, for any and all days (“</w:t>
      </w:r>
      <w:r>
        <w:rPr>
          <w:rFonts w:ascii="Arial" w:cs="Arial" w:eastAsia="Arial" w:hAnsi="Arial"/>
          <w:sz w:val="16"/>
          <w:szCs w:val="16"/>
          <w:b w:val="1"/>
          <w:bCs w:val="1"/>
          <w:u w:val="single" w:color="auto"/>
          <w:color w:val="auto"/>
        </w:rPr>
        <w:t>Landlord HM Abatement Period</w:t>
      </w:r>
      <w:r>
        <w:rPr>
          <w:rFonts w:ascii="Arial" w:cs="Arial" w:eastAsia="Arial" w:hAnsi="Arial"/>
          <w:sz w:val="16"/>
          <w:szCs w:val="16"/>
          <w:color w:val="auto"/>
        </w:rPr>
        <w:t xml:space="preserve">”) following the applicable Landlord HM Cure Period that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(x) the Landlord HM Interruption is continuing and (y) Tenant does not use such affected areas of the Premises for a bona fide business purpose. The “</w:t>
      </w:r>
      <w:r>
        <w:rPr>
          <w:rFonts w:ascii="Arial" w:cs="Arial" w:eastAsia="Arial" w:hAnsi="Arial"/>
          <w:sz w:val="16"/>
          <w:szCs w:val="16"/>
          <w:b w:val="1"/>
          <w:bCs w:val="1"/>
          <w:u w:val="single" w:color="auto"/>
          <w:color w:val="auto"/>
        </w:rPr>
        <w:t>Landlord HM Cure Period</w:t>
      </w:r>
      <w:r>
        <w:rPr>
          <w:rFonts w:ascii="Arial" w:cs="Arial" w:eastAsia="Arial" w:hAnsi="Arial"/>
          <w:sz w:val="16"/>
          <w:szCs w:val="16"/>
          <w:color w:val="auto"/>
        </w:rPr>
        <w:t>” shall be defined as follows: (1) with respect to Landlord Representation HM, there shall be no Landlord HM Cure Period and the Landlord HM Abatement Period shall commence immediately upon receipt by Landlord of written notice from Tenant describing such Landlord Representation HM and its effect on Tenant’s use of the Premises, and (2) with respect to Landlord Breach HM, the Landlord HM Cure Period shall be five (5) consecutive business days following receipt by Landlord of written notice (the “</w:t>
      </w:r>
      <w:r>
        <w:rPr>
          <w:rFonts w:ascii="Arial" w:cs="Arial" w:eastAsia="Arial" w:hAnsi="Arial"/>
          <w:sz w:val="16"/>
          <w:szCs w:val="16"/>
          <w:b w:val="1"/>
          <w:bCs w:val="1"/>
          <w:u w:val="single" w:color="auto"/>
          <w:color w:val="auto"/>
        </w:rPr>
        <w:t>Landlord HM Notice</w:t>
      </w:r>
      <w:r>
        <w:rPr>
          <w:rFonts w:ascii="Arial" w:cs="Arial" w:eastAsia="Arial" w:hAnsi="Arial"/>
          <w:sz w:val="16"/>
          <w:szCs w:val="16"/>
          <w:color w:val="auto"/>
        </w:rPr>
        <w:t>”) from Tenant describing such Landlord Breach HM and its effect on Tenant’s use of the Premises; provided however that the Landlord HM Cure Period with respect to any Landlord Breach HM shall be extended by reason of any delays in Landlord’s ability to remediate such Landlord HM Event because of Landlord’s Force Majeure, provided however, that in no event shall the Landlord HM Cure Period with respect to any Landlord Breach HM be longer than ten</w:t>
      </w:r>
    </w:p>
    <w:p>
      <w:pPr>
        <w:spacing w:after="0" w:line="2" w:lineRule="exact"/>
        <w:rPr>
          <w:rFonts w:ascii="Arial" w:cs="Arial" w:eastAsia="Arial" w:hAnsi="Arial"/>
          <w:sz w:val="16"/>
          <w:szCs w:val="16"/>
          <w:color w:val="auto"/>
        </w:rPr>
      </w:pPr>
    </w:p>
    <w:p>
      <w:pPr>
        <w:ind w:left="352" w:hanging="352"/>
        <w:spacing w:after="0"/>
        <w:tabs>
          <w:tab w:leader="none" w:pos="35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consecutive business days after Landlord receives the applicable Landlord HM Notice.</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392"/>
          </w:cols>
          <w:pgMar w:left="248" w:top="270" w:right="259" w:bottom="1440" w:gutter="0" w:footer="0" w:header="0"/>
        </w:sectPr>
      </w:pPr>
    </w:p>
    <w:bookmarkStart w:id="387" w:name="page388"/>
    <w:bookmarkEnd w:id="387"/>
    <w:p>
      <w:pPr>
        <w:ind w:right="100" w:firstLine="921"/>
        <w:spacing w:after="0" w:line="264" w:lineRule="auto"/>
        <w:tabs>
          <w:tab w:leader="none" w:pos="1157"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Remediation</w:t>
      </w:r>
      <w:r>
        <w:rPr>
          <w:rFonts w:ascii="Arial" w:cs="Arial" w:eastAsia="Arial" w:hAnsi="Arial"/>
          <w:sz w:val="18"/>
          <w:szCs w:val="18"/>
          <w:color w:val="auto"/>
        </w:rPr>
        <w:t>. If Hazardous Materials are discovered in, on or under the Property which are not in compliance with applicable Environmental Laws, and which are not the responsibility of Tenant pursuant to this Article 17, then Landlord shall remove or remediate the same, when, if, and in the manner required by applicable Environmental Laws.</w:t>
      </w:r>
    </w:p>
    <w:p>
      <w:pPr>
        <w:spacing w:after="0" w:line="285" w:lineRule="exact"/>
        <w:rPr>
          <w:rFonts w:ascii="Arial" w:cs="Arial" w:eastAsia="Arial" w:hAnsi="Arial"/>
          <w:sz w:val="18"/>
          <w:szCs w:val="18"/>
          <w:color w:val="auto"/>
        </w:rPr>
      </w:pPr>
    </w:p>
    <w:p>
      <w:pPr>
        <w:ind w:left="740" w:hanging="276"/>
        <w:spacing w:after="0"/>
        <w:tabs>
          <w:tab w:leader="none" w:pos="74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RULES AND REGULATIONS.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18.1 Rules and Regulations</w:t>
      </w:r>
      <w:r>
        <w:rPr>
          <w:rFonts w:ascii="Arial" w:cs="Arial" w:eastAsia="Arial" w:hAnsi="Arial"/>
          <w:sz w:val="16"/>
          <w:szCs w:val="16"/>
          <w:color w:val="auto"/>
        </w:rPr>
        <w:t>. Tenant will faithfully observe and comply with the Rules and Regulations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9</w:t>
      </w:r>
      <w:r>
        <w:rPr>
          <w:rFonts w:ascii="Arial" w:cs="Arial" w:eastAsia="Arial" w:hAnsi="Arial"/>
          <w:sz w:val="16"/>
          <w:szCs w:val="16"/>
          <w:color w:val="auto"/>
        </w:rPr>
        <w:t>, and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rules and regulations as may be promulgated, from time to time, with respect to the Building, the Property and construction within the Property, provided that a copy of such any changes the Rules and Regulations is given to Tenant in advance (collectively, the “</w:t>
      </w:r>
      <w:r>
        <w:rPr>
          <w:rFonts w:ascii="Arial" w:cs="Arial" w:eastAsia="Arial" w:hAnsi="Arial"/>
          <w:sz w:val="16"/>
          <w:szCs w:val="16"/>
          <w:b w:val="1"/>
          <w:bCs w:val="1"/>
          <w:u w:val="single" w:color="auto"/>
          <w:color w:val="auto"/>
        </w:rPr>
        <w:t>Rules and Regulations</w:t>
      </w:r>
      <w:r>
        <w:rPr>
          <w:rFonts w:ascii="Arial" w:cs="Arial" w:eastAsia="Arial" w:hAnsi="Arial"/>
          <w:sz w:val="16"/>
          <w:szCs w:val="16"/>
          <w:color w:val="auto"/>
        </w:rPr>
        <w:t>”). Landlord hereby agrees that: (i) any future Rules and Regulations shall not discriminate among similarly situated tenants, and (ii) in enforcing any Rules and Regulations, Landlord will not discriminate among similarly situated tenants. In the case of any conflict between the provisions of this Lease and any future rules and regulations, the provisions of this Lease shall control.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its servants, employees, agents, contractors, visitors, invitees or licensees.</w:t>
      </w:r>
    </w:p>
    <w:p>
      <w:pPr>
        <w:spacing w:after="0" w:line="160"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b w:val="1"/>
          <w:bCs w:val="1"/>
          <w:color w:val="auto"/>
        </w:rPr>
        <w:t>18.2 Energy Conservation</w:t>
      </w:r>
      <w:r>
        <w:rPr>
          <w:rFonts w:ascii="Arial" w:cs="Arial" w:eastAsia="Arial" w:hAnsi="Arial"/>
          <w:sz w:val="16"/>
          <w:szCs w:val="16"/>
          <w:color w:val="auto"/>
        </w:rPr>
        <w:t>. Landlord may institute upon written notice to Tenant such reasonable, non-discriminatory (as among similarly situated</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policies, programs and measures as may be necessary, required, or expedient for the conservation and/or preservation of energy or energy services (collectively, the “</w:t>
      </w:r>
      <w:r>
        <w:rPr>
          <w:rFonts w:ascii="Arial" w:cs="Arial" w:eastAsia="Arial" w:hAnsi="Arial"/>
          <w:sz w:val="16"/>
          <w:szCs w:val="16"/>
          <w:b w:val="1"/>
          <w:bCs w:val="1"/>
          <w:u w:val="single" w:color="auto"/>
          <w:color w:val="auto"/>
        </w:rPr>
        <w:t>Conservation Program</w:t>
      </w:r>
      <w:r>
        <w:rPr>
          <w:rFonts w:ascii="Arial" w:cs="Arial" w:eastAsia="Arial" w:hAnsi="Arial"/>
          <w:sz w:val="16"/>
          <w:szCs w:val="16"/>
          <w:color w:val="auto"/>
        </w:rPr>
        <w:t>”), if such Conservation Program is either: (i) then being provided in comparable combination laboratory, research and development and office buildings in the vicinity of the Premises, provided however, that the Conservation Program does not, by reason of such policies, programs and measures, reduce the level of energy or energy services being provided to the Premises below the level of energy or energy services then being provided in comparable combination laboratory, research and development and office buildings in the vicinity of the Premises, or (ii) required by Legal Requirements. Upon receipt of such notice, Tenant shall comply with the Conservation Program.</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18.3 Recycling</w:t>
      </w:r>
      <w:r>
        <w:rPr>
          <w:rFonts w:ascii="Arial" w:cs="Arial" w:eastAsia="Arial" w:hAnsi="Arial"/>
          <w:sz w:val="18"/>
          <w:szCs w:val="18"/>
          <w:color w:val="auto"/>
        </w:rPr>
        <w:t>. Upon written notice, Landlord may establish reasonable, non-discriminatory (as among similarly situated tenants) policies,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and measures for the recycling of paper, products, plastic, tin and other materials (a “</w:t>
      </w:r>
      <w:r>
        <w:rPr>
          <w:rFonts w:ascii="Arial" w:cs="Arial" w:eastAsia="Arial" w:hAnsi="Arial"/>
          <w:sz w:val="18"/>
          <w:szCs w:val="18"/>
          <w:b w:val="1"/>
          <w:bCs w:val="1"/>
          <w:u w:val="single" w:color="auto"/>
          <w:color w:val="auto"/>
        </w:rPr>
        <w:t>Recycling Program</w:t>
      </w:r>
      <w:r>
        <w:rPr>
          <w:rFonts w:ascii="Arial" w:cs="Arial" w:eastAsia="Arial" w:hAnsi="Arial"/>
          <w:sz w:val="18"/>
          <w:szCs w:val="18"/>
          <w:color w:val="auto"/>
        </w:rPr>
        <w:t>”). Upon receipt of such notice, Tenant will comply with the Recycling Program at Tenant’s sole cost and expense.</w:t>
      </w:r>
    </w:p>
    <w:p>
      <w:pPr>
        <w:spacing w:after="0" w:line="284" w:lineRule="exact"/>
        <w:rPr>
          <w:sz w:val="20"/>
          <w:szCs w:val="20"/>
          <w:color w:val="auto"/>
        </w:rPr>
      </w:pPr>
    </w:p>
    <w:p>
      <w:pPr>
        <w:ind w:left="460" w:right="8780" w:firstLine="4"/>
        <w:spacing w:after="0" w:line="400" w:lineRule="auto"/>
        <w:tabs>
          <w:tab w:leader="none" w:pos="730"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LAWS AND PERMITS. 19.1 Legal Requirements.</w:t>
      </w:r>
    </w:p>
    <w:p>
      <w:pPr>
        <w:spacing w:after="0" w:line="1" w:lineRule="exact"/>
        <w:rPr>
          <w:sz w:val="20"/>
          <w:szCs w:val="20"/>
          <w:color w:val="auto"/>
        </w:rPr>
      </w:pPr>
    </w:p>
    <w:p>
      <w:pPr>
        <w:ind w:right="20" w:firstLine="464"/>
        <w:spacing w:after="0" w:line="277" w:lineRule="auto"/>
        <w:tabs>
          <w:tab w:leader="none" w:pos="701"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Tenant Obligations</w:t>
      </w:r>
      <w:r>
        <w:rPr>
          <w:rFonts w:ascii="Arial" w:cs="Arial" w:eastAsia="Arial" w:hAnsi="Arial"/>
          <w:sz w:val="18"/>
          <w:szCs w:val="18"/>
          <w:color w:val="auto"/>
        </w:rPr>
        <w:t>. Tenant shall not either: (i) cause, or (ii) permit any Tenant Party to use the Premises, or cause the Property or the Building to be used in any way that (1) violates any Legal Requirement, (2) violates any governmental permit, approval, variance,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360"/>
          </w:cols>
          <w:pgMar w:left="240" w:top="273" w:right="299" w:bottom="1440" w:gutter="0" w:footer="0" w:header="0"/>
        </w:sectPr>
      </w:pPr>
    </w:p>
    <w:bookmarkStart w:id="388" w:name="page389"/>
    <w:bookmarkEnd w:id="38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 or restrictions of record affecting the Property as of the Execution Date, (3) violates any provisions of this Lease, (4) interferes, in any material way, with the rights of tenants of the Building, or (5) constitutes a material nuisance or waste. Tenant shall obtain, maintain and pay for all permits and approvals needed for the operation of Tenant’s business, as soon as reasonably possible, and in any event shall not undertake any operations unless all applicable permits and approvals are in place and shall, promptly take all actions necessary to comply with all Legal Requirements, including, without limitation, the Occupational Safety and Health Act, applicable to Tenant’s use of the Premises, the Property or the Building. Tenant shall maintain in full force and effect all certifications or permissions required by any authority having jurisdiction to authorize, franchise or regulate Tenant’s use of the Premises. Tenant shall be solely responsible for procuring and complying at all times with any and all necessary permits and approvals directly or indirectly relating or incident to: the conduct of its activities on the Premises; its scientific experimentation, transportation, storage, handling, use and disposal of any chemical or radioactive or bacteriological or pathological substances or organisms or other hazardous wastes or environmentally dangerous substances or materials or medical waste or animals or laboratory specimens. Notwithstanding the foregoing, Landlord shall cooperate with Tenant in such manner as Tenant may reasonably request in procuring any permits and approvals necessary to enable Tenant to conduct its activities in the Premises consistent with the Contemplated Use, provided however, that Landlord shall not be required to incur any cost or liability in providing such cooperation. Within ten (10) Business Days of a request by Landlord, which request shall be made not more than once during each period of twelve (12) consecutive months during the Term hereof, unless otherwise requested by any mortgagee of Landlord or unless Landlord reasonably suspects that Tenant has violated the provisions of this Section 19.1, Tenant shall furnish Landlord with copies of all such permits and approvals that Tenant possesses or has obtained together with a certificate certifying that such permits are all of the permits that Tenant possesses or has obtained with respect to the Premises. Tenant shall promptly give written notice to Landlord of any warnings or violations relative to the above received in writing from any federal, state or municipal agency or by any court of law and shall promptly cure the conditions causing any such violations. Tenant shall not be deemed to be in default of its obligations under the preceding sentence to promptly cure any condition causing any such violation in the event that, in lieu of such cure, Tenant shall contest the validity of such violation by appellate or other proceedings permitted under applicable law, provided that: (i) any such contest is made reasonably and in good faith, (ii) Tenant shall agree to indemnify, defend (with counsel reasonably acceptable to Landlord) and hold Landlord harmless from and against any and all liability, costs, damages, or expenses to the extent arising in connection with such condition and/or violation, (iii) Tenant shall promptly cure any violation in the event that its appeal of such violation is finally overruled or rejected (without further opportunity to appeal), and (iv) Tenant’s decision to delay such cure shall not, in Landlord’s good faith determination, be likely to result in any actual or threatened bodily injury, property damage, or any civil or criminal liability to Landlord, any tenant or occupant of the Building or the Property, or any other person or entity. Nothing contained in this Section 19.1 shall be construed to expand the uses permitted hereunder beyond the Permitted Uses.</w:t>
      </w:r>
    </w:p>
    <w:p>
      <w:pPr>
        <w:spacing w:after="0" w:line="391" w:lineRule="exact"/>
        <w:rPr>
          <w:sz w:val="20"/>
          <w:szCs w:val="20"/>
          <w:color w:val="auto"/>
        </w:rPr>
      </w:pPr>
    </w:p>
    <w:p>
      <w:pPr>
        <w:ind w:right="120" w:firstLine="464"/>
        <w:spacing w:after="0" w:line="259" w:lineRule="auto"/>
        <w:tabs>
          <w:tab w:leader="none" w:pos="711"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Landlord Obligations</w:t>
      </w:r>
      <w:r>
        <w:rPr>
          <w:rFonts w:ascii="Arial" w:cs="Arial" w:eastAsia="Arial" w:hAnsi="Arial"/>
          <w:sz w:val="18"/>
          <w:szCs w:val="18"/>
          <w:color w:val="auto"/>
        </w:rPr>
        <w:t>. Landlord shall comply with any Legal Requirements and with any direction of any public office or officer relating to the repair, maintenance and operation of: (i) the structural elements of the Building and common Building systems, (ii) the Common Areas, and (iii) any other portions of the Property that the Landlord is obligated to repair, and the costs so incurred by Landlord may be included in Operating Costs, subject to, and in accordance with, the provisions of Section 5.2.</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00"/>
          </w:cols>
          <w:pgMar w:left="240" w:top="274" w:right="259" w:bottom="1440" w:gutter="0" w:footer="0" w:header="0"/>
        </w:sectPr>
      </w:pPr>
    </w:p>
    <w:bookmarkStart w:id="389" w:name="page390"/>
    <w:bookmarkEnd w:id="389"/>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 DEFAULT</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7"/>
          <w:szCs w:val="17"/>
          <w:b w:val="1"/>
          <w:bCs w:val="1"/>
          <w:color w:val="auto"/>
        </w:rPr>
        <w:t>20.1 Events of Default</w:t>
      </w:r>
      <w:r>
        <w:rPr>
          <w:rFonts w:ascii="Arial" w:cs="Arial" w:eastAsia="Arial" w:hAnsi="Arial"/>
          <w:sz w:val="17"/>
          <w:szCs w:val="17"/>
          <w:color w:val="auto"/>
        </w:rPr>
        <w:t>. The occurrence of any one or more of the following events shall constitute an “</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hereunder by Tenant:</w:t>
      </w:r>
    </w:p>
    <w:p>
      <w:pPr>
        <w:spacing w:after="0" w:line="241" w:lineRule="exact"/>
        <w:rPr>
          <w:sz w:val="20"/>
          <w:szCs w:val="20"/>
          <w:color w:val="auto"/>
        </w:rPr>
      </w:pPr>
    </w:p>
    <w:p>
      <w:pPr>
        <w:ind w:left="-8" w:right="40" w:firstLine="921"/>
        <w:spacing w:after="0" w:line="288" w:lineRule="auto"/>
        <w:tabs>
          <w:tab w:leader="none" w:pos="115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If Tenant fails to make any payment of Rent or any other payment required hereunder, as and when due, and such failure shall continue for a period of five (5) business days after written notice thereof from Landlord to Tenant, provided, however, an Event of Default shall occur hereunder without any obligation of Landlord to give any notice if (i) Tenant fails to make any payment within five (5) business days after the due date therefor, and</w:t>
      </w:r>
    </w:p>
    <w:p>
      <w:pPr>
        <w:ind w:left="-8" w:firstLine="8"/>
        <w:spacing w:after="0" w:line="261" w:lineRule="auto"/>
        <w:tabs>
          <w:tab w:leader="none" w:pos="25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Landlord has given Tenant written notice under this Section 20.1(a) on more than two (2) occasions during the twelve (12) month interval preceding such failure by Tenant;</w:t>
      </w:r>
    </w:p>
    <w:p>
      <w:pPr>
        <w:spacing w:after="0" w:line="183" w:lineRule="exact"/>
        <w:rPr>
          <w:rFonts w:ascii="Arial" w:cs="Arial" w:eastAsia="Arial" w:hAnsi="Arial"/>
          <w:sz w:val="18"/>
          <w:szCs w:val="18"/>
          <w:color w:val="auto"/>
        </w:rPr>
      </w:pPr>
    </w:p>
    <w:p>
      <w:pPr>
        <w:ind w:left="-8" w:right="240" w:firstLine="921"/>
        <w:spacing w:after="0" w:line="277" w:lineRule="auto"/>
        <w:tabs>
          <w:tab w:leader="none" w:pos="11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Tenant shall abandon the Premises (provided, however, that if Tenant merely vacates the Premises or a portion thereof, but continues to perform all of its obligations under this Lease, the same shall not, in and of itself, constitute abandonment);</w:t>
      </w:r>
    </w:p>
    <w:p>
      <w:pPr>
        <w:spacing w:after="0" w:line="170" w:lineRule="exact"/>
        <w:rPr>
          <w:rFonts w:ascii="Arial" w:cs="Arial" w:eastAsia="Arial" w:hAnsi="Arial"/>
          <w:sz w:val="18"/>
          <w:szCs w:val="18"/>
          <w:color w:val="auto"/>
        </w:rPr>
      </w:pPr>
    </w:p>
    <w:p>
      <w:pPr>
        <w:ind w:left="-8" w:right="80" w:firstLine="921"/>
        <w:spacing w:after="0" w:line="277" w:lineRule="auto"/>
        <w:tabs>
          <w:tab w:leader="none" w:pos="115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Tenant shall fail to execute and deliver to Landlord an estoppel certificate pursuant to Section 16 above or a subordination and attornment agreement pursuant to Section 22 below, within the timeframes set forth therein;</w:t>
      </w:r>
    </w:p>
    <w:p>
      <w:pPr>
        <w:spacing w:after="0" w:line="170" w:lineRule="exact"/>
        <w:rPr>
          <w:rFonts w:ascii="Arial" w:cs="Arial" w:eastAsia="Arial" w:hAnsi="Arial"/>
          <w:sz w:val="18"/>
          <w:szCs w:val="18"/>
          <w:color w:val="auto"/>
        </w:rPr>
      </w:pPr>
    </w:p>
    <w:p>
      <w:pPr>
        <w:ind w:left="1172" w:hanging="259"/>
        <w:spacing w:after="0"/>
        <w:tabs>
          <w:tab w:leader="none" w:pos="117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Tenant shall fail to maintain any insurance required hereunder;</w:t>
      </w:r>
    </w:p>
    <w:p>
      <w:pPr>
        <w:spacing w:after="0" w:line="225" w:lineRule="exact"/>
        <w:rPr>
          <w:rFonts w:ascii="Arial" w:cs="Arial" w:eastAsia="Arial" w:hAnsi="Arial"/>
          <w:sz w:val="18"/>
          <w:szCs w:val="18"/>
          <w:color w:val="auto"/>
        </w:rPr>
      </w:pPr>
    </w:p>
    <w:p>
      <w:pPr>
        <w:ind w:left="1152" w:hanging="239"/>
        <w:spacing w:after="0"/>
        <w:tabs>
          <w:tab w:leader="none" w:pos="115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Tenant causes or suffers any release of Hazardous Materials in or near the Property;</w:t>
      </w:r>
    </w:p>
    <w:p>
      <w:pPr>
        <w:spacing w:after="0" w:line="225" w:lineRule="exact"/>
        <w:rPr>
          <w:rFonts w:ascii="Arial" w:cs="Arial" w:eastAsia="Arial" w:hAnsi="Arial"/>
          <w:sz w:val="18"/>
          <w:szCs w:val="18"/>
          <w:color w:val="auto"/>
        </w:rPr>
      </w:pPr>
    </w:p>
    <w:p>
      <w:pPr>
        <w:ind w:left="-8" w:right="40" w:firstLine="921"/>
        <w:spacing w:after="0" w:line="264" w:lineRule="auto"/>
        <w:tabs>
          <w:tab w:leader="none" w:pos="113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Tenant shall make a Transfer in violation of the provisions of Section 13 above, or if any event shall occur or any contingency shall arise whereby this Lease, or the term and estate thereby created, would (by operation of law or otherwise) devolve upon or pass to any person, firm or corporation other than Tenant, except as expressly permitted under Section 13 hereof;</w:t>
      </w:r>
    </w:p>
    <w:p>
      <w:pPr>
        <w:spacing w:after="0" w:line="181" w:lineRule="exact"/>
        <w:rPr>
          <w:rFonts w:ascii="Arial" w:cs="Arial" w:eastAsia="Arial" w:hAnsi="Arial"/>
          <w:sz w:val="18"/>
          <w:szCs w:val="18"/>
          <w:color w:val="auto"/>
        </w:rPr>
      </w:pPr>
    </w:p>
    <w:p>
      <w:pPr>
        <w:jc w:val="both"/>
        <w:ind w:left="-8" w:right="200" w:firstLine="921"/>
        <w:spacing w:after="0" w:line="279" w:lineRule="auto"/>
        <w:tabs>
          <w:tab w:leader="none" w:pos="116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The failure by Tenant to observe or perform any of the covenants or provisions of this Lease to be observed or performed by Tenant, other than as specified above, and such failure continues for more than thirty (30) days after notice thereof from Landlord; provided, further, that if the nature of Tenant’s default is such that more than thirty (30) days are reasonably required for its cure, then Tenant shall not be deemed to be in default if Tenant shall commence such cure within said thirty (30) day period and thereafter diligently prosecute such cure to completion;</w:t>
      </w:r>
    </w:p>
    <w:p>
      <w:pPr>
        <w:spacing w:after="0" w:line="171" w:lineRule="exact"/>
        <w:rPr>
          <w:rFonts w:ascii="Arial" w:cs="Arial" w:eastAsia="Arial" w:hAnsi="Arial"/>
          <w:sz w:val="17"/>
          <w:szCs w:val="17"/>
          <w:color w:val="auto"/>
        </w:rPr>
      </w:pPr>
    </w:p>
    <w:p>
      <w:pPr>
        <w:ind w:left="-8" w:right="160" w:firstLine="921"/>
        <w:spacing w:after="0" w:line="277" w:lineRule="auto"/>
        <w:tabs>
          <w:tab w:leader="none" w:pos="11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Tenant shall make an assignment or trust mortgage, or other conveyance or transfer of like nature, of all or a substantial part of its property for the benefit of its creditors,</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312"/>
          </w:cols>
          <w:pgMar w:left="248" w:top="270" w:right="339" w:bottom="1440" w:gutter="0" w:footer="0" w:header="0"/>
        </w:sectPr>
      </w:pPr>
    </w:p>
    <w:bookmarkStart w:id="390" w:name="page391"/>
    <w:bookmarkEnd w:id="390"/>
    <w:p>
      <w:pPr>
        <w:ind w:right="180" w:firstLine="921"/>
        <w:spacing w:after="0" w:line="277" w:lineRule="auto"/>
        <w:tabs>
          <w:tab w:leader="none" w:pos="1128"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attachment on mesne process, on execution or otherwise, or other legal process shall issue against Tenant or its property and a sale of any of its assets shall be held thereunder, and shall not be dismissed or vacated within sixty (60) days thereafter;</w:t>
      </w:r>
    </w:p>
    <w:p>
      <w:pPr>
        <w:spacing w:after="0" w:line="170" w:lineRule="exact"/>
        <w:rPr>
          <w:rFonts w:ascii="Arial" w:cs="Arial" w:eastAsia="Arial" w:hAnsi="Arial"/>
          <w:sz w:val="18"/>
          <w:szCs w:val="18"/>
          <w:color w:val="auto"/>
        </w:rPr>
      </w:pPr>
    </w:p>
    <w:p>
      <w:pPr>
        <w:jc w:val="both"/>
        <w:ind w:right="300" w:firstLine="921"/>
        <w:spacing w:after="0" w:line="286" w:lineRule="auto"/>
        <w:tabs>
          <w:tab w:leader="none" w:pos="112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any judgment, attachment or the like in excess of $100,000 shall be entered, recorded or filed against Tenant in any court, registry, etc. and Tenant shall fail to pay such judgment within sixty (60) days after the judgment shall have become final beyond appeal or to discharge or secure by surety bond such lien, attachment, etc. within sixty (60) days of such entry, recording or filing, as the case may be;</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leasehold hereby created shall be taken on execution or by other process of law and shall not be revested in Tenant within sixty (60) days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thereafter;</w:t>
      </w:r>
    </w:p>
    <w:p>
      <w:pPr>
        <w:spacing w:after="0" w:line="211" w:lineRule="exact"/>
        <w:rPr>
          <w:sz w:val="20"/>
          <w:szCs w:val="20"/>
          <w:color w:val="auto"/>
        </w:rPr>
      </w:pPr>
    </w:p>
    <w:p>
      <w:pPr>
        <w:ind w:right="360" w:firstLine="921"/>
        <w:spacing w:after="0" w:line="277" w:lineRule="auto"/>
        <w:tabs>
          <w:tab w:leader="none" w:pos="116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receiver, sequesterer, trustee or similar officer shall be appointed by a court of competent jurisdiction to take charge of all or any part of Tenant’s Property and such appointment shall not be vacated within sixty (60) days; or</w:t>
      </w:r>
    </w:p>
    <w:p>
      <w:pPr>
        <w:spacing w:after="0" w:line="170" w:lineRule="exact"/>
        <w:rPr>
          <w:sz w:val="20"/>
          <w:szCs w:val="20"/>
          <w:color w:val="auto"/>
        </w:rPr>
      </w:pPr>
    </w:p>
    <w:p>
      <w:pPr>
        <w:ind w:right="120" w:firstLine="921"/>
        <w:spacing w:after="0" w:line="312" w:lineRule="auto"/>
        <w:tabs>
          <w:tab w:leader="none" w:pos="121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any proceeding shall be instituted by or against Tenant pursuant to any of the provisions of any Act of Congress or State law relating to bankruptcy, reorganizations, arrangements, compositions or other relief from creditors, and, in the case of any proceeding instituted against it, if Tenant shall fail to have such proceedings dismissed within sixty (60) days or if Tenant is adjudged bankrupt or insolvent as a result of any such proceeding.</w:t>
      </w:r>
    </w:p>
    <w:p>
      <w:pPr>
        <w:spacing w:after="0" w:line="14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Wherever “Tenant” is used in subsections (h), (i), (j), (1), or (m) of this Section 20.1, it shall be deemed to include any parent entity of Tenant and any guarantor of any of Tenant’s obligations under this Lease.</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20.2 Remedies</w:t>
      </w:r>
      <w:r>
        <w:rPr>
          <w:rFonts w:ascii="Arial" w:cs="Arial" w:eastAsia="Arial" w:hAnsi="Arial"/>
          <w:sz w:val="18"/>
          <w:szCs w:val="18"/>
          <w:color w:val="auto"/>
        </w:rPr>
        <w:t>. Upon an Event of Default, Landlord may, by notice to Tenant, elect to terminate this Lease; and thereupon (and without prejudice to</w:t>
      </w:r>
      <w:r>
        <w:rPr>
          <w:rFonts w:ascii="Arial" w:cs="Arial" w:eastAsia="Arial" w:hAnsi="Arial"/>
          <w:sz w:val="18"/>
          <w:szCs w:val="18"/>
          <w:b w:val="1"/>
          <w:bCs w:val="1"/>
          <w:color w:val="auto"/>
        </w:rPr>
        <w:t xml:space="preserve"> </w:t>
      </w:r>
      <w:r>
        <w:rPr>
          <w:rFonts w:ascii="Arial" w:cs="Arial" w:eastAsia="Arial" w:hAnsi="Arial"/>
          <w:sz w:val="18"/>
          <w:szCs w:val="18"/>
          <w:color w:val="auto"/>
        </w:rPr>
        <w:t>any remedies which might otherwise be available for arrears of Rent or preceding breach of covenant or agreement and without prejudice to Tenant’s liability for damages as hereinafter stated), upon the giving of such notice, this Lease shall terminate as of the date specified therein as though that were the Expiration Date. Without being taken or deemed to be guilty of any manner of trespass or conversion, and without being liable to indictment, prosecution or damages therefor, Landlord may thereafter, by lawful process, enter into and upon the Premises (or any part thereof in the name of the whole); repossess the same, as of its former estate; and expel Tenant and those claiming under Tenant. The words “re-entry” and “re-enter” as used in this Lease are not restricted to their technical legal meanings.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20.3 Damages - Termination.</w:t>
      </w:r>
    </w:p>
    <w:p>
      <w:pPr>
        <w:spacing w:after="0" w:line="121" w:lineRule="exact"/>
        <w:rPr>
          <w:sz w:val="20"/>
          <w:szCs w:val="20"/>
          <w:color w:val="auto"/>
        </w:rPr>
      </w:pPr>
    </w:p>
    <w:p>
      <w:pPr>
        <w:ind w:right="200" w:firstLine="921"/>
        <w:spacing w:after="0" w:line="264" w:lineRule="auto"/>
        <w:tabs>
          <w:tab w:leader="none" w:pos="115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Upon the termination of this Lease under the provisions of this Section 20, Tenant shall pay to Landlord Rent up to the time of such termination, shall continue to be liable for any preceding breach of covenant, and in addition, shall pay to Landlord as damages, at the election of Landlord, either:</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the amount (discounted to present value at the rate of five percent (5%) per annum) by which, at the time of the termination of this Lease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(or at any time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420"/>
          </w:cols>
          <w:pgMar w:left="240" w:top="274" w:right="239" w:bottom="1440" w:gutter="0" w:footer="0" w:header="0"/>
        </w:sectPr>
      </w:pPr>
    </w:p>
    <w:bookmarkStart w:id="391" w:name="page392"/>
    <w:bookmarkEnd w:id="391"/>
    <w:p>
      <w:pPr>
        <w:ind w:left="440"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thereafter if Landlord shall have initially elected damages under Section 20.3(a)(ii) below), (x) the aggregate of Rent projected over the period commencing with such termination and ending on the Expiration Date, exceeds (y) the aggregate projected rental value of the Premises for such period, taking into account a reasonable time period during which the Premises shall be unoccupied, plus all Reletting Costs (hereinafter defined); or</w:t>
      </w:r>
    </w:p>
    <w:p>
      <w:pPr>
        <w:spacing w:after="0" w:line="39" w:lineRule="exact"/>
        <w:rPr>
          <w:sz w:val="20"/>
          <w:szCs w:val="20"/>
          <w:color w:val="auto"/>
        </w:rPr>
      </w:pPr>
    </w:p>
    <w:p>
      <w:pPr>
        <w:ind w:left="440" w:firstLine="881"/>
        <w:spacing w:after="0" w:line="287" w:lineRule="auto"/>
        <w:tabs>
          <w:tab w:leader="none" w:pos="1581" w:val="left"/>
        </w:tabs>
        <w:numPr>
          <w:ilvl w:val="1"/>
          <w:numId w:val="313"/>
        </w:numPr>
        <w:rPr>
          <w:rFonts w:ascii="Arial" w:cs="Arial" w:eastAsia="Arial" w:hAnsi="Arial"/>
          <w:sz w:val="16"/>
          <w:szCs w:val="16"/>
          <w:color w:val="auto"/>
        </w:rPr>
      </w:pPr>
      <w:r>
        <w:rPr>
          <w:rFonts w:ascii="Arial" w:cs="Arial" w:eastAsia="Arial" w:hAnsi="Arial"/>
          <w:sz w:val="16"/>
          <w:szCs w:val="16"/>
          <w:color w:val="auto"/>
        </w:rPr>
        <w:t xml:space="preserve">amounts equal to Rent which would have been payable by Tenant had this Lease not been so terminated, payable upon the due dates therefor specified herein following such termination and until the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Landlord shall re-let the Premises during such period, that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as well as the expenses of re-letting, including altering and preparing the Premises for new tenants, brokers’ commissions, and all other similar expenses properly chargeable against the Premises and the rental therefrom (collectively, “</w:t>
      </w:r>
      <w:r>
        <w:rPr>
          <w:rFonts w:ascii="Arial" w:cs="Arial" w:eastAsia="Arial" w:hAnsi="Arial"/>
          <w:sz w:val="16"/>
          <w:szCs w:val="16"/>
          <w:b w:val="1"/>
          <w:bCs w:val="1"/>
          <w:u w:val="single" w:color="auto"/>
          <w:color w:val="auto"/>
        </w:rPr>
        <w:t>Reletting Costs</w:t>
      </w:r>
      <w:r>
        <w:rPr>
          <w:rFonts w:ascii="Arial" w:cs="Arial" w:eastAsia="Arial" w:hAnsi="Arial"/>
          <w:sz w:val="16"/>
          <w:szCs w:val="16"/>
          <w:color w:val="auto"/>
        </w:rPr>
        <w:t xml:space="preserve">”), it being understood that any such re-letting may be for a period equal to or shorter or longer than the remaining Term;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(x) in no event shall Tenant be entitled to receive any excess of such net rents over the sums payable by Tenant to Landlord hereunder and (y) in no event shall Tenant be entitled in any suit for the collection of damages pursuant to this Section 20.3(a)(ii) to a credit in respect of any net rents from a re-letting except to the extent that such net rents are actually received by Landlord prior to the commencement of such suit. If the Premises or any part thereof should be re-let in combination with other space, then proper apportionment on a square foot area basis shall be made of the rent received from such re-letting and of the expenses of re-letting.</w:t>
      </w:r>
    </w:p>
    <w:p>
      <w:pPr>
        <w:spacing w:after="0" w:line="172" w:lineRule="exact"/>
        <w:rPr>
          <w:rFonts w:ascii="Arial" w:cs="Arial" w:eastAsia="Arial" w:hAnsi="Arial"/>
          <w:sz w:val="16"/>
          <w:szCs w:val="16"/>
          <w:color w:val="auto"/>
        </w:rPr>
      </w:pPr>
    </w:p>
    <w:p>
      <w:pPr>
        <w:ind w:left="-20" w:right="80" w:firstLine="921"/>
        <w:spacing w:after="0" w:line="312" w:lineRule="auto"/>
        <w:tabs>
          <w:tab w:leader="none" w:pos="114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In calculating the amount due under Section 20.3(a)(i), above, there shall be included, in addition to the Base Rent, all other considerations agreed to be paid or performed by Tenant, including without limitation Tenant’s Share of Operating Costs and Taxes, on the assumption that all such amounts and considerations would have increased at the rate of five percent (5%) per annum for the balance of the full term hereby granted.</w:t>
      </w:r>
    </w:p>
    <w:p>
      <w:pPr>
        <w:spacing w:after="0" w:line="146" w:lineRule="exact"/>
        <w:rPr>
          <w:rFonts w:ascii="Arial" w:cs="Arial" w:eastAsia="Arial" w:hAnsi="Arial"/>
          <w:sz w:val="16"/>
          <w:szCs w:val="16"/>
          <w:color w:val="auto"/>
        </w:rPr>
      </w:pPr>
    </w:p>
    <w:p>
      <w:pPr>
        <w:jc w:val="both"/>
        <w:ind w:left="-20" w:right="120" w:firstLine="921"/>
        <w:spacing w:after="0" w:line="264" w:lineRule="auto"/>
        <w:tabs>
          <w:tab w:leader="none" w:pos="113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Suit or suits for the recovery of such damages, or any installments thereof, may be brought by Landlord from time to time at its election, and nothing contained herein shall be deemed to require Landlord to postpone suit until the date when the Term would have expired if it had not been terminated hereunder.</w:t>
      </w:r>
    </w:p>
    <w:p>
      <w:pPr>
        <w:spacing w:after="0" w:line="181" w:lineRule="exact"/>
        <w:rPr>
          <w:rFonts w:ascii="Arial" w:cs="Arial" w:eastAsia="Arial" w:hAnsi="Arial"/>
          <w:sz w:val="18"/>
          <w:szCs w:val="18"/>
          <w:color w:val="auto"/>
        </w:rPr>
      </w:pPr>
    </w:p>
    <w:p>
      <w:pPr>
        <w:ind w:left="-20" w:right="320" w:firstLine="921"/>
        <w:spacing w:after="0" w:line="342" w:lineRule="auto"/>
        <w:tabs>
          <w:tab w:leader="none" w:pos="114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Nothing herein contained shall be construed as limiting or precluding the recovery by Landlord against Tenant of any sums or damages to which, in addition to the damages particularly provided above, Landlord may lawfully be entitled by reason of any Event of Default hereunder.</w:t>
      </w:r>
    </w:p>
    <w:p>
      <w:pPr>
        <w:spacing w:after="0" w:line="123" w:lineRule="exact"/>
        <w:rPr>
          <w:rFonts w:ascii="Arial" w:cs="Arial" w:eastAsia="Arial" w:hAnsi="Arial"/>
          <w:sz w:val="16"/>
          <w:szCs w:val="16"/>
          <w:color w:val="auto"/>
        </w:rPr>
      </w:pPr>
    </w:p>
    <w:p>
      <w:pPr>
        <w:jc w:val="both"/>
        <w:ind w:left="-20" w:right="260" w:firstLine="921"/>
        <w:spacing w:after="0" w:line="259" w:lineRule="auto"/>
        <w:tabs>
          <w:tab w:leader="none" w:pos="113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Landlord agrees to use reasonable efforts to relet the Premises after Tenant vacates the Premises in the event that the Lease is terminated based upon a default by Tenant hereunder. Marketing of Tenant’s Premises in a manner similar to the manner in which Landlord markets other premises within Landlord’s control in the Building shall be deemed to have satisfied Landlord’s obligation to use “reasonable efforts.” In no event shall Landlord be required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00"/>
          </w:cols>
          <w:pgMar w:left="260" w:top="274" w:right="239" w:bottom="1440" w:gutter="0" w:footer="0" w:header="0"/>
        </w:sectPr>
      </w:pPr>
    </w:p>
    <w:bookmarkStart w:id="392" w:name="page393"/>
    <w:bookmarkEnd w:id="39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 solicit or entertain negotiations with any other prospective tenants for the Premises until Landlord obtains full and complete possession of the Premises including, without limitation, the final and unappealable legal right to re-let the Premises free of any claim of Tenant, (ii) relet the Premises before leasing other vacant space in the Building, or (iii) lease the Premises for a rental less than the current fair market rental then prevailing for similar office space in the Building.</w:t>
      </w:r>
    </w:p>
    <w:p>
      <w:pPr>
        <w:spacing w:after="0" w:line="1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20.4 Landlord’s Self-Help; Fees and Expenses</w:t>
      </w:r>
      <w:r>
        <w:rPr>
          <w:rFonts w:ascii="Arial" w:cs="Arial" w:eastAsia="Arial" w:hAnsi="Arial"/>
          <w:sz w:val="16"/>
          <w:szCs w:val="16"/>
          <w:color w:val="auto"/>
        </w:rPr>
        <w:t>. If Tenant shall default in the performance of any covenant on Tenant’s part to be performed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contained, including without limitation the obligation to maintain the Premises in the required condition pursuant to Section 10.1 above, Landlord may, if Tenant fails to cure such default after receiving thirty (30) days advance written notice from Landlord, or such longer period as Tenant may require to cure such default, provided that Tenant commences to cure such default within such thirty (30) day period and thereafter diligently prosecutes such cure to completion (except that Landlord may exercise its rights under this Section 20.4 without prior notice to Tenant in an emergency), perform the same for the account of Tenant. Tenant shall pay to Landlord upon demand therefor any costs incurred by Landlord in connection therewith, together with interest at the Lease Interest Rate until paid in full. In addition, Tenant shall pay all of Landlord’s costs and expenses, including without limitation reasonable out of pocket attorneys’ fees, incurred: (i) in enforcing any obligation of Tenant under this Lease, or (ii) as a result of Landlord or any of the Landlord Parties, without its fault, being made party to any litigation pending by or against any of the Tenant Parties.</w:t>
      </w:r>
    </w:p>
    <w:p>
      <w:pPr>
        <w:spacing w:after="0" w:line="160"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20.5 Waiver of Redemption, Statutory Notice and Grace Periods</w:t>
      </w:r>
      <w:r>
        <w:rPr>
          <w:rFonts w:ascii="Arial" w:cs="Arial" w:eastAsia="Arial" w:hAnsi="Arial"/>
          <w:sz w:val="18"/>
          <w:szCs w:val="18"/>
          <w:color w:val="auto"/>
        </w:rPr>
        <w:t>. Tenant does hereby waive and surrender all rights and privileges which it might</w:t>
      </w:r>
      <w:r>
        <w:rPr>
          <w:rFonts w:ascii="Arial" w:cs="Arial" w:eastAsia="Arial" w:hAnsi="Arial"/>
          <w:sz w:val="18"/>
          <w:szCs w:val="18"/>
          <w:b w:val="1"/>
          <w:bCs w:val="1"/>
          <w:color w:val="auto"/>
        </w:rPr>
        <w:t xml:space="preserve"> </w:t>
      </w:r>
      <w:r>
        <w:rPr>
          <w:rFonts w:ascii="Arial" w:cs="Arial" w:eastAsia="Arial" w:hAnsi="Arial"/>
          <w:sz w:val="18"/>
          <w:szCs w:val="18"/>
          <w:color w:val="auto"/>
        </w:rPr>
        <w:t>have under or by reason of any present or future Legal Requirements to redeem the Premises or to have a continuance of this Lease for the Term hereby demised after being dispossessed or ejected therefrom by process of law or under the terms of this Lease or after the termination of this Lease as herein provided. Except to the extent prohibited by Legal Requirements, any statutory notice and grace periods provided to Tenant by law are hereby expressly waived by Tenant.</w:t>
      </w:r>
    </w:p>
    <w:p>
      <w:pPr>
        <w:spacing w:after="0" w:line="184" w:lineRule="exact"/>
        <w:rPr>
          <w:sz w:val="20"/>
          <w:szCs w:val="20"/>
          <w:color w:val="auto"/>
        </w:rPr>
      </w:pPr>
    </w:p>
    <w:p>
      <w:pPr>
        <w:jc w:val="both"/>
        <w:ind w:right="120" w:firstLine="456"/>
        <w:spacing w:after="0" w:line="289" w:lineRule="auto"/>
        <w:rPr>
          <w:sz w:val="20"/>
          <w:szCs w:val="20"/>
          <w:color w:val="auto"/>
        </w:rPr>
      </w:pPr>
      <w:r>
        <w:rPr>
          <w:rFonts w:ascii="Arial" w:cs="Arial" w:eastAsia="Arial" w:hAnsi="Arial"/>
          <w:sz w:val="17"/>
          <w:szCs w:val="17"/>
          <w:b w:val="1"/>
          <w:bCs w:val="1"/>
          <w:color w:val="auto"/>
        </w:rPr>
        <w:t>20.6 Landlord’s Remedies Not Exclusive</w:t>
      </w:r>
      <w:r>
        <w:rPr>
          <w:rFonts w:ascii="Arial" w:cs="Arial" w:eastAsia="Arial" w:hAnsi="Arial"/>
          <w:sz w:val="17"/>
          <w:szCs w:val="17"/>
          <w:color w:val="auto"/>
        </w:rPr>
        <w:t>. The specified remedies to which Landlord may resort hereunder are cumulative and are not intended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of any remedies or means of redress to which Landlord may at any time be lawfully entitled, and Landlord may invoke any remedy (including the remedy of specific performance) allowed at law or in equity as if specific remedies were not herein provided for.</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20.7 No Waiver</w:t>
      </w:r>
      <w:r>
        <w:rPr>
          <w:rFonts w:ascii="Arial" w:cs="Arial" w:eastAsia="Arial" w:hAnsi="Arial"/>
          <w:sz w:val="17"/>
          <w:szCs w:val="17"/>
          <w:color w:val="auto"/>
        </w:rPr>
        <w:t>. Landlord’s failure to seek redress for violation, or to insist upon the strict performance, of any covenant or condition of this Lease,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Rules and Regulations promulgated hereunder,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in the Building shall not be deemed a waiver of any such Rules and Regulations. No provisions of this Lease shall be deemed to have been waived by either party unless such waiver be in writing signed by such party. No payment by Tenant or receipt by Landlord of a lesser amount than the Rent herein stipulated shall be deemed to be other than on account of the stipulated Rent, nor shall any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00"/>
          </w:cols>
          <w:pgMar w:left="240" w:top="273" w:right="259" w:bottom="1440" w:gutter="0" w:footer="0" w:header="0"/>
        </w:sectPr>
      </w:pPr>
    </w:p>
    <w:bookmarkStart w:id="393" w:name="page394"/>
    <w:bookmarkEnd w:id="393"/>
    <w:p>
      <w:pPr>
        <w:jc w:val="both"/>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120"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20.8 Restrictions on Tenant’s Rights</w:t>
      </w:r>
      <w:r>
        <w:rPr>
          <w:rFonts w:ascii="Arial" w:cs="Arial" w:eastAsia="Arial" w:hAnsi="Arial"/>
          <w:sz w:val="18"/>
          <w:szCs w:val="18"/>
          <w:color w:val="auto"/>
        </w:rPr>
        <w:t>. During the continuation of any material monetary Event of Default, (a) Landlord shall not be obligated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Tenant with any notice pursuant to Sections 2.3 and 2.4 above; and (b) Tenant shall not have the right to make, nor to request Landlord’s consent or approval with respect to, any Alterations or Transfers.</w:t>
      </w:r>
    </w:p>
    <w:p>
      <w:pPr>
        <w:spacing w:after="0" w:line="17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20.9 Landlord Default</w:t>
      </w:r>
      <w:r>
        <w:rPr>
          <w:rFonts w:ascii="Arial" w:cs="Arial" w:eastAsia="Arial" w:hAnsi="Arial"/>
          <w:sz w:val="17"/>
          <w:szCs w:val="17"/>
          <w:color w:val="auto"/>
        </w:rPr>
        <w:t>. Notwithstanding anything to the contrary contained in the Lease, Landlord shall in no event be in default in the performance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of Landlord’s obligations under this Lease unless Landlord shall have failed to perform such obligations within thirty (30) days (or such additional time as is reasonably required to correct any such default, provided Landlord commences cure within 30 days) after notice by Tenant to Landlord properly specifying wherein Landlord has failed to perform any such obligation, provided however, that the provisions of this sentence shall not affect or delay Tenant’s rights and remedies under Section 10.7 of this Lease. Except as expressly set forth in this Lease, Tenant shall not have the right to terminate or cancel this Lease or to withhold rent or to set-off or deduct any claim or damages against rent as a result of any default by Landlord or breach by Landlord of its covenants or any warranties or promises hereunder, unless same continues after notice to Landlord thereof and a opportunity for Landlord to cure the same as set forth above. In addition, except as set forth in Section 10.7(d), Tenant shall not assert any right to deduct the cost of repairs or any monetary claim against Landlord from rent thereafter due and payable under this Lease.</w:t>
      </w:r>
    </w:p>
    <w:p>
      <w:pPr>
        <w:spacing w:after="0" w:line="282" w:lineRule="exact"/>
        <w:rPr>
          <w:sz w:val="20"/>
          <w:szCs w:val="20"/>
          <w:color w:val="auto"/>
        </w:rPr>
      </w:pPr>
    </w:p>
    <w:p>
      <w:pPr>
        <w:ind w:left="460" w:right="6020" w:firstLine="4"/>
        <w:spacing w:after="0" w:line="378" w:lineRule="auto"/>
        <w:tabs>
          <w:tab w:leader="none" w:pos="730" w:val="left"/>
        </w:tabs>
        <w:numPr>
          <w:ilvl w:val="1"/>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SURRENDER; ABANDONED PROPERTY; HOLD- OVER 21.1 Surrender</w:t>
      </w:r>
    </w:p>
    <w:p>
      <w:pPr>
        <w:ind w:right="40" w:firstLine="921"/>
        <w:spacing w:after="0" w:line="285" w:lineRule="auto"/>
        <w:tabs>
          <w:tab w:leader="none" w:pos="1158" w:val="left"/>
        </w:tabs>
        <w:numPr>
          <w:ilvl w:val="2"/>
          <w:numId w:val="315"/>
        </w:numPr>
        <w:rPr>
          <w:rFonts w:ascii="Arial" w:cs="Arial" w:eastAsia="Arial" w:hAnsi="Arial"/>
          <w:sz w:val="16"/>
          <w:szCs w:val="16"/>
          <w:color w:val="auto"/>
        </w:rPr>
      </w:pPr>
      <w:r>
        <w:rPr>
          <w:rFonts w:ascii="Arial" w:cs="Arial" w:eastAsia="Arial" w:hAnsi="Arial"/>
          <w:sz w:val="16"/>
          <w:szCs w:val="16"/>
          <w:color w:val="auto"/>
        </w:rPr>
        <w:t>Upon the expiration or earlier termination of the Term, Tenant shall (i) peaceably quit and surrender to Landlord the Premises (including without limitation all fixed lab benches, fume hoods, electric, plumbing, heating and sprinkling systems, fixtures and outlets, vaults, paneling, molding, shelving, radiator enclosures, cork, rubber, linoleum and composition floors, ventilating, silencing, air conditioning and cooling equipment therein and all other furniture, fixtures, and equipment that was either provided by Landlord or paid for in whole or in part by any allowance provided to Tenant by Landlord under this Lease) broom clean, in good order, repair and condition excepting only ordinary wear and tear and damage by fire or other insured Casualty;</w:t>
      </w:r>
    </w:p>
    <w:p>
      <w:pPr>
        <w:spacing w:after="0" w:line="2" w:lineRule="exact"/>
        <w:rPr>
          <w:rFonts w:ascii="Arial" w:cs="Arial" w:eastAsia="Arial" w:hAnsi="Arial"/>
          <w:sz w:val="16"/>
          <w:szCs w:val="16"/>
          <w:color w:val="auto"/>
        </w:rPr>
      </w:pPr>
    </w:p>
    <w:p>
      <w:pPr>
        <w:ind w:right="60" w:firstLine="8"/>
        <w:spacing w:after="0" w:line="277" w:lineRule="auto"/>
        <w:tabs>
          <w:tab w:leader="none" w:pos="26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remove all of Tenant’s Property, all autoclaves and cage washers and, to the extent specified by Landlord at the time of granting of its consent, Alterations made by Tenant; and (iii) repair any damages to the Premises or the Building caused by the installation or removal of Tenant’s Property and/or such Alterations. Tenant’s obligations under this Section 21.1(a) shall survive the expiration or earlier termination of this Lease.</w:t>
      </w:r>
    </w:p>
    <w:p>
      <w:pPr>
        <w:spacing w:after="0" w:line="173" w:lineRule="exact"/>
        <w:rPr>
          <w:rFonts w:ascii="Arial" w:cs="Arial" w:eastAsia="Arial" w:hAnsi="Arial"/>
          <w:sz w:val="17"/>
          <w:szCs w:val="17"/>
          <w:color w:val="auto"/>
        </w:rPr>
      </w:pPr>
    </w:p>
    <w:p>
      <w:pPr>
        <w:ind w:right="160" w:firstLine="921"/>
        <w:spacing w:after="0" w:line="277" w:lineRule="auto"/>
        <w:tabs>
          <w:tab w:leader="none" w:pos="1168" w:val="left"/>
        </w:tabs>
        <w:numPr>
          <w:ilvl w:val="2"/>
          <w:numId w:val="316"/>
        </w:numPr>
        <w:rPr>
          <w:rFonts w:ascii="Arial" w:cs="Arial" w:eastAsia="Arial" w:hAnsi="Arial"/>
          <w:sz w:val="18"/>
          <w:szCs w:val="18"/>
          <w:color w:val="auto"/>
        </w:rPr>
      </w:pPr>
      <w:r>
        <w:rPr>
          <w:rFonts w:ascii="Arial" w:cs="Arial" w:eastAsia="Arial" w:hAnsi="Arial"/>
          <w:sz w:val="18"/>
          <w:szCs w:val="18"/>
          <w:color w:val="auto"/>
        </w:rPr>
        <w:t>Prior to the expiration of this Lease (or within thirty (30) days after any earlier termination), except with respect to any Disclosed Materials, Tenant shall clean and otherwise decommission all interior surfaces (including floors, walls, ceilings, and counters),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274" w:right="239" w:bottom="1440" w:gutter="0" w:footer="0" w:header="0"/>
        </w:sectPr>
      </w:pPr>
    </w:p>
    <w:bookmarkStart w:id="394" w:name="page395"/>
    <w:bookmarkEnd w:id="394"/>
    <w:p>
      <w:pPr>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piping, supply lines, waste lines, acid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(defined below) to be issued. At least thirty (30) days prior to the expiration of the Term (or, if applicable, within five (5) business days after any earlier termination of this Lease), Tenant shall deliver to Landlord a reasonably detailed narrative description of the actions proposed (or required by any Legal Requirements) to be taken by Tenant in order to render the Premises (including any Alterations permitted or required by Landlord to remain therein) free of Hazardous Materials and otherwise released for unrestricted use and occupancy including without limitation causing the Premises to be decommissioned in accordance with the regulations of the U.S. Nuclear Regulatory Commission and/or the Massachusetts Department of Public Health (the “</w:t>
      </w:r>
      <w:r>
        <w:rPr>
          <w:rFonts w:ascii="Arial" w:cs="Arial" w:eastAsia="Arial" w:hAnsi="Arial"/>
          <w:sz w:val="16"/>
          <w:szCs w:val="16"/>
          <w:b w:val="1"/>
          <w:bCs w:val="1"/>
          <w:u w:val="single" w:color="auto"/>
          <w:color w:val="auto"/>
        </w:rPr>
        <w:t>MDPH</w:t>
      </w:r>
      <w:r>
        <w:rPr>
          <w:rFonts w:ascii="Arial" w:cs="Arial" w:eastAsia="Arial" w:hAnsi="Arial"/>
          <w:sz w:val="16"/>
          <w:szCs w:val="16"/>
          <w:color w:val="auto"/>
        </w:rPr>
        <w:t>”) for the control of radiation, and cause the Premises to be released for unrestricted use by the Radiation Control Program of the MDPH (the “</w:t>
      </w:r>
      <w:r>
        <w:rPr>
          <w:rFonts w:ascii="Arial" w:cs="Arial" w:eastAsia="Arial" w:hAnsi="Arial"/>
          <w:sz w:val="16"/>
          <w:szCs w:val="16"/>
          <w:b w:val="1"/>
          <w:bCs w:val="1"/>
          <w:u w:val="single" w:color="auto"/>
          <w:color w:val="auto"/>
        </w:rPr>
        <w:t>Surrender Plan</w:t>
      </w:r>
      <w:r>
        <w:rPr>
          <w:rFonts w:ascii="Arial" w:cs="Arial" w:eastAsia="Arial" w:hAnsi="Arial"/>
          <w:sz w:val="16"/>
          <w:szCs w:val="16"/>
          <w:color w:val="auto"/>
        </w:rPr>
        <w:t>”). The Surrender Plan</w:t>
      </w:r>
    </w:p>
    <w:p>
      <w:pPr>
        <w:spacing w:after="0" w:line="7" w:lineRule="exact"/>
        <w:rPr>
          <w:sz w:val="20"/>
          <w:szCs w:val="20"/>
          <w:color w:val="auto"/>
        </w:rPr>
      </w:pPr>
    </w:p>
    <w:p>
      <w:pPr>
        <w:ind w:firstLine="8"/>
        <w:spacing w:after="0" w:line="266" w:lineRule="auto"/>
        <w:tabs>
          <w:tab w:leader="none" w:pos="21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shall be accompanied by a current list of (A) all Required Permits held by or on behalf of any Tenant Party with respect to Hazardous Materials in, on, under, at or about the Premises, and (B) Tenant’s Hazardous Materials, and (ii) shall be subject to the review and approval of Landlord’s environmental consultant. In connection with review and approval of the Surrender Plan, upon request of Landlord, Tenant shall deliver to Landlord or its consultant such additional non-proprietary information concerning the use of and operations within the Premises as Landlord shall request. On or before the expiration of the Term (or within thirty (30) days after any earlier termination of this Lease, during which period Tenant’s use and occupancy of the Premises shall be governed by Section 21.3 below), Tenant shall deliver to Landlord a certification from a third party certified industrial hygienist reasonably acceptable to Landlord certifying that the Premises do not contain any Hazardous Materials and evidence that the approved Surrender Plan shall have been satisfactorily completed by a contractor acceptable to Landlord,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expiration of the Term (or, if applicable, the date which is thirty (30) days after any earlier termination of this Lease), free of Hazardous Materials and otherwise available for unrestricted use and occupancy as aforesaid. Landlord shall have the unrestricted right to deliver the Surrender Plan and any report by Landlord’s environmental consultant with respect to the surrender of the Premises to third parties. Such third parties and the Landlord Parties shall be entitled to rely on the Surrender Report. If Tenant shall fail to prepare or submit a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Landlord shall have the right to take any such actions as Landlord may deem reasonable or appropriate to assure that the Premises and the Property are surrendered in the condition required hereunder, the cost of which actions shall be reimbursed by Tenant as Additional Rent upon demand. Tenant’s obligations under this Section 21.1(b) shall survive the expiration or earlier termination of the Term.</w:t>
      </w:r>
    </w:p>
    <w:p>
      <w:pPr>
        <w:spacing w:after="0" w:line="191" w:lineRule="exact"/>
        <w:rPr>
          <w:rFonts w:ascii="Arial" w:cs="Arial" w:eastAsia="Arial" w:hAnsi="Arial"/>
          <w:sz w:val="17"/>
          <w:szCs w:val="17"/>
          <w:color w:val="auto"/>
        </w:rPr>
      </w:pPr>
    </w:p>
    <w:p>
      <w:pPr>
        <w:ind w:right="120" w:firstLine="921"/>
        <w:spacing w:after="0" w:line="277" w:lineRule="auto"/>
        <w:tabs>
          <w:tab w:leader="none" w:pos="115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No act or thing done by Landlord during the Term shall be deemed an acceptance of a surrender of the Premises, and no agreement to accept such surrender shall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00"/>
          </w:cols>
          <w:pgMar w:left="240" w:top="274" w:right="259" w:bottom="1440" w:gutter="0" w:footer="0" w:header="0"/>
        </w:sectPr>
      </w:pPr>
    </w:p>
    <w:bookmarkStart w:id="395" w:name="page396"/>
    <w:bookmarkEnd w:id="395"/>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 unless in writing signed by Landlord. Unless otherwise agreed by the parties in writing, no employee of Landlord or of Landlord’s agents shall have any power to accept the keys of the Premises prior to the expiration or earlier termination of this Lease. The delivery of keys to any employee of Landlord or of Landlord’s agents shall not operate as a termination of this Lease or a surrender of the Premises.</w:t>
      </w:r>
    </w:p>
    <w:p>
      <w:pPr>
        <w:spacing w:after="0" w:line="181" w:lineRule="exact"/>
        <w:rPr>
          <w:sz w:val="20"/>
          <w:szCs w:val="20"/>
          <w:color w:val="auto"/>
        </w:rPr>
      </w:pPr>
    </w:p>
    <w:p>
      <w:pPr>
        <w:ind w:right="20" w:firstLine="921"/>
        <w:spacing w:after="0" w:line="264" w:lineRule="auto"/>
        <w:tabs>
          <w:tab w:leader="none" w:pos="116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Tenant shall, at its sole cost and expense, remove from the Premises, prior to the end of the Term, any item installed by or for Tenant and which, pursuant to Legal Requirements, must be removed therefrom before the Premises may be used by a subsequent tenant.</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21.2 Abandoned Property</w:t>
      </w:r>
      <w:r>
        <w:rPr>
          <w:rFonts w:ascii="Arial" w:cs="Arial" w:eastAsia="Arial" w:hAnsi="Arial"/>
          <w:sz w:val="16"/>
          <w:szCs w:val="16"/>
          <w:color w:val="auto"/>
        </w:rPr>
        <w:t>. After the expiration or earlier termination hereof, if Tenant fails to remove any property from the Building or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Tenant is obligated by the terms of this Lease to remove within the applicable Abandonment Notice Period, as hereinafter defined, after written notice from Landlord, such property (the “</w:t>
      </w:r>
      <w:r>
        <w:rPr>
          <w:rFonts w:ascii="Arial" w:cs="Arial" w:eastAsia="Arial" w:hAnsi="Arial"/>
          <w:sz w:val="16"/>
          <w:szCs w:val="16"/>
          <w:b w:val="1"/>
          <w:bCs w:val="1"/>
          <w:u w:val="single" w:color="auto"/>
          <w:color w:val="auto"/>
        </w:rPr>
        <w:t>Abandoned Property</w:t>
      </w:r>
      <w:r>
        <w:rPr>
          <w:rFonts w:ascii="Arial" w:cs="Arial" w:eastAsia="Arial" w:hAnsi="Arial"/>
          <w:sz w:val="16"/>
          <w:szCs w:val="16"/>
          <w:color w:val="auto"/>
        </w:rPr>
        <w:t>”) shall be conclusively deemed to have been abandoned, and may either be retained by Landlord as its property or sold or otherwise disposed of in such manner as Landlord may see fit. The “</w:t>
      </w:r>
      <w:r>
        <w:rPr>
          <w:rFonts w:ascii="Arial" w:cs="Arial" w:eastAsia="Arial" w:hAnsi="Arial"/>
          <w:sz w:val="16"/>
          <w:szCs w:val="16"/>
          <w:b w:val="1"/>
          <w:bCs w:val="1"/>
          <w:u w:val="single" w:color="auto"/>
          <w:color w:val="auto"/>
        </w:rPr>
        <w:t>Abandonment Notice Period</w:t>
      </w:r>
      <w:r>
        <w:rPr>
          <w:rFonts w:ascii="Arial" w:cs="Arial" w:eastAsia="Arial" w:hAnsi="Arial"/>
          <w:sz w:val="16"/>
          <w:szCs w:val="16"/>
          <w:color w:val="auto"/>
        </w:rPr>
        <w:t>” shall be two (2) business days, in the event of the expiration of the Term of the Lease, and shall be ten (10) business days in the event of the earlier termination of the Term of the Lease. If any item of Abandoned Property shall be sold, Tenant hereby agrees that Landlord may receive and retain the proceeds of such sale and apply the same to the expenses of the sale, the cost of moving and storage, any damages to which Landlord may be entitled under Section 20 hereof or pursuant to law, to any arrears of Rent, and to any other amounts due from Tenant to Landlord, with any remainder to be promptly returned to Tenant.</w:t>
      </w:r>
    </w:p>
    <w:p>
      <w:pPr>
        <w:spacing w:after="0" w:line="16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b w:val="1"/>
          <w:bCs w:val="1"/>
          <w:color w:val="auto"/>
        </w:rPr>
        <w:t>21.3 Holdover</w:t>
      </w:r>
      <w:r>
        <w:rPr>
          <w:rFonts w:ascii="Arial" w:cs="Arial" w:eastAsia="Arial" w:hAnsi="Arial"/>
          <w:sz w:val="17"/>
          <w:szCs w:val="17"/>
          <w:color w:val="auto"/>
        </w:rPr>
        <w:t>. If any of the Tenant Parties holds over (which term shall include, without limitation, the failure of Tenant or any Tenant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all of its obligations under Section 21.1 above) after the end of the Term, Tenant shall be deemed a tenant-at-sufferance subject to the provisions of this Lease; provided that whether or not Landlord has previously accepted payments of Rent from Tenant, (i) Tenant shall pay Base Rent at the Hold-Over Percentage, as hereinafter defined, of the highest rate of Base Rent payable during the Term, (ii) Tenant shall continue to pay to Landlord all additional rent, and (iii) if such hold over continues for a period of more than thirty (30) days, Tenant shall be liable for all damages, including without limitation lost business and consequential damages, incurred by Landlord as a result of such holding over, Tenant hereby acknowledging that Landlord may need the Premises after the end of the Term for other tenants and that the damages which Landlord may suffer as the result of Tenant’s holding over cannot be determined as of the Execution Date. The “Hold Over Percentage’ shall be 150%.</w:t>
      </w:r>
    </w:p>
    <w:p>
      <w:pPr>
        <w:spacing w:after="0" w:line="172"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21.4 Warranties</w:t>
      </w:r>
      <w:r>
        <w:rPr>
          <w:rFonts w:ascii="Arial" w:cs="Arial" w:eastAsia="Arial" w:hAnsi="Arial"/>
          <w:sz w:val="18"/>
          <w:szCs w:val="18"/>
          <w:color w:val="auto"/>
        </w:rPr>
        <w:t>. Tenant hereby assigns to Landlord, to the extent assignable, any warranties in effect on the last day of the Term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fixtures and Alterations installed and to remain in the Premises. Tenant shall provide Landlord with copies of any such warranties prior to the expiration of the Term (or, if the Lease is earlier terminated, within five (5) days thereafter).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20"/>
          </w:cols>
          <w:pgMar w:left="240" w:top="274" w:right="239" w:bottom="1440" w:gutter="0" w:footer="0" w:header="0"/>
        </w:sectPr>
      </w:pPr>
    </w:p>
    <w:bookmarkStart w:id="396" w:name="page397"/>
    <w:bookmarkEnd w:id="39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MORTGAGEE RIGHTS</w:t>
      </w:r>
    </w:p>
    <w:p>
      <w:pPr>
        <w:spacing w:after="0" w:line="117"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22.1 Subordination</w:t>
      </w:r>
      <w:r>
        <w:rPr>
          <w:rFonts w:ascii="Arial" w:cs="Arial" w:eastAsia="Arial" w:hAnsi="Arial"/>
          <w:sz w:val="18"/>
          <w:szCs w:val="18"/>
          <w:color w:val="auto"/>
        </w:rPr>
        <w:t>. Tenant’s rights and interests under this Lease shall be (i) subject and subordinate to the lien of (but not the terms of) any future</w:t>
      </w:r>
      <w:r>
        <w:rPr>
          <w:rFonts w:ascii="Arial" w:cs="Arial" w:eastAsia="Arial" w:hAnsi="Arial"/>
          <w:sz w:val="18"/>
          <w:szCs w:val="18"/>
          <w:b w:val="1"/>
          <w:bCs w:val="1"/>
          <w:color w:val="auto"/>
        </w:rPr>
        <w:t xml:space="preserve"> </w:t>
      </w:r>
      <w:r>
        <w:rPr>
          <w:rFonts w:ascii="Arial" w:cs="Arial" w:eastAsia="Arial" w:hAnsi="Arial"/>
          <w:sz w:val="18"/>
          <w:szCs w:val="18"/>
          <w:color w:val="auto"/>
        </w:rPr>
        <w:t>ground lease, overleases, mortgage, deed of trust, or similar instrument covering the Premises, the Building and/or the Land and to all advances, modifications, renewals, replacements, and extensions thereof (each of the foregoing, a “</w:t>
      </w:r>
      <w:r>
        <w:rPr>
          <w:rFonts w:ascii="Arial" w:cs="Arial" w:eastAsia="Arial" w:hAnsi="Arial"/>
          <w:sz w:val="18"/>
          <w:szCs w:val="18"/>
          <w:b w:val="1"/>
          <w:bCs w:val="1"/>
          <w:u w:val="single" w:color="auto"/>
          <w:color w:val="auto"/>
        </w:rPr>
        <w:t>Mortgage</w:t>
      </w:r>
      <w:r>
        <w:rPr>
          <w:rFonts w:ascii="Arial" w:cs="Arial" w:eastAsia="Arial" w:hAnsi="Arial"/>
          <w:sz w:val="18"/>
          <w:szCs w:val="18"/>
          <w:color w:val="auto"/>
        </w:rPr>
        <w:t>”), or (ii) if any Mortgagee elects, prior to the lien of any present or future Mortgage.</w:t>
      </w:r>
    </w:p>
    <w:p>
      <w:pPr>
        <w:spacing w:after="0" w:line="18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Notwithstanding the foregoing, it shall be a condition to Tenant’s obligation to subordinate this Lease to any future Mortgage, that Landlord obtains a subordination, non-disturbance and attornment agreement (“</w:t>
      </w:r>
      <w:r>
        <w:rPr>
          <w:rFonts w:ascii="Arial" w:cs="Arial" w:eastAsia="Arial" w:hAnsi="Arial"/>
          <w:sz w:val="17"/>
          <w:szCs w:val="17"/>
          <w:b w:val="1"/>
          <w:bCs w:val="1"/>
          <w:u w:val="single" w:color="auto"/>
          <w:color w:val="auto"/>
        </w:rPr>
        <w:t>SNDA</w:t>
      </w:r>
      <w:r>
        <w:rPr>
          <w:rFonts w:ascii="Arial" w:cs="Arial" w:eastAsia="Arial" w:hAnsi="Arial"/>
          <w:sz w:val="17"/>
          <w:szCs w:val="17"/>
          <w:color w:val="auto"/>
        </w:rPr>
        <w:t>”) from the holder of such Mortgage (or ground lessor, as the case may be) in the standard form used by such Mortgagee (or ground lessor, as the case may be), with such commercially reasonable changes as may be requested by Tenant and as may be agreed to by Tenant and Mortgagee; provided however, that, in any event, such SNDA shall contain the following provisions: (i) there shall be no modification or delay of Tenant’s rights in the event of a delay in the Term Commencement Date, as set forth in Section 3.3 of the Lease, and (ii) while Tenant shall be required to give the Mortgagee written notice of any alleged default of the Landlord at the same time that Tenant gives such notice to Landlord, and the Mortgagee shall have the right to cure any such default within the same time period that Landlord has to cure such default, except that, with respect to defaults of the Landlord which would permit Tenant to terminate this Lease (“</w:t>
      </w:r>
      <w:r>
        <w:rPr>
          <w:rFonts w:ascii="Arial" w:cs="Arial" w:eastAsia="Arial" w:hAnsi="Arial"/>
          <w:sz w:val="17"/>
          <w:szCs w:val="17"/>
          <w:b w:val="1"/>
          <w:bCs w:val="1"/>
          <w:color w:val="auto"/>
        </w:rPr>
        <w:t>Landlord Termination Defaults</w:t>
      </w:r>
      <w:r>
        <w:rPr>
          <w:rFonts w:ascii="Arial" w:cs="Arial" w:eastAsia="Arial" w:hAnsi="Arial"/>
          <w:sz w:val="17"/>
          <w:szCs w:val="17"/>
          <w:color w:val="auto"/>
        </w:rPr>
        <w:t>”), Mortgagee shall have such additional period of time (which shall not exceed ninety (90) days after the last day that Landlord has to cure such Landlord Termination Default) as Mortgagee reasonably requires to cure such Landlord Termination Default.</w:t>
      </w:r>
    </w:p>
    <w:p>
      <w:pPr>
        <w:spacing w:after="0" w:line="17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22.2 Notices</w:t>
      </w:r>
      <w:r>
        <w:rPr>
          <w:rFonts w:ascii="Arial" w:cs="Arial" w:eastAsia="Arial" w:hAnsi="Arial"/>
          <w:sz w:val="18"/>
          <w:szCs w:val="18"/>
          <w:color w:val="auto"/>
        </w:rPr>
        <w:t>. Tenant shall give each Mortgagee of which the Tenant is given written notice with the same notices given to Landlord concurrently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to Landlord. Each such Mortgagee shall have the concurrent grace period afforded to Landlord to cure a Landlord default (except that, with respect to any default which is the basis for Tenant to terminate the Lease, each Mortgagee shall have a commercially reasonable additional period of time to cure such default, as set forth in the Mortgagee’s SNDA with Tenant), and Mortgagee’s curing of any of Landlord’s default shall be treated as performance by Landlord.</w:t>
      </w:r>
    </w:p>
    <w:p>
      <w:pPr>
        <w:spacing w:after="0" w:line="184"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22.3 Mortgagee Consent</w:t>
      </w:r>
      <w:r>
        <w:rPr>
          <w:rFonts w:ascii="Arial" w:cs="Arial" w:eastAsia="Arial" w:hAnsi="Arial"/>
          <w:sz w:val="18"/>
          <w:szCs w:val="18"/>
          <w:color w:val="auto"/>
        </w:rPr>
        <w:t>. Tenant acknowledges that, other than any consent or approval provided under Sections 3 or 11 hereof, where applicable, any</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or approval hereafter given by Landlord may be subject to the further consent or approval of a Mortgagee; and the failure or refusal of such Mortgagee to give such consent or approval shall, notwithstanding anything to the contrary in this Lease contained, constitute reasonable justification for Landlord’s withholding its consent or approval.</w:t>
      </w:r>
    </w:p>
    <w:p>
      <w:pPr>
        <w:spacing w:after="0" w:line="18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22.4 Landlord Subordination of Lien Rights. If Tenant desires to grant a security interest in defined personal property, trade fixtures and/or business equipment of Tenant (collectively “</w:t>
      </w:r>
      <w:r>
        <w:rPr>
          <w:rFonts w:ascii="Arial" w:cs="Arial" w:eastAsia="Arial" w:hAnsi="Arial"/>
          <w:sz w:val="18"/>
          <w:szCs w:val="18"/>
          <w:b w:val="1"/>
          <w:bCs w:val="1"/>
          <w:u w:val="single" w:color="auto"/>
          <w:color w:val="auto"/>
        </w:rPr>
        <w:t>Collateral</w:t>
      </w:r>
      <w:r>
        <w:rPr>
          <w:rFonts w:ascii="Arial" w:cs="Arial" w:eastAsia="Arial" w:hAnsi="Arial"/>
          <w:sz w:val="18"/>
          <w:szCs w:val="18"/>
          <w:color w:val="auto"/>
        </w:rPr>
        <w:t>”) to a secured party, or to lease any Collateral from a lessor (any such secured party or lessor being referred to herein as “</w:t>
      </w:r>
      <w:r>
        <w:rPr>
          <w:rFonts w:ascii="Arial" w:cs="Arial" w:eastAsia="Arial" w:hAnsi="Arial"/>
          <w:sz w:val="18"/>
          <w:szCs w:val="18"/>
          <w:b w:val="1"/>
          <w:bCs w:val="1"/>
          <w:u w:val="single" w:color="auto"/>
          <w:color w:val="auto"/>
        </w:rPr>
        <w:t>Secured Party</w:t>
      </w:r>
      <w:r>
        <w:rPr>
          <w:rFonts w:ascii="Arial" w:cs="Arial" w:eastAsia="Arial" w:hAnsi="Arial"/>
          <w:sz w:val="18"/>
          <w:szCs w:val="18"/>
          <w:color w:val="auto"/>
        </w:rPr>
        <w:t>”), then Landlord shall, upon written request of Tenant, execute such commercially reasonable subordination of Landlord’s lien rights to the rights of such Secured Party, provided however, that such Secured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20"/>
          </w:cols>
          <w:pgMar w:left="240" w:top="270" w:right="239" w:bottom="1440" w:gutter="0" w:footer="0" w:header="0"/>
        </w:sectPr>
      </w:pPr>
    </w:p>
    <w:bookmarkStart w:id="397" w:name="page398"/>
    <w:bookmarkEnd w:id="397"/>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acknowledges and agrees that: (i) no auction sale shall be held in the Premises, the Building or the Property, (ii) Secured Party may only enter the Premises during the Term of the Lease, (iii) Secured Party shall give Landlord at least five (5) business days prior to exercising any right to enter the Premises, (iv) Secured Party shall, prior to making any such entry, deliver to Landlord reasonable evidence that it has obtained commercial general liability insurance, naming Landlord and Landlord’s managing agent as an additional insured party, with a single limit of not less than $2,000,000.00, (v) Secured Party shall indemnify, defend and hold Landlord and Landlord’s managing agent harmless from and against any losses, costs or damage arising from any entry by Secured Party, or its agents, employees, contractors or other invitees, and (vi) Secured Party shall repair any damage to the Premises or the Building caused by the installation or removal of the Collateral.</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QUIET ENJOYMENT.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Landlord covenants that so long as Tenant keeps and performs each and every covenant, agreement, term, provision and condition herein contained on the part and on behalf of Tenant to be kept and performed, Tenant shall peaceably and quietly hold, occupy and enjoy the Premises during the Term from and against the claims of all persons lawfully claiming by, through or under Landlord subject, nevertheless, to: (i) the covenants, agreements, terms, provisions and conditions of this Lease, (ii) any matters of record as of the Execution Date other than Mortgages, and (iii) any Mortgage to which this Lease is subject and subordinate, as hereinabove set forth.</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NOTICES.</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Any notice, consent, request, bill, demand or statement hereunder (each, a “</w:t>
      </w:r>
      <w:r>
        <w:rPr>
          <w:rFonts w:ascii="Arial" w:cs="Arial" w:eastAsia="Arial" w:hAnsi="Arial"/>
          <w:sz w:val="18"/>
          <w:szCs w:val="18"/>
          <w:b w:val="1"/>
          <w:bCs w:val="1"/>
          <w:color w:val="auto"/>
        </w:rPr>
        <w:t>Notice</w:t>
      </w:r>
      <w:r>
        <w:rPr>
          <w:rFonts w:ascii="Arial" w:cs="Arial" w:eastAsia="Arial" w:hAnsi="Arial"/>
          <w:sz w:val="18"/>
          <w:szCs w:val="18"/>
          <w:color w:val="auto"/>
        </w:rPr>
        <w:t>”) by either party to the other party shall be in writing and shall be deemed to have been duly given when either delivered by nationally recognized overnight courier (in either case with evidence of delivery or refusal thereof) addressed as follows:</w:t>
      </w:r>
    </w:p>
    <w:p>
      <w:pPr>
        <w:sectPr>
          <w:pgSz w:w="11900" w:h="16838" w:orient="portrait"/>
          <w:cols w:equalWidth="0" w:num="1">
            <w:col w:w="11320"/>
          </w:cols>
          <w:pgMar w:left="240" w:top="273" w:right="339" w:bottom="1440" w:gutter="0" w:footer="0" w:header="0"/>
        </w:sectPr>
      </w:pPr>
    </w:p>
    <w:p>
      <w:pPr>
        <w:spacing w:after="0" w:line="20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If to Landlord: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King 773 Concord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King Street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CambridgePark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Stephen D. Lynch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38" w:orient="portrait"/>
          <w:cols w:equalWidth="0" w:num="2">
            <w:col w:w="3400" w:space="720"/>
            <w:col w:w="7200"/>
          </w:cols>
          <w:pgMar w:left="240" w:top="273" w:right="339" w:bottom="1440" w:gutter="0" w:footer="0" w:header="0"/>
          <w:type w:val="continuous"/>
        </w:sectPr>
      </w:pPr>
    </w:p>
    <w:p>
      <w:pPr>
        <w:spacing w:after="0" w:line="1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Goulston &amp; Storrs PC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400 Atlantic Avenue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King Street</w:t>
      </w:r>
    </w:p>
    <w:p>
      <w:pPr>
        <w:spacing w:after="0" w:line="200" w:lineRule="exact"/>
        <w:rPr>
          <w:sz w:val="20"/>
          <w:szCs w:val="20"/>
          <w:color w:val="auto"/>
        </w:rPr>
      </w:pPr>
    </w:p>
    <w:p>
      <w:pPr>
        <w:sectPr>
          <w:pgSz w:w="11900" w:h="16838" w:orient="portrait"/>
          <w:cols w:equalWidth="0" w:num="2">
            <w:col w:w="3400" w:space="720"/>
            <w:col w:w="7200"/>
          </w:cols>
          <w:pgMar w:left="240" w:top="273" w:right="339" w:bottom="1440" w:gutter="0" w:footer="0" w:header="0"/>
          <w:type w:val="continuous"/>
        </w:sectPr>
      </w:pPr>
    </w:p>
    <w:p>
      <w:pPr>
        <w:spacing w:after="0" w:line="3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Capital One,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 Park Avenue,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Commercial Real Estate Banking</w:t>
      </w:r>
    </w:p>
    <w:p>
      <w:pPr>
        <w:spacing w:after="0" w:line="166" w:lineRule="exact"/>
        <w:rPr>
          <w:sz w:val="20"/>
          <w:szCs w:val="20"/>
          <w:color w:val="auto"/>
        </w:rPr>
      </w:pPr>
    </w:p>
    <w:p>
      <w:pPr>
        <w:sectPr>
          <w:pgSz w:w="11900" w:h="16838" w:orient="portrait"/>
          <w:cols w:equalWidth="0" w:num="2">
            <w:col w:w="3400" w:space="720"/>
            <w:col w:w="7200"/>
          </w:cols>
          <w:pgMar w:left="240" w:top="273" w:right="3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PAGE 57</w:t>
      </w:r>
    </w:p>
    <w:p>
      <w:pPr>
        <w:sectPr>
          <w:pgSz w:w="11900" w:h="16838" w:orient="portrait"/>
          <w:cols w:equalWidth="0" w:num="1">
            <w:col w:w="11320"/>
          </w:cols>
          <w:pgMar w:left="240" w:top="273" w:right="339" w:bottom="1440" w:gutter="0" w:footer="0" w:header="0"/>
          <w:type w:val="continuous"/>
        </w:sectPr>
      </w:pPr>
    </w:p>
    <w:bookmarkStart w:id="398" w:name="page399"/>
    <w:bookmarkEnd w:id="398"/>
    <w:p>
      <w:pPr>
        <w:ind w:left="940"/>
        <w:spacing w:after="0"/>
        <w:rPr>
          <w:sz w:val="20"/>
          <w:szCs w:val="20"/>
          <w:color w:val="auto"/>
        </w:rPr>
      </w:pPr>
      <w:r>
        <w:rPr>
          <w:rFonts w:ascii="Arial" w:cs="Arial" w:eastAsia="Arial" w:hAnsi="Arial"/>
          <w:sz w:val="16"/>
          <w:szCs w:val="16"/>
          <w:color w:val="auto"/>
        </w:rPr>
        <w:t>and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Morrison &amp; Foerster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-215900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250 West 55th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Jeffrey Temple, Esq</w:t>
      </w:r>
    </w:p>
    <w:p>
      <w:pPr>
        <w:spacing w:after="0" w:line="200" w:lineRule="exact"/>
        <w:rPr>
          <w:sz w:val="20"/>
          <w:szCs w:val="20"/>
          <w:color w:val="auto"/>
        </w:rPr>
      </w:pPr>
    </w:p>
    <w:p>
      <w:pPr>
        <w:sectPr>
          <w:pgSz w:w="11900" w:h="16838" w:orient="portrait"/>
          <w:cols w:equalWidth="0" w:num="2">
            <w:col w:w="3400" w:space="720"/>
            <w:col w:w="7280"/>
          </w:cols>
          <w:pgMar w:left="240" w:top="273" w:right="25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419 Western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 02135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Paul B. Bolno and Kyle Moran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0" w:lineRule="exact"/>
        <w:rPr>
          <w:sz w:val="20"/>
          <w:szCs w:val="20"/>
          <w:color w:val="auto"/>
        </w:rPr>
      </w:pPr>
    </w:p>
    <w:p>
      <w:pPr>
        <w:sectPr>
          <w:pgSz w:w="11900" w:h="16838" w:orient="portrait"/>
          <w:cols w:equalWidth="0" w:num="2">
            <w:col w:w="3400" w:space="720"/>
            <w:col w:w="7280"/>
          </w:cols>
          <w:pgMar w:left="240" w:top="273" w:right="259" w:bottom="1440" w:gutter="0" w:footer="0" w:header="0"/>
          <w:type w:val="continuous"/>
        </w:sectPr>
      </w:pPr>
    </w:p>
    <w:p>
      <w:pPr>
        <w:spacing w:after="0" w:line="2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Mintz Levin Cohn Ferris Glovsky and Popeo,P.C.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Stuart A. Offner, Esq.</w:t>
      </w:r>
    </w:p>
    <w:p>
      <w:pPr>
        <w:spacing w:after="0" w:line="200" w:lineRule="exact"/>
        <w:rPr>
          <w:sz w:val="20"/>
          <w:szCs w:val="20"/>
          <w:color w:val="auto"/>
        </w:rPr>
      </w:pPr>
    </w:p>
    <w:p>
      <w:pPr>
        <w:sectPr>
          <w:pgSz w:w="11900" w:h="16838" w:orient="portrait"/>
          <w:cols w:equalWidth="0" w:num="2">
            <w:col w:w="3400" w:space="720"/>
            <w:col w:w="7280"/>
          </w:cols>
          <w:pgMar w:left="240" w:top="273" w:right="259" w:bottom="1440" w:gutter="0" w:footer="0" w:header="0"/>
          <w:type w:val="continuous"/>
        </w:sectPr>
      </w:pPr>
    </w:p>
    <w:p>
      <w:pPr>
        <w:spacing w:after="0" w:line="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any notice from Landlord to Tenant regarding ordinary business operations (e.g., exercise of a right of access to the Premises, maintenance activities, invoices, etc.) may also be given by written notice delivered by facsimile to any person at the Premises whom Landlord reasonably believes is authorized to receive such notice on behalf of Tenant without copies as specified above. Either party may at any time change the address or specify an additional address for such Notices by delivering or mailing, as aforesaid, to the other party a notice stating the change and setting forth the changed or additional address, provided such changed or additional address is within the United States. Notices shall be effective upon the date of receipt or refusal thereof.</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MISCELLANEOUS</w:t>
      </w:r>
    </w:p>
    <w:p>
      <w:pPr>
        <w:spacing w:after="0" w:line="117"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25.1 Separability</w:t>
      </w:r>
      <w:r>
        <w:rPr>
          <w:rFonts w:ascii="Arial" w:cs="Arial" w:eastAsia="Arial" w:hAnsi="Arial"/>
          <w:sz w:val="18"/>
          <w:szCs w:val="18"/>
          <w:color w:val="auto"/>
        </w:rPr>
        <w:t>. If any provision of this Lease or portion of such provision or the application thereof to any person or circumstance is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held invalid or unenforceable, the remainder of this Lease (or the remainder of such provision) and the application thereof to other persons or circumstances shall not be affected thereby.</w:t>
      </w:r>
    </w:p>
    <w:p>
      <w:pPr>
        <w:spacing w:after="0" w:line="17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25.2 Captions</w:t>
      </w:r>
      <w:r>
        <w:rPr>
          <w:rFonts w:ascii="Arial" w:cs="Arial" w:eastAsia="Arial" w:hAnsi="Arial"/>
          <w:sz w:val="18"/>
          <w:szCs w:val="18"/>
          <w:color w:val="auto"/>
        </w:rPr>
        <w:t>. The captions are inserted only as a matter of convenience and for reference, and in no way define, limit or describe the scope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nor the intent of any provisions thereof.</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25.3 Broker</w:t>
      </w:r>
      <w:r>
        <w:rPr>
          <w:rFonts w:ascii="Arial" w:cs="Arial" w:eastAsia="Arial" w:hAnsi="Arial"/>
          <w:sz w:val="18"/>
          <w:szCs w:val="18"/>
          <w:color w:val="auto"/>
        </w:rPr>
        <w:t>. Tenant and Landlord each warrants and represents that it has dealt with no broker in connection with the consummation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Colliers International and NAI Hunneman (collectively, “</w:t>
      </w:r>
      <w:r>
        <w:rPr>
          <w:rFonts w:ascii="Arial" w:cs="Arial" w:eastAsia="Arial" w:hAnsi="Arial"/>
          <w:sz w:val="18"/>
          <w:szCs w:val="18"/>
          <w:b w:val="1"/>
          <w:bCs w:val="1"/>
          <w:u w:val="single" w:color="auto"/>
          <w:color w:val="auto"/>
        </w:rPr>
        <w:t>Broker</w:t>
      </w:r>
      <w:r>
        <w:rPr>
          <w:rFonts w:ascii="Arial" w:cs="Arial" w:eastAsia="Arial" w:hAnsi="Arial"/>
          <w:sz w:val="18"/>
          <w:szCs w:val="18"/>
          <w:color w:val="auto"/>
        </w:rPr>
        <w:t>”). Tenant and Landlord each agrees to defend, indemnify and save the other harmless from and against any Claims arising in breach of the representation and warranty set forth in the immediately preceding sentence. Landlord shall be solely responsible for the payment of any brokerage commissions to Broker.</w:t>
      </w:r>
    </w:p>
    <w:p>
      <w:pPr>
        <w:spacing w:after="0" w:line="180" w:lineRule="exact"/>
        <w:rPr>
          <w:sz w:val="20"/>
          <w:szCs w:val="20"/>
          <w:color w:val="auto"/>
        </w:rPr>
      </w:pPr>
    </w:p>
    <w:p>
      <w:pPr>
        <w:ind w:right="120" w:firstLine="456"/>
        <w:spacing w:after="0" w:line="313" w:lineRule="auto"/>
        <w:rPr>
          <w:sz w:val="20"/>
          <w:szCs w:val="20"/>
          <w:color w:val="auto"/>
        </w:rPr>
      </w:pPr>
      <w:r>
        <w:rPr>
          <w:rFonts w:ascii="Arial" w:cs="Arial" w:eastAsia="Arial" w:hAnsi="Arial"/>
          <w:sz w:val="17"/>
          <w:szCs w:val="17"/>
          <w:b w:val="1"/>
          <w:bCs w:val="1"/>
          <w:color w:val="auto"/>
        </w:rPr>
        <w:t>25.4 Entire Agreement</w:t>
      </w:r>
      <w:r>
        <w:rPr>
          <w:rFonts w:ascii="Arial" w:cs="Arial" w:eastAsia="Arial" w:hAnsi="Arial"/>
          <w:sz w:val="17"/>
          <w:szCs w:val="17"/>
          <w:color w:val="auto"/>
        </w:rPr>
        <w:t>. This Lease, Lease Summary Sheet and all Exhibits attached hereto contain the entire and only agreement between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and all statements and representations, written and oral, including previous correspondence and agreements between the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400"/>
          </w:cols>
          <w:pgMar w:left="240" w:top="273" w:right="259" w:bottom="1440" w:gutter="0" w:footer="0" w:header="0"/>
          <w:type w:val="continuous"/>
        </w:sectPr>
      </w:pPr>
    </w:p>
    <w:bookmarkStart w:id="399" w:name="page400"/>
    <w:bookmarkEnd w:id="399"/>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hereto, are merged herein. Tenant acknowledges that all representations and statements upon which it relied in executing this Lease are contained herein and that Tenant in no way relied upon any other statements or representations, written or oral. This Lease may not be modified orally or in any manner other than by written agreement signed by the parties hereto.</w:t>
      </w:r>
    </w:p>
    <w:p>
      <w:pPr>
        <w:spacing w:after="0" w:line="17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25.5 Governing Law</w:t>
      </w:r>
      <w:r>
        <w:rPr>
          <w:rFonts w:ascii="Arial" w:cs="Arial" w:eastAsia="Arial" w:hAnsi="Arial"/>
          <w:sz w:val="18"/>
          <w:szCs w:val="18"/>
          <w:color w:val="auto"/>
        </w:rPr>
        <w:t>. This Lease is made pursuant to, and shall be governed by, and construed in accordance with, the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and any applicable local municipal rules, regulations, by-laws, ordinances and the like.</w:t>
      </w:r>
    </w:p>
    <w:p>
      <w:pPr>
        <w:spacing w:after="0" w:line="162"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25.6 Representation of Authority</w:t>
      </w:r>
      <w:r>
        <w:rPr>
          <w:rFonts w:ascii="Arial" w:cs="Arial" w:eastAsia="Arial" w:hAnsi="Arial"/>
          <w:sz w:val="18"/>
          <w:szCs w:val="18"/>
          <w:color w:val="auto"/>
        </w:rPr>
        <w:t>. By his or her execution hereof, each of the signatories on behalf of the respective parties hereby warrants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to the other that he or she is duly authorized to execute this Lease on behalf of such party.</w:t>
      </w:r>
    </w:p>
    <w:p>
      <w:pPr>
        <w:spacing w:after="0" w:line="1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25.7 Expenses Incurred by Landlord Upon Tenant Requests</w:t>
      </w:r>
      <w:r>
        <w:rPr>
          <w:rFonts w:ascii="Arial" w:cs="Arial" w:eastAsia="Arial" w:hAnsi="Arial"/>
          <w:sz w:val="17"/>
          <w:szCs w:val="17"/>
          <w:color w:val="auto"/>
        </w:rPr>
        <w:t>. Tenant shall, upon demand, reimburse Landlord for all reasonable expenses,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reasonable legal fees, incurred by Landlord in connection with all requests by Tenant for consents, approvals or execution of collateral documentation related to this Lease, including, without limitation, costs incurred by Landlord in the review and approval of Tenant’s plans and specifications in connection with proposed Alterations to be made by Tenant to the Premises or in connection with requests by Tenant for Landlord’s consent to make a Transfer; provided however, that: (i) the maximum amount payable by Tenant on account of fees incurred by Landlord with respect to any request by Tenant for Landlord’s consent to a proposed Transfer shall be $1,500, except: (w) where the Transfer is a sub-sublease of any tier, and (x) where, at Tenant’s request, the parties enter into a mutually acceptable amendment to the Lease in connection with such proposed Transfer, and (ii) Tenant shall not be required to pay for the cost of Landlord’s review and approval of Tenant’s plans and specifications in connection with proposed Alterations, except in those instances where Landlord, in its reasonable business judgment, is required to engage a third-party engineer (e.g., structural or MEP) to review such plans and specifications. Such costs shall be deemed to be additional rent under this Lease.</w:t>
      </w:r>
    </w:p>
    <w:p>
      <w:pPr>
        <w:spacing w:after="0" w:line="178"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25.8 Survival. </w:t>
      </w:r>
      <w:r>
        <w:rPr>
          <w:rFonts w:ascii="Arial" w:cs="Arial" w:eastAsia="Arial" w:hAnsi="Arial"/>
          <w:sz w:val="18"/>
          <w:szCs w:val="18"/>
          <w:color w:val="auto"/>
        </w:rPr>
        <w:t>Without limiting any other obligation of either party which may survive the expiration or prior termination of the Term, all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part of either party to indemnify, defend, or hold the other party harmless, as set forth in this Lease shall survive the expiration or prior termination of the Term.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25.9 Limitation of Liability</w:t>
      </w:r>
      <w:r>
        <w:rPr>
          <w:rFonts w:ascii="Arial" w:cs="Arial" w:eastAsia="Arial" w:hAnsi="Arial"/>
          <w:sz w:val="18"/>
          <w:szCs w:val="18"/>
          <w:color w:val="auto"/>
        </w:rPr>
        <w:t>.</w:t>
      </w:r>
    </w:p>
    <w:p>
      <w:pPr>
        <w:spacing w:after="0" w:line="121" w:lineRule="exact"/>
        <w:rPr>
          <w:sz w:val="20"/>
          <w:szCs w:val="20"/>
          <w:color w:val="auto"/>
        </w:rPr>
      </w:pPr>
    </w:p>
    <w:p>
      <w:pPr>
        <w:ind w:right="40" w:firstLine="921"/>
        <w:spacing w:after="0" w:line="272" w:lineRule="auto"/>
        <w:tabs>
          <w:tab w:leader="none" w:pos="1158"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Limitations on Landlord’s Liability</w:t>
      </w:r>
      <w:r>
        <w:rPr>
          <w:rFonts w:ascii="Arial" w:cs="Arial" w:eastAsia="Arial" w:hAnsi="Arial"/>
          <w:sz w:val="17"/>
          <w:szCs w:val="17"/>
          <w:color w:val="auto"/>
        </w:rPr>
        <w:t>. Tenant shall neither assert nor seek to enforce any claim against Landlord or any of the Landlord Parties, or the assets of any of the Landlord Parties, for breach of this Lease or otherwise, other than against Landlord’s interest in the Property and in the uncollected rents, issues and profits thereof, and Tenant agrees to look solely to such interest for the satisfaction of any liability of Landlord under this Lease. This Section 25.9 shall not limit any right that Tenant might otherwise have to obtain injunctive relief against Landlord. Landlord and Tenant specifically agree that in no event shall any officer, director, trustee, employee or representative of Landlord or of any of the other Landlord Parties ever be personally liable for any obligation under this Lease, nor shall Landlord or any of the other Landlord Parties be liable for consequential, indirect or incidental damages or for lost income or lost profits whatsoever in connection with this Lease.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400"/>
          </w:cols>
          <w:pgMar w:left="240" w:top="274" w:right="259" w:bottom="1440" w:gutter="0" w:footer="0" w:header="0"/>
        </w:sectPr>
      </w:pPr>
    </w:p>
    <w:bookmarkStart w:id="400" w:name="page401"/>
    <w:bookmarkEnd w:id="400"/>
    <w:p>
      <w:pPr>
        <w:ind w:firstLine="921"/>
        <w:spacing w:after="0" w:line="257" w:lineRule="auto"/>
        <w:tabs>
          <w:tab w:leader="none" w:pos="1168"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Limitations on Tenant’s Liability</w:t>
      </w:r>
      <w:r>
        <w:rPr>
          <w:rFonts w:ascii="Arial" w:cs="Arial" w:eastAsia="Arial" w:hAnsi="Arial"/>
          <w:sz w:val="18"/>
          <w:szCs w:val="18"/>
          <w:color w:val="auto"/>
        </w:rPr>
        <w:t>. Landlord and Tenant specifically agree that in no event shall any officer, director, trustee, employee or representative of Tenant (“</w:t>
      </w:r>
      <w:r>
        <w:rPr>
          <w:rFonts w:ascii="Arial" w:cs="Arial" w:eastAsia="Arial" w:hAnsi="Arial"/>
          <w:sz w:val="18"/>
          <w:szCs w:val="18"/>
          <w:u w:val="single" w:color="auto"/>
          <w:color w:val="auto"/>
        </w:rPr>
        <w:t>Tenant Limited Parties</w:t>
      </w:r>
      <w:r>
        <w:rPr>
          <w:rFonts w:ascii="Arial" w:cs="Arial" w:eastAsia="Arial" w:hAnsi="Arial"/>
          <w:sz w:val="18"/>
          <w:szCs w:val="18"/>
          <w:color w:val="auto"/>
        </w:rPr>
        <w:t>”) ever be personally liable for any obligation under this Lease, nor shall Tenant or any of the other Tenant Limited Parties be liable for consequential, indirect or incidental damages or for lost income or lost profits whatsoever in connection with this Lease, provided however, that nothing in this Section 25.9(b) shall affect or limit any liability or obligation which Tenant has to Landlord pursuant to either Section 21.1 (Hazardous Materials) or 21.3 (Hold Over).</w:t>
      </w:r>
    </w:p>
    <w:p>
      <w:pPr>
        <w:spacing w:after="0" w:line="184"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25.10 Binding Effect</w:t>
      </w:r>
      <w:r>
        <w:rPr>
          <w:rFonts w:ascii="Arial" w:cs="Arial" w:eastAsia="Arial" w:hAnsi="Arial"/>
          <w:sz w:val="18"/>
          <w:szCs w:val="18"/>
          <w:color w:val="auto"/>
        </w:rPr>
        <w:t>. The covenants, agreements, terms, provisions and conditions of this Lease shall bind and benefit the successors and assigns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with the same effect as if mentioned in each instance where a party hereto is named or referred to, except that no violation of the provisions of Section 13 hereof shall operate to vest any rights in any successor or assignee of Tenant.</w:t>
      </w:r>
    </w:p>
    <w:p>
      <w:pPr>
        <w:spacing w:after="0" w:line="17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25.11 Landlord Obligations upon Transfer</w:t>
      </w:r>
      <w:r>
        <w:rPr>
          <w:rFonts w:ascii="Arial" w:cs="Arial" w:eastAsia="Arial" w:hAnsi="Arial"/>
          <w:sz w:val="18"/>
          <w:szCs w:val="18"/>
          <w:color w:val="auto"/>
        </w:rPr>
        <w:t>. Upon any sale, transfer or other disposition of the Property, Landlord shall be entirely freed and relieved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performance and observance thereafter of all covenants and obligations hereunder on the part of Landlord 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 except as otherwise agreed in writing.</w:t>
      </w:r>
    </w:p>
    <w:p>
      <w:pPr>
        <w:spacing w:after="0" w:line="184"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25.12 No Grant of Interest</w:t>
      </w:r>
      <w:r>
        <w:rPr>
          <w:rFonts w:ascii="Arial" w:cs="Arial" w:eastAsia="Arial" w:hAnsi="Arial"/>
          <w:sz w:val="18"/>
          <w:szCs w:val="18"/>
          <w:color w:val="auto"/>
        </w:rPr>
        <w:t>. Tenant shall not grant any interest whatsoever in any fixtures within the Premises or any item paid in whole or in part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Contribution or by Landlord.</w:t>
      </w:r>
    </w:p>
    <w:p>
      <w:pPr>
        <w:spacing w:after="0" w:line="1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25.13 Financial Information</w:t>
      </w:r>
      <w:r>
        <w:rPr>
          <w:rFonts w:ascii="Arial" w:cs="Arial" w:eastAsia="Arial" w:hAnsi="Arial"/>
          <w:sz w:val="17"/>
          <w:szCs w:val="17"/>
          <w:color w:val="auto"/>
        </w:rPr>
        <w:t>. Tenant shall deliver to Landlord, within thirty (30) days after Landlord’s reasonable request, Tenant’s most recently</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balance sheet and related statements of income, shareholder’s equity and cash flows statements (audited if available) certified by an officer of Tenant as being true and correct in all material respects (collectively “</w:t>
      </w:r>
      <w:r>
        <w:rPr>
          <w:rFonts w:ascii="Arial" w:cs="Arial" w:eastAsia="Arial" w:hAnsi="Arial"/>
          <w:sz w:val="17"/>
          <w:szCs w:val="17"/>
          <w:b w:val="1"/>
          <w:bCs w:val="1"/>
          <w:color w:val="auto"/>
        </w:rPr>
        <w:t>Tenant’s Financial Information</w:t>
      </w:r>
      <w:r>
        <w:rPr>
          <w:rFonts w:ascii="Arial" w:cs="Arial" w:eastAsia="Arial" w:hAnsi="Arial"/>
          <w:sz w:val="17"/>
          <w:szCs w:val="17"/>
          <w:color w:val="auto"/>
        </w:rPr>
        <w:t>”). Landlord shall not have the right to request that Tenant deliver Tenant’s Financial Information to Landlord more than one time in any consecutive twelve (12) month period, except that: (i) during any period of that an uncured Event of Default by Tenant exists, Tenant shall provide Tenant’s Financial Information to Landlord upon written request, and (ii) if Landlord requests that Tenant provide Tenant’s Financial Information, Landlord shall have the right, in a connection with any proposed sale or refinancing of the Property, to require Tenant to provide updated Tenant’s Financial Information to Landlord during twelve (12) month period following such request. Any such financial information may be relied upon by any actual or potential lessor, purchaser, or mortgagee of the Property or any portion thereof. Notwithstanding the foregoing, the provisions of this Section 25.13 shall have no force or effect so long as Tenant is a publicly traded company. Landlord shall not disclose Tenant’s Financial Information to any third party other than: (i) to Landlord’s lenders, investors,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420"/>
          </w:cols>
          <w:pgMar w:left="240" w:top="274" w:right="239" w:bottom="1440" w:gutter="0" w:footer="0" w:header="0"/>
        </w:sectPr>
      </w:pPr>
    </w:p>
    <w:bookmarkStart w:id="401" w:name="page402"/>
    <w:bookmarkEnd w:id="401"/>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purchasers, prospective lenders, prospective investors, and prospective purchasers, who, in all cases, are advised of the obligation to keep Tenant’s Financial Information Confidential in accordance with this Section 25.13, (ii) to Landlord’s partners, members, agents, consultants, advisors, attorneys and accountants, who, in all cases, are advised of the obligation to keep Tenant’s Financial Information Confidential in accordance with this Section 25.13, (iii) as required by Legal Requirements, order of governmental agency, court order, and (iv) in connection with any litigation between the parties.</w:t>
      </w:r>
    </w:p>
    <w:p>
      <w:pPr>
        <w:spacing w:after="0" w:line="16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25.14 OFAC Certificate</w:t>
      </w:r>
      <w:r>
        <w:rPr>
          <w:rFonts w:ascii="Arial" w:cs="Arial" w:eastAsia="Arial" w:hAnsi="Arial"/>
          <w:sz w:val="18"/>
          <w:szCs w:val="18"/>
          <w:color w:val="auto"/>
        </w:rPr>
        <w:t>. Executive Order No. 13224 on Terrorist Financing, effective September 24, 2001 (the “</w:t>
      </w:r>
      <w:r>
        <w:rPr>
          <w:rFonts w:ascii="Arial" w:cs="Arial" w:eastAsia="Arial" w:hAnsi="Arial"/>
          <w:sz w:val="18"/>
          <w:szCs w:val="18"/>
          <w:b w:val="1"/>
          <w:bCs w:val="1"/>
          <w:u w:val="single" w:color="auto"/>
          <w:color w:val="auto"/>
        </w:rPr>
        <w:t>Executive Order</w:t>
      </w:r>
      <w:r>
        <w:rPr>
          <w:rFonts w:ascii="Arial" w:cs="Arial" w:eastAsia="Arial" w:hAnsi="Arial"/>
          <w:sz w:val="18"/>
          <w:szCs w:val="18"/>
          <w:color w:val="auto"/>
        </w:rPr>
        <w:t>), and the Uniting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Strengthening America by Providing Appropriate Tools Required to Intercept and Obstruct Terrorism Act of 2001 (Public Law 10756, the “</w:t>
      </w:r>
      <w:r>
        <w:rPr>
          <w:rFonts w:ascii="Arial" w:cs="Arial" w:eastAsia="Arial" w:hAnsi="Arial"/>
          <w:sz w:val="18"/>
          <w:szCs w:val="18"/>
          <w:b w:val="1"/>
          <w:bCs w:val="1"/>
          <w:u w:val="single" w:color="auto"/>
          <w:color w:val="auto"/>
        </w:rPr>
        <w:t>Patriot Act</w:t>
      </w:r>
      <w:r>
        <w:rPr>
          <w:rFonts w:ascii="Arial" w:cs="Arial" w:eastAsia="Arial" w:hAnsi="Arial"/>
          <w:sz w:val="18"/>
          <w:szCs w:val="18"/>
          <w:color w:val="auto"/>
        </w:rPr>
        <w:t>”) prohibit certain property transfers.</w:t>
      </w:r>
    </w:p>
    <w:p>
      <w:pPr>
        <w:spacing w:after="0" w:line="180" w:lineRule="exact"/>
        <w:rPr>
          <w:sz w:val="20"/>
          <w:szCs w:val="20"/>
          <w:color w:val="auto"/>
        </w:rPr>
      </w:pPr>
    </w:p>
    <w:p>
      <w:pPr>
        <w:ind w:right="80" w:firstLine="464"/>
        <w:spacing w:after="0" w:line="290" w:lineRule="auto"/>
        <w:tabs>
          <w:tab w:leader="none" w:pos="701"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Tenant Obligations</w:t>
      </w:r>
      <w:r>
        <w:rPr>
          <w:rFonts w:ascii="Arial" w:cs="Arial" w:eastAsia="Arial" w:hAnsi="Arial"/>
          <w:sz w:val="16"/>
          <w:szCs w:val="16"/>
          <w:color w:val="auto"/>
        </w:rPr>
        <w:t>. Tenant hereby represents and warrants to Landlord (which representations and warranties shall be deemed to be continuing and re-made at all times during the Term) that Tenant is not in violation of the Executive Order, and that Tenant is not listed on the United States Department of the Treasury Office of Foreign Assets Control (“</w:t>
      </w: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list of “Specially Designated Nationals and Blocked Persons” as modified from time to time. The most current list of “Specially Designated Nationals and Blocked Persons” can be found at http://www.treas.gov/offices/eotffc/ofacisdn/index.html. Tenant shall from time to time, within ten days after request by Landlord, deliver to Landlord any certification or other evidence requested from time to time by Landlord in its reasonable discretion, confirming Tenant’s compliance with these provisions. No assignment or subletting, other than an assignment to an Affiliated Entity or Successor, shall be effective unless and until the assignee or subtenant thereunder delivers to Landlord written confirmation of such party’s compliance with the provisions of this subsection, in form and content satisfactory to Landlord.</w:t>
      </w:r>
    </w:p>
    <w:p>
      <w:pPr>
        <w:spacing w:after="0" w:line="166" w:lineRule="exact"/>
        <w:rPr>
          <w:rFonts w:ascii="Arial" w:cs="Arial" w:eastAsia="Arial" w:hAnsi="Arial"/>
          <w:sz w:val="16"/>
          <w:szCs w:val="16"/>
          <w:color w:val="auto"/>
        </w:rPr>
      </w:pPr>
    </w:p>
    <w:p>
      <w:pPr>
        <w:ind w:right="220" w:firstLine="464"/>
        <w:spacing w:after="0" w:line="257" w:lineRule="auto"/>
        <w:tabs>
          <w:tab w:leader="none" w:pos="711"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Landlord Obligations</w:t>
      </w:r>
      <w:r>
        <w:rPr>
          <w:rFonts w:ascii="Arial" w:cs="Arial" w:eastAsia="Arial" w:hAnsi="Arial"/>
          <w:sz w:val="18"/>
          <w:szCs w:val="18"/>
          <w:color w:val="auto"/>
        </w:rPr>
        <w:t>. Landlord hereby represents and warrants to Tenant (which representations and warranties shall be deemed to be continuing and re-made at all times during the Term) that Landlord is not in violation of the Executive Order, and that Landlord is not listed on the OFAC list of “Specially Designated Nationals and Blocked Persons” as modified from time to time. Landlord shall from time to time, within ten days after request by Tenant, deliver to Tenant any certification or other evidence requested from time to time by Tenant in its reasonable discretion, confirming Landlord’s compliance with these provisions.</w:t>
      </w:r>
    </w:p>
    <w:p>
      <w:pPr>
        <w:spacing w:after="0" w:line="18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25.15 Confidential Information</w:t>
      </w:r>
      <w:r>
        <w:rPr>
          <w:rFonts w:ascii="Arial" w:cs="Arial" w:eastAsia="Arial" w:hAnsi="Arial"/>
          <w:sz w:val="17"/>
          <w:szCs w:val="17"/>
          <w:color w:val="auto"/>
        </w:rPr>
        <w:t>. Either Landlord or Tenant, or their respective representatives, may disclose (“</w:t>
      </w:r>
      <w:r>
        <w:rPr>
          <w:rFonts w:ascii="Arial" w:cs="Arial" w:eastAsia="Arial" w:hAnsi="Arial"/>
          <w:sz w:val="17"/>
          <w:szCs w:val="17"/>
          <w:b w:val="1"/>
          <w:bCs w:val="1"/>
          <w:color w:val="auto"/>
        </w:rPr>
        <w:t>Disclosing Party</w:t>
      </w:r>
      <w:r>
        <w:rPr>
          <w:rFonts w:ascii="Arial" w:cs="Arial" w:eastAsia="Arial" w:hAnsi="Arial"/>
          <w:sz w:val="17"/>
          <w:szCs w:val="17"/>
          <w:color w:val="auto"/>
        </w:rPr>
        <w:t>”) to the other party or</w:t>
      </w:r>
      <w:r>
        <w:rPr>
          <w:rFonts w:ascii="Arial" w:cs="Arial" w:eastAsia="Arial" w:hAnsi="Arial"/>
          <w:sz w:val="17"/>
          <w:szCs w:val="17"/>
          <w:b w:val="1"/>
          <w:bCs w:val="1"/>
          <w:color w:val="auto"/>
        </w:rPr>
        <w:t xml:space="preserve"> </w:t>
      </w:r>
      <w:r>
        <w:rPr>
          <w:rFonts w:ascii="Arial" w:cs="Arial" w:eastAsia="Arial" w:hAnsi="Arial"/>
          <w:sz w:val="17"/>
          <w:szCs w:val="17"/>
          <w:color w:val="auto"/>
        </w:rPr>
        <w:t>its representatives (“</w:t>
      </w:r>
      <w:r>
        <w:rPr>
          <w:rFonts w:ascii="Arial" w:cs="Arial" w:eastAsia="Arial" w:hAnsi="Arial"/>
          <w:sz w:val="17"/>
          <w:szCs w:val="17"/>
          <w:b w:val="1"/>
          <w:bCs w:val="1"/>
          <w:color w:val="auto"/>
        </w:rPr>
        <w:t>Receiving Party</w:t>
      </w:r>
      <w:r>
        <w:rPr>
          <w:rFonts w:ascii="Arial" w:cs="Arial" w:eastAsia="Arial" w:hAnsi="Arial"/>
          <w:sz w:val="17"/>
          <w:szCs w:val="17"/>
          <w:color w:val="auto"/>
        </w:rPr>
        <w:t>”), orally or in writing, or Landlord or Tenant (or their respective representatives) may otherwise obtain, through observation or otherwise, Confidential Information of Disclosing Party. The Receiving Party must, and must cause its representatives to: (i) protect all such Confidential Information from disclosure except as expressly permitted hereunder; (ii) only disclose such Confidential Information to those employees, independent contractors, agents, advisors, directors and officers of the Receiving Party to the extent necessary or required for performance of obligations hereunder, and Landlord shall have the right to disclose such Confidential Information to its actual and prospective lenders, investors and purchasers, and Tenant shall have the right to disclose such Confidential Information to any prospective party to a Transfer, provided that, prior to any such disclosure, the Receiving Party has secured written commitments from the aforementioned persons or entities evidencing their agreement to comply with the confidentiality requirements of this Lease.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420"/>
          </w:cols>
          <w:pgMar w:left="240" w:top="274" w:right="239" w:bottom="1440" w:gutter="0" w:footer="0" w:header="0"/>
        </w:sectPr>
      </w:pPr>
    </w:p>
    <w:bookmarkStart w:id="402" w:name="page403"/>
    <w:bookmarkEnd w:id="402"/>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 shall mean any and all information and materials disclosed by or on behalf of the Disclosing Party, any affiliate of the Disclosing Party or any of their respective representatives to the Disclosing Party or any of the Disclosing Party’s representatives to the extent that the same is marked or otherwise identified as confidential or proprietary information, or otherwise contained on WaVe Life Sciences letterhead. Additionally, Confidential Information shall include this Lease, and all documents and/or correspondence issued and/or delivered in connection with this Lease. Without limiting the foregoing (1) each party’s trade secrets, existing and future products or service offerings, designs, business plans, business opportunities, finances, research, development, know-how, and other business, operational or technical information shall be deemed the Confidential Information of that party to the extent that such information satisfies the conditions the immediately preceding sentence. As between Landlord and Tenant, except as provided otherwise in this Lease, each party’s respective Confidential Information will remain such party’s sole and exclusive property. To the extent third parties disclose to Landlord or Tenant the Confidential Information of the other party or its affiliates, the obligations set forth in this Section shall apply to the same extent as if the other party had disclosed such information directly to the Receiving Party.</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obligations set forth in this Section shall not apply to any portion of Confidential Information which is or later becomes generally available to the public by use, publication or the like, through no act or omission of the Receiving Party. In the event a Receiving Party becomes legally compelled to disclose any Confidential Information of the other party, it shall promptly provide the Disclosing Party with notice thereof prior to any disclosure, shall use its best efforts to minimize the disclosure of any Confidential Information, and shall cooperate with the Disclosing Party, in such manner as the Disclosing Party shall reasonably request, provided that the Receiving Party shall, in making such efforts and cooperating with the Disclosing Party, be entitled to reimbursement from the Disclosing Party within ten (10) days following its written demand, for any out-of-pocket costs incurred by the Receiving Party in connection with such efforts and cooperation. The Receiving Party shall be permitted to disclose Confidential Information when legally compelled to do so, or in connection with any litigation or alternative dispute resolution proceedings between Landlord and Tenant, unless the Disclosing Party has obtained a protective order or other appropriate remedy prohibiting such disclosure prior to the time that the Receiving Party is compelled, or permitted to do so (i.e., in connection with litigation or alternative dispute resolution, as aforesaid). The obligations under this Section shall survive the expiration of the Term or any earlier termination of this Agreement.</w:t>
      </w:r>
    </w:p>
    <w:p>
      <w:pPr>
        <w:spacing w:after="0" w:line="179"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25.16 Notice of Lease</w:t>
      </w:r>
      <w:r>
        <w:rPr>
          <w:rFonts w:ascii="Arial" w:cs="Arial" w:eastAsia="Arial" w:hAnsi="Arial"/>
          <w:sz w:val="17"/>
          <w:szCs w:val="17"/>
          <w:color w:val="auto"/>
        </w:rPr>
        <w:t>. Neither party shall record this Lease, but each of the parties hereto agrees, at Tenant’s option, to join in the execution, in</w:t>
      </w:r>
      <w:r>
        <w:rPr>
          <w:rFonts w:ascii="Arial" w:cs="Arial" w:eastAsia="Arial" w:hAnsi="Arial"/>
          <w:sz w:val="17"/>
          <w:szCs w:val="17"/>
          <w:b w:val="1"/>
          <w:bCs w:val="1"/>
          <w:color w:val="auto"/>
        </w:rPr>
        <w:t xml:space="preserve"> </w:t>
      </w:r>
      <w:r>
        <w:rPr>
          <w:rFonts w:ascii="Arial" w:cs="Arial" w:eastAsia="Arial" w:hAnsi="Arial"/>
          <w:sz w:val="17"/>
          <w:szCs w:val="17"/>
          <w:color w:val="auto"/>
        </w:rPr>
        <w:t>recordable form and substantially similar to the form attached hereto as Exhibit 10, of a statutory notice of lease and/or written declaration in which shall be stated the Term Commencement Date with respect to the Term, the length of the Extension Term and the Expiration Date, which notice of lease may be recorded by Tenant with the Middlesex South Registry of Deeds and/or filed with the Registry District of the Land Court, as appropriate.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400"/>
          </w:cols>
          <w:pgMar w:left="240" w:top="273" w:right="259" w:bottom="1440" w:gutter="0" w:footer="0" w:header="0"/>
        </w:sectPr>
      </w:pPr>
    </w:p>
    <w:bookmarkStart w:id="403" w:name="page404"/>
    <w:bookmarkEnd w:id="403"/>
    <w:p>
      <w:pPr>
        <w:ind w:firstLine="456"/>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25.17 Publicity</w:t>
      </w:r>
      <w:r>
        <w:rPr>
          <w:rFonts w:ascii="Arial" w:cs="Arial" w:eastAsia="Arial" w:hAnsi="Arial"/>
          <w:sz w:val="17"/>
          <w:szCs w:val="17"/>
          <w:color w:val="auto"/>
        </w:rPr>
        <w:t>. Except for the purposes of performance hereunder, without Tenant’s prior written consent, which may be withheld at Tenant’s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Landlord and its representatives shall not use (including without limitation use in any publicity, advertising, media release, public announcement or other public disclosure) (i) any name, acronym, symbol or other designation by which Tenant or its affiliates or any of their respective human therapeutics, products or other materials is known or (ii) the names of any agent or employee of Tenant or its affiliates (each a “Prohibited Use). Landlord shall notify Tenant in each event of a Prohibited Use promptly after Landlord becomes aware of the same, and, at Landlord’s sole cost and expense, without limiting Tenant’s rights and remedies hereunder, Landlord shall, and shall cause its Representatives, to immediately cease and desist each such Prohibited Use and take such other actions as reasonably requested by Tenant.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 ON FOLLOWING PAGE]</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340"/>
          </w:cols>
          <w:pgMar w:left="240" w:top="269" w:right="319" w:bottom="1440" w:gutter="0" w:footer="0" w:header="0"/>
        </w:sectPr>
      </w:pPr>
    </w:p>
    <w:bookmarkStart w:id="404" w:name="page405"/>
    <w:bookmarkEnd w:id="40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Lease as a sealed instrument as of the Execution Date.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KING 733 CONCORD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KING STREET PROPERTIES INVESTMENTS, LLC, its Manager</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/s/ Thomas Ragno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171513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0" w:lineRule="exact"/>
        <w:rPr>
          <w:sz w:val="20"/>
          <w:szCs w:val="20"/>
          <w:color w:val="auto"/>
        </w:rPr>
      </w:pPr>
    </w:p>
    <w:p>
      <w:pPr>
        <w:ind w:left="1980"/>
        <w:spacing w:after="0"/>
        <w:tabs>
          <w:tab w:leader="none" w:pos="2620" w:val="left"/>
        </w:tabs>
        <w:rPr>
          <w:sz w:val="20"/>
          <w:szCs w:val="20"/>
          <w:color w:val="auto"/>
        </w:rPr>
      </w:pPr>
      <w:r>
        <w:rPr>
          <w:rFonts w:ascii="Arial" w:cs="Arial" w:eastAsia="Arial" w:hAnsi="Arial"/>
          <w:sz w:val="18"/>
          <w:szCs w:val="18"/>
          <w:color w:val="auto"/>
        </w:rPr>
        <w:t>Name:</w:t>
        <w:tab/>
        <w:t>Thomas Ragno</w:t>
      </w:r>
    </w:p>
    <w:p>
      <w:pPr>
        <w:spacing w:after="0" w:line="9" w:lineRule="exact"/>
        <w:rPr>
          <w:sz w:val="20"/>
          <w:szCs w:val="20"/>
          <w:color w:val="auto"/>
        </w:rPr>
      </w:pPr>
    </w:p>
    <w:p>
      <w:pPr>
        <w:ind w:left="1980"/>
        <w:spacing w:after="0"/>
        <w:tabs>
          <w:tab w:leader="none" w:pos="2540" w:val="left"/>
        </w:tabs>
        <w:rPr>
          <w:sz w:val="20"/>
          <w:szCs w:val="20"/>
          <w:color w:val="auto"/>
        </w:rPr>
      </w:pPr>
      <w:r>
        <w:rPr>
          <w:rFonts w:ascii="Arial" w:cs="Arial" w:eastAsia="Arial" w:hAnsi="Arial"/>
          <w:sz w:val="18"/>
          <w:szCs w:val="18"/>
          <w:color w:val="auto"/>
        </w:rPr>
        <w:t>Title:</w:t>
        <w:tab/>
        <w:t>A Manager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WAVE LIFE SCIFNCES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14605</wp:posOffset>
            </wp:positionV>
            <wp:extent cx="22555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405" w:name="page406"/>
    <w:bookmarkEnd w:id="40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LEASE PLAN OF FIRST FLOOR PREMISES—FIRST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176530</wp:posOffset>
            </wp:positionV>
            <wp:extent cx="5582920" cy="316420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58292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1A, PAGE 1</w:t>
      </w:r>
    </w:p>
    <w:p>
      <w:pPr>
        <w:sectPr>
          <w:pgSz w:w="11900" w:h="16838" w:orient="portrait"/>
          <w:cols w:equalWidth="0" w:num="1">
            <w:col w:w="9019"/>
          </w:cols>
          <w:pgMar w:left="1440" w:top="274" w:right="1440" w:bottom="1440" w:gutter="0" w:footer="0" w:header="0"/>
        </w:sectPr>
      </w:pPr>
    </w:p>
    <w:bookmarkStart w:id="406" w:name="page407"/>
    <w:bookmarkEnd w:id="40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LEASE PLAN OF MEZZANINE PREMISES—MEZZANINE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176530</wp:posOffset>
            </wp:positionV>
            <wp:extent cx="3559175" cy="13633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55917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1B, PAGE 1</w:t>
      </w:r>
    </w:p>
    <w:p>
      <w:pPr>
        <w:sectPr>
          <w:pgSz w:w="11900" w:h="16838" w:orient="portrait"/>
          <w:cols w:equalWidth="0" w:num="1">
            <w:col w:w="9019"/>
          </w:cols>
          <w:pgMar w:left="1440" w:top="274" w:right="1440" w:bottom="1440" w:gutter="0" w:footer="0" w:header="0"/>
        </w:sectPr>
      </w:pPr>
    </w:p>
    <w:bookmarkStart w:id="407" w:name="page408"/>
    <w:bookmarkEnd w:id="40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ROOFTOP PREMISES EXHIBIT 1B—ROOF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176530</wp:posOffset>
            </wp:positionV>
            <wp:extent cx="5419725" cy="40392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41972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1C, PAGE 1</w:t>
      </w:r>
    </w:p>
    <w:p>
      <w:pPr>
        <w:sectPr>
          <w:pgSz w:w="11900" w:h="16838" w:orient="portrait"/>
          <w:cols w:equalWidth="0" w:num="1">
            <w:col w:w="9019"/>
          </w:cols>
          <w:pgMar w:left="1440" w:top="273" w:right="1440" w:bottom="1440" w:gutter="0" w:footer="0" w:header="0"/>
        </w:sectPr>
      </w:pPr>
    </w:p>
    <w:bookmarkStart w:id="408" w:name="page409"/>
    <w:bookmarkEnd w:id="408"/>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LEGAL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land at 733 Concord Street, Cambridge, Middlesex County, Massachusetts, consisting of two parcels of land: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PARCEL 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Being shown as Lot 7 on Land Court Plan No. 7191U, dated December 3, 1952, a copy of which is filed with the Middlesex South District Registry of the Land Court with Certificate of Title No. 77364.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PARCEL 2:</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Being shown as Lot 25 and Lot 29 on Land Court Plan No. 7191-3, dated July 22, 1960, a copy of which is filed with the Middlesex South District Registry of the Land Court with Certificate of Title No. 102747.</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TOGETHER with the benefit of rights set forth in a Deed from Jean D. Balkin, dated January 31, 1949, filed with said Registry District as Document No. 227978.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right to use the whole of Smith Place shown on said plan in common with others entitled thereto, as to Lots 7 and 29.</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TOGETHER with the right to use Lots 10, 11 and 12 shown on a plan filed in Registration Book 516, Page 481, in common with others having like rights therein, said right as appurtenant to Lot 25, being set forth in a Deed from Julia T. Corkery, dated December 28, 1954, filed with said Registry District as Document No. 289672, as to Lot 25.</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TOGETHER with the benefit of the right to use the “Way” shown as Lot 26 on a plan filed in Registration Book 643, Page 197, as set forth in a Deed from Haskell Cohn, et als, dated October 10, 1960, filed with said Registry District as Document No. 360534, as to Lot 25.</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Being the same premises conveyed to King 733 Concord LLC by Quitclaim Deed dated May 11, 2011, filed with said Registry District as Document No. 1566113 and noted on Certificate of Title No. 248720, Book 1399, Page 99.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2, PAGE 1</w:t>
      </w:r>
    </w:p>
    <w:p>
      <w:pPr>
        <w:sectPr>
          <w:pgSz w:w="11900" w:h="16838" w:orient="portrait"/>
          <w:cols w:equalWidth="0" w:num="1">
            <w:col w:w="11240"/>
          </w:cols>
          <w:pgMar w:left="240" w:top="273" w:right="419" w:bottom="1440" w:gutter="0" w:footer="0" w:header="0"/>
        </w:sectPr>
      </w:pPr>
    </w:p>
    <w:bookmarkStart w:id="409" w:name="page410"/>
    <w:bookmarkEnd w:id="40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right="400" w:firstLine="456"/>
        <w:spacing w:after="0" w:line="289" w:lineRule="auto"/>
        <w:rPr>
          <w:sz w:val="20"/>
          <w:szCs w:val="20"/>
          <w:color w:val="auto"/>
        </w:rPr>
      </w:pPr>
      <w:r>
        <w:rPr>
          <w:rFonts w:ascii="Arial" w:cs="Arial" w:eastAsia="Arial" w:hAnsi="Arial"/>
          <w:sz w:val="17"/>
          <w:szCs w:val="17"/>
          <w:color w:val="auto"/>
        </w:rPr>
        <w:t>This Exhibit is attached to and made a part of the Lease (the “</w:t>
      </w:r>
      <w:r>
        <w:rPr>
          <w:rFonts w:ascii="Arial" w:cs="Arial" w:eastAsia="Arial" w:hAnsi="Arial"/>
          <w:sz w:val="17"/>
          <w:szCs w:val="17"/>
          <w:b w:val="1"/>
          <w:bCs w:val="1"/>
          <w:color w:val="auto"/>
        </w:rPr>
        <w:t>Lease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KING 773 CONCORD,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WAVE LIFE SCIENCES USA,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 for space located at 733 Concord Avenue, Cambridge, Massachusetts. Capitalized terms used but not defined herein shall have the meanings given in the Lease.</w:t>
      </w:r>
    </w:p>
    <w:p>
      <w:pPr>
        <w:spacing w:after="0" w:line="162" w:lineRule="exact"/>
        <w:rPr>
          <w:sz w:val="20"/>
          <w:szCs w:val="20"/>
          <w:color w:val="auto"/>
        </w:rPr>
      </w:pPr>
    </w:p>
    <w:p>
      <w:pPr>
        <w:ind w:left="640" w:hanging="176"/>
        <w:spacing w:after="0"/>
        <w:tabs>
          <w:tab w:leader="none" w:pos="64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This Work Letter shall set forth the obligations of Landlord and Tenant with respect to the improvements to be performed in the</w:t>
      </w:r>
    </w:p>
    <w:p>
      <w:pPr>
        <w:spacing w:after="0" w:line="34" w:lineRule="exact"/>
        <w:rPr>
          <w:rFonts w:ascii="Arial" w:cs="Arial" w:eastAsia="Arial" w:hAnsi="Arial"/>
          <w:sz w:val="17"/>
          <w:szCs w:val="17"/>
          <w:color w:val="auto"/>
        </w:rPr>
      </w:pPr>
    </w:p>
    <w:p>
      <w:pPr>
        <w:ind w:right="80"/>
        <w:spacing w:after="0" w:line="295" w:lineRule="auto"/>
        <w:rPr>
          <w:rFonts w:ascii="Arial" w:cs="Arial" w:eastAsia="Arial" w:hAnsi="Arial"/>
          <w:sz w:val="17"/>
          <w:szCs w:val="17"/>
          <w:color w:val="auto"/>
        </w:rPr>
      </w:pPr>
      <w:r>
        <w:rPr>
          <w:rFonts w:ascii="Arial" w:cs="Arial" w:eastAsia="Arial" w:hAnsi="Arial"/>
          <w:sz w:val="16"/>
          <w:szCs w:val="16"/>
          <w:color w:val="auto"/>
        </w:rPr>
        <w:t>Premises for Tenant’s use. For the purposes of this Lease, “</w:t>
      </w:r>
      <w:r>
        <w:rPr>
          <w:rFonts w:ascii="Arial" w:cs="Arial" w:eastAsia="Arial" w:hAnsi="Arial"/>
          <w:sz w:val="16"/>
          <w:szCs w:val="16"/>
          <w:b w:val="1"/>
          <w:bCs w:val="1"/>
          <w:color w:val="auto"/>
        </w:rPr>
        <w:t>Landlord Work</w:t>
      </w:r>
      <w:r>
        <w:rPr>
          <w:rFonts w:ascii="Arial" w:cs="Arial" w:eastAsia="Arial" w:hAnsi="Arial"/>
          <w:sz w:val="16"/>
          <w:szCs w:val="16"/>
          <w:color w:val="auto"/>
        </w:rPr>
        <w:t xml:space="preserve">” consists of: (i) the Base Building Work described on </w:t>
      </w:r>
      <w:r>
        <w:rPr>
          <w:rFonts w:ascii="Arial" w:cs="Arial" w:eastAsia="Arial" w:hAnsi="Arial"/>
          <w:sz w:val="16"/>
          <w:szCs w:val="16"/>
          <w:u w:val="single" w:color="auto"/>
          <w:color w:val="auto"/>
        </w:rPr>
        <w:t>Exhibit 3-1</w:t>
      </w:r>
      <w:r>
        <w:rPr>
          <w:rFonts w:ascii="Arial" w:cs="Arial" w:eastAsia="Arial" w:hAnsi="Arial"/>
          <w:sz w:val="16"/>
          <w:szCs w:val="16"/>
          <w:color w:val="auto"/>
        </w:rPr>
        <w:t xml:space="preserve">, (ii) the Tenant Improvement Work, described on </w:t>
      </w:r>
      <w:r>
        <w:rPr>
          <w:rFonts w:ascii="Arial" w:cs="Arial" w:eastAsia="Arial" w:hAnsi="Arial"/>
          <w:sz w:val="16"/>
          <w:szCs w:val="16"/>
          <w:u w:val="single" w:color="auto"/>
          <w:color w:val="auto"/>
        </w:rPr>
        <w:t>Exhibit 3-2</w:t>
      </w:r>
      <w:r>
        <w:rPr>
          <w:rFonts w:ascii="Arial" w:cs="Arial" w:eastAsia="Arial" w:hAnsi="Arial"/>
          <w:sz w:val="16"/>
          <w:szCs w:val="16"/>
          <w:color w:val="auto"/>
        </w:rPr>
        <w:t>, (iii) the equipment list (“</w:t>
      </w:r>
      <w:r>
        <w:rPr>
          <w:rFonts w:ascii="Arial" w:cs="Arial" w:eastAsia="Arial" w:hAnsi="Arial"/>
          <w:sz w:val="16"/>
          <w:szCs w:val="16"/>
          <w:b w:val="1"/>
          <w:bCs w:val="1"/>
          <w:color w:val="auto"/>
        </w:rPr>
        <w:t>Equipment List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3-3</w:t>
      </w:r>
      <w:r>
        <w:rPr>
          <w:rFonts w:ascii="Arial" w:cs="Arial" w:eastAsia="Arial" w:hAnsi="Arial"/>
          <w:sz w:val="16"/>
          <w:szCs w:val="16"/>
          <w:color w:val="auto"/>
        </w:rPr>
        <w:t xml:space="preserve">, and (iv) the responsibilities of Landlord as set forth in the Landlord/Tenant Responsibility Matrix attached hereto as </w:t>
      </w:r>
      <w:r>
        <w:rPr>
          <w:rFonts w:ascii="Arial" w:cs="Arial" w:eastAsia="Arial" w:hAnsi="Arial"/>
          <w:sz w:val="16"/>
          <w:szCs w:val="16"/>
          <w:u w:val="single" w:color="auto"/>
          <w:color w:val="auto"/>
        </w:rPr>
        <w:t>Exhibit 3-4</w:t>
      </w:r>
      <w:r>
        <w:rPr>
          <w:rFonts w:ascii="Arial" w:cs="Arial" w:eastAsia="Arial" w:hAnsi="Arial"/>
          <w:sz w:val="16"/>
          <w:szCs w:val="16"/>
          <w:color w:val="auto"/>
        </w:rPr>
        <w:t xml:space="preserve">. In the event of any conflict between </w:t>
      </w:r>
      <w:r>
        <w:rPr>
          <w:rFonts w:ascii="Arial" w:cs="Arial" w:eastAsia="Arial" w:hAnsi="Arial"/>
          <w:sz w:val="16"/>
          <w:szCs w:val="16"/>
          <w:u w:val="single" w:color="auto"/>
          <w:color w:val="auto"/>
        </w:rPr>
        <w:t>Exhibit 3-4</w:t>
      </w:r>
      <w:r>
        <w:rPr>
          <w:rFonts w:ascii="Arial" w:cs="Arial" w:eastAsia="Arial" w:hAnsi="Arial"/>
          <w:sz w:val="16"/>
          <w:szCs w:val="16"/>
          <w:color w:val="auto"/>
        </w:rPr>
        <w:t xml:space="preserve"> and either </w:t>
      </w:r>
      <w:r>
        <w:rPr>
          <w:rFonts w:ascii="Arial" w:cs="Arial" w:eastAsia="Arial" w:hAnsi="Arial"/>
          <w:sz w:val="16"/>
          <w:szCs w:val="16"/>
          <w:u w:val="single" w:color="auto"/>
          <w:color w:val="auto"/>
        </w:rPr>
        <w:t>Exhibit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3-4</w:t>
      </w:r>
      <w:r>
        <w:rPr>
          <w:rFonts w:ascii="Arial" w:cs="Arial" w:eastAsia="Arial" w:hAnsi="Arial"/>
          <w:sz w:val="16"/>
          <w:szCs w:val="16"/>
          <w:color w:val="auto"/>
        </w:rPr>
        <w:t xml:space="preserve"> shall control. Landlord shall select the contractor (“</w:t>
      </w:r>
      <w:r>
        <w:rPr>
          <w:rFonts w:ascii="Arial" w:cs="Arial" w:eastAsia="Arial" w:hAnsi="Arial"/>
          <w:sz w:val="16"/>
          <w:szCs w:val="16"/>
          <w:b w:val="1"/>
          <w:bCs w:val="1"/>
          <w:color w:val="auto"/>
        </w:rPr>
        <w:t>Contractor</w:t>
      </w:r>
      <w:r>
        <w:rPr>
          <w:rFonts w:ascii="Arial" w:cs="Arial" w:eastAsia="Arial" w:hAnsi="Arial"/>
          <w:sz w:val="16"/>
          <w:szCs w:val="16"/>
          <w:color w:val="auto"/>
        </w:rPr>
        <w:t>”) who will perform the Landlord Work.</w:t>
      </w:r>
    </w:p>
    <w:p>
      <w:pPr>
        <w:spacing w:after="0" w:line="161" w:lineRule="exact"/>
        <w:rPr>
          <w:rFonts w:ascii="Arial" w:cs="Arial" w:eastAsia="Arial" w:hAnsi="Arial"/>
          <w:sz w:val="17"/>
          <w:szCs w:val="17"/>
          <w:color w:val="auto"/>
        </w:rPr>
      </w:pPr>
    </w:p>
    <w:p>
      <w:pPr>
        <w:ind w:right="20" w:firstLine="464"/>
        <w:spacing w:after="0" w:line="291" w:lineRule="auto"/>
        <w:tabs>
          <w:tab w:leader="none" w:pos="636"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Cost of Landlord Work</w:t>
      </w:r>
      <w:r>
        <w:rPr>
          <w:rFonts w:ascii="Arial" w:cs="Arial" w:eastAsia="Arial" w:hAnsi="Arial"/>
          <w:sz w:val="16"/>
          <w:szCs w:val="16"/>
          <w:color w:val="auto"/>
        </w:rPr>
        <w:t>. The Landlord Work shall be performed at Landlord’s sole cost and expense, except that Tenant shall be responsible for any costs (“</w:t>
      </w:r>
      <w:r>
        <w:rPr>
          <w:rFonts w:ascii="Arial" w:cs="Arial" w:eastAsia="Arial" w:hAnsi="Arial"/>
          <w:sz w:val="16"/>
          <w:szCs w:val="16"/>
          <w:b w:val="1"/>
          <w:bCs w:val="1"/>
          <w:color w:val="auto"/>
        </w:rPr>
        <w:t>Tenant Costs</w:t>
      </w:r>
      <w:r>
        <w:rPr>
          <w:rFonts w:ascii="Arial" w:cs="Arial" w:eastAsia="Arial" w:hAnsi="Arial"/>
          <w:sz w:val="16"/>
          <w:szCs w:val="16"/>
          <w:color w:val="auto"/>
        </w:rPr>
        <w:t>”) in performing the Landlord Work to the extent arising from: (i) Tenant Delays, as hereinafter defined, (ii) with respect to any Changes to the Tenant Improvement Work, Tenant shall pay for the cost of such changes in accordance with Section 4 below, and (iii) with respect to any increases in the cost of Landlord’s Work arising from Claims by the Contractor, Tenant shall pay for the cost of such Claims as set forth in Section 5 below. “</w:t>
      </w:r>
      <w:r>
        <w:rPr>
          <w:rFonts w:ascii="Arial" w:cs="Arial" w:eastAsia="Arial" w:hAnsi="Arial"/>
          <w:sz w:val="16"/>
          <w:szCs w:val="16"/>
          <w:b w:val="1"/>
          <w:bCs w:val="1"/>
          <w:color w:val="auto"/>
        </w:rPr>
        <w:t>Billing</w:t>
      </w:r>
      <w:r>
        <w:rPr>
          <w:rFonts w:ascii="Arial" w:cs="Arial" w:eastAsia="Arial" w:hAnsi="Arial"/>
          <w:sz w:val="16"/>
          <w:szCs w:val="16"/>
          <w:color w:val="auto"/>
        </w:rPr>
        <w:t>” shall be defined as any invoice from Landlord setting forth, reasonable detail, the amount due from Tenant, and shall include invoices from vendors and service providers, and applications for payment from the Contractor. Billing may not be submitted to Tenant more than one time per calendar month. The amounts payable by Tenant hereunder constitute Rent payable pursuant to the Lease, and the failure to timely pay same constitutes an event of default under the Lease.</w:t>
      </w:r>
    </w:p>
    <w:p>
      <w:pPr>
        <w:spacing w:after="0" w:line="167" w:lineRule="exact"/>
        <w:rPr>
          <w:rFonts w:ascii="Arial" w:cs="Arial" w:eastAsia="Arial" w:hAnsi="Arial"/>
          <w:sz w:val="16"/>
          <w:szCs w:val="16"/>
          <w:color w:val="auto"/>
        </w:rPr>
      </w:pPr>
    </w:p>
    <w:p>
      <w:pPr>
        <w:jc w:val="both"/>
        <w:ind w:right="300" w:firstLine="464"/>
        <w:spacing w:after="0" w:line="264" w:lineRule="auto"/>
        <w:tabs>
          <w:tab w:leader="none" w:pos="636"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Tenant Responses</w:t>
      </w:r>
      <w:r>
        <w:rPr>
          <w:rFonts w:ascii="Arial" w:cs="Arial" w:eastAsia="Arial" w:hAnsi="Arial"/>
          <w:sz w:val="18"/>
          <w:szCs w:val="18"/>
          <w:color w:val="auto"/>
        </w:rPr>
        <w:t>. Tenant shall respond, in writing, to any requests from Landlord, Landlord’s contractor or Landlord’s architect for information, consents, or authorizations to proceed, within two (2) business days of Tenant’s receipt of such request. Any failure by Tenant to respond within such time period may be the basis of a Tenant Delay.</w:t>
      </w:r>
    </w:p>
    <w:p>
      <w:pPr>
        <w:spacing w:after="0" w:line="177" w:lineRule="exact"/>
        <w:rPr>
          <w:rFonts w:ascii="Arial" w:cs="Arial" w:eastAsia="Arial" w:hAnsi="Arial"/>
          <w:sz w:val="18"/>
          <w:szCs w:val="18"/>
          <w:color w:val="auto"/>
        </w:rPr>
      </w:pPr>
    </w:p>
    <w:p>
      <w:pPr>
        <w:ind w:firstLine="464"/>
        <w:spacing w:after="0" w:line="274" w:lineRule="auto"/>
        <w:tabs>
          <w:tab w:leader="none" w:pos="636"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Changes</w:t>
      </w:r>
      <w:r>
        <w:rPr>
          <w:rFonts w:ascii="Arial" w:cs="Arial" w:eastAsia="Arial" w:hAnsi="Arial"/>
          <w:sz w:val="17"/>
          <w:szCs w:val="17"/>
          <w:color w:val="auto"/>
        </w:rPr>
        <w:t>. If Tenant shall request any change, addition or alteration in the Tenant Improvement Work (“</w:t>
      </w:r>
      <w:r>
        <w:rPr>
          <w:rFonts w:ascii="Arial" w:cs="Arial" w:eastAsia="Arial" w:hAnsi="Arial"/>
          <w:sz w:val="17"/>
          <w:szCs w:val="17"/>
          <w:b w:val="1"/>
          <w:bCs w:val="1"/>
          <w:color w:val="auto"/>
        </w:rPr>
        <w:t>Changes</w:t>
      </w:r>
      <w:r>
        <w:rPr>
          <w:rFonts w:ascii="Arial" w:cs="Arial" w:eastAsia="Arial" w:hAnsi="Arial"/>
          <w:sz w:val="17"/>
          <w:szCs w:val="17"/>
          <w:color w:val="auto"/>
        </w:rPr>
        <w:t>”), Landlord shall have such revisions to the drawings prepared. Tenant shall have no right to request Changes in the Base Building Work. Promptly upon completion of the revisions, Landlord shall notify Tenant in writing of the increased cost, if any, which will be chargeable to Tenant by reason of such change, addition or deletion. Tenant, within two (2) Business Days, shall notify Landlord in writing whether it desires to proceed with such Change. In the absence of such written authorization, Landlord shall have the option to continue work on the Premises disregarding the requested Change. Tenant shall reimburse Landlord for the cost of the Landlord associated with such Changes within thirty (30) days of upon Billing, as such Change work is being performed.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 PAGE 1</w:t>
      </w:r>
    </w:p>
    <w:p>
      <w:pPr>
        <w:sectPr>
          <w:pgSz w:w="11900" w:h="16838" w:orient="portrait"/>
          <w:cols w:equalWidth="0" w:num="1">
            <w:col w:w="11420"/>
          </w:cols>
          <w:pgMar w:left="240" w:top="274" w:right="239" w:bottom="1440" w:gutter="0" w:footer="0" w:header="0"/>
        </w:sectPr>
      </w:pPr>
    </w:p>
    <w:bookmarkStart w:id="410" w:name="page411"/>
    <w:bookmarkEnd w:id="410"/>
    <w:p>
      <w:pPr>
        <w:jc w:val="both"/>
        <w:ind w:right="140" w:firstLine="464"/>
        <w:spacing w:after="0" w:line="281" w:lineRule="auto"/>
        <w:tabs>
          <w:tab w:leader="none" w:pos="636"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w:t>
      </w:r>
      <w:r>
        <w:rPr>
          <w:rFonts w:ascii="Arial" w:cs="Arial" w:eastAsia="Arial" w:hAnsi="Arial"/>
          <w:sz w:val="17"/>
          <w:szCs w:val="17"/>
          <w:color w:val="auto"/>
        </w:rPr>
        <w:t>. To the extent that any claims (“</w:t>
      </w:r>
      <w:r>
        <w:rPr>
          <w:rFonts w:ascii="Arial" w:cs="Arial" w:eastAsia="Arial" w:hAnsi="Arial"/>
          <w:sz w:val="17"/>
          <w:szCs w:val="17"/>
          <w:b w:val="1"/>
          <w:bCs w:val="1"/>
          <w:color w:val="auto"/>
        </w:rPr>
        <w:t>Claims</w:t>
      </w:r>
      <w:r>
        <w:rPr>
          <w:rFonts w:ascii="Arial" w:cs="Arial" w:eastAsia="Arial" w:hAnsi="Arial"/>
          <w:sz w:val="17"/>
          <w:szCs w:val="17"/>
          <w:color w:val="auto"/>
        </w:rPr>
        <w:t>”) by the Contractor increase the cost of the Landlord Work, Tenant shall pay for such excess within thirty (30) days of Billing. Claims shall include any amounts properly due to the Contractor under Landlord’s contract (“</w:t>
      </w:r>
      <w:r>
        <w:rPr>
          <w:rFonts w:ascii="Arial" w:cs="Arial" w:eastAsia="Arial" w:hAnsi="Arial"/>
          <w:sz w:val="17"/>
          <w:szCs w:val="17"/>
          <w:b w:val="1"/>
          <w:bCs w:val="1"/>
          <w:color w:val="auto"/>
        </w:rPr>
        <w:t>Construction Contract</w:t>
      </w:r>
      <w:r>
        <w:rPr>
          <w:rFonts w:ascii="Arial" w:cs="Arial" w:eastAsia="Arial" w:hAnsi="Arial"/>
          <w:sz w:val="17"/>
          <w:szCs w:val="17"/>
          <w:color w:val="auto"/>
        </w:rPr>
        <w:t>’) with the Contractor based upon the claims of the Contractor under the Contract, provided however, that the Claims shall not include any amounts arising from the default or negligence of Landlord, or Landlord’s agents or employees, under the Construction Contract.</w:t>
      </w:r>
    </w:p>
    <w:p>
      <w:pPr>
        <w:spacing w:after="0" w:line="164" w:lineRule="exact"/>
        <w:rPr>
          <w:rFonts w:ascii="Arial" w:cs="Arial" w:eastAsia="Arial" w:hAnsi="Arial"/>
          <w:sz w:val="17"/>
          <w:szCs w:val="17"/>
          <w:color w:val="auto"/>
        </w:rPr>
      </w:pPr>
    </w:p>
    <w:p>
      <w:pPr>
        <w:ind w:right="20" w:firstLine="464"/>
        <w:spacing w:after="0" w:line="282" w:lineRule="auto"/>
        <w:tabs>
          <w:tab w:leader="none" w:pos="636"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Performance of Landlord’s Work</w:t>
      </w:r>
      <w:r>
        <w:rPr>
          <w:rFonts w:ascii="Arial" w:cs="Arial" w:eastAsia="Arial" w:hAnsi="Arial"/>
          <w:sz w:val="18"/>
          <w:szCs w:val="18"/>
          <w:color w:val="auto"/>
        </w:rPr>
        <w:t xml:space="preserve">. Landlord shall cause the Tenant Improvement Work to be constructed substantially in accordance with </w:t>
      </w:r>
      <w:r>
        <w:rPr>
          <w:rFonts w:ascii="Arial" w:cs="Arial" w:eastAsia="Arial" w:hAnsi="Arial"/>
          <w:sz w:val="18"/>
          <w:szCs w:val="18"/>
          <w:b w:val="1"/>
          <w:bCs w:val="1"/>
          <w:u w:val="single" w:color="auto"/>
          <w:color w:val="auto"/>
        </w:rPr>
        <w:t>Exhibits 3-1, 3-2, and 3-3</w:t>
      </w:r>
      <w:r>
        <w:rPr>
          <w:rFonts w:ascii="Arial" w:cs="Arial" w:eastAsia="Arial" w:hAnsi="Arial"/>
          <w:sz w:val="18"/>
          <w:szCs w:val="18"/>
          <w:color w:val="auto"/>
        </w:rPr>
        <w:t>.</w:t>
      </w:r>
    </w:p>
    <w:p>
      <w:pPr>
        <w:spacing w:after="0" w:line="273" w:lineRule="exact"/>
        <w:rPr>
          <w:rFonts w:ascii="Arial" w:cs="Arial" w:eastAsia="Arial" w:hAnsi="Arial"/>
          <w:sz w:val="18"/>
          <w:szCs w:val="18"/>
          <w:color w:val="auto"/>
        </w:rPr>
      </w:pPr>
    </w:p>
    <w:p>
      <w:pPr>
        <w:ind w:left="640" w:hanging="176"/>
        <w:spacing w:after="0"/>
        <w:tabs>
          <w:tab w:leader="none" w:pos="64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3" w:lineRule="exact"/>
        <w:rPr>
          <w:sz w:val="20"/>
          <w:szCs w:val="20"/>
          <w:color w:val="auto"/>
        </w:rPr>
      </w:pPr>
    </w:p>
    <w:p>
      <w:pPr>
        <w:ind w:firstLine="464"/>
        <w:spacing w:after="0" w:line="303" w:lineRule="auto"/>
        <w:tabs>
          <w:tab w:leader="none" w:pos="701" w:val="left"/>
        </w:tabs>
        <w:numPr>
          <w:ilvl w:val="1"/>
          <w:numId w:val="324"/>
        </w:numPr>
        <w:rPr>
          <w:rFonts w:ascii="Arial" w:cs="Arial" w:eastAsia="Arial" w:hAnsi="Arial"/>
          <w:sz w:val="16"/>
          <w:szCs w:val="16"/>
          <w:color w:val="auto"/>
        </w:rPr>
      </w:pPr>
      <w:r>
        <w:rPr>
          <w:rFonts w:ascii="Arial" w:cs="Arial" w:eastAsia="Arial" w:hAnsi="Arial"/>
          <w:sz w:val="16"/>
          <w:szCs w:val="16"/>
          <w:b w:val="1"/>
          <w:bCs w:val="1"/>
          <w:color w:val="auto"/>
        </w:rPr>
        <w:t>Tenant’s Authorized Representative</w:t>
      </w:r>
      <w:r>
        <w:rPr>
          <w:rFonts w:ascii="Arial" w:cs="Arial" w:eastAsia="Arial" w:hAnsi="Arial"/>
          <w:sz w:val="16"/>
          <w:szCs w:val="16"/>
          <w:color w:val="auto"/>
        </w:rPr>
        <w:t>. Tenant designates Kyle Moran, [Address] – 617-257-5457 (“</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act for Tenant pursuant to this Work Letter. Landlord shall not be obligated to respond to or act 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 Communication is in writing from Tenant’s Representative. Tenant may change either Tenant’s Representative at any time upon not less than five (5) business days advance written notice to Landlord.</w:t>
      </w:r>
    </w:p>
    <w:p>
      <w:pPr>
        <w:spacing w:after="0" w:line="151" w:lineRule="exact"/>
        <w:rPr>
          <w:rFonts w:ascii="Arial" w:cs="Arial" w:eastAsia="Arial" w:hAnsi="Arial"/>
          <w:sz w:val="16"/>
          <w:szCs w:val="16"/>
          <w:color w:val="auto"/>
        </w:rPr>
      </w:pPr>
    </w:p>
    <w:p>
      <w:pPr>
        <w:jc w:val="both"/>
        <w:ind w:right="60" w:firstLine="464"/>
        <w:spacing w:after="0" w:line="287" w:lineRule="auto"/>
        <w:tabs>
          <w:tab w:leader="none" w:pos="711" w:val="left"/>
        </w:tabs>
        <w:numPr>
          <w:ilvl w:val="1"/>
          <w:numId w:val="324"/>
        </w:numPr>
        <w:rPr>
          <w:rFonts w:ascii="Arial" w:cs="Arial" w:eastAsia="Arial" w:hAnsi="Arial"/>
          <w:sz w:val="16"/>
          <w:szCs w:val="16"/>
          <w:color w:val="auto"/>
        </w:rPr>
      </w:pPr>
      <w:r>
        <w:rPr>
          <w:rFonts w:ascii="Arial" w:cs="Arial" w:eastAsia="Arial" w:hAnsi="Arial"/>
          <w:sz w:val="16"/>
          <w:szCs w:val="16"/>
          <w:b w:val="1"/>
          <w:bCs w:val="1"/>
          <w:color w:val="auto"/>
        </w:rPr>
        <w:t>Landlord’s Authorized Representative</w:t>
      </w:r>
      <w:r>
        <w:rPr>
          <w:rFonts w:ascii="Arial" w:cs="Arial" w:eastAsia="Arial" w:hAnsi="Arial"/>
          <w:sz w:val="16"/>
          <w:szCs w:val="16"/>
          <w:color w:val="auto"/>
        </w:rPr>
        <w:t>. Landlord designates Stephen D. Lynch, 200 Cambridge Park Drive, Cambridge, MA 02140, [Address] –</w:t>
      </w:r>
      <w:r>
        <w:rPr>
          <w:rFonts w:ascii="Arial" w:cs="Arial" w:eastAsia="Arial" w:hAnsi="Arial"/>
          <w:sz w:val="16"/>
          <w:szCs w:val="16"/>
          <w:b w:val="1"/>
          <w:bCs w:val="1"/>
          <w:color w:val="auto"/>
        </w:rPr>
        <w:t xml:space="preserve"> </w:t>
      </w:r>
      <w:r>
        <w:rPr>
          <w:rFonts w:ascii="Arial" w:cs="Arial" w:eastAsia="Arial" w:hAnsi="Arial"/>
          <w:sz w:val="16"/>
          <w:szCs w:val="16"/>
          <w:color w:val="auto"/>
        </w:rPr>
        <w:t>617-990-5502 (“</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either Landlord’s Representative at any time upon not less than five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business days advance written notice to Tenant.</w:t>
      </w:r>
    </w:p>
    <w:p>
      <w:pPr>
        <w:spacing w:after="0" w:line="210" w:lineRule="exact"/>
        <w:rPr>
          <w:rFonts w:ascii="Arial" w:cs="Arial" w:eastAsia="Arial" w:hAnsi="Arial"/>
          <w:sz w:val="18"/>
          <w:szCs w:val="18"/>
          <w:color w:val="auto"/>
        </w:rPr>
      </w:pPr>
    </w:p>
    <w:p>
      <w:pPr>
        <w:ind w:right="500" w:firstLine="464"/>
        <w:spacing w:after="0" w:line="277" w:lineRule="auto"/>
        <w:tabs>
          <w:tab w:leader="none" w:pos="701"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Tenant shall have the right, during the performance of the Landlord Work, to have Tenant’s Representative participate in weekly construction meetings with Landlord and the Contractor as to the status of the performance of Tenant Improvement Work.</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Tenant shall have access to the Premises prior to the Term Commencement Date in accordance with the provisions of Section 3.04 of the Lease.</w:t>
      </w:r>
    </w:p>
    <w:p>
      <w:pPr>
        <w:spacing w:after="0" w:line="356" w:lineRule="exact"/>
        <w:rPr>
          <w:sz w:val="20"/>
          <w:szCs w:val="20"/>
          <w:color w:val="auto"/>
        </w:rPr>
      </w:pPr>
    </w:p>
    <w:p>
      <w:pPr>
        <w:ind w:left="640" w:hanging="176"/>
        <w:spacing w:after="0"/>
        <w:tabs>
          <w:tab w:leader="none" w:pos="64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113"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color w:val="auto"/>
        </w:rPr>
        <w:t xml:space="preserve">Any disputes relating to provisions or obligations in this Lease in connection with Tenant Landlord Work or this </w:t>
      </w:r>
      <w:r>
        <w:rPr>
          <w:rFonts w:ascii="Arial" w:cs="Arial" w:eastAsia="Arial" w:hAnsi="Arial"/>
          <w:sz w:val="18"/>
          <w:szCs w:val="18"/>
          <w:b w:val="1"/>
          <w:bCs w:val="1"/>
          <w:u w:val="single" w:color="auto"/>
          <w:color w:val="auto"/>
        </w:rPr>
        <w:t>Exhibit 3</w:t>
      </w:r>
      <w:r>
        <w:rPr>
          <w:rFonts w:ascii="Arial" w:cs="Arial" w:eastAsia="Arial" w:hAnsi="Arial"/>
          <w:sz w:val="18"/>
          <w:szCs w:val="18"/>
          <w:color w:val="auto"/>
        </w:rPr>
        <w:t xml:space="preserve"> shall be submitted to arbitration in accordance with the provisions of applicable state law, as from time to time amended. Arbitration proceedings, including the selection of an arbitrator, shall be conducted pursuant to the rules, regulations and</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3, PAGE 2</w:t>
      </w:r>
    </w:p>
    <w:p>
      <w:pPr>
        <w:sectPr>
          <w:pgSz w:w="11900" w:h="16838" w:orient="portrait"/>
          <w:cols w:equalWidth="0" w:num="1">
            <w:col w:w="11380"/>
          </w:cols>
          <w:pgMar w:left="240" w:top="270" w:right="279" w:bottom="1440" w:gutter="0" w:footer="0" w:header="0"/>
        </w:sectPr>
      </w:pPr>
    </w:p>
    <w:bookmarkStart w:id="411" w:name="page412"/>
    <w:bookmarkEnd w:id="41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procedures from time to time in effect as promulgated by the American Arbitration Association. Notwithstanding the foregoing, the parties hereby agree that the arbitrator for any disputes relating to Landlord Work shall be a construction consultant experienced in the construction of office/laboratory buildings in the cities of Boston and Cambridge, as mutually agreed upon by the parties, or, if not then designated by the parties, within ten (10) days after either party makes a request for arbitration hereunder, or (if the parties do not mutually agree upon such arbitrator) as designated by the Boston office of the American Arbitration Association upon request by either party. Prior written notice of application by either party for arbitration shall be given to the other at least ten</w:t>
      </w:r>
    </w:p>
    <w:p>
      <w:pPr>
        <w:spacing w:after="0" w:line="2" w:lineRule="exact"/>
        <w:rPr>
          <w:sz w:val="20"/>
          <w:szCs w:val="20"/>
          <w:color w:val="auto"/>
        </w:rPr>
      </w:pPr>
    </w:p>
    <w:p>
      <w:pPr>
        <w:ind w:firstLine="8"/>
        <w:spacing w:after="0" w:line="286" w:lineRule="auto"/>
        <w:tabs>
          <w:tab w:leader="none" w:pos="34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days before submission of the application to the said Association’s office in Boston, Massachusetts. The arbitrator shall hear the parties and their evidence. The decision of the arbitrator shall be binding and conclusive, and judgment upon the award or decision of the arbitrator may be entered in the appropriate court of law; and the parties consent to the jurisdiction of such court and further agree that any process or notice of motion or other application to the Court or a Judge thereof may be served outside the Commonwealth of Massachusetts by registered mail or by personal service, provided a reasonable time for appearance is allowed. The costs and expenses of each arbitration hereunder and their apportionment between the parties shall be determined by the arbitrator in his award or decision. Except where a specified period is referenced in this Lease, no arbitrable dispute shall be deemed to have arisen under this Lease prior to the expiration of the period of twenty (20) days after the date of the giving of written notice by the party asserting the existence of the dispute together with a description thereof sufficient for an understanding thereof. In connection with the foregoing, it is expressly understood and agreed that the parties shall continue to perform their respective obligations under the Lease during the pendency of any such arbitration proceeding hereunder (with any adjustments or reallocations to be made on account of such continued performance as determined by the arbitrator in his or her award).</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This Exhibit shall not be deemed applicable to any additional space added to the Premises at any time or from time to time, whether by any options under the Lease or otherwise, or to any portion of the original Premises or any additions to the Premises in the event of a renewal or extension of the original Term of the Lease, whether by any options under the Lease or otherwise, unless expressly so provided in the Lease or any amendment or supplement to the Lease.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 PAGE 3</w:t>
      </w:r>
    </w:p>
    <w:p>
      <w:pPr>
        <w:sectPr>
          <w:pgSz w:w="11900" w:h="16838" w:orient="portrait"/>
          <w:cols w:equalWidth="0" w:num="1">
            <w:col w:w="11420"/>
          </w:cols>
          <w:pgMar w:left="240" w:top="274" w:right="239" w:bottom="1440" w:gutter="0" w:footer="0" w:header="0"/>
        </w:sectPr>
      </w:pPr>
    </w:p>
    <w:bookmarkStart w:id="412" w:name="page413"/>
    <w:bookmarkEnd w:id="41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BASE BUILDING WORK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Landlord shall complete the renovations to the Building as shown within the 733 CONCORD AVE PRICING SET – ASI 01” dated 12/11/14 as prepared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DiMella Shaffer, including the following additional items:</w:t>
      </w:r>
    </w:p>
    <w:p>
      <w:pPr>
        <w:spacing w:after="0" w:line="116" w:lineRule="exact"/>
        <w:rPr>
          <w:sz w:val="20"/>
          <w:szCs w:val="20"/>
          <w:color w:val="auto"/>
        </w:rPr>
      </w:pPr>
    </w:p>
    <w:p>
      <w:pPr>
        <w:ind w:left="900" w:hanging="325"/>
        <w:spacing w:after="0" w:line="277" w:lineRule="auto"/>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One (1) set of new bathrooms as shown on </w:t>
      </w:r>
      <w:r>
        <w:rPr>
          <w:rFonts w:ascii="Arial" w:cs="Arial" w:eastAsia="Arial" w:hAnsi="Arial"/>
          <w:sz w:val="18"/>
          <w:szCs w:val="18"/>
          <w:u w:val="single" w:color="auto"/>
          <w:color w:val="auto"/>
        </w:rPr>
        <w:t>Exhibit 3-2</w:t>
      </w:r>
      <w:r>
        <w:rPr>
          <w:rFonts w:ascii="Arial" w:cs="Arial" w:eastAsia="Arial" w:hAnsi="Arial"/>
          <w:sz w:val="18"/>
          <w:szCs w:val="18"/>
          <w:color w:val="auto"/>
        </w:rPr>
        <w:t>, and two (2) sets of renovated existing bathrooms located near the main entry lobby to the Premises and on the mezzanine level of the Premises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One (1) new ornamental metal stairway near the main entry lobby to the Premises.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Striping of the parking areas serving the Premises as shown on </w:t>
      </w:r>
      <w:r>
        <w:rPr>
          <w:rFonts w:ascii="Arial" w:cs="Arial" w:eastAsia="Arial" w:hAnsi="Arial"/>
          <w:sz w:val="18"/>
          <w:szCs w:val="18"/>
          <w:u w:val="single" w:color="auto"/>
          <w:color w:val="auto"/>
        </w:rPr>
        <w:t>Exhibit 4</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3-1, PAGE 1</w:t>
      </w:r>
    </w:p>
    <w:p>
      <w:pPr>
        <w:sectPr>
          <w:pgSz w:w="11900" w:h="16838" w:orient="portrait"/>
          <w:cols w:equalWidth="0" w:num="1">
            <w:col w:w="11360"/>
          </w:cols>
          <w:pgMar w:left="240" w:top="273" w:right="299" w:bottom="1440" w:gutter="0" w:footer="0" w:header="0"/>
        </w:sectPr>
      </w:pPr>
    </w:p>
    <w:bookmarkStart w:id="413" w:name="page414"/>
    <w:bookmarkEnd w:id="41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TENANT IMPROVEMENT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176530</wp:posOffset>
            </wp:positionV>
            <wp:extent cx="5763260" cy="377317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763260"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3-2, PAGE 1</w:t>
      </w:r>
    </w:p>
    <w:p>
      <w:pPr>
        <w:sectPr>
          <w:pgSz w:w="11900" w:h="16838" w:orient="portrait"/>
          <w:cols w:equalWidth="0" w:num="1">
            <w:col w:w="9019"/>
          </w:cols>
          <w:pgMar w:left="1440" w:top="273" w:right="1440" w:bottom="1440" w:gutter="0" w:footer="0" w:header="0"/>
        </w:sectPr>
      </w:pPr>
    </w:p>
    <w:bookmarkStart w:id="414" w:name="page415"/>
    <w:bookmarkEnd w:id="41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EQUIPMENT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169545</wp:posOffset>
            </wp:positionV>
            <wp:extent cx="5831840" cy="41592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831840" cy="415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1</w:t>
      </w:r>
    </w:p>
    <w:p>
      <w:pPr>
        <w:sectPr>
          <w:pgSz w:w="11900" w:h="16838" w:orient="portrait"/>
          <w:cols w:equalWidth="0" w:num="1">
            <w:col w:w="9019"/>
          </w:cols>
          <w:pgMar w:left="1440" w:top="274" w:right="1440" w:bottom="1440" w:gutter="0" w:footer="0" w:header="0"/>
        </w:sectPr>
      </w:pPr>
    </w:p>
    <w:bookmarkStart w:id="415" w:name="page416"/>
    <w:bookmarkEnd w:id="4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324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2</w:t>
      </w:r>
    </w:p>
    <w:p>
      <w:pPr>
        <w:sectPr>
          <w:pgSz w:w="11900" w:h="16838" w:orient="portrait"/>
          <w:cols w:equalWidth="0" w:num="1">
            <w:col w:w="9019"/>
          </w:cols>
          <w:pgMar w:left="1440" w:top="1440" w:right="1440" w:bottom="1440" w:gutter="0" w:footer="0" w:header="0"/>
        </w:sectPr>
      </w:pPr>
    </w:p>
    <w:bookmarkStart w:id="416" w:name="page417"/>
    <w:bookmarkEnd w:id="4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40982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3</w:t>
      </w:r>
    </w:p>
    <w:p>
      <w:pPr>
        <w:sectPr>
          <w:pgSz w:w="11900" w:h="16838" w:orient="portrait"/>
          <w:cols w:equalWidth="0" w:num="1">
            <w:col w:w="9019"/>
          </w:cols>
          <w:pgMar w:left="1440" w:top="1440" w:right="1440" w:bottom="1440" w:gutter="0" w:footer="0" w:header="0"/>
        </w:sectPr>
      </w:pPr>
    </w:p>
    <w:bookmarkStart w:id="417" w:name="page418"/>
    <w:bookmarkEnd w:id="4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6155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4</w:t>
      </w:r>
    </w:p>
    <w:p>
      <w:pPr>
        <w:sectPr>
          <w:pgSz w:w="11900" w:h="16838" w:orient="portrait"/>
          <w:cols w:equalWidth="0" w:num="1">
            <w:col w:w="9019"/>
          </w:cols>
          <w:pgMar w:left="1440" w:top="1440" w:right="1440" w:bottom="1440" w:gutter="0" w:footer="0" w:header="0"/>
        </w:sectPr>
      </w:pPr>
    </w:p>
    <w:bookmarkStart w:id="418" w:name="page419"/>
    <w:bookmarkEnd w:id="4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4441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5</w:t>
      </w:r>
    </w:p>
    <w:p>
      <w:pPr>
        <w:sectPr>
          <w:pgSz w:w="11900" w:h="16838" w:orient="portrait"/>
          <w:cols w:equalWidth="0" w:num="1">
            <w:col w:w="9019"/>
          </w:cols>
          <w:pgMar w:left="1440" w:top="1440" w:right="1440" w:bottom="1440" w:gutter="0" w:footer="0" w:header="0"/>
        </w:sectPr>
      </w:pPr>
    </w:p>
    <w:bookmarkStart w:id="419" w:name="page420"/>
    <w:bookmarkEnd w:id="4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5723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257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6</w:t>
      </w:r>
    </w:p>
    <w:p>
      <w:pPr>
        <w:sectPr>
          <w:pgSz w:w="11900" w:h="16838" w:orient="portrait"/>
          <w:cols w:equalWidth="0" w:num="1">
            <w:col w:w="9019"/>
          </w:cols>
          <w:pgMar w:left="1440" w:top="1440" w:right="1440" w:bottom="1440" w:gutter="0" w:footer="0" w:header="0"/>
        </w:sectPr>
      </w:pPr>
    </w:p>
    <w:bookmarkStart w:id="420" w:name="page421"/>
    <w:bookmarkEnd w:id="4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4817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3-3, PAGE 7</w:t>
      </w:r>
    </w:p>
    <w:p>
      <w:pPr>
        <w:sectPr>
          <w:pgSz w:w="11900" w:h="16838" w:orient="portrait"/>
          <w:cols w:equalWidth="0" w:num="1">
            <w:col w:w="9019"/>
          </w:cols>
          <w:pgMar w:left="1440" w:top="1440" w:right="1440" w:bottom="1440" w:gutter="0" w:footer="0" w:header="0"/>
        </w:sectPr>
      </w:pPr>
    </w:p>
    <w:bookmarkStart w:id="421" w:name="page422"/>
    <w:bookmarkEnd w:id="4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LANDLORD/TENANT RESPONSIBILITY MATRIX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Landlord/Tenant Responsibility Matrix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90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3/19/2015</w:t>
            </w:r>
          </w:p>
        </w:tc>
      </w:tr>
      <w:tr>
        <w:trPr>
          <w:trHeight w:val="412"/>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Scope Description</w:t>
            </w:r>
          </w:p>
        </w:tc>
        <w:tc>
          <w:tcPr>
            <w:tcW w:w="906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Landlord   Tenant</w:t>
            </w:r>
          </w:p>
        </w:tc>
      </w:tr>
      <w:tr>
        <w:trPr>
          <w:trHeight w:val="298"/>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Office Area Specifications</w:t>
            </w: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310"/>
        </w:trPr>
        <w:tc>
          <w:tcPr>
            <w:tcW w:w="10180" w:type="dxa"/>
            <w:vAlign w:val="bottom"/>
            <w:gridSpan w:val="2"/>
          </w:tcPr>
          <w:p>
            <w:pPr>
              <w:ind w:left="180"/>
              <w:spacing w:after="0"/>
              <w:rPr>
                <w:sz w:val="20"/>
                <w:szCs w:val="20"/>
                <w:color w:val="auto"/>
              </w:rPr>
            </w:pPr>
            <w:r>
              <w:rPr>
                <w:rFonts w:ascii="Arial" w:cs="Arial" w:eastAsia="Arial" w:hAnsi="Arial"/>
                <w:sz w:val="18"/>
                <w:szCs w:val="18"/>
                <w:b w:val="1"/>
                <w:bCs w:val="1"/>
                <w:color w:val="auto"/>
                <w:w w:val="92"/>
              </w:rPr>
              <w:t xml:space="preserve">Finishes: </w:t>
            </w:r>
            <w:r>
              <w:rPr>
                <w:rFonts w:ascii="Arial" w:cs="Arial" w:eastAsia="Arial" w:hAnsi="Arial"/>
                <w:sz w:val="18"/>
                <w:szCs w:val="18"/>
                <w:color w:val="auto"/>
                <w:w w:val="92"/>
              </w:rPr>
              <w:t>Furnish and install broad loom carpet (Shaw Illuminate Series), painted drywall, exposed ceilings at skylight areas, Armstrong</w:t>
            </w:r>
          </w:p>
        </w:tc>
        <w:tc>
          <w:tcPr>
            <w:tcW w:w="1240" w:type="dxa"/>
            <w:vAlign w:val="bottom"/>
            <w:gridSpan w:val="3"/>
          </w:tcPr>
          <w:p>
            <w:pPr>
              <w:ind w:left="280"/>
              <w:spacing w:after="0"/>
              <w:rPr>
                <w:sz w:val="20"/>
                <w:szCs w:val="20"/>
                <w:color w:val="auto"/>
              </w:rPr>
            </w:pPr>
            <w:r>
              <w:rPr>
                <w:rFonts w:ascii="Arial" w:cs="Arial" w:eastAsia="Arial" w:hAnsi="Arial"/>
                <w:sz w:val="18"/>
                <w:szCs w:val="18"/>
                <w:b w:val="1"/>
                <w:bCs w:val="1"/>
                <w:color w:val="auto"/>
              </w:rPr>
              <w:t>X</w:t>
            </w:r>
          </w:p>
        </w:tc>
      </w:tr>
      <w:tr>
        <w:trPr>
          <w:trHeight w:val="216"/>
        </w:trPr>
        <w:tc>
          <w:tcPr>
            <w:tcW w:w="10180" w:type="dxa"/>
            <w:vAlign w:val="bottom"/>
            <w:gridSpan w:val="2"/>
          </w:tcPr>
          <w:p>
            <w:pPr>
              <w:ind w:left="180"/>
              <w:spacing w:after="0"/>
              <w:rPr>
                <w:sz w:val="20"/>
                <w:szCs w:val="20"/>
                <w:color w:val="auto"/>
              </w:rPr>
            </w:pPr>
            <w:r>
              <w:rPr>
                <w:rFonts w:ascii="Arial" w:cs="Arial" w:eastAsia="Arial" w:hAnsi="Arial"/>
                <w:sz w:val="18"/>
                <w:szCs w:val="18"/>
                <w:color w:val="auto"/>
                <w:w w:val="93"/>
              </w:rPr>
              <w:t>Dune series acoustical ceiling tiles at main office area, interior butt glazing at Board Room, window shades at exterior windows, (7) 10’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0180" w:type="dxa"/>
            <w:vAlign w:val="bottom"/>
            <w:gridSpan w:val="2"/>
          </w:tcPr>
          <w:p>
            <w:pPr>
              <w:ind w:left="180"/>
              <w:spacing w:after="0"/>
              <w:rPr>
                <w:sz w:val="20"/>
                <w:szCs w:val="20"/>
                <w:color w:val="auto"/>
              </w:rPr>
            </w:pPr>
            <w:r>
              <w:rPr>
                <w:rFonts w:ascii="Arial" w:cs="Arial" w:eastAsia="Arial" w:hAnsi="Arial"/>
                <w:sz w:val="18"/>
                <w:szCs w:val="18"/>
                <w:color w:val="auto"/>
                <w:w w:val="93"/>
              </w:rPr>
              <w:t>x 4’ hollow metal interior vision glazing panels into labs, stainless steel corner guards, fire extinguisher cabinets, hardware for lockable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10180" w:type="dxa"/>
            <w:vAlign w:val="bottom"/>
            <w:gridSpan w:val="2"/>
          </w:tcPr>
          <w:p>
            <w:pPr>
              <w:ind w:left="180"/>
              <w:spacing w:after="0"/>
              <w:rPr>
                <w:sz w:val="20"/>
                <w:szCs w:val="20"/>
                <w:color w:val="auto"/>
              </w:rPr>
            </w:pPr>
            <w:r>
              <w:rPr>
                <w:rFonts w:ascii="Arial" w:cs="Arial" w:eastAsia="Arial" w:hAnsi="Arial"/>
                <w:sz w:val="18"/>
                <w:szCs w:val="18"/>
                <w:color w:val="auto"/>
              </w:rPr>
              <w:t>rooms (rooms to be determined).</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1018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Office and Conference Build Out: </w:t>
            </w:r>
            <w:r>
              <w:rPr>
                <w:rFonts w:ascii="Arial" w:cs="Arial" w:eastAsia="Arial" w:hAnsi="Arial"/>
                <w:sz w:val="18"/>
                <w:szCs w:val="18"/>
                <w:color w:val="auto"/>
              </w:rPr>
              <w:t>Construct (6) private offices, (1) small conference room, (1) board room, (1) IT room, and</w:t>
            </w:r>
          </w:p>
        </w:tc>
        <w:tc>
          <w:tcPr>
            <w:tcW w:w="1240" w:type="dxa"/>
            <w:vAlign w:val="bottom"/>
            <w:gridSpan w:val="3"/>
          </w:tcPr>
          <w:p>
            <w:pPr>
              <w:ind w:left="280"/>
              <w:spacing w:after="0"/>
              <w:rPr>
                <w:sz w:val="20"/>
                <w:szCs w:val="20"/>
                <w:color w:val="auto"/>
              </w:rPr>
            </w:pPr>
            <w:r>
              <w:rPr>
                <w:rFonts w:ascii="Arial" w:cs="Arial" w:eastAsia="Arial" w:hAnsi="Arial"/>
                <w:sz w:val="18"/>
                <w:szCs w:val="18"/>
                <w:b w:val="1"/>
                <w:bCs w:val="1"/>
                <w:color w:val="auto"/>
              </w:rPr>
              <w:t>X</w:t>
            </w:r>
          </w:p>
        </w:tc>
      </w:tr>
    </w:tbl>
    <w:p>
      <w:pPr>
        <w:ind w:left="180" w:right="1400" w:firstLine="8"/>
        <w:spacing w:after="0" w:line="261" w:lineRule="auto"/>
        <w:tabs>
          <w:tab w:leader="none" w:pos="43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print/copy room. Provide floor cores and conduit for (2) future conference rooms. Electrical wiring and circuits for future conference rooms and offices are not included. Office and conference rooms to receive soundproofing insulation.</w:t>
      </w:r>
    </w:p>
    <w:p>
      <w:pPr>
        <w:sectPr>
          <w:pgSz w:w="11900" w:h="16838" w:orient="portrait"/>
          <w:cols w:equalWidth="0" w:num="1">
            <w:col w:w="11420"/>
          </w:cols>
          <w:pgMar w:left="240" w:top="274" w:right="239" w:bottom="1440" w:gutter="0" w:footer="0" w:header="0"/>
        </w:sectPr>
      </w:pPr>
    </w:p>
    <w:p>
      <w:pPr>
        <w:spacing w:after="0" w:line="7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Furniture: </w:t>
      </w:r>
      <w:r>
        <w:rPr>
          <w:rFonts w:ascii="Arial" w:cs="Arial" w:eastAsia="Arial" w:hAnsi="Arial"/>
          <w:sz w:val="16"/>
          <w:szCs w:val="16"/>
          <w:color w:val="auto"/>
        </w:rPr>
        <w:t>Furnish and install cubicles, work stations and other office furniture (All by Tenant)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w:t>
      </w:r>
    </w:p>
    <w:p>
      <w:pPr>
        <w:spacing w:after="0" w:line="129" w:lineRule="exact"/>
        <w:rPr>
          <w:sz w:val="20"/>
          <w:szCs w:val="20"/>
          <w:color w:val="auto"/>
        </w:rPr>
      </w:pPr>
    </w:p>
    <w:p>
      <w:pPr>
        <w:sectPr>
          <w:pgSz w:w="11900" w:h="16838" w:orient="portrait"/>
          <w:cols w:equalWidth="0" w:num="2">
            <w:col w:w="10420" w:space="720"/>
            <w:col w:w="280"/>
          </w:cols>
          <w:pgMar w:left="240" w:top="274" w:right="239" w:bottom="1440" w:gutter="0" w:footer="0" w:header="0"/>
          <w:type w:val="continuous"/>
        </w:sectPr>
      </w:pPr>
    </w:p>
    <w:p>
      <w:pPr>
        <w:ind w:left="180"/>
        <w:spacing w:after="0" w:line="282"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Furnish and install 2’x2’ LED direct/indirect fixtures at ACT and drywall ceilings. Furnish and install suspended fluorescent</w:t>
      </w:r>
      <w:r>
        <w:rPr>
          <w:rFonts w:ascii="Arial" w:cs="Arial" w:eastAsia="Arial" w:hAnsi="Arial"/>
          <w:sz w:val="18"/>
          <w:szCs w:val="18"/>
          <w:b w:val="1"/>
          <w:bCs w:val="1"/>
          <w:color w:val="auto"/>
        </w:rPr>
        <w:t xml:space="preserve"> </w:t>
      </w:r>
      <w:r>
        <w:rPr>
          <w:rFonts w:ascii="Arial" w:cs="Arial" w:eastAsia="Arial" w:hAnsi="Arial"/>
          <w:sz w:val="18"/>
          <w:szCs w:val="18"/>
          <w:color w:val="auto"/>
        </w:rPr>
        <w:t>lights at open skylight areas.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X</w:t>
      </w:r>
    </w:p>
    <w:p>
      <w:pPr>
        <w:spacing w:after="0" w:line="344" w:lineRule="exact"/>
        <w:rPr>
          <w:sz w:val="20"/>
          <w:szCs w:val="20"/>
          <w:color w:val="auto"/>
        </w:rPr>
      </w:pPr>
    </w:p>
    <w:p>
      <w:pPr>
        <w:sectPr>
          <w:pgSz w:w="11900" w:h="16838" w:orient="portrait"/>
          <w:cols w:equalWidth="0" w:num="2">
            <w:col w:w="9920" w:space="540"/>
            <w:col w:w="960"/>
          </w:cols>
          <w:pgMar w:left="240" w:top="274" w:right="239" w:bottom="1440" w:gutter="0" w:footer="0" w:header="0"/>
          <w:type w:val="continuous"/>
        </w:sectPr>
      </w:pPr>
    </w:p>
    <w:p>
      <w:pPr>
        <w:ind w:left="180"/>
        <w:spacing w:after="0" w:line="258" w:lineRule="auto"/>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Provide power to offices, copy room, general convenience outlets for non specific areas, and Tenant furniture. Provide floor</w:t>
      </w:r>
      <w:r>
        <w:rPr>
          <w:rFonts w:ascii="Arial" w:cs="Arial" w:eastAsia="Arial" w:hAnsi="Arial"/>
          <w:sz w:val="18"/>
          <w:szCs w:val="18"/>
          <w:b w:val="1"/>
          <w:bCs w:val="1"/>
          <w:color w:val="auto"/>
        </w:rPr>
        <w:t xml:space="preserve"> </w:t>
      </w:r>
      <w:r>
        <w:rPr>
          <w:rFonts w:ascii="Arial" w:cs="Arial" w:eastAsia="Arial" w:hAnsi="Arial"/>
          <w:sz w:val="18"/>
          <w:szCs w:val="18"/>
          <w:color w:val="auto"/>
        </w:rPr>
        <w:t>boxes for cubicles (floor cores to be done in one mobilization). Furnish and install floor boxes and conduit for Tenant tel/data and AV in conference rooms. Furnish and install DDC controls and tie into EMS. Furnish and install submeter for Tenant utility consumption. Furnish and install conduit for Tenant tel/data routing to server room. Tenant shall receive their pro-rata share of the existing 800 kW generator that serves the Building.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X</w:t>
      </w:r>
    </w:p>
    <w:p>
      <w:pPr>
        <w:spacing w:after="0" w:line="993" w:lineRule="exact"/>
        <w:rPr>
          <w:sz w:val="20"/>
          <w:szCs w:val="20"/>
          <w:color w:val="auto"/>
        </w:rPr>
      </w:pPr>
    </w:p>
    <w:p>
      <w:pPr>
        <w:sectPr>
          <w:pgSz w:w="11900" w:h="16838" w:orient="portrait"/>
          <w:cols w:equalWidth="0" w:num="2">
            <w:col w:w="9980" w:space="480"/>
            <w:col w:w="960"/>
          </w:cols>
          <w:pgMar w:left="240" w:top="274" w:right="239" w:bottom="1440" w:gutter="0" w:footer="0" w:header="0"/>
          <w:type w:val="continuous"/>
        </w:sectPr>
      </w:pPr>
    </w:p>
    <w:p>
      <w:pPr>
        <w:ind w:left="180"/>
        <w:spacing w:after="0" w:line="256" w:lineRule="auto"/>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50-ton Carrier roof top unit. Furnish and install new ductwork and VAV boxes with hot water reheat</w:t>
      </w:r>
      <w:r>
        <w:rPr>
          <w:rFonts w:ascii="Arial" w:cs="Arial" w:eastAsia="Arial" w:hAnsi="Arial"/>
          <w:sz w:val="18"/>
          <w:szCs w:val="18"/>
          <w:b w:val="1"/>
          <w:bCs w:val="1"/>
          <w:color w:val="auto"/>
        </w:rPr>
        <w:t xml:space="preserve"> </w:t>
      </w:r>
      <w:r>
        <w:rPr>
          <w:rFonts w:ascii="Arial" w:cs="Arial" w:eastAsia="Arial" w:hAnsi="Arial"/>
          <w:sz w:val="18"/>
          <w:szCs w:val="18"/>
          <w:color w:val="auto"/>
        </w:rPr>
        <w:t>coils to condition office areas. Air distribution shall be provided by supply ductwork systems terminating in 2’x2’ lay in style diffusers and with plenum return. Ceiling mounted exhaust fans shall be installed in all conference and meeting rooms. A ducted rooftop exhaust fan shall be installed for the bathroom area. Future office areas to receive ductwork with VAV boxes to condition areas with minimal heating/cooling zones. Furnish and install sealed spiral ductwork at exposed ceiling areas and arrange for a neat appearance. Provide additional cooling for server room.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X</w:t>
      </w:r>
    </w:p>
    <w:p>
      <w:pPr>
        <w:spacing w:after="0" w:line="1253" w:lineRule="exact"/>
        <w:rPr>
          <w:sz w:val="20"/>
          <w:szCs w:val="20"/>
          <w:color w:val="auto"/>
        </w:rPr>
      </w:pPr>
    </w:p>
    <w:p>
      <w:pPr>
        <w:sectPr>
          <w:pgSz w:w="11900" w:h="16838" w:orient="portrait"/>
          <w:cols w:equalWidth="0" w:num="2">
            <w:col w:w="9940" w:space="520"/>
            <w:col w:w="9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EXHIBIT 3-4, PAGE 1</w:t>
      </w:r>
    </w:p>
    <w:p>
      <w:pPr>
        <w:sectPr>
          <w:pgSz w:w="11900" w:h="16838" w:orient="portrait"/>
          <w:cols w:equalWidth="0" w:num="1">
            <w:col w:w="11420"/>
          </w:cols>
          <w:pgMar w:left="240" w:top="274" w:right="239" w:bottom="1440" w:gutter="0" w:footer="0" w:header="0"/>
          <w:type w:val="continuous"/>
        </w:sectPr>
      </w:pPr>
    </w:p>
    <w:bookmarkStart w:id="422" w:name="page423"/>
    <w:bookmarkEnd w:id="422"/>
    <w:tbl>
      <w:tblPr>
        <w:tblLayout w:type="fixed"/>
        <w:tblInd w:w="0"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Scope Description</w:t>
            </w:r>
          </w:p>
        </w:tc>
        <w:tc>
          <w:tcPr>
            <w:tcW w:w="8320" w:type="dxa"/>
            <w:vAlign w:val="bottom"/>
          </w:tcPr>
          <w:p>
            <w:pPr>
              <w:spacing w:after="0"/>
              <w:rPr>
                <w:sz w:val="16"/>
                <w:szCs w:val="16"/>
                <w:color w:val="auto"/>
              </w:rPr>
            </w:pPr>
          </w:p>
        </w:tc>
        <w:tc>
          <w:tcPr>
            <w:tcW w:w="15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6"/>
              </w:rPr>
              <w:t>Landlord</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Tenant</w:t>
            </w:r>
          </w:p>
        </w:tc>
      </w:tr>
      <w:tr>
        <w:trPr>
          <w:trHeight w:val="298"/>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Café Specifications</w:t>
            </w:r>
          </w:p>
        </w:tc>
        <w:tc>
          <w:tcPr>
            <w:tcW w:w="58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laminate cabinets and countertops (non-color core), VCT flooring, and painted</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drywall.</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Appliances: </w:t>
            </w:r>
            <w:r>
              <w:rPr>
                <w:rFonts w:ascii="Arial" w:cs="Arial" w:eastAsia="Arial" w:hAnsi="Arial"/>
                <w:sz w:val="18"/>
                <w:szCs w:val="18"/>
                <w:color w:val="auto"/>
              </w:rPr>
              <w:t>Furnish and install (1) stainless steel refrigerator, (1) stainless steel countertop microwave, (1)</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stainless steel under counter dishwasher</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Furniture: </w:t>
            </w:r>
            <w:r>
              <w:rPr>
                <w:rFonts w:ascii="Arial" w:cs="Arial" w:eastAsia="Arial" w:hAnsi="Arial"/>
                <w:sz w:val="18"/>
                <w:szCs w:val="18"/>
                <w:color w:val="auto"/>
              </w:rPr>
              <w:t>TBD, by Tenant</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Furnish and install suspended fluorescent lights.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Lobby Specifications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premium flooring, painted drywall, drywall ceilings.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Furnish and install ornamental stair to mezzanine level</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Furniture: </w:t>
            </w:r>
            <w:r>
              <w:rPr>
                <w:rFonts w:ascii="Arial" w:cs="Arial" w:eastAsia="Arial" w:hAnsi="Arial"/>
                <w:sz w:val="18"/>
                <w:szCs w:val="18"/>
                <w:color w:val="auto"/>
              </w:rPr>
              <w:t>Reception desk, other seating, and aquarium by Tenant</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Furnish and install pendant fixtures ($3,000 allowance) and can lighting at lobby.</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Bathroom Specifications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plumbing fixtures, solid surface countertops, porcelain floor tile, porcelain wall tile</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(on wet wall only), drywall ceilings, 2’x2’ LED light fixtures.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Lab Specifications - General Description</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in all lab areas (except for glass wash which shall have epoxy</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16"/>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flooring), vinyl stipple ceilings in all lab areas (except for glass wash which shall have epoxy painted GWB</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ceiling), hollow metal door frames with wood veneer doors (lab doors have half panel lites), stainless steel corner</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guards,fire extinguisher cabinets. Lab supply room to receive VCT flooring.</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Provide required fire rating to allow Chemistry Lab to be Control Zone #1</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Provide required fire rating to allow Synthesis and Synthesis Tank to be Control Zone #2</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Remainder of Premises to be Control Zone #3</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Provide full height walls demising lab from offices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Reuse existing water heaters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Provide a minimum of six air changes per hour in lab spaces.</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Landlord has carried a $30,000 Allowance for lab benches, tables, and reagent shelving.</w:t>
            </w: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16"/>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Casework standard is New England Lab “Cambridge Series” 6’ x 30” benches with (2) rows of reagent shelving</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and (1) 18” wide drawer base, and 5’ x 30” lab tables.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Tenant shall contribute $70,000 towards lab case work and other equipment as a Change Order to</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230"/>
        </w:trPr>
        <w:tc>
          <w:tcPr>
            <w:tcW w:w="9440" w:type="dxa"/>
            <w:vAlign w:val="bottom"/>
            <w:gridSpan w:val="2"/>
          </w:tcPr>
          <w:p>
            <w:pPr>
              <w:ind w:left="180"/>
              <w:spacing w:after="0"/>
              <w:rPr>
                <w:sz w:val="20"/>
                <w:szCs w:val="20"/>
                <w:color w:val="auto"/>
              </w:rPr>
            </w:pPr>
            <w:r>
              <w:rPr>
                <w:rFonts w:ascii="Arial" w:cs="Arial" w:eastAsia="Arial" w:hAnsi="Arial"/>
                <w:sz w:val="18"/>
                <w:szCs w:val="18"/>
                <w:color w:val="auto"/>
              </w:rPr>
              <w:t>the project.</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1120" w:type="dxa"/>
            <w:vAlign w:val="bottom"/>
          </w:tcPr>
          <w:p>
            <w:pPr>
              <w:spacing w:after="0"/>
              <w:rPr>
                <w:sz w:val="24"/>
                <w:szCs w:val="24"/>
                <w:color w:val="auto"/>
              </w:rPr>
            </w:pPr>
          </w:p>
        </w:tc>
        <w:tc>
          <w:tcPr>
            <w:tcW w:w="8320" w:type="dxa"/>
            <w:vAlign w:val="bottom"/>
          </w:tcPr>
          <w:p>
            <w:pPr>
              <w:ind w:left="3760"/>
              <w:spacing w:after="0"/>
              <w:rPr>
                <w:sz w:val="20"/>
                <w:szCs w:val="20"/>
                <w:color w:val="auto"/>
              </w:rPr>
            </w:pPr>
            <w:r>
              <w:rPr>
                <w:rFonts w:ascii="Arial" w:cs="Arial" w:eastAsia="Arial" w:hAnsi="Arial"/>
                <w:sz w:val="18"/>
                <w:szCs w:val="18"/>
                <w:color w:val="auto"/>
              </w:rPr>
              <w:t>EXHIBIT 3-4, PAGE 2</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3" w:name="page424"/>
    <w:bookmarkEnd w:id="423"/>
    <w:tbl>
      <w:tblPr>
        <w:tblLayout w:type="fixed"/>
        <w:tblInd w:w="0" w:type="dxa"/>
        <w:tblCellMar>
          <w:top w:w="0" w:type="dxa"/>
          <w:left w:w="0" w:type="dxa"/>
          <w:bottom w:w="0" w:type="dxa"/>
          <w:right w:w="0" w:type="dxa"/>
        </w:tblCellMar>
      </w:tblPr>
      <w:tr>
        <w:trPr>
          <w:trHeight w:val="178"/>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Scope Description</w:t>
            </w:r>
          </w:p>
        </w:tc>
        <w:tc>
          <w:tcPr>
            <w:tcW w:w="16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6"/>
              </w:rPr>
              <w:t>Landlord</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7"/>
              </w:rPr>
              <w:t>Tenant</w:t>
            </w:r>
          </w:p>
        </w:tc>
      </w:tr>
      <w:tr>
        <w:trPr>
          <w:trHeight w:val="296"/>
        </w:trPr>
        <w:tc>
          <w:tcPr>
            <w:tcW w:w="93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lab sinks per room descriptions below with bases and</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w:t>
            </w:r>
          </w:p>
        </w:tc>
        <w:tc>
          <w:tcPr>
            <w:tcW w:w="10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underground plumbing to new gravity fed pH neutralization system, compressed air and vacuum to Chemical</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Fume Hoods, (16) emergency eyewash/emergency showers, new vacuum pump, new air compressor. Provide</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water tie-in accomodation for RODI polishing unit at one sink per lab. Provide tempered water system for</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emergency showers and eyewashes.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 </w:t>
            </w:r>
            <w:r>
              <w:rPr>
                <w:rFonts w:ascii="Arial" w:cs="Arial" w:eastAsia="Arial" w:hAnsi="Arial"/>
                <w:sz w:val="18"/>
                <w:szCs w:val="18"/>
                <w:color w:val="auto"/>
              </w:rPr>
              <w:t>Tenant shall receive their pro-rata share of the existing 800 kW generator that serves the Building.</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Landlord shall provide DDC controls and tie into EMS. Landlord to furnish and install submeter for Tenant</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utility consumption. Landlord shall provide 120 and 208 power to all equipment in the Equipment Room.</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Chemistry Lab Specifications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vinyl stipple ceilings, hollow metal door frames with wood veneer</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doors (lab doors have half panel lites)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equipment: </w:t>
            </w:r>
            <w:r>
              <w:rPr>
                <w:rFonts w:ascii="Arial" w:cs="Arial" w:eastAsia="Arial" w:hAnsi="Arial"/>
                <w:sz w:val="18"/>
                <w:szCs w:val="18"/>
                <w:color w:val="auto"/>
              </w:rPr>
              <w:t>Furnish and install (6) 6’ Low Flow Chemical Fume Hoods and (1) 6’ Normal Flow Chemical</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Fume Hood.</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(3) lab sinks with bases plumbed to pH neutralization system,</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(15) vacuum drops, (10) compressed air drops, (10) argon drops, (1) nitrogen drop, (1) CO2 drop.</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90-ton, 18,000 CFM, 100% outside air, McQuay make up air unit. Furnish and</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16"/>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install new ductwork and VAV boxes with hot water reheat coils. Chemistry lab will utilize Tek Air hood</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management systems for the Chemical Fume Hoods and the supply air for the room.</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Power wiring for lab equipment.</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Synthesis and Synthesis Tank Specifications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static dissipative VCT flooring, vinyl stipple ceilings, hollow metal door frames</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with wood veneer doors (lab doors have half panel lites)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equipment: </w:t>
            </w:r>
            <w:r>
              <w:rPr>
                <w:rFonts w:ascii="Arial" w:cs="Arial" w:eastAsia="Arial" w:hAnsi="Arial"/>
                <w:sz w:val="18"/>
                <w:szCs w:val="18"/>
                <w:color w:val="auto"/>
              </w:rPr>
              <w:t>Furnish and install (1) 8’ Low Flow Chemical Fume Hood</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24"/>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(1) lab sink with bases plumbed to pH neutralization system, (5)</w:t>
            </w:r>
          </w:p>
        </w:tc>
        <w:tc>
          <w:tcPr>
            <w:tcW w:w="1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360" w:type="dxa"/>
            <w:vAlign w:val="bottom"/>
            <w:gridSpan w:val="2"/>
          </w:tcPr>
          <w:p>
            <w:pPr>
              <w:ind w:left="180"/>
              <w:spacing w:after="0"/>
              <w:rPr>
                <w:sz w:val="20"/>
                <w:szCs w:val="20"/>
                <w:color w:val="auto"/>
              </w:rPr>
            </w:pPr>
            <w:r>
              <w:rPr>
                <w:rFonts w:ascii="Arial" w:cs="Arial" w:eastAsia="Arial" w:hAnsi="Arial"/>
                <w:sz w:val="18"/>
                <w:szCs w:val="18"/>
                <w:color w:val="auto"/>
              </w:rPr>
              <w:t>vacuum drops, (5) compressed air drops, (5) argon drops.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1120" w:type="dxa"/>
            <w:vAlign w:val="bottom"/>
          </w:tcPr>
          <w:p>
            <w:pPr>
              <w:spacing w:after="0"/>
              <w:rPr>
                <w:sz w:val="24"/>
                <w:szCs w:val="24"/>
                <w:color w:val="auto"/>
              </w:rPr>
            </w:pPr>
          </w:p>
        </w:tc>
        <w:tc>
          <w:tcPr>
            <w:tcW w:w="8240" w:type="dxa"/>
            <w:vAlign w:val="bottom"/>
          </w:tcPr>
          <w:p>
            <w:pPr>
              <w:ind w:left="3760"/>
              <w:spacing w:after="0"/>
              <w:rPr>
                <w:sz w:val="20"/>
                <w:szCs w:val="20"/>
                <w:color w:val="auto"/>
              </w:rPr>
            </w:pPr>
            <w:r>
              <w:rPr>
                <w:rFonts w:ascii="Arial" w:cs="Arial" w:eastAsia="Arial" w:hAnsi="Arial"/>
                <w:sz w:val="18"/>
                <w:szCs w:val="18"/>
                <w:color w:val="auto"/>
              </w:rPr>
              <w:t>EXHIBIT 3-4, PAGE 3</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4" w:name="page425"/>
    <w:bookmarkEnd w:id="424"/>
    <w:tbl>
      <w:tblPr>
        <w:tblLayout w:type="fixed"/>
        <w:tblInd w:w="0" w:type="dxa"/>
        <w:tblCellMar>
          <w:top w:w="0" w:type="dxa"/>
          <w:left w:w="0" w:type="dxa"/>
          <w:bottom w:w="0" w:type="dxa"/>
          <w:right w:w="0" w:type="dxa"/>
        </w:tblCellMar>
      </w:tblPr>
      <w:tr>
        <w:trPr>
          <w:trHeight w:val="178"/>
        </w:trPr>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Scope Description</w:t>
            </w: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Landlord</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Tenant</w:t>
            </w:r>
          </w:p>
        </w:tc>
      </w:tr>
      <w:tr>
        <w:trPr>
          <w:trHeight w:val="296"/>
        </w:trPr>
        <w:tc>
          <w:tcPr>
            <w:tcW w:w="98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90-ton, 18,000 CFM, 100% outside air, McQuay make up air unit. Furnish and install new</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w:t>
            </w:r>
          </w:p>
        </w:tc>
        <w:tc>
          <w:tcPr>
            <w:tcW w:w="5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16"/>
        </w:trPr>
        <w:tc>
          <w:tcPr>
            <w:tcW w:w="9860" w:type="dxa"/>
            <w:vAlign w:val="bottom"/>
            <w:gridSpan w:val="2"/>
          </w:tcPr>
          <w:p>
            <w:pPr>
              <w:ind w:left="180"/>
              <w:spacing w:after="0"/>
              <w:rPr>
                <w:sz w:val="20"/>
                <w:szCs w:val="20"/>
                <w:color w:val="auto"/>
              </w:rPr>
            </w:pPr>
            <w:r>
              <w:rPr>
                <w:rFonts w:ascii="Arial" w:cs="Arial" w:eastAsia="Arial" w:hAnsi="Arial"/>
                <w:sz w:val="18"/>
                <w:szCs w:val="18"/>
                <w:color w:val="auto"/>
                <w:w w:val="99"/>
              </w:rPr>
              <w:t>ductwork and VAV boxes with hot water reheat coils. The Synthesis Lab will utilize Tek Air hood management systems for</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the Chemical Fume hoods and the supply air for the room.</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 Power wiring</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for lab equipment.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Purification Analysis Lab Specifications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vinyl stipple ceilings, hollow metal door frames with wood veneer doors (lab</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doors have half panel lites)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(1) lab sink with bases plumbed to pH neutralization system, (4) vacuum</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drops, (4) compressed air drops, (4) nitrogen drops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90-ton, 18,000 CFM, 100% outside air, McQuay make up air unit. Furnish and install new</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ductwork and VAV boxes with hot water reheat coils.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 Power wiring</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for lab equipment.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Cell Culture Room Specifications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vinyl stipple ceilings, hollow metal door frames with wood veneer doors (lab</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doors have half panel lites)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equipment: </w:t>
            </w:r>
            <w:r>
              <w:rPr>
                <w:rFonts w:ascii="Arial" w:cs="Arial" w:eastAsia="Arial" w:hAnsi="Arial"/>
                <w:sz w:val="18"/>
                <w:szCs w:val="18"/>
                <w:color w:val="auto"/>
              </w:rPr>
              <w:t>Furnish and install (4) Bio Safety Cabinets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Plumbing and lab utilities: </w:t>
            </w:r>
            <w:r>
              <w:rPr>
                <w:rFonts w:ascii="Arial" w:cs="Arial" w:eastAsia="Arial" w:hAnsi="Arial"/>
                <w:sz w:val="18"/>
                <w:szCs w:val="18"/>
                <w:color w:val="auto"/>
              </w:rPr>
              <w:t>Furnish and install (1) lab sink with bases plumbed to pH neutralization system, (7) vacuum</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drops, (2) CO2 drops.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40-ton, 8,000 CFM, 100% outside air, AAON make up air unit. Furnish and install new</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ductwork and VAV boxes with hot water reheat coils.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 Power wiring</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for lab equipment.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Glass Wash Room Specifications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 xml:space="preserve">Finishes: </w:t>
            </w:r>
            <w:r>
              <w:rPr>
                <w:rFonts w:ascii="Arial" w:cs="Arial" w:eastAsia="Arial" w:hAnsi="Arial"/>
                <w:sz w:val="18"/>
                <w:szCs w:val="18"/>
                <w:color w:val="auto"/>
                <w:w w:val="99"/>
              </w:rPr>
              <w:t>Furnish and install epoxy flooring, epoxy ceilings, hollow metal door frames with metal door (lab doors have half</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panel lites)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1120" w:type="dxa"/>
            <w:vAlign w:val="bottom"/>
          </w:tcPr>
          <w:p>
            <w:pPr>
              <w:spacing w:after="0"/>
              <w:rPr>
                <w:sz w:val="24"/>
                <w:szCs w:val="24"/>
                <w:color w:val="auto"/>
              </w:rPr>
            </w:pPr>
          </w:p>
        </w:tc>
        <w:tc>
          <w:tcPr>
            <w:tcW w:w="8740" w:type="dxa"/>
            <w:vAlign w:val="bottom"/>
          </w:tcPr>
          <w:p>
            <w:pPr>
              <w:ind w:left="3760"/>
              <w:spacing w:after="0"/>
              <w:rPr>
                <w:sz w:val="20"/>
                <w:szCs w:val="20"/>
                <w:color w:val="auto"/>
              </w:rPr>
            </w:pPr>
            <w:r>
              <w:rPr>
                <w:rFonts w:ascii="Arial" w:cs="Arial" w:eastAsia="Arial" w:hAnsi="Arial"/>
                <w:sz w:val="18"/>
                <w:szCs w:val="18"/>
                <w:color w:val="auto"/>
              </w:rPr>
              <w:t>EXHIBIT 3-4, PAGE 4</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5" w:name="page426"/>
    <w:bookmarkEnd w:id="425"/>
    <w:tbl>
      <w:tblPr>
        <w:tblLayout w:type="fixed"/>
        <w:tblInd w:w="0" w:type="dxa"/>
        <w:tblCellMar>
          <w:top w:w="0" w:type="dxa"/>
          <w:left w:w="0" w:type="dxa"/>
          <w:bottom w:w="0" w:type="dxa"/>
          <w:right w:w="0" w:type="dxa"/>
        </w:tblCellMar>
      </w:tblPr>
      <w:tr>
        <w:trPr>
          <w:trHeight w:val="178"/>
        </w:trPr>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Scope Description</w:t>
            </w: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Landlord</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Tenant</w:t>
            </w:r>
          </w:p>
        </w:tc>
      </w:tr>
      <w:tr>
        <w:trPr>
          <w:trHeight w:val="296"/>
        </w:trPr>
        <w:tc>
          <w:tcPr>
            <w:tcW w:w="98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 xml:space="preserve">Lab equipment: </w:t>
            </w:r>
            <w:r>
              <w:rPr>
                <w:rFonts w:ascii="Arial" w:cs="Arial" w:eastAsia="Arial" w:hAnsi="Arial"/>
                <w:sz w:val="18"/>
                <w:szCs w:val="18"/>
                <w:color w:val="auto"/>
              </w:rPr>
              <w:t>Furnish and install (1) Under Counter Glass Washer in fixed sink base. Furnish and install utilities and</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w:t>
            </w:r>
          </w:p>
        </w:tc>
        <w:tc>
          <w:tcPr>
            <w:tcW w:w="5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services future standalone autoclave including electrical capacity (up to 208 power), drains, water, and exhaust.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w w:val="96"/>
              </w:rPr>
              <w:t xml:space="preserve">Plumbing and lab utilities: </w:t>
            </w:r>
            <w:r>
              <w:rPr>
                <w:rFonts w:ascii="Arial" w:cs="Arial" w:eastAsia="Arial" w:hAnsi="Arial"/>
                <w:sz w:val="18"/>
                <w:szCs w:val="18"/>
                <w:color w:val="auto"/>
                <w:w w:val="96"/>
              </w:rPr>
              <w:t>Furnish and install (1) glass wash sink plumbed to pH neutralization system, emergency eyewash</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and emergency showers. Provide plumbing for new stainless steel scullery sink to be installed in the future.</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90-ton, 18,000 CFM, 100% outside air, McQuay make up air unit. Furnish and install new</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ductwork and VAV boxes with hot water reheat coils.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indirect/direct 2’x4’ and 2’x2’ LED lighting coordinated with bench locations. Power wiring</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for lab equipment.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Biology Lab Specifications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Finishes: </w:t>
            </w:r>
            <w:r>
              <w:rPr>
                <w:rFonts w:ascii="Arial" w:cs="Arial" w:eastAsia="Arial" w:hAnsi="Arial"/>
                <w:sz w:val="18"/>
                <w:szCs w:val="18"/>
                <w:color w:val="auto"/>
              </w:rPr>
              <w:t>Furnish and install VCT flooring, vinyl stipple ceilings, hollow metal door frames with wood veneer doors (lab</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doors have half panel lites)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Lab case work: </w:t>
            </w:r>
            <w:r>
              <w:rPr>
                <w:rFonts w:ascii="Arial" w:cs="Arial" w:eastAsia="Arial" w:hAnsi="Arial"/>
                <w:sz w:val="18"/>
                <w:szCs w:val="18"/>
                <w:color w:val="auto"/>
              </w:rPr>
              <w:t>See allowance description above.</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w w:val="98"/>
              </w:rPr>
              <w:t xml:space="preserve">Plumbing and lab utilities: </w:t>
            </w:r>
            <w:r>
              <w:rPr>
                <w:rFonts w:ascii="Arial" w:cs="Arial" w:eastAsia="Arial" w:hAnsi="Arial"/>
                <w:sz w:val="18"/>
                <w:szCs w:val="18"/>
                <w:color w:val="auto"/>
                <w:w w:val="98"/>
              </w:rPr>
              <w:t>Install underground plumbing for (4) future lab sinks to pH neutralization system. Distribution of</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all other lab utilities and gases is not included.</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HVAC: </w:t>
            </w:r>
            <w:r>
              <w:rPr>
                <w:rFonts w:ascii="Arial" w:cs="Arial" w:eastAsia="Arial" w:hAnsi="Arial"/>
                <w:sz w:val="18"/>
                <w:szCs w:val="18"/>
                <w:color w:val="auto"/>
              </w:rPr>
              <w:t>Air supplied by existing 40-ton, 8,000 CFM, 100% outside air, AAON make up air unit. Duct work shall be stubbed</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to the lab to condition space but no branch distribution throughout the Bio Lab.</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9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Electrical: </w:t>
            </w:r>
            <w:r>
              <w:rPr>
                <w:rFonts w:ascii="Arial" w:cs="Arial" w:eastAsia="Arial" w:hAnsi="Arial"/>
                <w:sz w:val="18"/>
                <w:szCs w:val="18"/>
                <w:color w:val="auto"/>
              </w:rPr>
              <w:t>Furnish and install convenience outlet at each wall. Furnish and install 2’x2’ LED light fixtures to light room.</w:t>
            </w: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X</w:t>
            </w:r>
          </w:p>
        </w:tc>
        <w:tc>
          <w:tcPr>
            <w:tcW w:w="440" w:type="dxa"/>
            <w:vAlign w:val="bottom"/>
          </w:tcPr>
          <w:p>
            <w:pPr>
              <w:spacing w:after="0"/>
              <w:rPr>
                <w:sz w:val="24"/>
                <w:szCs w:val="24"/>
                <w:color w:val="auto"/>
              </w:rPr>
            </w:pPr>
          </w:p>
        </w:tc>
      </w:tr>
      <w:tr>
        <w:trPr>
          <w:trHeight w:val="230"/>
        </w:trPr>
        <w:tc>
          <w:tcPr>
            <w:tcW w:w="9860" w:type="dxa"/>
            <w:vAlign w:val="bottom"/>
            <w:gridSpan w:val="2"/>
          </w:tcPr>
          <w:p>
            <w:pPr>
              <w:ind w:left="180"/>
              <w:spacing w:after="0"/>
              <w:rPr>
                <w:sz w:val="20"/>
                <w:szCs w:val="20"/>
                <w:color w:val="auto"/>
              </w:rPr>
            </w:pPr>
            <w:r>
              <w:rPr>
                <w:rFonts w:ascii="Arial" w:cs="Arial" w:eastAsia="Arial" w:hAnsi="Arial"/>
                <w:sz w:val="18"/>
                <w:szCs w:val="18"/>
                <w:color w:val="auto"/>
              </w:rPr>
              <w:t>Lighting and power is not intended to be coordinated with future lab benches or casework.</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Security, card access,tele-data, and A/V</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X</w:t>
            </w:r>
          </w:p>
        </w:tc>
      </w:tr>
      <w:tr>
        <w:trPr>
          <w:trHeight w:val="365"/>
        </w:trPr>
        <w:tc>
          <w:tcPr>
            <w:tcW w:w="1120" w:type="dxa"/>
            <w:vAlign w:val="bottom"/>
          </w:tcPr>
          <w:p>
            <w:pPr>
              <w:spacing w:after="0"/>
              <w:rPr>
                <w:sz w:val="24"/>
                <w:szCs w:val="24"/>
                <w:color w:val="auto"/>
              </w:rPr>
            </w:pPr>
          </w:p>
        </w:tc>
        <w:tc>
          <w:tcPr>
            <w:tcW w:w="8740" w:type="dxa"/>
            <w:vAlign w:val="bottom"/>
          </w:tcPr>
          <w:p>
            <w:pPr>
              <w:ind w:left="3760"/>
              <w:spacing w:after="0"/>
              <w:rPr>
                <w:sz w:val="20"/>
                <w:szCs w:val="20"/>
                <w:color w:val="auto"/>
              </w:rPr>
            </w:pPr>
            <w:r>
              <w:rPr>
                <w:rFonts w:ascii="Arial" w:cs="Arial" w:eastAsia="Arial" w:hAnsi="Arial"/>
                <w:sz w:val="18"/>
                <w:szCs w:val="18"/>
                <w:color w:val="auto"/>
              </w:rPr>
              <w:t>EXHIBIT 3-4, PAGE 5</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6" w:name="page427"/>
    <w:bookmarkEnd w:id="42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PLAN SHOWING PARKING AREAS ON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176530</wp:posOffset>
            </wp:positionV>
            <wp:extent cx="5445760" cy="38760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445760"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4, PAGE 1</w:t>
      </w:r>
    </w:p>
    <w:p>
      <w:pPr>
        <w:sectPr>
          <w:pgSz w:w="11900" w:h="16838" w:orient="portrait"/>
          <w:cols w:equalWidth="0" w:num="1">
            <w:col w:w="9019"/>
          </w:cols>
          <w:pgMar w:left="1440" w:top="274" w:right="1440" w:bottom="1440" w:gutter="0" w:footer="0" w:header="0"/>
        </w:sectPr>
      </w:pPr>
    </w:p>
    <w:bookmarkStart w:id="427" w:name="page428"/>
    <w:bookmarkEnd w:id="427"/>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3720" w:type="dxa"/>
            <w:vAlign w:val="bottom"/>
            <w:gridSpan w:val="2"/>
          </w:tcPr>
          <w:p>
            <w:pPr>
              <w:ind w:left="1960"/>
              <w:spacing w:after="0"/>
              <w:rPr>
                <w:sz w:val="20"/>
                <w:szCs w:val="20"/>
                <w:color w:val="auto"/>
              </w:rPr>
            </w:pPr>
            <w:r>
              <w:rPr>
                <w:rFonts w:ascii="Arial" w:cs="Arial" w:eastAsia="Arial" w:hAnsi="Arial"/>
                <w:sz w:val="18"/>
                <w:szCs w:val="18"/>
                <w:color w:val="auto"/>
              </w:rPr>
              <w:t>EXHIBIT 5</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3720" w:type="dxa"/>
            <w:vAlign w:val="bottom"/>
            <w:gridSpan w:val="2"/>
          </w:tcPr>
          <w:p>
            <w:pPr>
              <w:ind w:left="1160"/>
              <w:spacing w:after="0"/>
              <w:rPr>
                <w:sz w:val="20"/>
                <w:szCs w:val="20"/>
                <w:color w:val="auto"/>
              </w:rPr>
            </w:pPr>
            <w:r>
              <w:rPr>
                <w:rFonts w:ascii="Arial" w:cs="Arial" w:eastAsia="Arial" w:hAnsi="Arial"/>
                <w:sz w:val="18"/>
                <w:szCs w:val="18"/>
                <w:color w:val="auto"/>
                <w:w w:val="98"/>
              </w:rPr>
              <w:t>FORM OF LETTER OF CREDIT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BENEFICIARY:</w:t>
            </w:r>
          </w:p>
        </w:tc>
        <w:tc>
          <w:tcPr>
            <w:tcW w:w="4780" w:type="dxa"/>
            <w:vAlign w:val="bottom"/>
            <w:gridSpan w:val="5"/>
          </w:tcPr>
          <w:p>
            <w:pPr>
              <w:ind w:left="2640"/>
              <w:spacing w:after="0"/>
              <w:rPr>
                <w:sz w:val="20"/>
                <w:szCs w:val="20"/>
                <w:color w:val="auto"/>
              </w:rPr>
            </w:pPr>
            <w:r>
              <w:rPr>
                <w:rFonts w:ascii="Arial" w:cs="Arial" w:eastAsia="Arial" w:hAnsi="Arial"/>
                <w:sz w:val="18"/>
                <w:szCs w:val="18"/>
                <w:color w:val="auto"/>
              </w:rPr>
              <w:t>ISSUANCE DATE:</w:t>
            </w:r>
          </w:p>
        </w:tc>
        <w:tc>
          <w:tcPr>
            <w:tcW w:w="0" w:type="dxa"/>
            <w:vAlign w:val="bottom"/>
          </w:tcPr>
          <w:p>
            <w:pPr>
              <w:spacing w:after="0"/>
              <w:rPr>
                <w:sz w:val="1"/>
                <w:szCs w:val="1"/>
                <w:color w:val="auto"/>
              </w:rPr>
            </w:pPr>
          </w:p>
        </w:tc>
      </w:tr>
      <w:tr>
        <w:trPr>
          <w:trHeight w:val="310"/>
        </w:trPr>
        <w:tc>
          <w:tcPr>
            <w:tcW w:w="3320" w:type="dxa"/>
            <w:vAlign w:val="bottom"/>
          </w:tcPr>
          <w:p>
            <w:pPr>
              <w:spacing w:after="0"/>
              <w:rPr>
                <w:sz w:val="20"/>
                <w:szCs w:val="20"/>
                <w:color w:val="auto"/>
              </w:rPr>
            </w:pPr>
            <w:r>
              <w:rPr>
                <w:rFonts w:ascii="Arial" w:cs="Arial" w:eastAsia="Arial" w:hAnsi="Arial"/>
                <w:sz w:val="18"/>
                <w:szCs w:val="18"/>
                <w:color w:val="auto"/>
              </w:rPr>
              <w:t>&lt; &gt;</w:t>
            </w: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[LANDLORD]</w:t>
            </w:r>
          </w:p>
        </w:tc>
        <w:tc>
          <w:tcPr>
            <w:tcW w:w="4780" w:type="dxa"/>
            <w:vAlign w:val="bottom"/>
            <w:gridSpan w:val="5"/>
            <w:vMerge w:val="restart"/>
          </w:tcPr>
          <w:p>
            <w:pPr>
              <w:ind w:left="2640"/>
              <w:spacing w:after="0"/>
              <w:rPr>
                <w:sz w:val="20"/>
                <w:szCs w:val="20"/>
                <w:color w:val="auto"/>
              </w:rPr>
            </w:pPr>
            <w:r>
              <w:rPr>
                <w:rFonts w:ascii="Arial" w:cs="Arial" w:eastAsia="Arial" w:hAnsi="Arial"/>
                <w:sz w:val="18"/>
                <w:szCs w:val="18"/>
                <w:color w:val="auto"/>
                <w:w w:val="97"/>
              </w:rPr>
              <w:t>IRREVOCABLE STANDBY</w:t>
            </w: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47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4780" w:type="dxa"/>
            <w:vAlign w:val="bottom"/>
            <w:gridSpan w:val="5"/>
          </w:tcPr>
          <w:p>
            <w:pPr>
              <w:ind w:left="2640"/>
              <w:spacing w:after="0"/>
              <w:rPr>
                <w:sz w:val="20"/>
                <w:szCs w:val="20"/>
                <w:color w:val="auto"/>
              </w:rPr>
            </w:pPr>
            <w:r>
              <w:rPr>
                <w:rFonts w:ascii="Arial" w:cs="Arial" w:eastAsia="Arial" w:hAnsi="Arial"/>
                <w:sz w:val="18"/>
                <w:szCs w:val="18"/>
                <w:color w:val="auto"/>
              </w:rPr>
              <w:t>LETTER OF CREDIT NO.</w:t>
            </w:r>
          </w:p>
        </w:tc>
        <w:tc>
          <w:tcPr>
            <w:tcW w:w="0" w:type="dxa"/>
            <w:vAlign w:val="bottom"/>
          </w:tcPr>
          <w:p>
            <w:pPr>
              <w:spacing w:after="0"/>
              <w:rPr>
                <w:sz w:val="1"/>
                <w:szCs w:val="1"/>
                <w:color w:val="auto"/>
              </w:rPr>
            </w:pPr>
          </w:p>
        </w:tc>
      </w:tr>
      <w:tr>
        <w:trPr>
          <w:trHeight w:val="310"/>
        </w:trPr>
        <w:tc>
          <w:tcPr>
            <w:tcW w:w="3320" w:type="dxa"/>
            <w:vAlign w:val="bottom"/>
          </w:tcPr>
          <w:p>
            <w:pPr>
              <w:spacing w:after="0"/>
              <w:rPr>
                <w:sz w:val="20"/>
                <w:szCs w:val="20"/>
                <w:color w:val="auto"/>
              </w:rPr>
            </w:pPr>
            <w:r>
              <w:rPr>
                <w:rFonts w:ascii="Arial" w:cs="Arial" w:eastAsia="Arial" w:hAnsi="Arial"/>
                <w:sz w:val="18"/>
                <w:szCs w:val="18"/>
                <w:color w:val="auto"/>
              </w:rPr>
              <w:t>ACCOUNTEE/APPLICANT:</w:t>
            </w:r>
          </w:p>
        </w:tc>
        <w:tc>
          <w:tcPr>
            <w:tcW w:w="4780" w:type="dxa"/>
            <w:vAlign w:val="bottom"/>
            <w:gridSpan w:val="5"/>
          </w:tcPr>
          <w:p>
            <w:pPr>
              <w:ind w:left="2640"/>
              <w:spacing w:after="0"/>
              <w:rPr>
                <w:sz w:val="20"/>
                <w:szCs w:val="20"/>
                <w:color w:val="auto"/>
              </w:rPr>
            </w:pPr>
            <w:r>
              <w:rPr>
                <w:rFonts w:ascii="Arial" w:cs="Arial" w:eastAsia="Arial" w:hAnsi="Arial"/>
                <w:sz w:val="18"/>
                <w:szCs w:val="18"/>
                <w:color w:val="auto"/>
              </w:rPr>
              <w:t>MAXIMUM/AGGREGATE</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4780" w:type="dxa"/>
            <w:vAlign w:val="bottom"/>
            <w:gridSpan w:val="5"/>
          </w:tcPr>
          <w:p>
            <w:pPr>
              <w:ind w:left="2640"/>
              <w:spacing w:after="0"/>
              <w:rPr>
                <w:sz w:val="20"/>
                <w:szCs w:val="20"/>
                <w:color w:val="auto"/>
              </w:rPr>
            </w:pPr>
            <w:r>
              <w:rPr>
                <w:rFonts w:ascii="Arial" w:cs="Arial" w:eastAsia="Arial" w:hAnsi="Arial"/>
                <w:sz w:val="18"/>
                <w:szCs w:val="18"/>
                <w:color w:val="auto"/>
              </w:rPr>
              <w:t>CREDIT AMOUNT:</w:t>
            </w:r>
          </w:p>
        </w:tc>
        <w:tc>
          <w:tcPr>
            <w:tcW w:w="0" w:type="dxa"/>
            <w:vAlign w:val="bottom"/>
          </w:tcPr>
          <w:p>
            <w:pPr>
              <w:spacing w:after="0"/>
              <w:rPr>
                <w:sz w:val="1"/>
                <w:szCs w:val="1"/>
                <w:color w:val="auto"/>
              </w:rPr>
            </w:pPr>
          </w:p>
        </w:tc>
      </w:tr>
      <w:tr>
        <w:trPr>
          <w:trHeight w:val="190"/>
        </w:trPr>
        <w:tc>
          <w:tcPr>
            <w:tcW w:w="3320" w:type="dxa"/>
            <w:vAlign w:val="bottom"/>
          </w:tcPr>
          <w:p>
            <w:pPr>
              <w:spacing w:after="0" w:line="190" w:lineRule="exact"/>
              <w:rPr>
                <w:sz w:val="20"/>
                <w:szCs w:val="20"/>
                <w:color w:val="auto"/>
              </w:rPr>
            </w:pPr>
            <w:r>
              <w:rPr>
                <w:rFonts w:ascii="Arial" w:cs="Arial" w:eastAsia="Arial" w:hAnsi="Arial"/>
                <w:sz w:val="18"/>
                <w:szCs w:val="18"/>
                <w:color w:val="auto"/>
              </w:rPr>
              <w:t>&lt; &gt;</w:t>
            </w:r>
          </w:p>
        </w:tc>
        <w:tc>
          <w:tcPr>
            <w:tcW w:w="3180" w:type="dxa"/>
            <w:vAlign w:val="bottom"/>
          </w:tcPr>
          <w:p>
            <w:pPr>
              <w:ind w:left="2640"/>
              <w:spacing w:after="0" w:line="190" w:lineRule="exact"/>
              <w:rPr>
                <w:sz w:val="20"/>
                <w:szCs w:val="20"/>
                <w:color w:val="auto"/>
              </w:rPr>
            </w:pPr>
            <w:r>
              <w:rPr>
                <w:rFonts w:ascii="Arial" w:cs="Arial" w:eastAsia="Arial" w:hAnsi="Arial"/>
                <w:sz w:val="18"/>
                <w:szCs w:val="18"/>
                <w:color w:val="auto"/>
                <w:w w:val="89"/>
              </w:rPr>
              <w:t>USD: $</w:t>
            </w:r>
          </w:p>
        </w:tc>
        <w:tc>
          <w:tcPr>
            <w:tcW w:w="540" w:type="dxa"/>
            <w:vAlign w:val="bottom"/>
          </w:tcPr>
          <w:p>
            <w:pPr>
              <w:spacing w:after="0"/>
              <w:rPr>
                <w:sz w:val="16"/>
                <w:szCs w:val="16"/>
                <w:color w:val="auto"/>
              </w:rPr>
            </w:pPr>
          </w:p>
        </w:tc>
        <w:tc>
          <w:tcPr>
            <w:tcW w:w="400" w:type="dxa"/>
            <w:vAlign w:val="bottom"/>
            <w:gridSpan w:val="2"/>
          </w:tcPr>
          <w:p>
            <w:pPr>
              <w:jc w:val="right"/>
              <w:ind w:right="360"/>
              <w:spacing w:after="0"/>
              <w:rPr>
                <w:sz w:val="20"/>
                <w:szCs w:val="20"/>
                <w:color w:val="auto"/>
              </w:rPr>
            </w:pPr>
            <w:r>
              <w:rPr>
                <w:rFonts w:ascii="Arial" w:cs="Arial" w:eastAsia="Arial" w:hAnsi="Arial"/>
                <w:sz w:val="10"/>
                <w:szCs w:val="10"/>
                <w:color w:val="auto"/>
                <w:w w:val="70"/>
              </w:rPr>
              <w:t>.</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[TENANT]</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2500" w:type="dxa"/>
            <w:vAlign w:val="bottom"/>
            <w:gridSpan w:val="7"/>
          </w:tcPr>
          <w:p>
            <w:pPr>
              <w:spacing w:after="0"/>
              <w:rPr>
                <w:sz w:val="20"/>
                <w:szCs w:val="20"/>
                <w:color w:val="auto"/>
              </w:rPr>
            </w:pPr>
            <w:r>
              <w:rPr>
                <w:rFonts w:ascii="Arial" w:cs="Arial" w:eastAsia="Arial" w:hAnsi="Arial"/>
                <w:sz w:val="18"/>
                <w:szCs w:val="18"/>
                <w:color w:val="auto"/>
              </w:rPr>
              <w:t>LADIES AND GENTLEMEN:</w:t>
            </w:r>
          </w:p>
        </w:tc>
        <w:tc>
          <w:tcPr>
            <w:tcW w:w="1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9760" w:type="dxa"/>
            <w:vAlign w:val="bottom"/>
            <w:gridSpan w:val="8"/>
          </w:tcPr>
          <w:p>
            <w:pPr>
              <w:ind w:left="100"/>
              <w:spacing w:after="0"/>
              <w:rPr>
                <w:sz w:val="20"/>
                <w:szCs w:val="20"/>
                <w:color w:val="auto"/>
              </w:rPr>
            </w:pPr>
            <w:r>
              <w:rPr>
                <w:rFonts w:ascii="Arial" w:cs="Arial" w:eastAsia="Arial" w:hAnsi="Arial"/>
                <w:sz w:val="18"/>
                <w:szCs w:val="18"/>
                <w:color w:val="auto"/>
                <w:w w:val="90"/>
              </w:rPr>
              <w:t>We hereby establish our irrevocable letter of credit in your favor for account of the applicant up to an aggregate amount not to exceed</w:t>
            </w:r>
          </w:p>
        </w:tc>
        <w:tc>
          <w:tcPr>
            <w:tcW w:w="540" w:type="dxa"/>
            <w:vAlign w:val="bottom"/>
            <w:tcBorders>
              <w:bottom w:val="single" w:sz="8" w:color="auto"/>
            </w:tcBorders>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and</w:t>
            </w:r>
          </w:p>
        </w:tc>
      </w:tr>
      <w:tr>
        <w:trPr>
          <w:trHeight w:val="196"/>
        </w:trPr>
        <w:tc>
          <w:tcPr>
            <w:tcW w:w="360" w:type="dxa"/>
            <w:vAlign w:val="bottom"/>
          </w:tcPr>
          <w:p>
            <w:pPr>
              <w:spacing w:after="0"/>
              <w:rPr>
                <w:sz w:val="17"/>
                <w:szCs w:val="17"/>
                <w:color w:val="auto"/>
              </w:rPr>
            </w:pPr>
          </w:p>
        </w:tc>
        <w:tc>
          <w:tcPr>
            <w:tcW w:w="1380" w:type="dxa"/>
            <w:vAlign w:val="bottom"/>
            <w:gridSpan w:val="3"/>
          </w:tcPr>
          <w:p>
            <w:pPr>
              <w:spacing w:after="0" w:line="196" w:lineRule="exact"/>
              <w:rPr>
                <w:sz w:val="20"/>
                <w:szCs w:val="20"/>
                <w:color w:val="auto"/>
              </w:rPr>
            </w:pPr>
            <w:r>
              <w:rPr>
                <w:rFonts w:ascii="Arial" w:cs="Arial" w:eastAsia="Arial" w:hAnsi="Arial"/>
                <w:sz w:val="18"/>
                <w:szCs w:val="18"/>
                <w:color w:val="auto"/>
                <w:w w:val="92"/>
              </w:rPr>
              <w:t>/100 US Dollars ($</w:t>
            </w:r>
          </w:p>
        </w:tc>
        <w:tc>
          <w:tcPr>
            <w:tcW w:w="5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180" w:type="dxa"/>
            <w:vAlign w:val="bottom"/>
          </w:tcPr>
          <w:p>
            <w:pPr>
              <w:spacing w:after="0"/>
              <w:rPr>
                <w:sz w:val="17"/>
                <w:szCs w:val="17"/>
                <w:color w:val="auto"/>
              </w:rPr>
            </w:pPr>
          </w:p>
        </w:tc>
        <w:tc>
          <w:tcPr>
            <w:tcW w:w="8920" w:type="dxa"/>
            <w:vAlign w:val="bottom"/>
            <w:gridSpan w:val="4"/>
          </w:tcPr>
          <w:p>
            <w:pPr>
              <w:ind w:left="180"/>
              <w:spacing w:after="0" w:line="196" w:lineRule="exact"/>
              <w:rPr>
                <w:sz w:val="20"/>
                <w:szCs w:val="20"/>
                <w:color w:val="auto"/>
              </w:rPr>
            </w:pPr>
            <w:r>
              <w:rPr>
                <w:rFonts w:ascii="Arial" w:cs="Arial" w:eastAsia="Arial" w:hAnsi="Arial"/>
                <w:sz w:val="18"/>
                <w:szCs w:val="18"/>
                <w:color w:val="auto"/>
                <w:w w:val="93"/>
              </w:rPr>
              <w:t>) available by your draft(s) drawn on ourselves at sight bearing the clause “Drawn under Irrevocable Standby Letter of</w:t>
            </w:r>
          </w:p>
        </w:tc>
      </w:tr>
      <w:tr>
        <w:trPr>
          <w:trHeight w:val="20"/>
        </w:trPr>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w w:val="95"/>
              </w:rPr>
              <w:t>Credit Number</w:t>
            </w:r>
          </w:p>
        </w:tc>
        <w:tc>
          <w:tcPr>
            <w:tcW w:w="540" w:type="dxa"/>
            <w:vAlign w:val="bottom"/>
            <w:tcBorders>
              <w:bottom w:val="single" w:sz="8" w:color="auto"/>
            </w:tcBorders>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Arial" w:cs="Arial" w:eastAsia="Arial" w:hAnsi="Arial"/>
                <w:sz w:val="18"/>
                <w:szCs w:val="18"/>
                <w:color w:val="auto"/>
                <w:w w:val="91"/>
              </w:rPr>
              <w:t>” and indicating the amount to be drawn down and whether payment should be made by wire transfer (including wiring instructions) or</w:t>
            </w:r>
          </w:p>
        </w:tc>
      </w:tr>
    </w:tbl>
    <w:p>
      <w:pPr>
        <w:spacing w:after="0" w:line="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by certified check (including mailing address) accompanied by the original of this Letter of Credit and all amendments, if any. The original Letter of Credit and all amendments, if any, shall be returned to you unless fully utilized.</w:t>
      </w:r>
    </w:p>
    <w:p>
      <w:pPr>
        <w:spacing w:after="0" w:line="170" w:lineRule="exact"/>
        <w:rPr>
          <w:sz w:val="20"/>
          <w:szCs w:val="20"/>
          <w:color w:val="auto"/>
        </w:rPr>
      </w:pPr>
    </w:p>
    <w:p>
      <w:pPr>
        <w:ind w:left="460"/>
        <w:spacing w:after="0"/>
        <w:tabs>
          <w:tab w:leader="none" w:pos="8420" w:val="left"/>
          <w:tab w:leader="none" w:pos="9060" w:val="left"/>
          <w:tab w:leader="none" w:pos="9660" w:val="left"/>
        </w:tabs>
        <w:rPr>
          <w:sz w:val="20"/>
          <w:szCs w:val="20"/>
          <w:color w:val="auto"/>
        </w:rPr>
      </w:pPr>
      <w:r>
        <w:rPr>
          <w:rFonts w:ascii="Arial" w:cs="Arial" w:eastAsia="Arial" w:hAnsi="Arial"/>
          <w:sz w:val="17"/>
          <w:szCs w:val="17"/>
          <w:color w:val="auto"/>
        </w:rPr>
        <w:t>Unless otherwise stated, all correspondence, documents and sight drafts are to be sent via facsimile to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with originals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-10160</wp:posOffset>
            </wp:positionV>
            <wp:extent cx="113347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by hand delivery with receipted delivery, nationally recognized overnight courier with receipted delivery or certified mail, return receipt requested to our</w:t>
      </w:r>
    </w:p>
    <w:tbl>
      <w:tblPr>
        <w:tblLayout w:type="fixed"/>
        <w:tblInd w:w="0" w:type="dxa"/>
        <w:tblCellMar>
          <w:top w:w="0" w:type="dxa"/>
          <w:left w:w="0" w:type="dxa"/>
          <w:bottom w:w="0" w:type="dxa"/>
          <w:right w:w="0" w:type="dxa"/>
        </w:tblCellMar>
      </w:tblP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w w:val="92"/>
              </w:rPr>
              <w:t>counters at</w:t>
            </w:r>
          </w:p>
        </w:tc>
        <w:tc>
          <w:tcPr>
            <w:tcW w:w="540" w:type="dxa"/>
            <w:vAlign w:val="bottom"/>
            <w:tcBorders>
              <w:bottom w:val="single" w:sz="8" w:color="auto"/>
            </w:tcBorders>
          </w:tcPr>
          <w:p>
            <w:pPr>
              <w:spacing w:after="0"/>
              <w:rPr>
                <w:sz w:val="17"/>
                <w:szCs w:val="17"/>
                <w:color w:val="auto"/>
              </w:rPr>
            </w:pPr>
          </w:p>
        </w:tc>
        <w:tc>
          <w:tcPr>
            <w:tcW w:w="9900" w:type="dxa"/>
            <w:vAlign w:val="bottom"/>
          </w:tcPr>
          <w:p>
            <w:pPr>
              <w:spacing w:after="0" w:line="196" w:lineRule="exact"/>
              <w:rPr>
                <w:sz w:val="20"/>
                <w:szCs w:val="20"/>
                <w:color w:val="auto"/>
              </w:rPr>
            </w:pPr>
            <w:r>
              <w:rPr>
                <w:rFonts w:ascii="Arial" w:cs="Arial" w:eastAsia="Arial" w:hAnsi="Arial"/>
                <w:sz w:val="18"/>
                <w:szCs w:val="18"/>
                <w:color w:val="auto"/>
                <w:w w:val="90"/>
              </w:rPr>
              <w:t>&lt;address&gt;. The date of presentment of any draw shall be the date copies of the Letter of Credit and sight draft are faxed by Beneficiary to</w:t>
            </w:r>
          </w:p>
        </w:tc>
      </w:tr>
      <w:tr>
        <w:trPr>
          <w:trHeight w:val="196"/>
        </w:trPr>
        <w:tc>
          <w:tcPr>
            <w:tcW w:w="540" w:type="dxa"/>
            <w:vAlign w:val="bottom"/>
            <w:tcBorders>
              <w:bottom w:val="single" w:sz="8" w:color="auto"/>
            </w:tcBorders>
          </w:tcPr>
          <w:p>
            <w:pPr>
              <w:spacing w:after="0"/>
              <w:rPr>
                <w:sz w:val="17"/>
                <w:szCs w:val="17"/>
                <w:color w:val="auto"/>
              </w:rPr>
            </w:pPr>
          </w:p>
        </w:tc>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&lt;bank&gt;.</w:t>
            </w:r>
          </w:p>
        </w:tc>
        <w:tc>
          <w:tcPr>
            <w:tcW w:w="9900" w:type="dxa"/>
            <w:vAlign w:val="bottom"/>
          </w:tcPr>
          <w:p>
            <w:pPr>
              <w:spacing w:after="0"/>
              <w:rPr>
                <w:sz w:val="17"/>
                <w:szCs w:val="17"/>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shall have the right to make partial draws against this Letter of Credit, from time to time.</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You shall be entitled to assign your interest in this Irrevocable Standby Letter of Credit from time to time to your lender(s) and/or your successors in interest without our approval and without charge. In the event of an assignment, we reserve the right to require reasonable evidence of such assignment as a condition to any draw hereunder.</w:t>
      </w:r>
    </w:p>
    <w:p>
      <w:pPr>
        <w:spacing w:after="0" w:line="18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Except as otherwise expressly stated herein, this Letter of Credit is subject to the “Uniform Customs and practice for Documentary Credits, International Chamber of Commerce, Publication No. 500 (1993 Revision)”.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 PAGE 1</w:t>
      </w:r>
    </w:p>
    <w:p>
      <w:pPr>
        <w:sectPr>
          <w:pgSz w:w="11900" w:h="16838" w:orient="portrait"/>
          <w:cols w:equalWidth="0" w:num="1">
            <w:col w:w="11420"/>
          </w:cols>
          <w:pgMar w:left="240" w:top="273" w:right="239" w:bottom="1440" w:gutter="0" w:footer="0" w:header="0"/>
        </w:sectPr>
      </w:pPr>
    </w:p>
    <w:bookmarkStart w:id="428" w:name="page429"/>
    <w:bookmarkEnd w:id="428"/>
    <w:p>
      <w:pPr>
        <w:ind w:left="460"/>
        <w:spacing w:after="0"/>
        <w:tabs>
          <w:tab w:leader="none" w:pos="4540" w:val="left"/>
          <w:tab w:leader="none" w:pos="5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of Credit shall expire at our office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u w:val="single" w:color="auto"/>
          <w:color w:val="auto"/>
        </w:rPr>
        <w:t>Stated Expiration Date</w:t>
      </w:r>
      <w:r>
        <w:rPr>
          <w:rFonts w:ascii="Arial" w:cs="Arial" w:eastAsia="Arial" w:hAnsi="Arial"/>
          <w:sz w:val="16"/>
          <w:szCs w:val="16"/>
          <w:color w:val="auto"/>
        </w:rPr>
        <w:t>”). It is a condition of this Letter of Credit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-7620</wp:posOffset>
            </wp:positionV>
            <wp:extent cx="74295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Stated Expiration Date shall be deemed automatically extended without amendment for successive one (1) year periods from such Stated Expiration Date, unless at least sixty (60) days prior to such Stated Expiration Date (or any anniversary thereof) we shall send a written notice to you, with a copy to Goulston &amp; Storrs, 400 Atlantic Avenue, Boston, MA 02110, Attention: Phillip Levy, Esq. and to the Accountee/Applicant, by hand delivery, nationally recognized overnight courier with receipted delivery or by certified mail (return receipt requested) that we elect not to consider this Letter of Credit extended for any such additional one (1) year period. In the event that this Letter of Credit is not extended for an additional period as provided above, you may draw the entire amount available hereunder.</w:t>
      </w:r>
    </w:p>
    <w:p>
      <w:pPr>
        <w:spacing w:after="0" w:line="19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If at any time prior to presentation of documents for payment hereunder, we receive a notarized certificate signed by one who purports to be a duly authorized representative on your behalf to execute and deliver such certificate, stating that this Letter of Credit has been lost, stolen, damaged or destroyed, we will mail you a “Certified True Copy” of this Letter of Credit, which shall be treated by us as an original.</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 order to cancel this Letter of Credit prior to expiration, you must return this original Letter of Credit and any amendments hereto to our counters with a statement signed by you stating that the Letter of Credit is no longer required and is being returned to the issuing bank for cancellation.</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hereby agree with the drawers, endorsers and bonafide holders that the drafts drawn under and in accordance with the terms and condition of this Letter of Credit shall be duly honored upon presentation.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 PAGE 2</w:t>
      </w:r>
    </w:p>
    <w:p>
      <w:pPr>
        <w:sectPr>
          <w:pgSz w:w="11900" w:h="16838" w:orient="portrait"/>
          <w:cols w:equalWidth="0" w:num="1">
            <w:col w:w="11420"/>
          </w:cols>
          <w:pgMar w:left="240" w:top="270" w:right="239" w:bottom="1440" w:gutter="0" w:footer="0" w:header="0"/>
        </w:sectPr>
      </w:pPr>
    </w:p>
    <w:bookmarkStart w:id="429" w:name="page430"/>
    <w:bookmarkEnd w:id="429"/>
    <w:p>
      <w:pPr>
        <w:jc w:val="center"/>
        <w:ind w:right="-64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ind w:left="4125"/>
        <w:spacing w:after="0"/>
        <w:rPr>
          <w:sz w:val="20"/>
          <w:szCs w:val="20"/>
          <w:color w:val="auto"/>
        </w:rPr>
      </w:pPr>
      <w:r>
        <w:rPr>
          <w:rFonts w:ascii="Arial" w:cs="Arial" w:eastAsia="Arial" w:hAnsi="Arial"/>
          <w:sz w:val="18"/>
          <w:szCs w:val="18"/>
          <w:color w:val="auto"/>
        </w:rPr>
        <w:t>LANDLORD’S SERVICES</w:t>
      </w:r>
    </w:p>
    <w:p>
      <w:pPr>
        <w:spacing w:after="0" w:line="252" w:lineRule="exact"/>
        <w:rPr>
          <w:sz w:val="20"/>
          <w:szCs w:val="20"/>
          <w:color w:val="auto"/>
        </w:rPr>
      </w:pPr>
    </w:p>
    <w:p>
      <w:pPr>
        <w:ind w:left="325" w:hanging="325"/>
        <w:spacing w:after="0"/>
        <w:tabs>
          <w:tab w:leader="none" w:pos="32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Hot/cold water to common restrooms</w:t>
      </w:r>
    </w:p>
    <w:p>
      <w:pPr>
        <w:spacing w:after="0" w:line="130" w:lineRule="exact"/>
        <w:rPr>
          <w:rFonts w:ascii="Arial" w:cs="Arial" w:eastAsia="Arial" w:hAnsi="Arial"/>
          <w:sz w:val="18"/>
          <w:szCs w:val="18"/>
          <w:color w:val="auto"/>
        </w:rPr>
      </w:pPr>
    </w:p>
    <w:p>
      <w:pPr>
        <w:ind w:left="325" w:hanging="325"/>
        <w:spacing w:after="0"/>
        <w:tabs>
          <w:tab w:leader="none" w:pos="32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Electricity for interior Common Areas</w:t>
      </w:r>
    </w:p>
    <w:p>
      <w:pPr>
        <w:spacing w:after="0" w:line="130" w:lineRule="exact"/>
        <w:rPr>
          <w:rFonts w:ascii="Arial" w:cs="Arial" w:eastAsia="Arial" w:hAnsi="Arial"/>
          <w:sz w:val="18"/>
          <w:szCs w:val="18"/>
          <w:color w:val="auto"/>
        </w:rPr>
      </w:pPr>
    </w:p>
    <w:p>
      <w:pPr>
        <w:ind w:left="325" w:hanging="325"/>
        <w:spacing w:after="0"/>
        <w:tabs>
          <w:tab w:leader="none" w:pos="32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Snow and ice removal</w:t>
      </w:r>
    </w:p>
    <w:p>
      <w:pPr>
        <w:spacing w:after="0" w:line="130" w:lineRule="exact"/>
        <w:rPr>
          <w:rFonts w:ascii="Arial" w:cs="Arial" w:eastAsia="Arial" w:hAnsi="Arial"/>
          <w:sz w:val="18"/>
          <w:szCs w:val="18"/>
          <w:color w:val="auto"/>
        </w:rPr>
      </w:pPr>
    </w:p>
    <w:p>
      <w:pPr>
        <w:ind w:left="325" w:hanging="325"/>
        <w:spacing w:after="0"/>
        <w:tabs>
          <w:tab w:leader="none" w:pos="32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Management and administrative service</w:t>
      </w:r>
    </w:p>
    <w:p>
      <w:pPr>
        <w:spacing w:after="0" w:line="130" w:lineRule="exact"/>
        <w:rPr>
          <w:rFonts w:ascii="Arial" w:cs="Arial" w:eastAsia="Arial" w:hAnsi="Arial"/>
          <w:sz w:val="18"/>
          <w:szCs w:val="18"/>
          <w:color w:val="auto"/>
        </w:rPr>
      </w:pPr>
    </w:p>
    <w:p>
      <w:pPr>
        <w:ind w:left="325" w:hanging="325"/>
        <w:spacing w:after="0"/>
        <w:tabs>
          <w:tab w:leader="none" w:pos="32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Grounds maintenance</w:t>
      </w:r>
    </w:p>
    <w:p>
      <w:pPr>
        <w:spacing w:after="0" w:line="130" w:lineRule="exact"/>
        <w:rPr>
          <w:rFonts w:ascii="Arial" w:cs="Arial" w:eastAsia="Arial" w:hAnsi="Arial"/>
          <w:sz w:val="18"/>
          <w:szCs w:val="18"/>
          <w:color w:val="auto"/>
        </w:rPr>
      </w:pPr>
    </w:p>
    <w:p>
      <w:pPr>
        <w:ind w:left="4365" w:right="2099" w:hanging="4365"/>
        <w:spacing w:after="0" w:line="449" w:lineRule="auto"/>
        <w:tabs>
          <w:tab w:leader="none" w:pos="31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Such other services as Landlord reasonably determines are necessary or appropriate for the Property EXHIBIT 6, PAGE 1</w:t>
      </w:r>
    </w:p>
    <w:p>
      <w:pPr>
        <w:sectPr>
          <w:pgSz w:w="11900" w:h="16838" w:orient="portrait"/>
          <w:cols w:equalWidth="0" w:num="1">
            <w:col w:w="9644"/>
          </w:cols>
          <w:pgMar w:left="815" w:top="274" w:right="1440" w:bottom="1440" w:gutter="0" w:footer="0" w:header="0"/>
        </w:sectPr>
      </w:pPr>
    </w:p>
    <w:bookmarkStart w:id="430" w:name="page431"/>
    <w:bookmarkEnd w:id="430"/>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7"/>
          </w:tcPr>
          <w:p>
            <w:pPr>
              <w:jc w:val="center"/>
              <w:ind w:right="1700"/>
              <w:spacing w:after="0"/>
              <w:rPr>
                <w:sz w:val="20"/>
                <w:szCs w:val="20"/>
                <w:color w:val="auto"/>
              </w:rPr>
            </w:pPr>
            <w:r>
              <w:rPr>
                <w:rFonts w:ascii="Arial" w:cs="Arial" w:eastAsia="Arial" w:hAnsi="Arial"/>
                <w:sz w:val="18"/>
                <w:szCs w:val="18"/>
                <w:color w:val="auto"/>
                <w:w w:val="98"/>
              </w:rPr>
              <w:t>EXHIBIT 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27"/>
          </w:tcPr>
          <w:p>
            <w:pPr>
              <w:jc w:val="center"/>
              <w:ind w:right="830"/>
              <w:spacing w:after="0"/>
              <w:rPr>
                <w:sz w:val="20"/>
                <w:szCs w:val="20"/>
                <w:color w:val="auto"/>
              </w:rPr>
            </w:pPr>
            <w:r>
              <w:rPr>
                <w:rFonts w:ascii="Arial" w:cs="Arial" w:eastAsia="Arial" w:hAnsi="Arial"/>
                <w:sz w:val="18"/>
                <w:szCs w:val="18"/>
                <w:b w:val="1"/>
                <w:bCs w:val="1"/>
                <w:color w:val="auto"/>
                <w:w w:val="99"/>
              </w:rPr>
              <w:t>LANDLORD CONSENT TO ASSIGNMENT AND ASSUMPTION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3220" w:type="dxa"/>
            <w:vAlign w:val="bottom"/>
            <w:gridSpan w:val="6"/>
          </w:tcPr>
          <w:p>
            <w:pPr>
              <w:ind w:left="460"/>
              <w:spacing w:after="0"/>
              <w:rPr>
                <w:sz w:val="20"/>
                <w:szCs w:val="20"/>
                <w:color w:val="auto"/>
              </w:rPr>
            </w:pPr>
            <w:r>
              <w:rPr>
                <w:rFonts w:ascii="Arial" w:cs="Arial" w:eastAsia="Arial" w:hAnsi="Arial"/>
                <w:sz w:val="18"/>
                <w:szCs w:val="18"/>
                <w:color w:val="auto"/>
                <w:w w:val="90"/>
              </w:rPr>
              <w:t>This Consent is entered into as of this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3"/>
          </w:tcPr>
          <w:p>
            <w:pPr>
              <w:ind w:left="40"/>
              <w:spacing w:after="0"/>
              <w:rPr>
                <w:sz w:val="20"/>
                <w:szCs w:val="20"/>
                <w:color w:val="auto"/>
              </w:rPr>
            </w:pPr>
            <w:r>
              <w:rPr>
                <w:rFonts w:ascii="Arial" w:cs="Arial" w:eastAsia="Arial" w:hAnsi="Arial"/>
                <w:sz w:val="18"/>
                <w:szCs w:val="18"/>
                <w:color w:val="auto"/>
                <w:w w:val="97"/>
              </w:rPr>
              <w:t>day of</w:t>
            </w:r>
          </w:p>
        </w:tc>
        <w:tc>
          <w:tcPr>
            <w:tcW w:w="32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 19</w:t>
            </w:r>
          </w:p>
        </w:tc>
        <w:tc>
          <w:tcPr>
            <w:tcW w:w="3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color w:val="auto"/>
                <w:w w:val="92"/>
              </w:rPr>
              <w:t>by and among</w:t>
            </w:r>
          </w:p>
        </w:tc>
        <w:tc>
          <w:tcPr>
            <w:tcW w:w="1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 a(n)</w:t>
            </w:r>
          </w:p>
        </w:tc>
        <w:tc>
          <w:tcPr>
            <w:tcW w:w="700" w:type="dxa"/>
            <w:vAlign w:val="bottom"/>
            <w:gridSpan w:val="3"/>
          </w:tcPr>
          <w:p>
            <w:pPr>
              <w:spacing w:after="0"/>
              <w:rPr>
                <w:sz w:val="24"/>
                <w:szCs w:val="24"/>
                <w:color w:val="auto"/>
              </w:rPr>
            </w:pPr>
          </w:p>
        </w:tc>
        <w:tc>
          <w:tcPr>
            <w:tcW w:w="1780" w:type="dxa"/>
            <w:vAlign w:val="bottom"/>
            <w:gridSpan w:val="6"/>
          </w:tcPr>
          <w:p>
            <w:pPr>
              <w:ind w:left="200"/>
              <w:spacing w:after="0"/>
              <w:rPr>
                <w:sz w:val="20"/>
                <w:szCs w:val="20"/>
                <w:color w:val="auto"/>
              </w:rPr>
            </w:pPr>
            <w:r>
              <w:rPr>
                <w:rFonts w:ascii="Arial" w:cs="Arial" w:eastAsia="Arial" w:hAnsi="Arial"/>
                <w:sz w:val="18"/>
                <w:szCs w:val="18"/>
                <w:color w:val="auto"/>
              </w:rPr>
              <w:t>, (“Landlord”),</w:t>
            </w:r>
          </w:p>
        </w:tc>
        <w:tc>
          <w:tcPr>
            <w:tcW w:w="320" w:type="dxa"/>
            <w:vAlign w:val="bottom"/>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60" w:type="dxa"/>
            <w:vAlign w:val="bottom"/>
          </w:tcPr>
          <w:p>
            <w:pPr>
              <w:spacing w:after="0" w:line="196" w:lineRule="exact"/>
              <w:rPr>
                <w:sz w:val="20"/>
                <w:szCs w:val="20"/>
                <w:color w:val="auto"/>
              </w:rPr>
            </w:pPr>
            <w:r>
              <w:rPr>
                <w:rFonts w:ascii="Arial" w:cs="Arial" w:eastAsia="Arial" w:hAnsi="Arial"/>
                <w:sz w:val="18"/>
                <w:szCs w:val="18"/>
                <w:b w:val="1"/>
                <w:bCs w:val="1"/>
                <w:color w:val="auto"/>
              </w:rPr>
              <w:t>, a(n)</w:t>
            </w:r>
          </w:p>
        </w:tc>
        <w:tc>
          <w:tcPr>
            <w:tcW w:w="13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7"/>
          </w:tcPr>
          <w:p>
            <w:pPr>
              <w:ind w:left="40"/>
              <w:spacing w:after="0" w:line="196" w:lineRule="exact"/>
              <w:rPr>
                <w:sz w:val="20"/>
                <w:szCs w:val="20"/>
                <w:color w:val="auto"/>
              </w:rPr>
            </w:pPr>
            <w:r>
              <w:rPr>
                <w:rFonts w:ascii="Arial" w:cs="Arial" w:eastAsia="Arial" w:hAnsi="Arial"/>
                <w:sz w:val="18"/>
                <w:szCs w:val="18"/>
                <w:color w:val="auto"/>
                <w:w w:val="94"/>
              </w:rPr>
              <w:t>(“Assignor”)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gridSpan w:val="6"/>
          </w:tcPr>
          <w:p>
            <w:pPr>
              <w:ind w:left="580"/>
              <w:spacing w:after="0" w:line="196" w:lineRule="exact"/>
              <w:rPr>
                <w:sz w:val="20"/>
                <w:szCs w:val="20"/>
                <w:color w:val="auto"/>
              </w:rPr>
            </w:pPr>
            <w:r>
              <w:rPr>
                <w:rFonts w:ascii="Arial" w:cs="Arial" w:eastAsia="Arial" w:hAnsi="Arial"/>
                <w:sz w:val="18"/>
                <w:szCs w:val="18"/>
                <w:b w:val="1"/>
                <w:bCs w:val="1"/>
                <w:color w:val="auto"/>
              </w:rPr>
              <w:t>, a(n)</w:t>
            </w:r>
          </w:p>
        </w:tc>
        <w:tc>
          <w:tcPr>
            <w:tcW w:w="1240" w:type="dxa"/>
            <w:vAlign w:val="bottom"/>
            <w:gridSpan w:val="8"/>
          </w:tcPr>
          <w:p>
            <w:pPr>
              <w:ind w:left="40"/>
              <w:spacing w:after="0" w:line="196" w:lineRule="exact"/>
              <w:rPr>
                <w:sz w:val="20"/>
                <w:szCs w:val="20"/>
                <w:color w:val="auto"/>
              </w:rPr>
            </w:pPr>
            <w:r>
              <w:rPr>
                <w:rFonts w:ascii="Arial" w:cs="Arial" w:eastAsia="Arial" w:hAnsi="Arial"/>
                <w:sz w:val="18"/>
                <w:szCs w:val="18"/>
                <w:color w:val="auto"/>
              </w:rPr>
              <w:t>(“Assignee”).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69"/>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7"/>
          </w:tcPr>
          <w:p>
            <w:pPr>
              <w:jc w:val="center"/>
              <w:ind w:right="1700"/>
              <w:spacing w:after="0"/>
              <w:rPr>
                <w:sz w:val="20"/>
                <w:szCs w:val="20"/>
                <w:color w:val="auto"/>
              </w:rPr>
            </w:pPr>
            <w:r>
              <w:rPr>
                <w:rFonts w:ascii="Arial" w:cs="Arial" w:eastAsia="Arial" w:hAnsi="Arial"/>
                <w:sz w:val="18"/>
                <w:szCs w:val="18"/>
                <w:b w:val="1"/>
                <w:bCs w:val="1"/>
                <w:color w:val="auto"/>
                <w:w w:val="99"/>
              </w:rPr>
              <w:t>RECITALS: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9"/>
        </w:trPr>
        <w:tc>
          <w:tcPr>
            <w:tcW w:w="3100" w:type="dxa"/>
            <w:vAlign w:val="bottom"/>
            <w:gridSpan w:val="4"/>
          </w:tcPr>
          <w:p>
            <w:pPr>
              <w:spacing w:after="0"/>
              <w:rPr>
                <w:sz w:val="20"/>
                <w:szCs w:val="20"/>
                <w:color w:val="auto"/>
              </w:rPr>
            </w:pPr>
            <w:r>
              <w:rPr>
                <w:rFonts w:ascii="Arial" w:cs="Arial" w:eastAsia="Arial" w:hAnsi="Arial"/>
                <w:sz w:val="18"/>
                <w:szCs w:val="18"/>
                <w:color w:val="auto"/>
                <w:w w:val="95"/>
              </w:rPr>
              <w:t>A.   Landlord (as successor in interest to</w:t>
            </w:r>
          </w:p>
        </w:tc>
        <w:tc>
          <w:tcPr>
            <w:tcW w:w="240" w:type="dxa"/>
            <w:vAlign w:val="bottom"/>
            <w:tcBorders>
              <w:bottom w:val="single" w:sz="8" w:color="auto"/>
            </w:tcBorders>
            <w:gridSpan w:val="3"/>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80" w:type="dxa"/>
            <w:vAlign w:val="bottom"/>
            <w:gridSpan w:val="14"/>
          </w:tcPr>
          <w:p>
            <w:pPr>
              <w:spacing w:after="0"/>
              <w:rPr>
                <w:sz w:val="20"/>
                <w:szCs w:val="20"/>
                <w:color w:val="auto"/>
              </w:rPr>
            </w:pPr>
            <w:r>
              <w:rPr>
                <w:rFonts w:ascii="Arial" w:cs="Arial" w:eastAsia="Arial" w:hAnsi="Arial"/>
                <w:sz w:val="18"/>
                <w:szCs w:val="18"/>
                <w:color w:val="auto"/>
                <w:w w:val="89"/>
              </w:rPr>
              <w:t>), as landlord, and Assignor (as successor in interest to</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gridSpan w:val="7"/>
          </w:tcPr>
          <w:p>
            <w:pPr>
              <w:spacing w:after="0"/>
              <w:rPr>
                <w:sz w:val="20"/>
                <w:szCs w:val="20"/>
                <w:color w:val="auto"/>
              </w:rPr>
            </w:pPr>
            <w:r>
              <w:rPr>
                <w:rFonts w:ascii="Arial" w:cs="Arial" w:eastAsia="Arial" w:hAnsi="Arial"/>
                <w:sz w:val="18"/>
                <w:szCs w:val="18"/>
                <w:color w:val="auto"/>
                <w:w w:val="88"/>
              </w:rPr>
              <w:t>), as tenant, are parties to that</w:t>
            </w:r>
          </w:p>
        </w:tc>
        <w:tc>
          <w:tcPr>
            <w:tcW w:w="320" w:type="dxa"/>
            <w:vAlign w:val="bottom"/>
          </w:tcPr>
          <w:p>
            <w:pPr>
              <w:spacing w:after="0"/>
              <w:rPr>
                <w:sz w:val="24"/>
                <w:szCs w:val="24"/>
                <w:color w:val="auto"/>
              </w:rPr>
            </w:pPr>
          </w:p>
        </w:tc>
      </w:tr>
      <w:tr>
        <w:trPr>
          <w:trHeight w:val="196"/>
        </w:trPr>
        <w:tc>
          <w:tcPr>
            <w:tcW w:w="2620" w:type="dxa"/>
            <w:vAlign w:val="bottom"/>
            <w:gridSpan w:val="3"/>
          </w:tcPr>
          <w:p>
            <w:pPr>
              <w:ind w:left="460"/>
              <w:spacing w:after="0" w:line="196" w:lineRule="exact"/>
              <w:rPr>
                <w:sz w:val="20"/>
                <w:szCs w:val="20"/>
                <w:color w:val="auto"/>
              </w:rPr>
            </w:pPr>
            <w:r>
              <w:rPr>
                <w:rFonts w:ascii="Arial" w:cs="Arial" w:eastAsia="Arial" w:hAnsi="Arial"/>
                <w:sz w:val="18"/>
                <w:szCs w:val="18"/>
                <w:color w:val="auto"/>
                <w:w w:val="88"/>
              </w:rPr>
              <w:t>certain lease agreement dated</w:t>
            </w:r>
          </w:p>
        </w:tc>
        <w:tc>
          <w:tcPr>
            <w:tcW w:w="72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gridSpan w:val="14"/>
          </w:tcPr>
          <w:p>
            <w:pPr>
              <w:spacing w:after="0" w:line="196" w:lineRule="exact"/>
              <w:rPr>
                <w:sz w:val="20"/>
                <w:szCs w:val="20"/>
                <w:color w:val="auto"/>
              </w:rPr>
            </w:pPr>
            <w:r>
              <w:rPr>
                <w:rFonts w:ascii="Arial" w:cs="Arial" w:eastAsia="Arial" w:hAnsi="Arial"/>
                <w:sz w:val="18"/>
                <w:szCs w:val="18"/>
                <w:color w:val="auto"/>
                <w:w w:val="89"/>
              </w:rPr>
              <w:t>, as amended and/or assigned by instrument(s) dated</w:t>
            </w:r>
          </w:p>
        </w:tc>
        <w:tc>
          <w:tcPr>
            <w:tcW w:w="640" w:type="dxa"/>
            <w:vAlign w:val="bottom"/>
            <w:gridSpan w:val="2"/>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6"/>
          </w:tcPr>
          <w:p>
            <w:pPr>
              <w:spacing w:after="0" w:line="196" w:lineRule="exact"/>
              <w:rPr>
                <w:sz w:val="20"/>
                <w:szCs w:val="20"/>
                <w:color w:val="auto"/>
              </w:rPr>
            </w:pPr>
            <w:r>
              <w:rPr>
                <w:rFonts w:ascii="Arial" w:cs="Arial" w:eastAsia="Arial" w:hAnsi="Arial"/>
                <w:sz w:val="18"/>
                <w:szCs w:val="18"/>
                <w:color w:val="auto"/>
              </w:rPr>
              <w:t>, and</w:t>
            </w:r>
          </w:p>
        </w:tc>
        <w:tc>
          <w:tcPr>
            <w:tcW w:w="320" w:type="dxa"/>
            <w:vAlign w:val="bottom"/>
          </w:tcPr>
          <w:p>
            <w:pPr>
              <w:spacing w:after="0"/>
              <w:rPr>
                <w:sz w:val="17"/>
                <w:szCs w:val="17"/>
                <w:color w:val="auto"/>
              </w:rPr>
            </w:pPr>
          </w:p>
        </w:tc>
      </w:tr>
      <w:tr>
        <w:trPr>
          <w:trHeight w:val="20"/>
        </w:trPr>
        <w:tc>
          <w:tcPr>
            <w:tcW w:w="2620" w:type="dxa"/>
            <w:vAlign w:val="bottom"/>
            <w:gridSpan w:val="3"/>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9220" w:type="dxa"/>
            <w:vAlign w:val="bottom"/>
            <w:gridSpan w:val="32"/>
          </w:tcPr>
          <w:p>
            <w:pPr>
              <w:ind w:left="460"/>
              <w:spacing w:after="0" w:line="196" w:lineRule="exact"/>
              <w:rPr>
                <w:sz w:val="20"/>
                <w:szCs w:val="20"/>
                <w:color w:val="auto"/>
              </w:rPr>
            </w:pPr>
            <w:r>
              <w:rPr>
                <w:rFonts w:ascii="Arial" w:cs="Arial" w:eastAsia="Arial" w:hAnsi="Arial"/>
                <w:sz w:val="18"/>
                <w:szCs w:val="18"/>
                <w:color w:val="auto"/>
                <w:w w:val="91"/>
              </w:rPr>
              <w:t>(collectively, the “Lease”) pursuant to which Landlord has leased to Assignor certain premises containing approximately</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4"/>
              </w:rPr>
              <w:t>rentable square feet</w:t>
            </w:r>
          </w:p>
        </w:tc>
      </w:tr>
      <w:tr>
        <w:trPr>
          <w:trHeight w:val="196"/>
        </w:trPr>
        <w:tc>
          <w:tcPr>
            <w:tcW w:w="3340" w:type="dxa"/>
            <w:vAlign w:val="bottom"/>
            <w:gridSpan w:val="7"/>
          </w:tcPr>
          <w:p>
            <w:pPr>
              <w:ind w:left="460"/>
              <w:spacing w:after="0" w:line="196" w:lineRule="exact"/>
              <w:rPr>
                <w:sz w:val="20"/>
                <w:szCs w:val="20"/>
                <w:color w:val="auto"/>
              </w:rPr>
            </w:pPr>
            <w:r>
              <w:rPr>
                <w:rFonts w:ascii="Arial" w:cs="Arial" w:eastAsia="Arial" w:hAnsi="Arial"/>
                <w:sz w:val="18"/>
                <w:szCs w:val="18"/>
                <w:color w:val="auto"/>
                <w:w w:val="92"/>
              </w:rPr>
              <w:t>(the “Premises”) known as Suite No(s).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5"/>
          </w:tcPr>
          <w:p>
            <w:pPr>
              <w:spacing w:after="0" w:line="196" w:lineRule="exact"/>
              <w:rPr>
                <w:sz w:val="20"/>
                <w:szCs w:val="20"/>
                <w:color w:val="auto"/>
              </w:rPr>
            </w:pPr>
            <w:r>
              <w:rPr>
                <w:rFonts w:ascii="Arial" w:cs="Arial" w:eastAsia="Arial" w:hAnsi="Arial"/>
                <w:sz w:val="18"/>
                <w:szCs w:val="18"/>
                <w:color w:val="auto"/>
              </w:rPr>
              <w:t>on the</w:t>
            </w:r>
          </w:p>
        </w:tc>
        <w:tc>
          <w:tcPr>
            <w:tcW w:w="3360" w:type="dxa"/>
            <w:vAlign w:val="bottom"/>
            <w:gridSpan w:val="10"/>
          </w:tcPr>
          <w:p>
            <w:pPr>
              <w:ind w:left="20"/>
              <w:spacing w:after="0" w:line="196" w:lineRule="exact"/>
              <w:rPr>
                <w:sz w:val="20"/>
                <w:szCs w:val="20"/>
                <w:color w:val="auto"/>
              </w:rPr>
            </w:pPr>
            <w:r>
              <w:rPr>
                <w:rFonts w:ascii="Arial" w:cs="Arial" w:eastAsia="Arial" w:hAnsi="Arial"/>
                <w:sz w:val="18"/>
                <w:szCs w:val="18"/>
                <w:color w:val="auto"/>
                <w:w w:val="96"/>
              </w:rPr>
              <w:t>floor(s) of the building commonly known as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8"/>
          </w:tcPr>
          <w:p>
            <w:pPr>
              <w:ind w:left="40"/>
              <w:spacing w:after="0" w:line="196" w:lineRule="exact"/>
              <w:rPr>
                <w:sz w:val="20"/>
                <w:szCs w:val="20"/>
                <w:color w:val="auto"/>
              </w:rPr>
            </w:pPr>
            <w:r>
              <w:rPr>
                <w:rFonts w:ascii="Arial" w:cs="Arial" w:eastAsia="Arial" w:hAnsi="Arial"/>
                <w:sz w:val="18"/>
                <w:szCs w:val="18"/>
                <w:color w:val="auto"/>
              </w:rPr>
              <w:t>located at</w:t>
            </w: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w w:val="83"/>
              </w:rPr>
              <w:t>(the</w:t>
            </w:r>
          </w:p>
        </w:tc>
      </w:tr>
      <w:tr>
        <w:trPr>
          <w:trHeight w:val="237"/>
        </w:trPr>
        <w:tc>
          <w:tcPr>
            <w:tcW w:w="3340" w:type="dxa"/>
            <w:vAlign w:val="bottom"/>
            <w:gridSpan w:val="7"/>
          </w:tcPr>
          <w:p>
            <w:pPr>
              <w:ind w:left="460"/>
              <w:spacing w:after="0"/>
              <w:rPr>
                <w:sz w:val="20"/>
                <w:szCs w:val="20"/>
                <w:color w:val="auto"/>
              </w:rPr>
            </w:pPr>
            <w:r>
              <w:rPr>
                <w:rFonts w:ascii="Arial" w:cs="Arial" w:eastAsia="Arial" w:hAnsi="Arial"/>
                <w:sz w:val="18"/>
                <w:szCs w:val="18"/>
                <w:color w:val="auto"/>
              </w:rPr>
              <w:t>“Building”).</w:t>
            </w: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160" w:hanging="452"/>
        <w:spacing w:after="0" w:line="282" w:lineRule="auto"/>
        <w:tabs>
          <w:tab w:leader="none" w:pos="4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Assignor and Assignee have entered into that certain agreement (“Assignment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whereby Assignor assigned all of its right, title and interest in and to the Lease to Assignee.</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Assignor and Assignee have requested Landlord’s consent to the Assignment Agreement and the transaction described therein.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Landlord has agreed to give such consent upon the terms and conditions contained in this Consent.</w:t>
      </w:r>
    </w:p>
    <w:p>
      <w:pPr>
        <w:spacing w:after="0" w:line="117" w:lineRule="exact"/>
        <w:rPr>
          <w:rFonts w:ascii="Arial" w:cs="Arial" w:eastAsia="Arial" w:hAnsi="Arial"/>
          <w:sz w:val="18"/>
          <w:szCs w:val="18"/>
          <w:color w:val="auto"/>
        </w:rPr>
      </w:pPr>
    </w:p>
    <w:p>
      <w:pPr>
        <w:ind w:left="460" w:right="620"/>
        <w:spacing w:after="0" w:line="342" w:lineRule="auto"/>
        <w:rPr>
          <w:rFonts w:ascii="Arial" w:cs="Arial" w:eastAsia="Arial" w:hAnsi="Arial"/>
          <w:sz w:val="18"/>
          <w:szCs w:val="18"/>
          <w:color w:val="auto"/>
        </w:rPr>
      </w:pPr>
      <w:r>
        <w:rPr>
          <w:rFonts w:ascii="Arial" w:cs="Arial" w:eastAsia="Arial" w:hAnsi="Arial"/>
          <w:sz w:val="16"/>
          <w:szCs w:val="16"/>
          <w:color w:val="auto"/>
        </w:rPr>
        <w:t>NOW THEREFORE, in consideration of the foregoing recitals which by this reference are incorporated herein and other good and valuable consideration, the receipt and sufficiency of which are hereby acknowledged, Landlord, Assignor and Assignee agree and represent as follows:</w:t>
      </w:r>
    </w:p>
    <w:p>
      <w:pPr>
        <w:spacing w:after="0" w:line="29"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Assignment Agreement</w:t>
      </w:r>
      <w:r>
        <w:rPr>
          <w:rFonts w:ascii="Arial" w:cs="Arial" w:eastAsia="Arial" w:hAnsi="Arial"/>
          <w:sz w:val="18"/>
          <w:szCs w:val="18"/>
          <w:color w:val="auto"/>
        </w:rPr>
        <w:t xml:space="preserve">. Assignor and Assignee hereby represent and warrant that: (a) a true, complete and correct copy of the Assignment Agreement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and (b) the Assignment Agreement fully assigns all of Assignor’s right, title and interest in the Lease to Assignee (the “Transfer”).</w:t>
      </w:r>
    </w:p>
    <w:p>
      <w:pPr>
        <w:spacing w:after="0" w:line="86" w:lineRule="exact"/>
        <w:rPr>
          <w:rFonts w:ascii="Arial" w:cs="Arial" w:eastAsia="Arial" w:hAnsi="Arial"/>
          <w:sz w:val="18"/>
          <w:szCs w:val="18"/>
          <w:color w:val="auto"/>
        </w:rPr>
      </w:pPr>
    </w:p>
    <w:p>
      <w:pPr>
        <w:ind w:left="900" w:right="20" w:hanging="446"/>
        <w:spacing w:after="0" w:line="291" w:lineRule="auto"/>
        <w:tabs>
          <w:tab w:leader="none" w:pos="900"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Assignor hereby represents and warrants that Assignor (i) has full power and authority to assign its entire right, title and interest in the Lease to Assignee; (ii) has not transferred or conveyed its interest in the Lease to any person or entity, collaterally or otherwise; (iii) has</w:t>
      </w:r>
    </w:p>
    <w:p>
      <w:pPr>
        <w:ind w:left="900"/>
        <w:spacing w:after="0"/>
        <w:rPr>
          <w:sz w:val="20"/>
          <w:szCs w:val="20"/>
          <w:color w:val="auto"/>
        </w:rPr>
      </w:pPr>
      <w:r>
        <w:rPr>
          <w:rFonts w:ascii="Arial" w:cs="Arial" w:eastAsia="Arial" w:hAnsi="Arial"/>
          <w:sz w:val="16"/>
          <w:szCs w:val="16"/>
          <w:color w:val="auto"/>
        </w:rPr>
        <w:t>full power and authority to enter into the Assignment Agreement and this Consent; and (iv) has assigned the entire Security Deposit, if any, as</w:t>
      </w:r>
    </w:p>
    <w:p>
      <w:pPr>
        <w:spacing w:after="0" w:line="32" w:lineRule="exact"/>
        <w:rPr>
          <w:sz w:val="20"/>
          <w:szCs w:val="20"/>
          <w:color w:val="auto"/>
        </w:rPr>
      </w:pPr>
    </w:p>
    <w:p>
      <w:pPr>
        <w:ind w:left="900"/>
        <w:spacing w:after="0" w:line="261" w:lineRule="auto"/>
        <w:rPr>
          <w:sz w:val="20"/>
          <w:szCs w:val="20"/>
          <w:color w:val="auto"/>
        </w:rPr>
      </w:pPr>
      <w:r>
        <w:rPr>
          <w:rFonts w:ascii="Arial" w:cs="Arial" w:eastAsia="Arial" w:hAnsi="Arial"/>
          <w:sz w:val="18"/>
          <w:szCs w:val="18"/>
          <w:color w:val="auto"/>
        </w:rPr>
        <w:t>described in Section of the Lease, to Assignee, and Assignor has full power and authority to do the same. Assignee hereby represents and warrants that Assignee has full power and authority to enter into the Assignment Agreement and this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-173990</wp:posOffset>
            </wp:positionV>
            <wp:extent cx="3429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7-1, PAGE 1</w:t>
      </w:r>
    </w:p>
    <w:p>
      <w:pPr>
        <w:sectPr>
          <w:pgSz w:w="11900" w:h="16838" w:orient="portrait"/>
          <w:cols w:equalWidth="0" w:num="1">
            <w:col w:w="11380"/>
          </w:cols>
          <w:pgMar w:left="240" w:top="273" w:right="279" w:bottom="1440" w:gutter="0" w:footer="0" w:header="0"/>
        </w:sectPr>
      </w:pPr>
    </w:p>
    <w:bookmarkStart w:id="431" w:name="page432"/>
    <w:bookmarkEnd w:id="431"/>
    <w:p>
      <w:pPr>
        <w:ind w:left="820" w:right="100" w:hanging="446"/>
        <w:spacing w:after="0" w:line="276" w:lineRule="auto"/>
        <w:tabs>
          <w:tab w:leader="none" w:pos="820"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Assumption</w:t>
      </w:r>
      <w:r>
        <w:rPr>
          <w:rFonts w:ascii="Arial" w:cs="Arial" w:eastAsia="Arial" w:hAnsi="Arial"/>
          <w:sz w:val="17"/>
          <w:szCs w:val="17"/>
          <w:color w:val="auto"/>
        </w:rPr>
        <w:t>. Notwithstanding anything to the contrary contained in the Assignment Agreement, Assignee, for itself and its successors and assigns, hereby assumes and agrees to perform and be bound by all of the covenants, agreements, provisions, conditions and obligations of the tenant under the Lease, including but not limited to, the obligation to pay Landlord for all adjustments of rent and other additional charges payable pursuant to the terms of the Lease. Nothing contained in the Assignment Agreement shall be deemed to amend, modify or alter in any way the terms, covenants and conditions set forth in the Lease.</w:t>
      </w:r>
    </w:p>
    <w:p>
      <w:pPr>
        <w:spacing w:after="0" w:line="77" w:lineRule="exact"/>
        <w:rPr>
          <w:rFonts w:ascii="Arial" w:cs="Arial" w:eastAsia="Arial" w:hAnsi="Arial"/>
          <w:sz w:val="17"/>
          <w:szCs w:val="17"/>
          <w:color w:val="auto"/>
        </w:rPr>
      </w:pPr>
    </w:p>
    <w:p>
      <w:pPr>
        <w:ind w:left="820" w:hanging="446"/>
        <w:spacing w:after="0" w:line="264" w:lineRule="auto"/>
        <w:tabs>
          <w:tab w:leader="none" w:pos="82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No Release</w:t>
      </w:r>
      <w:r>
        <w:rPr>
          <w:rFonts w:ascii="Arial" w:cs="Arial" w:eastAsia="Arial" w:hAnsi="Arial"/>
          <w:sz w:val="18"/>
          <w:szCs w:val="18"/>
          <w:color w:val="auto"/>
        </w:rPr>
        <w:t>. Nothing contained in the Assignment Agreement or this Consent shall be construed as relieving or releasing the Assignor from any of its obligations under the Lease, and it is expressly understood that Assignor shall remain liable for such obligations notwithstanding the subsequent assignment(s), sublease(s) or transfer(s) of the interest of the tenant under the Lease.</w:t>
      </w:r>
    </w:p>
    <w:p>
      <w:pPr>
        <w:spacing w:after="0" w:line="7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40" w:type="dxa"/>
            <w:vAlign w:val="bottom"/>
          </w:tcPr>
          <w:p>
            <w:pPr>
              <w:jc w:val="right"/>
              <w:ind w:right="235"/>
              <w:spacing w:after="0"/>
              <w:rPr>
                <w:sz w:val="20"/>
                <w:szCs w:val="20"/>
                <w:color w:val="auto"/>
              </w:rPr>
            </w:pPr>
            <w:r>
              <w:rPr>
                <w:rFonts w:ascii="Arial" w:cs="Arial" w:eastAsia="Arial" w:hAnsi="Arial"/>
                <w:sz w:val="17"/>
                <w:szCs w:val="17"/>
                <w:color w:val="auto"/>
                <w:w w:val="70"/>
              </w:rPr>
              <w:t>5.</w:t>
            </w:r>
          </w:p>
        </w:tc>
        <w:tc>
          <w:tcPr>
            <w:tcW w:w="8840" w:type="dxa"/>
            <w:vAlign w:val="bottom"/>
            <w:gridSpan w:val="5"/>
          </w:tcPr>
          <w:p>
            <w:pPr>
              <w:spacing w:after="0"/>
              <w:rPr>
                <w:sz w:val="20"/>
                <w:szCs w:val="20"/>
                <w:color w:val="auto"/>
              </w:rPr>
            </w:pPr>
            <w:r>
              <w:rPr>
                <w:rFonts w:ascii="Arial" w:cs="Arial" w:eastAsia="Arial" w:hAnsi="Arial"/>
                <w:sz w:val="18"/>
                <w:szCs w:val="18"/>
                <w:color w:val="auto"/>
                <w:w w:val="99"/>
              </w:rPr>
              <w:t>Review Fee. Upon Assignor’s execution and delivery of this Consent, Assignor shall pay to Landlord the sum of</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w w:val="92"/>
              </w:rPr>
              <w:t>Dollars</w:t>
            </w:r>
          </w:p>
        </w:tc>
      </w:tr>
      <w:tr>
        <w:trPr>
          <w:trHeight w:val="20"/>
        </w:trPr>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w w:val="74"/>
              </w:rPr>
              <w:t>($</w:t>
            </w:r>
          </w:p>
        </w:tc>
        <w:tc>
          <w:tcPr>
            <w:tcW w:w="540" w:type="dxa"/>
            <w:vAlign w:val="bottom"/>
            <w:tcBorders>
              <w:bottom w:val="single" w:sz="8" w:color="auto"/>
            </w:tcBorders>
          </w:tcPr>
          <w:p>
            <w:pPr>
              <w:spacing w:after="0"/>
              <w:rPr>
                <w:sz w:val="17"/>
                <w:szCs w:val="17"/>
                <w:color w:val="auto"/>
              </w:rPr>
            </w:pPr>
          </w:p>
        </w:tc>
        <w:tc>
          <w:tcPr>
            <w:tcW w:w="8160" w:type="dxa"/>
            <w:vAlign w:val="bottom"/>
            <w:gridSpan w:val="3"/>
          </w:tcPr>
          <w:p>
            <w:pPr>
              <w:spacing w:after="0" w:line="196" w:lineRule="exact"/>
              <w:rPr>
                <w:sz w:val="20"/>
                <w:szCs w:val="20"/>
                <w:color w:val="auto"/>
              </w:rPr>
            </w:pPr>
            <w:r>
              <w:rPr>
                <w:rFonts w:ascii="Arial" w:cs="Arial" w:eastAsia="Arial" w:hAnsi="Arial"/>
                <w:sz w:val="18"/>
                <w:szCs w:val="18"/>
                <w:color w:val="auto"/>
              </w:rPr>
              <w:t>) in consideration for Landlord’s review of the Assignment Agreement and preparation of this Consent.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134" w:lineRule="exact"/>
        <w:rPr>
          <w:sz w:val="20"/>
          <w:szCs w:val="20"/>
          <w:color w:val="auto"/>
        </w:rPr>
      </w:pPr>
    </w:p>
    <w:p>
      <w:pPr>
        <w:ind w:left="820" w:right="160" w:hanging="446"/>
        <w:spacing w:after="0" w:line="312" w:lineRule="auto"/>
        <w:tabs>
          <w:tab w:leader="none" w:pos="820"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Landlord’s Consent</w:t>
      </w:r>
      <w:r>
        <w:rPr>
          <w:rFonts w:ascii="Arial" w:cs="Arial" w:eastAsia="Arial" w:hAnsi="Arial"/>
          <w:sz w:val="16"/>
          <w:szCs w:val="16"/>
          <w:color w:val="auto"/>
        </w:rPr>
        <w:t>. In reliance upon the agreements and representations contained in this Consent, Landlord hereby consents to the Transfer. This Consent shall not constitute a waiver of the obligation of the tenant under the Lease to obtain the Landlord’s consent to any subsequent assignment, sublease or other transfer under the Lease, nor shall it constitute a waiver of any existing defaults under the Lease.</w:t>
      </w:r>
    </w:p>
    <w:p>
      <w:pPr>
        <w:spacing w:after="0" w:line="52" w:lineRule="exact"/>
        <w:rPr>
          <w:rFonts w:ascii="Arial" w:cs="Arial" w:eastAsia="Arial" w:hAnsi="Arial"/>
          <w:sz w:val="16"/>
          <w:szCs w:val="16"/>
          <w:color w:val="auto"/>
        </w:rPr>
      </w:pPr>
    </w:p>
    <w:p>
      <w:pPr>
        <w:ind w:left="820" w:hanging="446"/>
        <w:spacing w:after="0"/>
        <w:tabs>
          <w:tab w:leader="none" w:pos="820"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Notice Address</w:t>
      </w:r>
      <w:r>
        <w:rPr>
          <w:rFonts w:ascii="Arial" w:cs="Arial" w:eastAsia="Arial" w:hAnsi="Arial"/>
          <w:sz w:val="16"/>
          <w:szCs w:val="16"/>
          <w:color w:val="auto"/>
        </w:rPr>
        <w:t>. Any notices to Assignee shall be effective when served to Assignee at the Premises in accordance with the terms of the Lease.</w:t>
      </w:r>
    </w:p>
    <w:p>
      <w:pPr>
        <w:spacing w:after="0" w:line="46" w:lineRule="exact"/>
        <w:rPr>
          <w:sz w:val="20"/>
          <w:szCs w:val="20"/>
          <w:color w:val="auto"/>
        </w:rPr>
      </w:pPr>
    </w:p>
    <w:p>
      <w:pPr>
        <w:ind w:left="820"/>
        <w:spacing w:after="0"/>
        <w:tabs>
          <w:tab w:leader="none" w:pos="10400" w:val="left"/>
        </w:tabs>
        <w:rPr>
          <w:sz w:val="20"/>
          <w:szCs w:val="20"/>
          <w:color w:val="auto"/>
        </w:rPr>
      </w:pPr>
      <w:r>
        <w:rPr>
          <w:rFonts w:ascii="Arial" w:cs="Arial" w:eastAsia="Arial" w:hAnsi="Arial"/>
          <w:sz w:val="18"/>
          <w:szCs w:val="18"/>
          <w:color w:val="auto"/>
        </w:rPr>
        <w:t>From and after the effective date of the Assignment, notices to Assignor shall be served at the following address: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5704840</wp:posOffset>
            </wp:positionH>
            <wp:positionV relativeFrom="paragraph">
              <wp:posOffset>-19050</wp:posOffset>
            </wp:positionV>
            <wp:extent cx="9144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96" w:lineRule="exact"/>
        <w:rPr>
          <w:sz w:val="20"/>
          <w:szCs w:val="20"/>
          <w:color w:val="auto"/>
        </w:rPr>
      </w:pPr>
    </w:p>
    <w:p>
      <w:pPr>
        <w:jc w:val="both"/>
        <w:ind w:left="820" w:right="200" w:hanging="446"/>
        <w:spacing w:after="0" w:line="264" w:lineRule="auto"/>
        <w:tabs>
          <w:tab w:leader="none" w:pos="82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Consent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WITNESS WHEREOF, Landlord, Assignor and Assignee have executed this Consent on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Signed and acknowledged:</w:t>
            </w: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LANDLORD:</w:t>
            </w:r>
          </w:p>
        </w:tc>
        <w:tc>
          <w:tcPr>
            <w:tcW w:w="4100" w:type="dxa"/>
            <w:vAlign w:val="bottom"/>
            <w:tcBorders>
              <w:bottom w:val="single" w:sz="8" w:color="auto"/>
            </w:tcBorders>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100"/>
              <w:spacing w:after="0"/>
              <w:rPr>
                <w:sz w:val="20"/>
                <w:szCs w:val="20"/>
                <w:color w:val="auto"/>
              </w:rPr>
            </w:pPr>
            <w:r>
              <w:rPr>
                <w:rFonts w:ascii="Arial" w:cs="Arial" w:eastAsia="Arial" w:hAnsi="Arial"/>
                <w:sz w:val="18"/>
                <w:szCs w:val="18"/>
                <w:color w:val="auto"/>
              </w:rPr>
              <w:t>in the presence of:</w:t>
            </w:r>
          </w:p>
        </w:tc>
        <w:tc>
          <w:tcPr>
            <w:tcW w:w="126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b w:val="1"/>
                <w:bCs w:val="1"/>
                <w:color w:val="auto"/>
              </w:rPr>
              <w:t>a(n)</w:t>
            </w:r>
          </w:p>
        </w:tc>
        <w:tc>
          <w:tcPr>
            <w:tcW w:w="3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820" w:type="dxa"/>
            <w:vAlign w:val="bottom"/>
          </w:tcPr>
          <w:p>
            <w:pPr>
              <w:spacing w:after="0"/>
              <w:rPr>
                <w:sz w:val="24"/>
                <w:szCs w:val="24"/>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gridSpan w:val="3"/>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80" w:type="dxa"/>
            <w:vAlign w:val="bottom"/>
            <w:tcBorders>
              <w:bottom w:val="single" w:sz="8" w:color="auto"/>
            </w:tcBorders>
            <w:gridSpan w:val="3"/>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5540" w:type="dxa"/>
            <w:vAlign w:val="bottom"/>
            <w:gridSpan w:val="4"/>
            <w:vMerge w:val="restart"/>
          </w:tcPr>
          <w:p>
            <w:pPr>
              <w:ind w:left="980"/>
              <w:spacing w:after="0"/>
              <w:rPr>
                <w:sz w:val="20"/>
                <w:szCs w:val="20"/>
                <w:color w:val="auto"/>
              </w:rPr>
            </w:pPr>
            <w:r>
              <w:rPr>
                <w:rFonts w:ascii="Arial" w:cs="Arial" w:eastAsia="Arial" w:hAnsi="Arial"/>
                <w:sz w:val="18"/>
                <w:szCs w:val="18"/>
                <w:color w:val="auto"/>
              </w:rPr>
              <w:t>EXHIBIT 7-1, PAGE 2</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820" w:type="dxa"/>
            <w:vAlign w:val="bottom"/>
          </w:tcPr>
          <w:p>
            <w:pPr>
              <w:spacing w:after="0"/>
              <w:rPr>
                <w:sz w:val="24"/>
                <w:szCs w:val="24"/>
                <w:color w:val="auto"/>
              </w:rPr>
            </w:pPr>
          </w:p>
        </w:tc>
        <w:tc>
          <w:tcPr>
            <w:tcW w:w="55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274" w:right="399" w:bottom="1440" w:gutter="0" w:footer="0" w:header="0"/>
        </w:sectPr>
      </w:pPr>
    </w:p>
    <w:bookmarkStart w:id="432" w:name="page433"/>
    <w:bookmarkEnd w:id="432"/>
    <w:p>
      <w:pPr>
        <w:ind w:left="5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160655</wp:posOffset>
            </wp:positionV>
            <wp:extent cx="268414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14605</wp:posOffset>
            </wp:positionV>
            <wp:extent cx="714375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23495</wp:posOffset>
            </wp:positionV>
            <wp:extent cx="225552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29210</wp:posOffset>
            </wp:positionV>
            <wp:extent cx="225552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2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14605</wp:posOffset>
            </wp:positionV>
            <wp:extent cx="22555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28"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26035</wp:posOffset>
            </wp:positionV>
            <wp:extent cx="268414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17145</wp:posOffset>
            </wp:positionV>
            <wp:extent cx="165544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664654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664654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664654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28" w:lineRule="exact"/>
        <w:rPr>
          <w:sz w:val="20"/>
          <w:szCs w:val="20"/>
          <w:color w:val="auto"/>
        </w:rPr>
      </w:pPr>
    </w:p>
    <w:p>
      <w:pPr>
        <w:jc w:val="center"/>
        <w:ind w:left="1160"/>
        <w:spacing w:after="0"/>
        <w:rPr>
          <w:sz w:val="20"/>
          <w:szCs w:val="20"/>
          <w:color w:val="auto"/>
        </w:rPr>
      </w:pPr>
      <w:r>
        <w:rPr>
          <w:rFonts w:ascii="Arial" w:cs="Arial" w:eastAsia="Arial" w:hAnsi="Arial"/>
          <w:sz w:val="18"/>
          <w:szCs w:val="18"/>
          <w:b w:val="1"/>
          <w:bCs w:val="1"/>
          <w:color w:val="auto"/>
        </w:rPr>
        <w:t>ASSIGNEE:</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17145</wp:posOffset>
            </wp:positionV>
            <wp:extent cx="165544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-127635</wp:posOffset>
            </wp:positionV>
            <wp:extent cx="268414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23495</wp:posOffset>
            </wp:positionV>
            <wp:extent cx="664654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664654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14605</wp:posOffset>
            </wp:positionV>
            <wp:extent cx="218694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5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EXHIBIT 7-1, PAGE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440" w:space="720"/>
            <w:col w:w="60"/>
          </w:cols>
          <w:pgMar w:left="1440" w:top="274" w:right="239" w:bottom="1440" w:gutter="0" w:footer="0" w:header="0"/>
        </w:sectPr>
      </w:pPr>
    </w:p>
    <w:bookmarkStart w:id="433" w:name="page434"/>
    <w:bookmarkEnd w:id="4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COPY OF ASSIGNMENT AGREEMENT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7-1, PAGE 4</w:t>
      </w:r>
    </w:p>
    <w:p>
      <w:pPr>
        <w:sectPr>
          <w:pgSz w:w="11900" w:h="16838" w:orient="portrait"/>
          <w:cols w:equalWidth="0" w:num="1">
            <w:col w:w="9019"/>
          </w:cols>
          <w:pgMar w:left="1440" w:top="270" w:right="1440" w:bottom="1440" w:gutter="0" w:footer="0" w:header="0"/>
        </w:sectPr>
      </w:pPr>
    </w:p>
    <w:bookmarkStart w:id="434" w:name="page435"/>
    <w:bookmarkEnd w:id="434"/>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4"/>
          </w:tcPr>
          <w:p>
            <w:pPr>
              <w:jc w:val="center"/>
              <w:ind w:left="170"/>
              <w:spacing w:after="0"/>
              <w:rPr>
                <w:sz w:val="20"/>
                <w:szCs w:val="20"/>
                <w:color w:val="auto"/>
              </w:rPr>
            </w:pPr>
            <w:r>
              <w:rPr>
                <w:rFonts w:ascii="Arial" w:cs="Arial" w:eastAsia="Arial" w:hAnsi="Arial"/>
                <w:sz w:val="18"/>
                <w:szCs w:val="18"/>
                <w:color w:val="auto"/>
                <w:w w:val="98"/>
              </w:rPr>
              <w:t>EXHIBIT 7-2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10"/>
          </w:tcPr>
          <w:p>
            <w:pPr>
              <w:jc w:val="center"/>
              <w:ind w:right="40"/>
              <w:spacing w:after="0"/>
              <w:rPr>
                <w:sz w:val="20"/>
                <w:szCs w:val="20"/>
                <w:color w:val="auto"/>
              </w:rPr>
            </w:pPr>
            <w:r>
              <w:rPr>
                <w:rFonts w:ascii="Arial" w:cs="Arial" w:eastAsia="Arial" w:hAnsi="Arial"/>
                <w:sz w:val="18"/>
                <w:szCs w:val="18"/>
                <w:color w:val="auto"/>
                <w:w w:val="96"/>
              </w:rPr>
              <w:t>LANDLORD CONSENT TO SUBLEASE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2"/>
        </w:trPr>
        <w:tc>
          <w:tcPr>
            <w:tcW w:w="7080" w:type="dxa"/>
            <w:vAlign w:val="bottom"/>
            <w:gridSpan w:val="18"/>
          </w:tcPr>
          <w:p>
            <w:pPr>
              <w:spacing w:after="0"/>
              <w:rPr>
                <w:sz w:val="20"/>
                <w:szCs w:val="20"/>
                <w:color w:val="auto"/>
              </w:rPr>
            </w:pPr>
            <w:r>
              <w:rPr>
                <w:rFonts w:ascii="Arial" w:cs="Arial" w:eastAsia="Arial" w:hAnsi="Arial"/>
                <w:sz w:val="18"/>
                <w:szCs w:val="18"/>
                <w:color w:val="auto"/>
                <w:w w:val="94"/>
              </w:rPr>
              <w:t>THIS LANDLORD CONSENT TO SUBLEASE (“Consent Agreement”) is entered into as of the</w:t>
            </w:r>
          </w:p>
        </w:tc>
        <w:tc>
          <w:tcPr>
            <w:tcW w:w="540" w:type="dxa"/>
            <w:vAlign w:val="bottom"/>
            <w:tcBorders>
              <w:bottom w:val="single" w:sz="8" w:color="auto"/>
            </w:tcBorders>
            <w:gridSpan w:val="3"/>
          </w:tcPr>
          <w:p>
            <w:pPr>
              <w:spacing w:after="0"/>
              <w:rPr>
                <w:sz w:val="24"/>
                <w:szCs w:val="24"/>
                <w:color w:val="auto"/>
              </w:rPr>
            </w:pPr>
          </w:p>
        </w:tc>
        <w:tc>
          <w:tcPr>
            <w:tcW w:w="540" w:type="dxa"/>
            <w:vAlign w:val="bottom"/>
            <w:gridSpan w:val="4"/>
          </w:tcPr>
          <w:p>
            <w:pPr>
              <w:ind w:left="40"/>
              <w:spacing w:after="0"/>
              <w:rPr>
                <w:sz w:val="20"/>
                <w:szCs w:val="20"/>
                <w:color w:val="auto"/>
              </w:rPr>
            </w:pPr>
            <w:r>
              <w:rPr>
                <w:rFonts w:ascii="Arial" w:cs="Arial" w:eastAsia="Arial" w:hAnsi="Arial"/>
                <w:sz w:val="18"/>
                <w:szCs w:val="18"/>
                <w:color w:val="auto"/>
                <w:w w:val="97"/>
              </w:rPr>
              <w:t>day of</w:t>
            </w:r>
          </w:p>
        </w:tc>
        <w:tc>
          <w:tcPr>
            <w:tcW w:w="580" w:type="dxa"/>
            <w:vAlign w:val="bottom"/>
            <w:tcBorders>
              <w:bottom w:val="single" w:sz="8" w:color="auto"/>
            </w:tcBorders>
            <w:gridSpan w:val="4"/>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3"/>
              </w:rPr>
              <w:t>, 20</w:t>
            </w:r>
          </w:p>
        </w:tc>
        <w:tc>
          <w:tcPr>
            <w:tcW w:w="180" w:type="dxa"/>
            <w:vAlign w:val="bottom"/>
            <w:tcBorders>
              <w:bottom w:val="single" w:sz="8" w:color="auto"/>
            </w:tcBorders>
          </w:tcPr>
          <w:p>
            <w:pPr>
              <w:spacing w:after="0"/>
              <w:rPr>
                <w:sz w:val="24"/>
                <w:szCs w:val="24"/>
                <w:color w:val="auto"/>
              </w:rPr>
            </w:pPr>
          </w:p>
        </w:tc>
        <w:tc>
          <w:tcPr>
            <w:tcW w:w="2260" w:type="dxa"/>
            <w:vAlign w:val="bottom"/>
            <w:gridSpan w:val="10"/>
          </w:tcPr>
          <w:p>
            <w:pPr>
              <w:spacing w:after="0"/>
              <w:rPr>
                <w:sz w:val="20"/>
                <w:szCs w:val="20"/>
                <w:color w:val="auto"/>
              </w:rPr>
            </w:pPr>
            <w:r>
              <w:rPr>
                <w:rFonts w:ascii="Arial" w:cs="Arial" w:eastAsia="Arial" w:hAnsi="Arial"/>
                <w:sz w:val="18"/>
                <w:szCs w:val="18"/>
                <w:color w:val="auto"/>
              </w:rPr>
              <w:t>, by and among</w:t>
            </w:r>
          </w:p>
        </w:tc>
      </w:tr>
      <w:tr>
        <w:trPr>
          <w:trHeight w:val="196"/>
        </w:trPr>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40" w:type="dxa"/>
            <w:vAlign w:val="bottom"/>
            <w:gridSpan w:val="2"/>
          </w:tcPr>
          <w:p>
            <w:pPr>
              <w:spacing w:after="0" w:line="196" w:lineRule="exact"/>
              <w:rPr>
                <w:sz w:val="20"/>
                <w:szCs w:val="20"/>
                <w:color w:val="auto"/>
              </w:rPr>
            </w:pPr>
            <w:r>
              <w:rPr>
                <w:rFonts w:ascii="Arial" w:cs="Arial" w:eastAsia="Arial" w:hAnsi="Arial"/>
                <w:sz w:val="18"/>
                <w:szCs w:val="18"/>
                <w:color w:val="auto"/>
                <w:w w:val="99"/>
              </w:rPr>
              <w:t>, a(n)</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(“Landlord”),</w:t>
            </w: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auto"/>
                <w:w w:val="99"/>
              </w:rPr>
              <w:t>, a(n)</w:t>
            </w:r>
          </w:p>
        </w:tc>
        <w:tc>
          <w:tcPr>
            <w:tcW w:w="900" w:type="dxa"/>
            <w:vAlign w:val="bottom"/>
            <w:tcBorders>
              <w:bottom w:val="single" w:sz="8" w:color="auto"/>
            </w:tcBorders>
            <w:gridSpan w:val="2"/>
          </w:tcPr>
          <w:p>
            <w:pPr>
              <w:spacing w:after="0"/>
              <w:rPr>
                <w:sz w:val="17"/>
                <w:szCs w:val="17"/>
                <w:color w:val="auto"/>
              </w:rPr>
            </w:pPr>
          </w:p>
        </w:tc>
        <w:tc>
          <w:tcPr>
            <w:tcW w:w="1600" w:type="dxa"/>
            <w:vAlign w:val="bottom"/>
            <w:gridSpan w:val="9"/>
          </w:tcPr>
          <w:p>
            <w:pPr>
              <w:ind w:left="40"/>
              <w:spacing w:after="0" w:line="196" w:lineRule="exact"/>
              <w:rPr>
                <w:sz w:val="20"/>
                <w:szCs w:val="20"/>
                <w:color w:val="auto"/>
              </w:rPr>
            </w:pPr>
            <w:r>
              <w:rPr>
                <w:rFonts w:ascii="Arial" w:cs="Arial" w:eastAsia="Arial" w:hAnsi="Arial"/>
                <w:sz w:val="18"/>
                <w:szCs w:val="18"/>
                <w:color w:val="auto"/>
                <w:w w:val="96"/>
              </w:rPr>
              <w:t>(“Sublandlord”), and</w:t>
            </w:r>
          </w:p>
        </w:tc>
        <w:tc>
          <w:tcPr>
            <w:tcW w:w="520" w:type="dxa"/>
            <w:vAlign w:val="bottom"/>
            <w:tcBorders>
              <w:bottom w:val="single" w:sz="8" w:color="auto"/>
            </w:tcBorders>
            <w:gridSpan w:val="3"/>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line="196" w:lineRule="exact"/>
              <w:rPr>
                <w:sz w:val="20"/>
                <w:szCs w:val="20"/>
                <w:color w:val="auto"/>
              </w:rPr>
            </w:pPr>
            <w:r>
              <w:rPr>
                <w:rFonts w:ascii="Arial" w:cs="Arial" w:eastAsia="Arial" w:hAnsi="Arial"/>
                <w:sz w:val="18"/>
                <w:szCs w:val="18"/>
                <w:color w:val="auto"/>
                <w:w w:val="95"/>
              </w:rPr>
              <w:t>, a(n)</w:t>
            </w:r>
          </w:p>
        </w:tc>
        <w:tc>
          <w:tcPr>
            <w:tcW w:w="900" w:type="dxa"/>
            <w:vAlign w:val="bottom"/>
            <w:tcBorders>
              <w:bottom w:val="single" w:sz="8" w:color="auto"/>
            </w:tcBorders>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222"/>
        </w:trPr>
        <w:tc>
          <w:tcPr>
            <w:tcW w:w="1880" w:type="dxa"/>
            <w:vAlign w:val="bottom"/>
            <w:gridSpan w:val="4"/>
          </w:tcPr>
          <w:p>
            <w:pPr>
              <w:spacing w:after="0"/>
              <w:rPr>
                <w:sz w:val="20"/>
                <w:szCs w:val="20"/>
                <w:color w:val="auto"/>
              </w:rPr>
            </w:pPr>
            <w:r>
              <w:rPr>
                <w:rFonts w:ascii="Arial" w:cs="Arial" w:eastAsia="Arial" w:hAnsi="Arial"/>
                <w:sz w:val="18"/>
                <w:szCs w:val="18"/>
                <w:color w:val="auto"/>
              </w:rPr>
              <w:t>(“Subtenant”).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1880" w:type="dxa"/>
            <w:vAlign w:val="bottom"/>
            <w:gridSpan w:val="4"/>
          </w:tcPr>
          <w:p>
            <w:pPr>
              <w:spacing w:after="0"/>
              <w:rPr>
                <w:sz w:val="20"/>
                <w:szCs w:val="20"/>
                <w:color w:val="auto"/>
              </w:rPr>
            </w:pPr>
            <w:r>
              <w:rPr>
                <w:rFonts w:ascii="Arial" w:cs="Arial" w:eastAsia="Arial" w:hAnsi="Arial"/>
                <w:sz w:val="18"/>
                <w:szCs w:val="18"/>
                <w:color w:val="auto"/>
              </w:rPr>
              <w:t>RECITALS: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97"/>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2780" w:type="dxa"/>
            <w:vAlign w:val="bottom"/>
            <w:gridSpan w:val="7"/>
          </w:tcPr>
          <w:p>
            <w:pPr>
              <w:ind w:left="140"/>
              <w:spacing w:after="0"/>
              <w:rPr>
                <w:sz w:val="20"/>
                <w:szCs w:val="20"/>
                <w:color w:val="auto"/>
              </w:rPr>
            </w:pPr>
            <w:r>
              <w:rPr>
                <w:rFonts w:ascii="Arial" w:cs="Arial" w:eastAsia="Arial" w:hAnsi="Arial"/>
                <w:sz w:val="18"/>
                <w:szCs w:val="18"/>
                <w:color w:val="auto"/>
                <w:w w:val="90"/>
              </w:rPr>
              <w:t>Landlord (as successor in interest to</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0" w:type="dxa"/>
            <w:vAlign w:val="bottom"/>
            <w:gridSpan w:val="17"/>
          </w:tcPr>
          <w:p>
            <w:pPr>
              <w:spacing w:after="0"/>
              <w:rPr>
                <w:sz w:val="20"/>
                <w:szCs w:val="20"/>
                <w:color w:val="auto"/>
              </w:rPr>
            </w:pPr>
            <w:r>
              <w:rPr>
                <w:rFonts w:ascii="Arial" w:cs="Arial" w:eastAsia="Arial" w:hAnsi="Arial"/>
                <w:sz w:val="18"/>
                <w:szCs w:val="18"/>
                <w:color w:val="auto"/>
                <w:w w:val="89"/>
              </w:rPr>
              <w:t>), as landlord, and Sublandlord (as successor in interest to</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gridSpan w:val="5"/>
          </w:tcPr>
          <w:p>
            <w:pPr>
              <w:spacing w:after="0"/>
              <w:rPr>
                <w:sz w:val="20"/>
                <w:szCs w:val="20"/>
                <w:color w:val="auto"/>
              </w:rPr>
            </w:pPr>
            <w:r>
              <w:rPr>
                <w:rFonts w:ascii="Arial" w:cs="Arial" w:eastAsia="Arial" w:hAnsi="Arial"/>
                <w:sz w:val="18"/>
                <w:szCs w:val="18"/>
                <w:color w:val="auto"/>
                <w:w w:val="95"/>
              </w:rPr>
              <w:t>), as tenant, are parties</w:t>
            </w:r>
          </w:p>
        </w:tc>
      </w:tr>
      <w:tr>
        <w:trPr>
          <w:trHeight w:val="196"/>
        </w:trPr>
        <w:tc>
          <w:tcPr>
            <w:tcW w:w="320" w:type="dxa"/>
            <w:vAlign w:val="bottom"/>
          </w:tcPr>
          <w:p>
            <w:pPr>
              <w:spacing w:after="0"/>
              <w:rPr>
                <w:sz w:val="17"/>
                <w:szCs w:val="17"/>
                <w:color w:val="auto"/>
              </w:rPr>
            </w:pPr>
          </w:p>
        </w:tc>
        <w:tc>
          <w:tcPr>
            <w:tcW w:w="2780" w:type="dxa"/>
            <w:vAlign w:val="bottom"/>
            <w:gridSpan w:val="7"/>
          </w:tcPr>
          <w:p>
            <w:pPr>
              <w:ind w:left="140"/>
              <w:spacing w:after="0" w:line="196" w:lineRule="exact"/>
              <w:rPr>
                <w:sz w:val="20"/>
                <w:szCs w:val="20"/>
                <w:color w:val="auto"/>
              </w:rPr>
            </w:pPr>
            <w:r>
              <w:rPr>
                <w:rFonts w:ascii="Arial" w:cs="Arial" w:eastAsia="Arial" w:hAnsi="Arial"/>
                <w:sz w:val="18"/>
                <w:szCs w:val="18"/>
                <w:color w:val="auto"/>
                <w:w w:val="87"/>
              </w:rPr>
              <w:t>to that certain lease agreement dated</w:t>
            </w: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0" w:type="dxa"/>
            <w:vAlign w:val="bottom"/>
            <w:gridSpan w:val="6"/>
          </w:tcPr>
          <w:p>
            <w:pPr>
              <w:spacing w:after="0" w:line="196" w:lineRule="exact"/>
              <w:rPr>
                <w:sz w:val="20"/>
                <w:szCs w:val="20"/>
                <w:color w:val="auto"/>
              </w:rPr>
            </w:pPr>
            <w:r>
              <w:rPr>
                <w:rFonts w:ascii="Arial" w:cs="Arial" w:eastAsia="Arial" w:hAnsi="Arial"/>
                <w:sz w:val="18"/>
                <w:szCs w:val="18"/>
                <w:color w:val="auto"/>
                <w:w w:val="89"/>
              </w:rPr>
              <w:t>,as amended by instrument(s) dated</w:t>
            </w:r>
          </w:p>
        </w:tc>
        <w:tc>
          <w:tcPr>
            <w:tcW w:w="460" w:type="dxa"/>
            <w:vAlign w:val="bottom"/>
            <w:tcBorders>
              <w:bottom w:val="single" w:sz="8" w:color="auto"/>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gridSpan w:val="4"/>
          </w:tcPr>
          <w:p>
            <w:pPr>
              <w:spacing w:after="0" w:line="196" w:lineRule="exact"/>
              <w:rPr>
                <w:sz w:val="20"/>
                <w:szCs w:val="20"/>
                <w:color w:val="auto"/>
              </w:rPr>
            </w:pPr>
            <w:r>
              <w:rPr>
                <w:rFonts w:ascii="Arial" w:cs="Arial" w:eastAsia="Arial" w:hAnsi="Arial"/>
                <w:sz w:val="18"/>
                <w:szCs w:val="18"/>
                <w:color w:val="auto"/>
                <w:w w:val="94"/>
              </w:rPr>
              <w:t>, and</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60" w:type="dxa"/>
            <w:vAlign w:val="bottom"/>
            <w:gridSpan w:val="7"/>
          </w:tcPr>
          <w:p>
            <w:pPr>
              <w:spacing w:after="0" w:line="196" w:lineRule="exact"/>
              <w:rPr>
                <w:sz w:val="20"/>
                <w:szCs w:val="20"/>
                <w:color w:val="auto"/>
              </w:rPr>
            </w:pPr>
            <w:r>
              <w:rPr>
                <w:rFonts w:ascii="Arial" w:cs="Arial" w:eastAsia="Arial" w:hAnsi="Arial"/>
                <w:sz w:val="18"/>
                <w:szCs w:val="18"/>
                <w:color w:val="auto"/>
              </w:rPr>
              <w:t>(collectively, the “Lease”)</w:t>
            </w:r>
          </w:p>
        </w:tc>
      </w:tr>
      <w:tr>
        <w:trPr>
          <w:trHeight w:val="196"/>
        </w:trPr>
        <w:tc>
          <w:tcPr>
            <w:tcW w:w="320" w:type="dxa"/>
            <w:vAlign w:val="bottom"/>
          </w:tcPr>
          <w:p>
            <w:pPr>
              <w:spacing w:after="0"/>
              <w:rPr>
                <w:sz w:val="17"/>
                <w:szCs w:val="17"/>
                <w:color w:val="auto"/>
              </w:rPr>
            </w:pPr>
          </w:p>
        </w:tc>
        <w:tc>
          <w:tcPr>
            <w:tcW w:w="7180" w:type="dxa"/>
            <w:vAlign w:val="bottom"/>
            <w:gridSpan w:val="19"/>
          </w:tcPr>
          <w:p>
            <w:pPr>
              <w:ind w:left="140"/>
              <w:spacing w:after="0" w:line="196" w:lineRule="exact"/>
              <w:rPr>
                <w:sz w:val="20"/>
                <w:szCs w:val="20"/>
                <w:color w:val="auto"/>
              </w:rPr>
            </w:pPr>
            <w:r>
              <w:rPr>
                <w:rFonts w:ascii="Arial" w:cs="Arial" w:eastAsia="Arial" w:hAnsi="Arial"/>
                <w:sz w:val="18"/>
                <w:szCs w:val="18"/>
                <w:color w:val="auto"/>
                <w:w w:val="91"/>
              </w:rPr>
              <w:t>pursuant to which Landlord has leased to Sublandlord certain premises containing approximately</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80" w:type="dxa"/>
            <w:vAlign w:val="bottom"/>
            <w:gridSpan w:val="18"/>
          </w:tcPr>
          <w:p>
            <w:pPr>
              <w:spacing w:after="0" w:line="196" w:lineRule="exact"/>
              <w:rPr>
                <w:sz w:val="20"/>
                <w:szCs w:val="20"/>
                <w:color w:val="auto"/>
              </w:rPr>
            </w:pPr>
            <w:r>
              <w:rPr>
                <w:rFonts w:ascii="Arial" w:cs="Arial" w:eastAsia="Arial" w:hAnsi="Arial"/>
                <w:sz w:val="18"/>
                <w:szCs w:val="18"/>
                <w:color w:val="auto"/>
                <w:w w:val="89"/>
              </w:rPr>
              <w:t>rentable square feet (the “Premises”) described</w:t>
            </w:r>
          </w:p>
        </w:tc>
      </w:tr>
      <w:tr>
        <w:trPr>
          <w:trHeight w:val="196"/>
        </w:trPr>
        <w:tc>
          <w:tcPr>
            <w:tcW w:w="320" w:type="dxa"/>
            <w:vAlign w:val="bottom"/>
          </w:tcPr>
          <w:p>
            <w:pPr>
              <w:spacing w:after="0"/>
              <w:rPr>
                <w:sz w:val="17"/>
                <w:szCs w:val="17"/>
                <w:color w:val="auto"/>
              </w:rPr>
            </w:pPr>
          </w:p>
        </w:tc>
        <w:tc>
          <w:tcPr>
            <w:tcW w:w="124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0"/>
              </w:rPr>
              <w:t>as Suite No(s).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ind w:left="40"/>
              <w:spacing w:after="0" w:line="196" w:lineRule="exact"/>
              <w:rPr>
                <w:sz w:val="20"/>
                <w:szCs w:val="20"/>
                <w:color w:val="auto"/>
              </w:rPr>
            </w:pPr>
            <w:r>
              <w:rPr>
                <w:rFonts w:ascii="Arial" w:cs="Arial" w:eastAsia="Arial" w:hAnsi="Arial"/>
                <w:sz w:val="18"/>
                <w:szCs w:val="18"/>
                <w:color w:val="auto"/>
                <w:w w:val="95"/>
              </w:rPr>
              <w:t>on the</w:t>
            </w:r>
          </w:p>
        </w:tc>
        <w:tc>
          <w:tcPr>
            <w:tcW w:w="4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4"/>
              </w:rPr>
              <w:t>floor(s) of the building commonly known as</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8"/>
          </w:tcPr>
          <w:p>
            <w:pPr>
              <w:ind w:left="280"/>
              <w:spacing w:after="0" w:line="196" w:lineRule="exact"/>
              <w:rPr>
                <w:sz w:val="20"/>
                <w:szCs w:val="20"/>
                <w:color w:val="auto"/>
              </w:rPr>
            </w:pPr>
            <w:r>
              <w:rPr>
                <w:rFonts w:ascii="Arial" w:cs="Arial" w:eastAsia="Arial" w:hAnsi="Arial"/>
                <w:sz w:val="18"/>
                <w:szCs w:val="18"/>
                <w:color w:val="auto"/>
              </w:rPr>
              <w:t>located at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(the “Building”).</w:t>
            </w:r>
          </w:p>
        </w:tc>
      </w:tr>
      <w:tr>
        <w:trPr>
          <w:trHeight w:val="20"/>
        </w:trPr>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440" w:type="dxa"/>
            <w:vAlign w:val="bottom"/>
            <w:gridSpan w:val="6"/>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8080" w:type="dxa"/>
            <w:vAlign w:val="bottom"/>
            <w:gridSpan w:val="26"/>
          </w:tcPr>
          <w:p>
            <w:pPr>
              <w:ind w:left="140"/>
              <w:spacing w:after="0"/>
              <w:rPr>
                <w:sz w:val="20"/>
                <w:szCs w:val="20"/>
                <w:color w:val="auto"/>
              </w:rPr>
            </w:pPr>
            <w:r>
              <w:rPr>
                <w:rFonts w:ascii="Arial" w:cs="Arial" w:eastAsia="Arial" w:hAnsi="Arial"/>
                <w:sz w:val="18"/>
                <w:szCs w:val="18"/>
                <w:color w:val="auto"/>
                <w:w w:val="89"/>
              </w:rPr>
              <w:t>Sublandlord and Subtenant have entered into (or are about to enter into) that certain sublease agreement dated</w:t>
            </w:r>
          </w:p>
        </w:tc>
        <w:tc>
          <w:tcPr>
            <w:tcW w:w="34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40"/>
              <w:spacing w:after="0"/>
              <w:rPr>
                <w:sz w:val="20"/>
                <w:szCs w:val="20"/>
                <w:color w:val="auto"/>
              </w:rPr>
            </w:pPr>
            <w:r>
              <w:rPr>
                <w:rFonts w:ascii="Arial" w:cs="Arial" w:eastAsia="Arial" w:hAnsi="Arial"/>
                <w:sz w:val="18"/>
                <w:szCs w:val="18"/>
                <w:color w:val="auto"/>
                <w:w w:val="90"/>
              </w:rPr>
              <w:t>attached hereto as Exhibit A</w:t>
            </w:r>
          </w:p>
        </w:tc>
      </w:tr>
      <w:tr>
        <w:trPr>
          <w:trHeight w:val="196"/>
        </w:trPr>
        <w:tc>
          <w:tcPr>
            <w:tcW w:w="320" w:type="dxa"/>
            <w:vAlign w:val="bottom"/>
          </w:tcPr>
          <w:p>
            <w:pPr>
              <w:spacing w:after="0"/>
              <w:rPr>
                <w:sz w:val="17"/>
                <w:szCs w:val="17"/>
                <w:color w:val="auto"/>
              </w:rPr>
            </w:pPr>
          </w:p>
        </w:tc>
        <w:tc>
          <w:tcPr>
            <w:tcW w:w="8980" w:type="dxa"/>
            <w:vAlign w:val="bottom"/>
            <w:gridSpan w:val="31"/>
          </w:tcPr>
          <w:p>
            <w:pPr>
              <w:ind w:left="140"/>
              <w:spacing w:after="0" w:line="196" w:lineRule="exact"/>
              <w:rPr>
                <w:sz w:val="20"/>
                <w:szCs w:val="20"/>
                <w:color w:val="auto"/>
              </w:rPr>
            </w:pPr>
            <w:r>
              <w:rPr>
                <w:rFonts w:ascii="Arial" w:cs="Arial" w:eastAsia="Arial" w:hAnsi="Arial"/>
                <w:sz w:val="18"/>
                <w:szCs w:val="18"/>
                <w:color w:val="auto"/>
                <w:w w:val="89"/>
              </w:rPr>
              <w:t>(the “Sublease”) pursuant to which Sublandlord has agreed to sublease to Subtenant certain premises described as follows:</w:t>
            </w: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(the “Sublet</w:t>
            </w:r>
          </w:p>
        </w:tc>
      </w:tr>
      <w:tr>
        <w:trPr>
          <w:trHeight w:val="237"/>
        </w:trPr>
        <w:tc>
          <w:tcPr>
            <w:tcW w:w="320" w:type="dxa"/>
            <w:vAlign w:val="bottom"/>
          </w:tcPr>
          <w:p>
            <w:pPr>
              <w:spacing w:after="0"/>
              <w:rPr>
                <w:sz w:val="20"/>
                <w:szCs w:val="20"/>
                <w:color w:val="auto"/>
              </w:rPr>
            </w:pPr>
          </w:p>
        </w:tc>
        <w:tc>
          <w:tcPr>
            <w:tcW w:w="6300" w:type="dxa"/>
            <w:vAlign w:val="bottom"/>
            <w:gridSpan w:val="16"/>
          </w:tcPr>
          <w:p>
            <w:pPr>
              <w:ind w:left="140"/>
              <w:spacing w:after="0"/>
              <w:rPr>
                <w:sz w:val="20"/>
                <w:szCs w:val="20"/>
                <w:color w:val="auto"/>
              </w:rPr>
            </w:pPr>
            <w:r>
              <w:rPr>
                <w:rFonts w:ascii="Arial" w:cs="Arial" w:eastAsia="Arial" w:hAnsi="Arial"/>
                <w:sz w:val="18"/>
                <w:szCs w:val="18"/>
                <w:color w:val="auto"/>
              </w:rPr>
              <w:t>Premises”) constituting all or a part of the Premises.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Sublandlord and Subtenant have requested Landlord’s consent to the Sublease.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Landlord has agreed to give such consent upon the terms and conditions contained in this Agreement.</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NOW THEREFORE, in consideration of the foregoing preambles which by this reference are incorporated herein and other good and valuable consideration, the receipt and sufficiency of which are hereby acknowledged, Landlord hereby consents to the Sublease subject to the following terms and conditions, all of which are hereby acknowledged and agreed to by Sublandlord and Subtenant:</w:t>
      </w:r>
    </w:p>
    <w:p>
      <w:pPr>
        <w:spacing w:after="0" w:line="87" w:lineRule="exact"/>
        <w:rPr>
          <w:sz w:val="20"/>
          <w:szCs w:val="20"/>
          <w:color w:val="auto"/>
        </w:rPr>
      </w:pPr>
    </w:p>
    <w:p>
      <w:pPr>
        <w:jc w:val="both"/>
        <w:ind w:left="460" w:right="400" w:hanging="452"/>
        <w:spacing w:after="0" w:line="264" w:lineRule="auto"/>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Sublease Agreement</w:t>
      </w:r>
      <w:r>
        <w:rPr>
          <w:rFonts w:ascii="Arial" w:cs="Arial" w:eastAsia="Arial" w:hAnsi="Arial"/>
          <w:sz w:val="18"/>
          <w:szCs w:val="18"/>
          <w:color w:val="auto"/>
        </w:rPr>
        <w:t>. Sublandlord and Subtenant hereby represent that a true and complete copy of the Sublease is attached hereto and made a part hereof as Exhibit A, and Sublandlord and Subtenant agree that the Sublease shall not be modified without Landlord’s prior written consent, which consent shall not be unreasonably withheld.</w:t>
      </w:r>
    </w:p>
    <w:p>
      <w:pPr>
        <w:spacing w:after="0" w:line="86" w:lineRule="exact"/>
        <w:rPr>
          <w:rFonts w:ascii="Arial" w:cs="Arial" w:eastAsia="Arial" w:hAnsi="Arial"/>
          <w:sz w:val="18"/>
          <w:szCs w:val="18"/>
          <w:color w:val="auto"/>
        </w:rPr>
      </w:pPr>
    </w:p>
    <w:p>
      <w:pPr>
        <w:ind w:left="460" w:right="540" w:hanging="452"/>
        <w:spacing w:after="0" w:line="308" w:lineRule="auto"/>
        <w:tabs>
          <w:tab w:leader="none" w:pos="460"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Sublandlord hereby represents and warrants that Sublandlord (i) has full power and authority to sublease the Sublet Premises to Subtenant, (ii) has not transferred or conveyed its interest in the Lease to any person or entity collaterally or otherwise,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7-2, PAGE 1</w:t>
      </w:r>
    </w:p>
    <w:p>
      <w:pPr>
        <w:sectPr>
          <w:pgSz w:w="11900" w:h="16838" w:orient="portrait"/>
          <w:cols w:equalWidth="0" w:num="1">
            <w:col w:w="11420"/>
          </w:cols>
          <w:pgMar w:left="240" w:top="274" w:right="239" w:bottom="1440" w:gutter="0" w:footer="0" w:header="0"/>
        </w:sectPr>
      </w:pPr>
    </w:p>
    <w:bookmarkStart w:id="435" w:name="page436"/>
    <w:bookmarkEnd w:id="435"/>
    <w:p>
      <w:pPr>
        <w:ind w:left="460" w:right="200" w:firstLine="4"/>
        <w:spacing w:after="0" w:line="277" w:lineRule="auto"/>
        <w:tabs>
          <w:tab w:leader="none" w:pos="775" w:val="left"/>
        </w:tabs>
        <w:numPr>
          <w:ilvl w:val="1"/>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full power and authority to enter into the Sublease and this Consent Agreement. Subtenant hereby represents and warrants that Subtenant has full power and authority to enter into the Sublease and this Consent Agreement.</w:t>
      </w:r>
    </w:p>
    <w:p>
      <w:pPr>
        <w:spacing w:after="0" w:line="75"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Indemnity and Insurance</w:t>
      </w:r>
      <w:r>
        <w:rPr>
          <w:rFonts w:ascii="Arial" w:cs="Arial" w:eastAsia="Arial" w:hAnsi="Arial"/>
          <w:sz w:val="18"/>
          <w:szCs w:val="18"/>
          <w:color w:val="auto"/>
        </w:rPr>
        <w:t>. Subtenant hereby assumes, with respect to Landlord, all of the indemnity and insurance obligations of the Sublandlord under the Lease with respect to the Sublet Premises, provided that the foregoing shall not be construed as relieving or releasing Sublandlord from any such obligations.</w:t>
      </w:r>
    </w:p>
    <w:p>
      <w:pPr>
        <w:spacing w:after="0" w:line="86" w:lineRule="exact"/>
        <w:rPr>
          <w:rFonts w:ascii="Arial" w:cs="Arial" w:eastAsia="Arial" w:hAnsi="Arial"/>
          <w:sz w:val="18"/>
          <w:szCs w:val="18"/>
          <w:color w:val="auto"/>
        </w:rPr>
      </w:pPr>
    </w:p>
    <w:p>
      <w:pPr>
        <w:ind w:left="460" w:right="80" w:hanging="452"/>
        <w:spacing w:after="0" w:line="272" w:lineRule="auto"/>
        <w:tabs>
          <w:tab w:leader="none" w:pos="460"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No Release</w:t>
      </w:r>
      <w:r>
        <w:rPr>
          <w:rFonts w:ascii="Arial" w:cs="Arial" w:eastAsia="Arial" w:hAnsi="Arial"/>
          <w:sz w:val="17"/>
          <w:szCs w:val="17"/>
          <w:color w:val="auto"/>
        </w:rPr>
        <w:t>. Nothing contained in the Sublease or this Consent Agreement shall be construed as relieving or releasing Sublandlord from any of its obligations under the Lease, it being expressly understood and agreed that Sublandlord shall remain liable for such obligations notwithstanding anything contained in the Sublease or this Consent Agreement or any subsequent assignment(s), sublease(s) or transfer(s) of the interest of the tenant under the Lease. Sublandlord shall be responsible for the collection of all rent due it from Subtenant, and for the performance of all the other terms and conditions of the Sublease, it being understood that Landlord is not a party to the Sublease and, notwithstanding anything to the contrary contained in the Sublease, is not bound by any terms, provisions, representations or warranties contained in the Sublease and is not obligated to Sublandlord or Subtenant for any of the duties and obligations contained therein.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5.</w:t>
            </w:r>
          </w:p>
        </w:tc>
        <w:tc>
          <w:tcPr>
            <w:tcW w:w="10600" w:type="dxa"/>
            <w:vAlign w:val="bottom"/>
            <w:gridSpan w:val="3"/>
          </w:tcPr>
          <w:p>
            <w:pPr>
              <w:spacing w:after="0"/>
              <w:rPr>
                <w:sz w:val="20"/>
                <w:szCs w:val="20"/>
                <w:color w:val="auto"/>
              </w:rPr>
            </w:pPr>
            <w:r>
              <w:rPr>
                <w:rFonts w:ascii="Arial" w:cs="Arial" w:eastAsia="Arial" w:hAnsi="Arial"/>
                <w:sz w:val="18"/>
                <w:szCs w:val="18"/>
                <w:color w:val="auto"/>
                <w:w w:val="96"/>
              </w:rPr>
              <w:t>Administrative Fee. Upon Sublandlord’s execution and delivery of this Consent Agreement, Sublandlord shall pay to Landlord the sum of $</w:t>
            </w:r>
          </w:p>
        </w:tc>
        <w:tc>
          <w:tcPr>
            <w:tcW w:w="200" w:type="dxa"/>
            <w:vAlign w:val="bottom"/>
          </w:tcPr>
          <w:p>
            <w:pPr>
              <w:ind w:left="60"/>
              <w:spacing w:after="0"/>
              <w:rPr>
                <w:sz w:val="20"/>
                <w:szCs w:val="20"/>
                <w:color w:val="auto"/>
              </w:rPr>
            </w:pPr>
            <w:r>
              <w:rPr>
                <w:rFonts w:ascii="Arial" w:cs="Arial" w:eastAsia="Arial" w:hAnsi="Arial"/>
                <w:sz w:val="18"/>
                <w:szCs w:val="18"/>
                <w:color w:val="auto"/>
                <w:w w:val="85"/>
              </w:rPr>
              <w:t>in</w:t>
            </w:r>
          </w:p>
        </w:tc>
      </w:tr>
      <w:tr>
        <w:trPr>
          <w:trHeight w:val="20"/>
        </w:trPr>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consideration for Landlord’s review of the Sublease and the preparation and delivery of this Consent Agreement.</w:t>
            </w:r>
          </w:p>
        </w:tc>
        <w:tc>
          <w:tcPr>
            <w:tcW w:w="200" w:type="dxa"/>
            <w:vAlign w:val="bottom"/>
          </w:tcPr>
          <w:p>
            <w:pPr>
              <w:spacing w:after="0"/>
              <w:rPr>
                <w:sz w:val="20"/>
                <w:szCs w:val="20"/>
                <w:color w:val="auto"/>
              </w:rPr>
            </w:pPr>
          </w:p>
        </w:tc>
      </w:tr>
    </w:tbl>
    <w:p>
      <w:pPr>
        <w:spacing w:after="0" w:line="107" w:lineRule="exact"/>
        <w:rPr>
          <w:sz w:val="20"/>
          <w:szCs w:val="20"/>
          <w:color w:val="auto"/>
        </w:rPr>
      </w:pPr>
    </w:p>
    <w:p>
      <w:pPr>
        <w:ind w:left="460" w:right="60" w:hanging="452"/>
        <w:spacing w:after="0" w:line="264" w:lineRule="auto"/>
        <w:tabs>
          <w:tab w:leader="none" w:pos="46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No Transfer</w:t>
      </w:r>
      <w:r>
        <w:rPr>
          <w:rFonts w:ascii="Arial" w:cs="Arial" w:eastAsia="Arial" w:hAnsi="Arial"/>
          <w:sz w:val="18"/>
          <w:szCs w:val="18"/>
          <w:color w:val="auto"/>
        </w:rPr>
        <w:t>. Subtenant shall not further sublease the Sublet Premises, assign its interest as the Subtenant under the Sublease or otherwise transfer its interest in the Sublet Premises or the Sublease to any person or entity without the written consent of Landlord, which Landlord may withhold in its sole discretion.</w:t>
      </w:r>
    </w:p>
    <w:p>
      <w:pPr>
        <w:spacing w:after="0" w:line="86" w:lineRule="exact"/>
        <w:rPr>
          <w:rFonts w:ascii="Arial" w:cs="Arial" w:eastAsia="Arial" w:hAnsi="Arial"/>
          <w:sz w:val="18"/>
          <w:szCs w:val="18"/>
          <w:color w:val="auto"/>
        </w:rPr>
      </w:pPr>
    </w:p>
    <w:p>
      <w:pPr>
        <w:ind w:left="460" w:hanging="452"/>
        <w:spacing w:after="0" w:line="270" w:lineRule="auto"/>
        <w:tabs>
          <w:tab w:leader="none" w:pos="460"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Lease</w:t>
      </w:r>
      <w:r>
        <w:rPr>
          <w:rFonts w:ascii="Arial" w:cs="Arial" w:eastAsia="Arial" w:hAnsi="Arial"/>
          <w:sz w:val="17"/>
          <w:szCs w:val="17"/>
          <w:color w:val="auto"/>
        </w:rPr>
        <w:t xml:space="preserve">. The parties agree that the Sublease is subject and subordinate to the terms of the Lease, and all terms of the Lease, other than Sublandlord’s obligation to pay </w:t>
      </w:r>
      <w:r>
        <w:rPr>
          <w:rFonts w:ascii="Arial" w:cs="Arial" w:eastAsia="Arial" w:hAnsi="Arial"/>
          <w:sz w:val="17"/>
          <w:szCs w:val="17"/>
          <w:i w:val="1"/>
          <w:iCs w:val="1"/>
          <w:color w:val="auto"/>
        </w:rPr>
        <w:t>[Base Rent]</w:t>
      </w:r>
      <w:r>
        <w:rPr>
          <w:rFonts w:ascii="Arial" w:cs="Arial" w:eastAsia="Arial" w:hAnsi="Arial"/>
          <w:sz w:val="17"/>
          <w:szCs w:val="17"/>
          <w:color w:val="auto"/>
        </w:rPr>
        <w:t>, are incorporated into the Sublease. In no event shall the Sublease or this Consent Agreement be construed as granting or conferring upon the Sublandlord or the Subtenant any greater rights than those contained in the Lease nor shall there be any diminution of the rights and privileges of the Landlord under the Lease, nor shall the Lease be deemed modified in any respect. Without limiting the scope of the preceding sentence, any construction or alterations performed in or to the Sublet Premises shall be performed with Landlord’s prior written approval and in accordance with the terms and conditions of the Lease. It is hereby acknowledged and agreed that any provisions in the Sublease which limit the manner in which Sublandlord may amend the Lease are binding only upon Sublandlord and Subtenant as between such parties. Landlord shall not be bound in any manner by such provisions and may rely upon Sublandlord’s execution of any agreements amending or terminating the Lease subsequent to the date hereof notwithstanding any contrary provisions in the Sublease.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7-2, PAGE 2</w:t>
      </w:r>
    </w:p>
    <w:p>
      <w:pPr>
        <w:sectPr>
          <w:pgSz w:w="11900" w:h="16838" w:orient="portrait"/>
          <w:cols w:equalWidth="0" w:num="1">
            <w:col w:w="11420"/>
          </w:cols>
          <w:pgMar w:left="240" w:top="273" w:right="239" w:bottom="1440" w:gutter="0" w:footer="0" w:header="0"/>
        </w:sectPr>
      </w:pPr>
    </w:p>
    <w:bookmarkStart w:id="436" w:name="page437"/>
    <w:bookmarkEnd w:id="436"/>
    <w:p>
      <w:pPr>
        <w:ind w:left="452" w:hanging="452"/>
        <w:spacing w:after="0" w:line="255" w:lineRule="auto"/>
        <w:tabs>
          <w:tab w:leader="none" w:pos="452"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Parking and Services</w:t>
      </w:r>
      <w:r>
        <w:rPr>
          <w:rFonts w:ascii="Arial" w:cs="Arial" w:eastAsia="Arial" w:hAnsi="Arial"/>
          <w:sz w:val="18"/>
          <w:szCs w:val="18"/>
          <w:color w:val="auto"/>
        </w:rPr>
        <w:t>. Any parking rights granted to Subtenant pursuant to the Sublease shall be satisfied out of the parking rights, if any, granted to Sublandlord under the Lease. Sublandlord hereby authorizes Subtenant, as agent for Sublandlord, to obtain services and materials for or related to the Sublet Premises, and Sublandlord agrees to pay for such services and materials as additional Rent under the Lease upon written demand from Landlord. However, as a convenience to Sublandlord, Landlord may bill Subtenant directly for such services and materials, or any portion thereof, in which event Subtenant shall pay for the services and materials so billed upon written demand, provided that such billing shall not relieve Sublandlord from its primary obligation to pay for such services and materials.</w:t>
      </w:r>
    </w:p>
    <w:p>
      <w:pPr>
        <w:spacing w:after="0" w:line="98" w:lineRule="exact"/>
        <w:rPr>
          <w:rFonts w:ascii="Arial" w:cs="Arial" w:eastAsia="Arial" w:hAnsi="Arial"/>
          <w:sz w:val="18"/>
          <w:szCs w:val="18"/>
          <w:color w:val="auto"/>
        </w:rPr>
      </w:pPr>
    </w:p>
    <w:p>
      <w:pPr>
        <w:ind w:left="452" w:hanging="452"/>
        <w:spacing w:after="0" w:line="286" w:lineRule="auto"/>
        <w:tabs>
          <w:tab w:leader="none" w:pos="452"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Attornment</w:t>
      </w:r>
      <w:r>
        <w:rPr>
          <w:rFonts w:ascii="Arial" w:cs="Arial" w:eastAsia="Arial" w:hAnsi="Arial"/>
          <w:sz w:val="16"/>
          <w:szCs w:val="16"/>
          <w:color w:val="auto"/>
        </w:rPr>
        <w:t>. If the Lease or Sublandlord’s right to possession thereunder terminates for any reason prior to expiration of the Sublease, Subtenant agrees, at the written election of Landlord, to attorn to Landlord upon the then executory terms and conditions of the Sublease for the remainder of the term of the Sublease. In the event of any such election by Landlord, Landlord will not be (a) liable for any rent paid by Subtenant to Sublandlord more than one month in advance, or any security deposit paid by Subtenant to Sublandlord, unless same has been transferred to Landlord by Sublandlord; (b) liable for any act or omission of Sublandlord under the Lease, Sublease or any other agreement between Sublandlord and Subtenant or for any default of Sublandlord under any such documents which occurred prior to the effective date of the attornment; (c) subject to any defenses or offsets that Subtenant may have against Sublandlord which arose prior to the effective date of the attornment; (d) bound by any changes or modifications made to the Sublease without the written consent of Landlord, (e) obligated in any manner with respect to the transfer, delivery, use or condition of any furniture, equipment or other personal property in the Sublet Premises which Sublandlord agreed would be transferred to Subtenant or which Sublandlord agreed could be used by the Subtenant during the term of the Sublease, or (f) liable for the payment of any improvement allowance, or any other payment, credit, offset or amount due from Sublandlord to Subtenant under the Sublease. If Landlord does not elect to have Subtenant attorn to Landlord as described above, the Sublease and all rights of Subtenant in the Sublet Premises shall terminate upon the date of termination of the Lease or Sublandlord’s right to possession thereunder. The terms of this Section 9 supercede any contrary provisions in the Sublease.</w:t>
      </w:r>
    </w:p>
    <w:p>
      <w:pPr>
        <w:spacing w:after="0" w:line="80" w:lineRule="exact"/>
        <w:rPr>
          <w:rFonts w:ascii="Arial" w:cs="Arial" w:eastAsia="Arial" w:hAnsi="Arial"/>
          <w:sz w:val="16"/>
          <w:szCs w:val="16"/>
          <w:color w:val="auto"/>
        </w:rPr>
      </w:pPr>
    </w:p>
    <w:p>
      <w:pPr>
        <w:ind w:left="452" w:right="160" w:hanging="452"/>
        <w:spacing w:after="0" w:line="255" w:lineRule="auto"/>
        <w:tabs>
          <w:tab w:leader="none" w:pos="452"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Payments Under the Sublease</w:t>
      </w:r>
      <w:r>
        <w:rPr>
          <w:rFonts w:ascii="Arial" w:cs="Arial" w:eastAsia="Arial" w:hAnsi="Arial"/>
          <w:sz w:val="18"/>
          <w:szCs w:val="18"/>
          <w:color w:val="auto"/>
        </w:rPr>
        <w:t>. If at any time Sublandlord is in default under the terms of the Lease, Landlord shall have the right to contact Subtenant and require Subtenant to pay all rent due under the Sublease directly to Landlord until such time as Sublandlord has cured such default. Subtenant agrees to pay such sums directly to Landlord if requested by Landlord, and Sublandlord agrees that any such sums paid by Subtenant shall be deemed applied against any sums owed by Subtenant under the Sublease. Any such sums received by Landlord from Subtenant shall be received by Landlord on behalf of Sublandlord and shall be applied by Landlord to any sums past due under the Lease, in such order of priority as required under the Lease or, if the Lease is silent in such regard,</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7-2, PAGE 3</w:t>
      </w:r>
    </w:p>
    <w:p>
      <w:pPr>
        <w:sectPr>
          <w:pgSz w:w="11900" w:h="16838" w:orient="portrait"/>
          <w:cols w:equalWidth="0" w:num="1">
            <w:col w:w="11392"/>
          </w:cols>
          <w:pgMar w:left="248" w:top="273" w:right="259" w:bottom="1440" w:gutter="0" w:footer="0" w:header="0"/>
        </w:sectPr>
      </w:pPr>
    </w:p>
    <w:bookmarkStart w:id="437" w:name="page438"/>
    <w:bookmarkEnd w:id="437"/>
    <w:p>
      <w:pPr>
        <w:ind w:left="452"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in such order of priority as Landlord deems appropriate. The receipt of such funds by Landlord shall in no manner be deemed to create a direct lease or sublease between Landlord and Subtenant. If Subtenant fails to deliver its Sublease payments directly to Landlord as required herein following receipt of written notice from Landlord as described above, then Landlord shall have the right to remove any signage of Subtenant, at Subtenant’s cost, located outside the Premises or in the Building lobby or elsewhere in the Building and to pursue any other rights or remedies available to Landlord at law or in equity.</w:t>
      </w:r>
    </w:p>
    <w:p>
      <w:pPr>
        <w:spacing w:after="0" w:line="94" w:lineRule="exact"/>
        <w:rPr>
          <w:sz w:val="20"/>
          <w:szCs w:val="20"/>
          <w:color w:val="auto"/>
        </w:rPr>
      </w:pPr>
    </w:p>
    <w:p>
      <w:pPr>
        <w:ind w:left="452" w:right="20" w:hanging="452"/>
        <w:spacing w:after="0" w:line="255" w:lineRule="auto"/>
        <w:tabs>
          <w:tab w:leader="none" w:pos="452"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Excess Rent</w:t>
      </w:r>
      <w:r>
        <w:rPr>
          <w:rFonts w:ascii="Arial" w:cs="Arial" w:eastAsia="Arial" w:hAnsi="Arial"/>
          <w:sz w:val="18"/>
          <w:szCs w:val="18"/>
          <w:color w:val="auto"/>
        </w:rPr>
        <w:t>. If Landlord is entitled to any excess rent (defined below) from Sublandlord pursuant to the terms of the Lease, then, in addition to all rent otherwise payable by Sublandlord to Landlord under the Lease, Sublandlord shall also pay to Landlord the portion of the excess rent to which Landlord is entitled under the Lease, in the manner described in the Lease. As used herein, the “excess rent” shall be deemed to mean any payments from Subtenant under the Sublease which exceed the payments payable by Sublandlord to Landlord under the Lease for the Sublet Premises. Landlord’s failure to bill Sublandlord for, or to otherwise collect, such sums shall in no manner be deemed a waiver by Landlord of its right to collect such sums in accordance with the Lease.</w:t>
      </w:r>
    </w:p>
    <w:p>
      <w:pPr>
        <w:spacing w:after="0" w:line="98" w:lineRule="exact"/>
        <w:rPr>
          <w:rFonts w:ascii="Arial" w:cs="Arial" w:eastAsia="Arial" w:hAnsi="Arial"/>
          <w:sz w:val="18"/>
          <w:szCs w:val="18"/>
          <w:color w:val="auto"/>
        </w:rPr>
      </w:pPr>
    </w:p>
    <w:p>
      <w:pPr>
        <w:ind w:left="452" w:hanging="452"/>
        <w:spacing w:after="0"/>
        <w:tabs>
          <w:tab w:leader="none" w:pos="452"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Sublandlord Notice Address</w:t>
      </w:r>
      <w:r>
        <w:rPr>
          <w:rFonts w:ascii="Arial" w:cs="Arial" w:eastAsia="Arial" w:hAnsi="Arial"/>
          <w:sz w:val="16"/>
          <w:szCs w:val="16"/>
          <w:color w:val="auto"/>
        </w:rPr>
        <w:t>. If Sublandlord is subleasing the entire Premises or otherwise vacating the Premises, Sublandlord’s new address for notices</w:t>
      </w:r>
    </w:p>
    <w:p>
      <w:pPr>
        <w:spacing w:after="0" w:line="46" w:lineRule="exact"/>
        <w:rPr>
          <w:sz w:val="20"/>
          <w:szCs w:val="20"/>
          <w:color w:val="auto"/>
        </w:rPr>
      </w:pPr>
    </w:p>
    <w:p>
      <w:pPr>
        <w:ind w:left="452"/>
        <w:spacing w:after="0"/>
        <w:tabs>
          <w:tab w:leader="none" w:pos="6172" w:val="left"/>
        </w:tabs>
        <w:rPr>
          <w:sz w:val="20"/>
          <w:szCs w:val="20"/>
          <w:color w:val="auto"/>
        </w:rPr>
      </w:pPr>
      <w:r>
        <w:rPr>
          <w:rFonts w:ascii="Arial" w:cs="Arial" w:eastAsia="Arial" w:hAnsi="Arial"/>
          <w:sz w:val="18"/>
          <w:szCs w:val="18"/>
          <w:color w:val="auto"/>
        </w:rPr>
        <w:t>to Sublandlord under the Lease shall be as follows:</w:t>
      </w:r>
      <w:r>
        <w:rPr>
          <w:sz w:val="20"/>
          <w:szCs w:val="20"/>
          <w:color w:val="auto"/>
        </w:rPr>
        <w:tab/>
      </w:r>
      <w:r>
        <w:rPr>
          <w:rFonts w:ascii="Arial" w:cs="Arial" w:eastAsia="Arial" w:hAnsi="Arial"/>
          <w:sz w:val="16"/>
          <w:szCs w:val="16"/>
          <w:color w:val="auto"/>
        </w:rPr>
        <w:t>; and if no address is filled in at the preceding blank (or if a post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-19050</wp:posOffset>
            </wp:positionV>
            <wp:extent cx="128587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ind w:left="452" w:right="720"/>
        <w:spacing w:after="0" w:line="261" w:lineRule="auto"/>
        <w:rPr>
          <w:sz w:val="20"/>
          <w:szCs w:val="20"/>
          <w:color w:val="auto"/>
        </w:rPr>
      </w:pPr>
      <w:r>
        <w:rPr>
          <w:rFonts w:ascii="Arial" w:cs="Arial" w:eastAsia="Arial" w:hAnsi="Arial"/>
          <w:sz w:val="18"/>
          <w:szCs w:val="18"/>
          <w:color w:val="auto"/>
        </w:rPr>
        <w:t>box address is used for the preceding blank), then Landlord may continue to send notices to Sublandlord at the address(es) provided in, and in accordance with the terms of, the Lease.</w:t>
      </w:r>
    </w:p>
    <w:p>
      <w:pPr>
        <w:spacing w:after="0" w:line="89" w:lineRule="exact"/>
        <w:rPr>
          <w:sz w:val="20"/>
          <w:szCs w:val="20"/>
          <w:color w:val="auto"/>
        </w:rPr>
      </w:pPr>
    </w:p>
    <w:p>
      <w:pPr>
        <w:ind w:left="452" w:right="40" w:hanging="452"/>
        <w:spacing w:after="0" w:line="277" w:lineRule="auto"/>
        <w:tabs>
          <w:tab w:leader="none" w:pos="452"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Each signatory of this Consent Agreement represents hereby that he or she has the authority to execute and deliver the same on behalf of the party hereto for which such signatory is acting.</w:t>
      </w:r>
    </w:p>
    <w:p>
      <w:pPr>
        <w:spacing w:after="0" w:line="75"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Consent Agreement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w:t>
      </w:r>
    </w:p>
    <w:p>
      <w:pPr>
        <w:spacing w:after="0" w:line="86"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Consent and Acknowledgment of Guarantor. Unless the following condition is waived in writing by Landlord, then, at Landlord’s option, this Consent Agreement shall be of no force and effect unless and until accepted by any guarantors of the Lease, who by signing below hereby (a) consent to the Sublease, (b) ratify their guarantee, and (c) agree that their guarantee shall apply to the Lease and continue in full force and effect notwithstanding the Sublease.</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ARE ON FOLLOWING PAGE]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7-2, PAGE 4</w:t>
      </w:r>
    </w:p>
    <w:p>
      <w:pPr>
        <w:sectPr>
          <w:pgSz w:w="11900" w:h="16838" w:orient="portrait"/>
          <w:cols w:equalWidth="0" w:num="1">
            <w:col w:w="11392"/>
          </w:cols>
          <w:pgMar w:left="248" w:top="274" w:right="259" w:bottom="1440" w:gutter="0" w:footer="0" w:header="0"/>
        </w:sectPr>
      </w:pPr>
    </w:p>
    <w:bookmarkStart w:id="438" w:name="page439"/>
    <w:bookmarkEnd w:id="438"/>
    <w:tbl>
      <w:tblPr>
        <w:tblLayout w:type="fixed"/>
        <w:tblInd w:w="0" w:type="dxa"/>
        <w:tblCellMar>
          <w:top w:w="0" w:type="dxa"/>
          <w:left w:w="0" w:type="dxa"/>
          <w:bottom w:w="0" w:type="dxa"/>
          <w:right w:w="0" w:type="dxa"/>
        </w:tblCellMar>
      </w:tblPr>
      <w:tr>
        <w:trPr>
          <w:trHeight w:val="230"/>
        </w:trPr>
        <w:tc>
          <w:tcPr>
            <w:tcW w:w="10420" w:type="dxa"/>
            <w:vAlign w:val="bottom"/>
            <w:gridSpan w:val="17"/>
          </w:tcPr>
          <w:p>
            <w:pPr>
              <w:spacing w:after="0"/>
              <w:rPr>
                <w:sz w:val="20"/>
                <w:szCs w:val="20"/>
                <w:color w:val="auto"/>
              </w:rPr>
            </w:pPr>
            <w:r>
              <w:rPr>
                <w:rFonts w:ascii="Arial" w:cs="Arial" w:eastAsia="Arial" w:hAnsi="Arial"/>
                <w:sz w:val="18"/>
                <w:szCs w:val="18"/>
                <w:color w:val="auto"/>
                <w:w w:val="96"/>
              </w:rPr>
              <w:t>IN WITNESS WHEREOF, Landlord, Sublandlord and Subtenant have executed this Consent Agreement as of the date set forth above.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40" w:type="dxa"/>
            <w:vAlign w:val="bottom"/>
            <w:gridSpan w:val="6"/>
          </w:tcPr>
          <w:p>
            <w:pPr>
              <w:spacing w:after="0"/>
              <w:rPr>
                <w:sz w:val="20"/>
                <w:szCs w:val="20"/>
                <w:color w:val="auto"/>
              </w:rPr>
            </w:pPr>
            <w:r>
              <w:rPr>
                <w:rFonts w:ascii="Arial" w:cs="Arial" w:eastAsia="Arial" w:hAnsi="Arial"/>
                <w:sz w:val="18"/>
                <w:szCs w:val="18"/>
                <w:color w:val="auto"/>
              </w:rPr>
              <w:t>WITNESS/ATTEST: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7"/>
          </w:tcPr>
          <w:p>
            <w:pPr>
              <w:ind w:left="20"/>
              <w:spacing w:after="0"/>
              <w:rPr>
                <w:sz w:val="20"/>
                <w:szCs w:val="20"/>
                <w:color w:val="auto"/>
              </w:rPr>
            </w:pPr>
            <w:r>
              <w:rPr>
                <w:rFonts w:ascii="Arial" w:cs="Arial" w:eastAsia="Arial" w:hAnsi="Arial"/>
                <w:sz w:val="18"/>
                <w:szCs w:val="18"/>
                <w:color w:val="auto"/>
              </w:rPr>
              <w:t>LANDLORD: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00" w:type="dxa"/>
            <w:vAlign w:val="bottom"/>
            <w:gridSpan w:val="3"/>
          </w:tcPr>
          <w:p>
            <w:pPr>
              <w:jc w:val="right"/>
              <w:ind w:right="330"/>
              <w:spacing w:after="0"/>
              <w:rPr>
                <w:sz w:val="20"/>
                <w:szCs w:val="20"/>
                <w:color w:val="auto"/>
              </w:rPr>
            </w:pPr>
            <w:r>
              <w:rPr>
                <w:rFonts w:ascii="Arial" w:cs="Arial" w:eastAsia="Arial" w:hAnsi="Arial"/>
                <w:sz w:val="18"/>
                <w:szCs w:val="18"/>
                <w:color w:val="auto"/>
              </w:rPr>
              <w:t>, a(n)</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6"/>
          </w:tcPr>
          <w:p>
            <w:pPr>
              <w:ind w:left="660"/>
              <w:spacing w:after="0"/>
              <w:rPr>
                <w:sz w:val="20"/>
                <w:szCs w:val="20"/>
                <w:color w:val="auto"/>
              </w:rPr>
            </w:pPr>
            <w:r>
              <w:rPr>
                <w:rFonts w:ascii="Arial" w:cs="Arial" w:eastAsia="Arial" w:hAnsi="Arial"/>
                <w:sz w:val="18"/>
                <w:szCs w:val="18"/>
                <w:color w:val="auto"/>
              </w:rPr>
              <w:t>By: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a(n)</w:t>
            </w:r>
          </w:p>
        </w:tc>
        <w:tc>
          <w:tcPr>
            <w:tcW w:w="0" w:type="dxa"/>
            <w:vAlign w:val="bottom"/>
          </w:tcPr>
          <w:p>
            <w:pPr>
              <w:spacing w:after="0"/>
              <w:rPr>
                <w:sz w:val="1"/>
                <w:szCs w:val="1"/>
                <w:color w:val="auto"/>
              </w:rPr>
            </w:pPr>
          </w:p>
        </w:tc>
      </w:tr>
      <w:tr>
        <w:trPr>
          <w:trHeight w:val="196"/>
        </w:trPr>
        <w:tc>
          <w:tcPr>
            <w:tcW w:w="1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 a(n)</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Borders>
              <w:bottom w:val="single" w:sz="8" w:color="auto"/>
            </w:tcBorders>
            <w:gridSpan w:val="2"/>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80" w:type="dxa"/>
            <w:vAlign w:val="bottom"/>
            <w:gridSpan w:val="2"/>
          </w:tcPr>
          <w:p>
            <w:pPr>
              <w:spacing w:after="0"/>
              <w:rPr>
                <w:sz w:val="20"/>
                <w:szCs w:val="20"/>
                <w:color w:val="auto"/>
              </w:rPr>
            </w:pPr>
            <w:r>
              <w:rPr>
                <w:rFonts w:ascii="Arial" w:cs="Arial" w:eastAsia="Arial" w:hAnsi="Arial"/>
                <w:sz w:val="18"/>
                <w:szCs w:val="18"/>
                <w:color w:val="auto"/>
              </w:rPr>
              <w:t>Name (print):</w:t>
            </w:r>
          </w:p>
        </w:tc>
        <w:tc>
          <w:tcPr>
            <w:tcW w:w="1560" w:type="dxa"/>
            <w:vAlign w:val="bottom"/>
            <w:tcBorders>
              <w:bottom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2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gridSpan w:val="3"/>
          </w:tcPr>
          <w:p>
            <w:pPr>
              <w:ind w:left="4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(print):</w:t>
            </w:r>
          </w:p>
        </w:tc>
        <w:tc>
          <w:tcPr>
            <w:tcW w:w="1560" w:type="dxa"/>
            <w:vAlign w:val="bottom"/>
            <w:tcBorders>
              <w:top w:val="single" w:sz="8" w:color="auto"/>
              <w:bottom w:val="single" w:sz="8" w:color="auto"/>
            </w:tcBorders>
            <w:gridSpan w:val="3"/>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440" w:type="dxa"/>
            <w:vAlign w:val="bottom"/>
            <w:gridSpan w:val="6"/>
          </w:tcPr>
          <w:p>
            <w:pPr>
              <w:spacing w:after="0"/>
              <w:rPr>
                <w:sz w:val="20"/>
                <w:szCs w:val="20"/>
                <w:color w:val="auto"/>
              </w:rPr>
            </w:pPr>
            <w:r>
              <w:rPr>
                <w:rFonts w:ascii="Arial" w:cs="Arial" w:eastAsia="Arial" w:hAnsi="Arial"/>
                <w:sz w:val="18"/>
                <w:szCs w:val="18"/>
                <w:color w:val="auto"/>
              </w:rPr>
              <w:t>WITNESS/ATTEST: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60" w:type="dxa"/>
            <w:vAlign w:val="bottom"/>
            <w:gridSpan w:val="8"/>
          </w:tcPr>
          <w:p>
            <w:pPr>
              <w:spacing w:after="0"/>
              <w:rPr>
                <w:sz w:val="20"/>
                <w:szCs w:val="20"/>
                <w:color w:val="auto"/>
              </w:rPr>
            </w:pPr>
            <w:r>
              <w:rPr>
                <w:rFonts w:ascii="Arial" w:cs="Arial" w:eastAsia="Arial" w:hAnsi="Arial"/>
                <w:sz w:val="18"/>
                <w:szCs w:val="18"/>
                <w:color w:val="auto"/>
              </w:rPr>
              <w:t>SUBLANDLORD: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 a(n)</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gridSpan w:val="2"/>
          </w:tcPr>
          <w:p>
            <w:pPr>
              <w:spacing w:after="0"/>
              <w:rPr>
                <w:sz w:val="17"/>
                <w:szCs w:val="17"/>
                <w:color w:val="auto"/>
              </w:rPr>
            </w:pPr>
          </w:p>
        </w:tc>
        <w:tc>
          <w:tcPr>
            <w:tcW w:w="2920" w:type="dxa"/>
            <w:vAlign w:val="bottom"/>
            <w:tcBorders>
              <w:bottom w:val="single" w:sz="8" w:color="auto"/>
            </w:tcBorders>
            <w:gridSpan w:val="3"/>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By:</w:t>
            </w:r>
          </w:p>
        </w:tc>
        <w:tc>
          <w:tcPr>
            <w:tcW w:w="2920" w:type="dxa"/>
            <w:vAlign w:val="bottom"/>
            <w:tcBorders>
              <w:bottom w:val="single" w:sz="8" w:color="auto"/>
            </w:tcBorders>
            <w:gridSpan w:val="3"/>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80" w:type="dxa"/>
            <w:vAlign w:val="bottom"/>
            <w:gridSpan w:val="2"/>
          </w:tcPr>
          <w:p>
            <w:pPr>
              <w:spacing w:after="0"/>
              <w:rPr>
                <w:sz w:val="20"/>
                <w:szCs w:val="20"/>
                <w:color w:val="auto"/>
              </w:rPr>
            </w:pPr>
            <w:r>
              <w:rPr>
                <w:rFonts w:ascii="Arial" w:cs="Arial" w:eastAsia="Arial" w:hAnsi="Arial"/>
                <w:sz w:val="18"/>
                <w:szCs w:val="18"/>
                <w:color w:val="auto"/>
              </w:rPr>
              <w:t>Name (print):</w:t>
            </w:r>
          </w:p>
        </w:tc>
        <w:tc>
          <w:tcPr>
            <w:tcW w:w="1300" w:type="dxa"/>
            <w:vAlign w:val="bottom"/>
            <w:tcBorders>
              <w:bottom w:val="single" w:sz="8" w:color="auto"/>
            </w:tcBorders>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Name:</w:t>
            </w:r>
          </w:p>
        </w:tc>
        <w:tc>
          <w:tcPr>
            <w:tcW w:w="2920" w:type="dxa"/>
            <w:vAlign w:val="bottom"/>
            <w:tcBorders>
              <w:bottom w:val="single" w:sz="8" w:color="auto"/>
            </w:tcBorders>
            <w:gridSpan w:val="3"/>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60" w:type="dxa"/>
            <w:vAlign w:val="bottom"/>
            <w:gridSpan w:val="8"/>
          </w:tcPr>
          <w:p>
            <w:pPr>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(print):</w:t>
            </w:r>
          </w:p>
        </w:tc>
        <w:tc>
          <w:tcPr>
            <w:tcW w:w="1300" w:type="dxa"/>
            <w:vAlign w:val="bottom"/>
            <w:tcBorders>
              <w:top w:val="single" w:sz="8" w:color="auto"/>
              <w:bottom w:val="single" w:sz="8" w:color="auto"/>
            </w:tcBorders>
            <w:gridSpan w:val="2"/>
          </w:tcPr>
          <w:p>
            <w:pPr>
              <w:spacing w:after="0"/>
              <w:rPr>
                <w:sz w:val="24"/>
                <w:szCs w:val="24"/>
                <w:color w:val="auto"/>
              </w:rPr>
            </w:pPr>
          </w:p>
        </w:tc>
        <w:tc>
          <w:tcPr>
            <w:tcW w:w="1360" w:type="dxa"/>
            <w:vAlign w:val="bottom"/>
            <w:tcBorders>
              <w:top w:val="single" w:sz="8" w:color="auto"/>
            </w:tcBorders>
            <w:gridSpan w:val="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440" w:type="dxa"/>
            <w:vAlign w:val="bottom"/>
            <w:gridSpan w:val="6"/>
          </w:tcPr>
          <w:p>
            <w:pPr>
              <w:spacing w:after="0"/>
              <w:rPr>
                <w:sz w:val="20"/>
                <w:szCs w:val="20"/>
                <w:color w:val="auto"/>
              </w:rPr>
            </w:pPr>
            <w:r>
              <w:rPr>
                <w:rFonts w:ascii="Arial" w:cs="Arial" w:eastAsia="Arial" w:hAnsi="Arial"/>
                <w:sz w:val="18"/>
                <w:szCs w:val="18"/>
                <w:color w:val="auto"/>
              </w:rPr>
              <w:t>WITNESS/ATTEST: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7"/>
          </w:tcPr>
          <w:p>
            <w:pPr>
              <w:spacing w:after="0"/>
              <w:rPr>
                <w:sz w:val="20"/>
                <w:szCs w:val="20"/>
                <w:color w:val="auto"/>
              </w:rPr>
            </w:pPr>
            <w:r>
              <w:rPr>
                <w:rFonts w:ascii="Arial" w:cs="Arial" w:eastAsia="Arial" w:hAnsi="Arial"/>
                <w:sz w:val="18"/>
                <w:szCs w:val="18"/>
                <w:color w:val="auto"/>
              </w:rPr>
              <w:t>SUBTENANT: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 a(n)</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bottom w:val="single" w:sz="8" w:color="auto"/>
            </w:tcBorders>
            <w:gridSpan w:val="2"/>
          </w:tcPr>
          <w:p>
            <w:pPr>
              <w:spacing w:after="0"/>
              <w:rPr>
                <w:sz w:val="17"/>
                <w:szCs w:val="17"/>
                <w:color w:val="auto"/>
              </w:rPr>
            </w:pPr>
          </w:p>
        </w:tc>
        <w:tc>
          <w:tcPr>
            <w:tcW w:w="3020" w:type="dxa"/>
            <w:vAlign w:val="bottom"/>
            <w:tcBorders>
              <w:bottom w:val="single" w:sz="8" w:color="auto"/>
            </w:tcBorders>
            <w:gridSpan w:val="5"/>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gridSpan w:val="5"/>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Name (print):</w:t>
            </w:r>
          </w:p>
        </w:tc>
        <w:tc>
          <w:tcPr>
            <w:tcW w:w="1640" w:type="dxa"/>
            <w:vAlign w:val="bottom"/>
            <w:tcBorders>
              <w:bottom w:val="single" w:sz="8" w:color="auto"/>
            </w:tcBorders>
            <w:gridSpan w:val="2"/>
          </w:tcPr>
          <w:p>
            <w:pPr>
              <w:spacing w:after="0"/>
              <w:rPr>
                <w:sz w:val="24"/>
                <w:szCs w:val="24"/>
                <w:color w:val="auto"/>
              </w:rPr>
            </w:pPr>
          </w:p>
        </w:tc>
        <w:tc>
          <w:tcPr>
            <w:tcW w:w="14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Name:</w:t>
            </w:r>
          </w:p>
        </w:tc>
        <w:tc>
          <w:tcPr>
            <w:tcW w:w="3020" w:type="dxa"/>
            <w:vAlign w:val="bottom"/>
            <w:tcBorders>
              <w:bottom w:val="single" w:sz="8" w:color="auto"/>
            </w:tcBorders>
            <w:gridSpan w:val="5"/>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Title:</w:t>
            </w:r>
          </w:p>
        </w:tc>
        <w:tc>
          <w:tcPr>
            <w:tcW w:w="3020" w:type="dxa"/>
            <w:vAlign w:val="bottom"/>
            <w:tcBorders>
              <w:bottom w:val="single" w:sz="8" w:color="auto"/>
            </w:tcBorders>
            <w:gridSpan w:val="5"/>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-19050</wp:posOffset>
            </wp:positionV>
            <wp:extent cx="10375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7-2, PAGE 5</w:t>
      </w:r>
    </w:p>
    <w:p>
      <w:pPr>
        <w:sectPr>
          <w:pgSz w:w="11900" w:h="16838" w:orient="portrait"/>
          <w:cols w:equalWidth="0" w:num="1">
            <w:col w:w="11420"/>
          </w:cols>
          <w:pgMar w:left="240" w:top="274" w:right="239" w:bottom="1440" w:gutter="0" w:footer="0" w:header="0"/>
        </w:sectPr>
      </w:pPr>
    </w:p>
    <w:bookmarkStart w:id="439" w:name="page440"/>
    <w:bookmarkEnd w:id="4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8</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u w:val="single" w:color="auto"/>
          <w:color w:val="auto"/>
        </w:rPr>
        <w:t>ENVIRONMENTAL ASSESSMENT REPORT</w:t>
      </w:r>
    </w:p>
    <w:p>
      <w:pPr>
        <w:spacing w:after="0" w:line="225" w:lineRule="exact"/>
        <w:rPr>
          <w:sz w:val="20"/>
          <w:szCs w:val="20"/>
          <w:color w:val="auto"/>
        </w:rPr>
      </w:pPr>
    </w:p>
    <w:p>
      <w:pPr>
        <w:ind w:left="3740" w:right="239" w:hanging="4938"/>
        <w:spacing w:after="0" w:line="449" w:lineRule="auto"/>
        <w:rPr>
          <w:sz w:val="20"/>
          <w:szCs w:val="20"/>
          <w:color w:val="auto"/>
        </w:rPr>
      </w:pPr>
      <w:r>
        <w:rPr>
          <w:rFonts w:ascii="Arial" w:cs="Arial" w:eastAsia="Arial" w:hAnsi="Arial"/>
          <w:sz w:val="18"/>
          <w:szCs w:val="18"/>
          <w:color w:val="auto"/>
        </w:rPr>
        <w:t>Phase 1 Environmental Site Assessment, Project No. BEC 11-108, prepared by Boston Environmental Corporation, dated March 11, 2011. EXHIBIT 8, PAGE 1</w:t>
      </w:r>
    </w:p>
    <w:p>
      <w:pPr>
        <w:sectPr>
          <w:pgSz w:w="11900" w:h="16838" w:orient="portrait"/>
          <w:cols w:equalWidth="0" w:num="1">
            <w:col w:w="9019"/>
          </w:cols>
          <w:pgMar w:left="1440" w:top="274" w:right="1440" w:bottom="1440" w:gutter="0" w:footer="0" w:header="0"/>
        </w:sectPr>
      </w:pPr>
    </w:p>
    <w:bookmarkStart w:id="440" w:name="page441"/>
    <w:bookmarkEnd w:id="440"/>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9</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RULES AND REGULATIONS</w:t>
      </w: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733 Concord Avenue, CAMBRIDGE, MA</w:t>
      </w:r>
    </w:p>
    <w:p>
      <w:pPr>
        <w:spacing w:after="0" w:line="256" w:lineRule="exact"/>
        <w:rPr>
          <w:sz w:val="20"/>
          <w:szCs w:val="20"/>
          <w:color w:val="auto"/>
        </w:rPr>
      </w:pPr>
    </w:p>
    <w:p>
      <w:pPr>
        <w:ind w:left="452" w:hanging="452"/>
        <w:spacing w:after="0"/>
        <w:tabs>
          <w:tab w:leader="none" w:pos="45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General</w:t>
      </w:r>
    </w:p>
    <w:p>
      <w:pPr>
        <w:spacing w:after="0" w:line="130" w:lineRule="exact"/>
        <w:rPr>
          <w:rFonts w:ascii="Arial" w:cs="Arial" w:eastAsia="Arial" w:hAnsi="Arial"/>
          <w:sz w:val="18"/>
          <w:szCs w:val="18"/>
          <w:color w:val="auto"/>
        </w:rPr>
      </w:pPr>
    </w:p>
    <w:p>
      <w:pPr>
        <w:ind w:left="892" w:right="180" w:hanging="446"/>
        <w:spacing w:after="0" w:line="264" w:lineRule="auto"/>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Tenant and its employees shall not in any way obstruct the sidewalks, halls, stairways, or exterior vestibules of the Building, and shall use the same only as a means of passage to and from their respective offices. Unless expressly provided for in the Lease and then only with the express permission of the Landlord, access to the roof is not permitted.</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Corridor doors, when not in use, shall be kept closed.</w:t>
      </w:r>
    </w:p>
    <w:p>
      <w:pPr>
        <w:spacing w:after="0" w:line="130" w:lineRule="exact"/>
        <w:rPr>
          <w:rFonts w:ascii="Arial" w:cs="Arial" w:eastAsia="Arial" w:hAnsi="Arial"/>
          <w:sz w:val="18"/>
          <w:szCs w:val="18"/>
          <w:color w:val="auto"/>
        </w:rPr>
      </w:pPr>
    </w:p>
    <w:p>
      <w:pPr>
        <w:ind w:left="892" w:right="360" w:hanging="446"/>
        <w:spacing w:after="0" w:line="277" w:lineRule="auto"/>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Areas used in common by tenants, including the loading dock and the loading vestibule shall be subject to such reasonable regulations as are posted therein.</w:t>
      </w:r>
    </w:p>
    <w:p>
      <w:pPr>
        <w:spacing w:after="0" w:line="75" w:lineRule="exact"/>
        <w:rPr>
          <w:rFonts w:ascii="Arial" w:cs="Arial" w:eastAsia="Arial" w:hAnsi="Arial"/>
          <w:sz w:val="18"/>
          <w:szCs w:val="18"/>
          <w:color w:val="auto"/>
        </w:rPr>
      </w:pPr>
    </w:p>
    <w:p>
      <w:pPr>
        <w:ind w:left="892" w:right="40" w:hanging="446"/>
        <w:spacing w:after="0" w:line="342" w:lineRule="auto"/>
        <w:tabs>
          <w:tab w:leader="none" w:pos="892" w:val="left"/>
        </w:tabs>
        <w:numPr>
          <w:ilvl w:val="1"/>
          <w:numId w:val="343"/>
        </w:numPr>
        <w:rPr>
          <w:rFonts w:ascii="Arial" w:cs="Arial" w:eastAsia="Arial" w:hAnsi="Arial"/>
          <w:sz w:val="16"/>
          <w:szCs w:val="16"/>
          <w:color w:val="auto"/>
        </w:rPr>
      </w:pPr>
      <w:r>
        <w:rPr>
          <w:rFonts w:ascii="Arial" w:cs="Arial" w:eastAsia="Arial" w:hAnsi="Arial"/>
          <w:sz w:val="16"/>
          <w:szCs w:val="16"/>
          <w:color w:val="auto"/>
        </w:rPr>
        <w:t>No companion animals, except Seeing Eye dogs, shall be brought into or kept in, on or about the Premises or Common Areas; provided however, the foregoing restriction shall not apply to any laboratory animals used by Tenant in connection with its research and development activities.</w:t>
      </w:r>
    </w:p>
    <w:p>
      <w:pPr>
        <w:spacing w:after="0" w:line="29" w:lineRule="exact"/>
        <w:rPr>
          <w:rFonts w:ascii="Arial" w:cs="Arial" w:eastAsia="Arial" w:hAnsi="Arial"/>
          <w:sz w:val="16"/>
          <w:szCs w:val="16"/>
          <w:color w:val="auto"/>
        </w:rPr>
      </w:pPr>
    </w:p>
    <w:p>
      <w:pPr>
        <w:ind w:left="892" w:hanging="446"/>
        <w:spacing w:after="0" w:line="279" w:lineRule="auto"/>
        <w:tabs>
          <w:tab w:leader="none" w:pos="892" w:val="left"/>
        </w:tabs>
        <w:numPr>
          <w:ilvl w:val="1"/>
          <w:numId w:val="343"/>
        </w:numPr>
        <w:rPr>
          <w:rFonts w:ascii="Arial" w:cs="Arial" w:eastAsia="Arial" w:hAnsi="Arial"/>
          <w:sz w:val="17"/>
          <w:szCs w:val="17"/>
          <w:color w:val="auto"/>
        </w:rPr>
      </w:pPr>
      <w:r>
        <w:rPr>
          <w:rFonts w:ascii="Arial" w:cs="Arial" w:eastAsia="Arial" w:hAnsi="Arial"/>
          <w:sz w:val="17"/>
          <w:szCs w:val="17"/>
          <w:color w:val="auto"/>
        </w:rPr>
        <w:t>Alcoholic beverages (without Landlord’s prior written consent, which shall not be unreasonably withheld, delayed, or conditioned), illegal drugs or other illegal controlled substances are not permitted in the Common Areas, nor will any person under the influence of the same be permitted in the Common Areas. Landlord reserves the right to exclude or expel from the Building any persons who, in the judgment of the Landlord, is under the influence of alcohol or drugs, or shall do any act in violation of the rules and regulations of the Building.</w:t>
      </w:r>
    </w:p>
    <w:p>
      <w:pPr>
        <w:spacing w:after="0" w:line="76" w:lineRule="exact"/>
        <w:rPr>
          <w:rFonts w:ascii="Arial" w:cs="Arial" w:eastAsia="Arial" w:hAnsi="Arial"/>
          <w:sz w:val="17"/>
          <w:szCs w:val="17"/>
          <w:color w:val="auto"/>
        </w:rPr>
      </w:pPr>
    </w:p>
    <w:p>
      <w:pPr>
        <w:ind w:left="892" w:hanging="446"/>
        <w:spacing w:after="0"/>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No firearms or other weapons are permitted in the Common Areas.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No fighting or “horseplay” will be tolerated at any time in the Common Areas.</w:t>
      </w:r>
    </w:p>
    <w:p>
      <w:pPr>
        <w:spacing w:after="0" w:line="130" w:lineRule="exact"/>
        <w:rPr>
          <w:rFonts w:ascii="Arial" w:cs="Arial" w:eastAsia="Arial" w:hAnsi="Arial"/>
          <w:sz w:val="18"/>
          <w:szCs w:val="18"/>
          <w:color w:val="auto"/>
        </w:rPr>
      </w:pPr>
    </w:p>
    <w:p>
      <w:pPr>
        <w:ind w:left="892" w:right="660" w:hanging="446"/>
        <w:spacing w:after="0" w:line="277" w:lineRule="auto"/>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Tenant shall not cause the need for any additional janitorial labor or services in the Common Areas by reason of Tenant’s carelessness or indifference in the preservation of good order and cleanliness.</w:t>
      </w:r>
    </w:p>
    <w:p>
      <w:pPr>
        <w:spacing w:after="0" w:line="75" w:lineRule="exact"/>
        <w:rPr>
          <w:rFonts w:ascii="Arial" w:cs="Arial" w:eastAsia="Arial" w:hAnsi="Arial"/>
          <w:sz w:val="18"/>
          <w:szCs w:val="18"/>
          <w:color w:val="auto"/>
        </w:rPr>
      </w:pPr>
    </w:p>
    <w:p>
      <w:pPr>
        <w:ind w:left="892" w:right="120" w:hanging="446"/>
        <w:spacing w:after="0" w:line="277" w:lineRule="auto"/>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Smoking and discarding of smoking materials by Tenant and/or any Tenant Party is permitted only in exterior locations designated by Landlord. Tenant will instruct and notify its employees and visitors of such policy.</w:t>
      </w:r>
    </w:p>
    <w:p>
      <w:pPr>
        <w:spacing w:after="0" w:line="75" w:lineRule="exact"/>
        <w:rPr>
          <w:rFonts w:ascii="Arial" w:cs="Arial" w:eastAsia="Arial" w:hAnsi="Arial"/>
          <w:sz w:val="18"/>
          <w:szCs w:val="18"/>
          <w:color w:val="auto"/>
        </w:rPr>
      </w:pPr>
    </w:p>
    <w:p>
      <w:pPr>
        <w:ind w:left="892" w:right="420" w:hanging="446"/>
        <w:spacing w:after="0" w:line="277" w:lineRule="auto"/>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Bicycles and other vehicles are not permitted inside the Building or on the walkways outside the Building, except in those areas specifically designated by Landlord for such purposes</w:t>
      </w:r>
    </w:p>
    <w:p>
      <w:pPr>
        <w:spacing w:after="0" w:line="75" w:lineRule="exact"/>
        <w:rPr>
          <w:rFonts w:ascii="Arial" w:cs="Arial" w:eastAsia="Arial" w:hAnsi="Arial"/>
          <w:sz w:val="18"/>
          <w:szCs w:val="18"/>
          <w:color w:val="auto"/>
        </w:rPr>
      </w:pPr>
    </w:p>
    <w:p>
      <w:pPr>
        <w:ind w:left="892" w:right="500" w:hanging="446"/>
        <w:spacing w:after="0" w:line="277" w:lineRule="auto"/>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Tenant shall not operate or permit to be operated on the Premises any coin or token operated vending machine or similar device (including, without limitation,</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EXHIBIT 9, PAGE 1</w:t>
      </w:r>
    </w:p>
    <w:p>
      <w:pPr>
        <w:sectPr>
          <w:pgSz w:w="11900" w:h="16838" w:orient="portrait"/>
          <w:cols w:equalWidth="0" w:num="1">
            <w:col w:w="11392"/>
          </w:cols>
          <w:pgMar w:left="248" w:top="273" w:right="259" w:bottom="1440" w:gutter="0" w:footer="0" w:header="0"/>
        </w:sectPr>
      </w:pPr>
    </w:p>
    <w:bookmarkStart w:id="441" w:name="page442"/>
    <w:bookmarkEnd w:id="441"/>
    <w:p>
      <w:pPr>
        <w:ind w:left="466"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telephones, lockers, toilets, scales, amusement devices and machines for sale of beverages food, candy, cigarettes or other goods), except for those vending machines or similar devices which are for the sole and exclusive use of tenant’s employees.</w:t>
      </w:r>
    </w:p>
    <w:p>
      <w:pPr>
        <w:spacing w:after="0" w:line="76" w:lineRule="exact"/>
        <w:rPr>
          <w:sz w:val="20"/>
          <w:szCs w:val="20"/>
          <w:color w:val="auto"/>
        </w:rPr>
      </w:pPr>
    </w:p>
    <w:p>
      <w:pPr>
        <w:ind w:left="446" w:hanging="446"/>
        <w:spacing w:after="0" w:line="277" w:lineRule="auto"/>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Canvassing, soliciting, and peddling in or about the Building is prohibited. Tenant, its employees, agents and contractors shall cooperate with said policy, and Tenant shall cooperate and use best efforts to prevent the same by Tenant’s invitees.</w:t>
      </w:r>
    </w:p>
    <w:p>
      <w:pPr>
        <w:spacing w:after="0" w:line="75" w:lineRule="exact"/>
        <w:rPr>
          <w:rFonts w:ascii="Arial" w:cs="Arial" w:eastAsia="Arial" w:hAnsi="Arial"/>
          <w:sz w:val="18"/>
          <w:szCs w:val="18"/>
          <w:color w:val="auto"/>
        </w:rPr>
      </w:pPr>
    </w:p>
    <w:p>
      <w:pPr>
        <w:ind w:left="446" w:right="300" w:hanging="446"/>
        <w:spacing w:after="0" w:line="277" w:lineRule="auto"/>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Fire protection and prevention practices implemented by the Landlord from time to time in the Common Areas, including participation in fire drills, must be observed by Tenant at all times.</w:t>
      </w:r>
    </w:p>
    <w:p>
      <w:pPr>
        <w:spacing w:after="0" w:line="75"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Except as provided for in the Lease, no signs, advertisements or notices shall be painted or affixed on or to any windows, doors or other parts of the Building that are visible from the exterior of the Building unless approved in writing by the Landlord.</w:t>
      </w:r>
    </w:p>
    <w:p>
      <w:pPr>
        <w:spacing w:after="0" w:line="75" w:lineRule="exact"/>
        <w:rPr>
          <w:rFonts w:ascii="Arial" w:cs="Arial" w:eastAsia="Arial" w:hAnsi="Arial"/>
          <w:sz w:val="18"/>
          <w:szCs w:val="18"/>
          <w:color w:val="auto"/>
        </w:rPr>
      </w:pPr>
    </w:p>
    <w:p>
      <w:pPr>
        <w:ind w:left="446" w:right="180" w:hanging="446"/>
        <w:spacing w:after="0" w:line="277" w:lineRule="auto"/>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restroom fixtures shall be used only for the purpose for which they were constructed and no rubbish, ashes, or other substances of any kind shall be thrown into them. Tenant will bear the expense of any damage resulting from misuse.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Tenant will not interfere with or obstruct any perimeter heating, air conditioning or ventilating units.</w:t>
      </w:r>
    </w:p>
    <w:p>
      <w:pPr>
        <w:spacing w:after="0" w:line="130" w:lineRule="exact"/>
        <w:rPr>
          <w:rFonts w:ascii="Arial" w:cs="Arial" w:eastAsia="Arial" w:hAnsi="Arial"/>
          <w:sz w:val="18"/>
          <w:szCs w:val="18"/>
          <w:color w:val="auto"/>
        </w:rPr>
      </w:pPr>
    </w:p>
    <w:p>
      <w:pPr>
        <w:ind w:left="446" w:right="500" w:hanging="446"/>
        <w:spacing w:after="0" w:line="277" w:lineRule="auto"/>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Tenant shall cause the Premises to be exterminated per the Lease. Except as included in Landlord’s Services, Tenant shall bear the cost and expense of such pest control services.</w:t>
      </w:r>
    </w:p>
    <w:p>
      <w:pPr>
        <w:spacing w:after="0" w:line="75"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Tenant shall not install, operate or maintain in the Premises or in any other area of the Building, any electrical equipment which does not bear the U/L (Underwriters Laboratories) seal of approval, or which would overload the electrical system or any part thereof beyond its capacity for proper, efficient and safe operation as determined by Landlord, taking into consideration the overall electrical system and the present and future requirements of the Building.</w:t>
      </w:r>
    </w:p>
    <w:p>
      <w:pPr>
        <w:spacing w:after="0" w:line="92" w:lineRule="exact"/>
        <w:rPr>
          <w:rFonts w:ascii="Arial" w:cs="Arial" w:eastAsia="Arial" w:hAnsi="Arial"/>
          <w:sz w:val="18"/>
          <w:szCs w:val="18"/>
          <w:color w:val="auto"/>
        </w:rPr>
      </w:pPr>
    </w:p>
    <w:p>
      <w:pPr>
        <w:ind w:left="446" w:right="400" w:hanging="446"/>
        <w:spacing w:after="0" w:line="342" w:lineRule="auto"/>
        <w:tabs>
          <w:tab w:leader="none" w:pos="44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Tenants shall not perform improvements or alterations within the Building or their Premises, if the work has the potential of disturbing the fireproofing which has been applied on the surfaces of structural steel members, without the prior written consent of Landlord, if applicable.</w:t>
      </w:r>
    </w:p>
    <w:p>
      <w:pPr>
        <w:spacing w:after="0" w:line="29" w:lineRule="exact"/>
        <w:rPr>
          <w:rFonts w:ascii="Arial" w:cs="Arial" w:eastAsia="Arial" w:hAnsi="Arial"/>
          <w:sz w:val="16"/>
          <w:szCs w:val="16"/>
          <w:color w:val="auto"/>
        </w:rPr>
      </w:pPr>
    </w:p>
    <w:p>
      <w:pPr>
        <w:ind w:left="446" w:right="220" w:hanging="446"/>
        <w:spacing w:after="0" w:line="257" w:lineRule="auto"/>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Tenant shall manage its waste removal and janitorial program in a manner acceptable to the Landlord, at its sole cost and expense, keeping any recyclables, garbage, trash, rubbish and refuse neatly stored in vermin- proof containers for Tenants sole use within the Premises or Landlord designated area until removed with all removal to be performed during non-business hours. Tenant shall not place in any waste receptacle, dumpster, or building compactor any biohazard materials, hazardous material, or other material that cannot be disposed of in the ordinary and customary manner of trash and garbage.</w:t>
      </w:r>
    </w:p>
    <w:p>
      <w:pPr>
        <w:spacing w:after="0" w:line="12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EXHIBIT 9, PAGE 2</w:t>
      </w:r>
    </w:p>
    <w:p>
      <w:pPr>
        <w:sectPr>
          <w:pgSz w:w="11900" w:h="16838" w:orient="portrait"/>
          <w:cols w:equalWidth="0" w:num="1">
            <w:col w:w="10946"/>
          </w:cols>
          <w:pgMar w:left="694" w:top="273" w:right="259" w:bottom="1440" w:gutter="0" w:footer="0" w:header="0"/>
        </w:sectPr>
      </w:pPr>
    </w:p>
    <w:bookmarkStart w:id="442" w:name="page443"/>
    <w:bookmarkEnd w:id="442"/>
    <w:p>
      <w:pPr>
        <w:ind w:left="892" w:right="160" w:hanging="446"/>
        <w:spacing w:after="0" w:line="308" w:lineRule="auto"/>
        <w:tabs>
          <w:tab w:leader="none" w:pos="892" w:val="left"/>
        </w:tabs>
        <w:numPr>
          <w:ilvl w:val="1"/>
          <w:numId w:val="3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Lab operators who travel outside lab space must abide by the “one glove rule” and remove lab coats where predetermined. For the avoidance of doubt, the “one glove rule” is intended to ensure that lab personnel use an ungloved hand to touch common area surfaces.</w:t>
      </w:r>
    </w:p>
    <w:p>
      <w:pPr>
        <w:spacing w:after="0" w:line="51" w:lineRule="exact"/>
        <w:rPr>
          <w:rFonts w:ascii="Arial" w:cs="Arial" w:eastAsia="Arial" w:hAnsi="Arial"/>
          <w:sz w:val="17"/>
          <w:szCs w:val="17"/>
          <w:color w:val="auto"/>
        </w:rPr>
      </w:pPr>
    </w:p>
    <w:p>
      <w:pPr>
        <w:ind w:left="892" w:right="160" w:hanging="446"/>
        <w:spacing w:after="0" w:line="277" w:lineRule="auto"/>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In order to maximize the safety and effectiveness of first responders who must enter the Premises in emergency, Tenant shall maintain chemical lists and MSDS sheets at readily identifiable and accessible locations at the entrance to each lab area.</w:t>
      </w:r>
    </w:p>
    <w:p>
      <w:pPr>
        <w:spacing w:after="0" w:line="75" w:lineRule="exact"/>
        <w:rPr>
          <w:rFonts w:ascii="Arial" w:cs="Arial" w:eastAsia="Arial" w:hAnsi="Arial"/>
          <w:sz w:val="18"/>
          <w:szCs w:val="18"/>
          <w:color w:val="auto"/>
        </w:rPr>
      </w:pPr>
    </w:p>
    <w:p>
      <w:pPr>
        <w:ind w:left="892" w:right="40" w:hanging="446"/>
        <w:spacing w:after="0" w:line="277" w:lineRule="auto"/>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Tenant shall provide Landlord, in writing, the names and contact information of two (2) representatives authorized by Tenant to request Landlord services, either billable or non-billable and to act as a liaison for matters related to the Premises.</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Access &amp; Security</w:t>
      </w:r>
    </w:p>
    <w:p>
      <w:pPr>
        <w:spacing w:after="0" w:line="130" w:lineRule="exact"/>
        <w:rPr>
          <w:rFonts w:ascii="Arial" w:cs="Arial" w:eastAsia="Arial" w:hAnsi="Arial"/>
          <w:sz w:val="18"/>
          <w:szCs w:val="18"/>
          <w:color w:val="auto"/>
        </w:rPr>
      </w:pPr>
    </w:p>
    <w:p>
      <w:pPr>
        <w:ind w:left="892" w:hanging="446"/>
        <w:spacing w:after="0" w:line="279" w:lineRule="auto"/>
        <w:tabs>
          <w:tab w:leader="none" w:pos="892" w:val="left"/>
        </w:tabs>
        <w:numPr>
          <w:ilvl w:val="1"/>
          <w:numId w:val="346"/>
        </w:numPr>
        <w:rPr>
          <w:rFonts w:ascii="Arial" w:cs="Arial" w:eastAsia="Arial" w:hAnsi="Arial"/>
          <w:sz w:val="17"/>
          <w:szCs w:val="17"/>
          <w:color w:val="auto"/>
        </w:rPr>
      </w:pPr>
      <w:r>
        <w:rPr>
          <w:rFonts w:ascii="Arial" w:cs="Arial" w:eastAsia="Arial" w:hAnsi="Arial"/>
          <w:sz w:val="17"/>
          <w:szCs w:val="17"/>
          <w:color w:val="auto"/>
        </w:rPr>
        <w:t>Landlord reserves the right to close and keep locked all entrance and exit doors of the Building during the hours Landlord may deem advisable for the adequate protection of the Property. Use of the Building and the leased premises before 8 AM or after 6 PM, or any time during Saturdays, Sundays or legal holidays shall be allowed only to persons with a key/card key to the Building or guests accompanied by such persons. Any persons found in the Building after hours without such keys/card keys are subject to the surveillance of building staff.</w:t>
      </w:r>
    </w:p>
    <w:p>
      <w:pPr>
        <w:spacing w:after="0" w:line="76" w:lineRule="exact"/>
        <w:rPr>
          <w:rFonts w:ascii="Arial" w:cs="Arial" w:eastAsia="Arial" w:hAnsi="Arial"/>
          <w:sz w:val="17"/>
          <w:szCs w:val="17"/>
          <w:color w:val="auto"/>
        </w:rPr>
      </w:pPr>
    </w:p>
    <w:p>
      <w:pPr>
        <w:ind w:left="892" w:right="20" w:hanging="446"/>
        <w:spacing w:after="0" w:line="302" w:lineRule="auto"/>
        <w:tabs>
          <w:tab w:leader="none" w:pos="892" w:val="left"/>
        </w:tabs>
        <w:numPr>
          <w:ilvl w:val="1"/>
          <w:numId w:val="346"/>
        </w:numPr>
        <w:rPr>
          <w:rFonts w:ascii="Arial" w:cs="Arial" w:eastAsia="Arial" w:hAnsi="Arial"/>
          <w:sz w:val="16"/>
          <w:szCs w:val="16"/>
          <w:color w:val="auto"/>
        </w:rPr>
      </w:pPr>
      <w:r>
        <w:rPr>
          <w:rFonts w:ascii="Arial" w:cs="Arial" w:eastAsia="Arial" w:hAnsi="Arial"/>
          <w:sz w:val="16"/>
          <w:szCs w:val="16"/>
          <w:color w:val="auto"/>
        </w:rPr>
        <w:t>Tenant shall not place any additional lock or locks on any exterior door in the Premises or Building or on any door in the Building core within the Premises, including doors providing access to the telephone and electric closets and the slop sink, without Landlord’s prior written consent. A reasonable number of keys to the locks on the doors in the Premises shall be furnished by Landlord to Tenant at the cost of Tenant, and Tenant shall not have any duplicate keys made. All keys shall be returned to landlord at the expiration or earlier termination of this Lease.</w:t>
      </w:r>
    </w:p>
    <w:p>
      <w:pPr>
        <w:spacing w:after="0" w:line="59" w:lineRule="exact"/>
        <w:rPr>
          <w:rFonts w:ascii="Arial" w:cs="Arial" w:eastAsia="Arial" w:hAnsi="Arial"/>
          <w:sz w:val="16"/>
          <w:szCs w:val="16"/>
          <w:color w:val="auto"/>
        </w:rPr>
      </w:pPr>
    </w:p>
    <w:p>
      <w:pPr>
        <w:ind w:left="892" w:right="60" w:hanging="446"/>
        <w:spacing w:after="0" w:line="286" w:lineRule="auto"/>
        <w:tabs>
          <w:tab w:leader="none" w:pos="892" w:val="left"/>
        </w:tabs>
        <w:numPr>
          <w:ilvl w:val="1"/>
          <w:numId w:val="346"/>
        </w:numPr>
        <w:rPr>
          <w:rFonts w:ascii="Arial" w:cs="Arial" w:eastAsia="Arial" w:hAnsi="Arial"/>
          <w:sz w:val="17"/>
          <w:szCs w:val="17"/>
          <w:color w:val="auto"/>
        </w:rPr>
      </w:pPr>
      <w:r>
        <w:rPr>
          <w:rFonts w:ascii="Arial" w:cs="Arial" w:eastAsia="Arial" w:hAnsi="Arial"/>
          <w:sz w:val="17"/>
          <w:szCs w:val="17"/>
          <w:color w:val="auto"/>
        </w:rPr>
        <w:t>Landlord may from time to time adopt appropriate systems and procedures for the security or safety of the Building, its occupants, entry and use, or its contents, provided that Tenant shall have access to the Building 24 hours per day, 7 days a week. Tenant, Tenant’s agents, employees, contractors, guests and invitees shall comply with Landlord’s reasonable requirements relative thereto.</w:t>
      </w:r>
    </w:p>
    <w:p>
      <w:pPr>
        <w:spacing w:after="0" w:line="70" w:lineRule="exact"/>
        <w:rPr>
          <w:rFonts w:ascii="Arial" w:cs="Arial" w:eastAsia="Arial" w:hAnsi="Arial"/>
          <w:sz w:val="17"/>
          <w:szCs w:val="17"/>
          <w:color w:val="auto"/>
        </w:rPr>
      </w:pPr>
    </w:p>
    <w:p>
      <w:pPr>
        <w:jc w:val="both"/>
        <w:ind w:left="892" w:right="120" w:hanging="446"/>
        <w:spacing w:after="0" w:line="312" w:lineRule="auto"/>
        <w:tabs>
          <w:tab w:leader="none" w:pos="892" w:val="left"/>
        </w:tabs>
        <w:numPr>
          <w:ilvl w:val="1"/>
          <w:numId w:val="346"/>
        </w:numPr>
        <w:rPr>
          <w:rFonts w:ascii="Arial" w:cs="Arial" w:eastAsia="Arial" w:hAnsi="Arial"/>
          <w:sz w:val="16"/>
          <w:szCs w:val="16"/>
          <w:color w:val="auto"/>
        </w:rPr>
      </w:pPr>
      <w:r>
        <w:rPr>
          <w:rFonts w:ascii="Arial" w:cs="Arial" w:eastAsia="Arial" w:hAnsi="Arial"/>
          <w:sz w:val="16"/>
          <w:szCs w:val="16"/>
          <w:color w:val="auto"/>
        </w:rPr>
        <w:t>Tenant acknowledges that Property security problems may occur which may require the employment of additional security measures in the day-to-day operation of the Common Areas. Accordingly, Tenant agrees to cooperate and cause its employees, contractors, and other representatives to cooperate fully with Landlord in the implementation of any reasonable security procedures concerning the Common Areas.</w:t>
      </w:r>
    </w:p>
    <w:p>
      <w:pPr>
        <w:spacing w:after="0" w:line="52" w:lineRule="exact"/>
        <w:rPr>
          <w:rFonts w:ascii="Arial" w:cs="Arial" w:eastAsia="Arial" w:hAnsi="Arial"/>
          <w:sz w:val="16"/>
          <w:szCs w:val="16"/>
          <w:color w:val="auto"/>
        </w:rPr>
      </w:pPr>
    </w:p>
    <w:p>
      <w:pPr>
        <w:ind w:left="892" w:right="480" w:hanging="446"/>
        <w:spacing w:after="0" w:line="264" w:lineRule="auto"/>
        <w:tabs>
          <w:tab w:leader="none" w:pos="892"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Tenant and its employees, agents, contractors, invitees and licensees are limited to the Premises and the Common Areas. Tenants and its employees, agents, contractors, invitees and licensees may not enter other areas of the Project (other than the Common Areas) except when accompanied by an escort from the Landlord.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9, PAGE 3</w:t>
      </w:r>
    </w:p>
    <w:p>
      <w:pPr>
        <w:sectPr>
          <w:pgSz w:w="11900" w:h="16838" w:orient="portrait"/>
          <w:cols w:equalWidth="0" w:num="1">
            <w:col w:w="11392"/>
          </w:cols>
          <w:pgMar w:left="248" w:top="274" w:right="259" w:bottom="1440" w:gutter="0" w:footer="0" w:header="0"/>
        </w:sectPr>
      </w:pPr>
    </w:p>
    <w:bookmarkStart w:id="443" w:name="page444"/>
    <w:bookmarkEnd w:id="443"/>
    <w:p>
      <w:pPr>
        <w:ind w:left="452" w:hanging="452"/>
        <w:spacing w:after="0"/>
        <w:tabs>
          <w:tab w:leader="none" w:pos="452" w:val="left"/>
        </w:tabs>
        <w:numPr>
          <w:ilvl w:val="0"/>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Shipping/Receiving</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47"/>
        </w:numPr>
        <w:rPr>
          <w:rFonts w:ascii="Arial" w:cs="Arial" w:eastAsia="Arial" w:hAnsi="Arial"/>
          <w:sz w:val="18"/>
          <w:szCs w:val="18"/>
          <w:color w:val="auto"/>
        </w:rPr>
      </w:pPr>
      <w:r>
        <w:rPr>
          <w:rFonts w:ascii="Arial" w:cs="Arial" w:eastAsia="Arial" w:hAnsi="Arial"/>
          <w:sz w:val="18"/>
          <w:szCs w:val="18"/>
          <w:color w:val="auto"/>
        </w:rPr>
        <w:t>Dock areas for the Building including the loading vestibule shall not be used for storage or staging by Tenant.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In no case shall any truck or trailer be permitted to remain in a loading dock area for more than 45 minutes.</w:t>
      </w:r>
    </w:p>
    <w:p>
      <w:pPr>
        <w:spacing w:after="0" w:line="130" w:lineRule="exact"/>
        <w:rPr>
          <w:rFonts w:ascii="Arial" w:cs="Arial" w:eastAsia="Arial" w:hAnsi="Arial"/>
          <w:sz w:val="18"/>
          <w:szCs w:val="18"/>
          <w:color w:val="auto"/>
        </w:rPr>
      </w:pPr>
    </w:p>
    <w:p>
      <w:pPr>
        <w:ind w:left="892" w:right="120" w:hanging="446"/>
        <w:spacing w:after="0" w:line="277" w:lineRule="auto"/>
        <w:tabs>
          <w:tab w:leader="none" w:pos="892"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There shall not be used in any Common Area, either by Tenant or by delivery personnel or others, in the delivery or receipt of merchandise, any hand trucks, except those equipped with rubber tires and sole guards.</w:t>
      </w:r>
    </w:p>
    <w:p>
      <w:pPr>
        <w:spacing w:after="0" w:line="76" w:lineRule="exact"/>
        <w:rPr>
          <w:sz w:val="20"/>
          <w:szCs w:val="20"/>
          <w:color w:val="auto"/>
        </w:rPr>
      </w:pPr>
    </w:p>
    <w:p>
      <w:pPr>
        <w:ind w:left="892" w:hanging="446"/>
        <w:spacing w:after="0"/>
        <w:tabs>
          <w:tab w:leader="none" w:pos="89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Lab operators carrying any lab related materials may only travel within the Premises and to and from the loading dock.</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Any dry ice brought into the building must be delivered through the loading dock.</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All nitrogen tanks must travel through the loading dock and should never be left unattended outside of the Premises.</w:t>
      </w:r>
    </w:p>
    <w:p>
      <w:pPr>
        <w:spacing w:after="0" w:line="373" w:lineRule="exact"/>
        <w:rPr>
          <w:rFonts w:ascii="Arial" w:cs="Arial" w:eastAsia="Arial" w:hAnsi="Arial"/>
          <w:sz w:val="18"/>
          <w:szCs w:val="18"/>
          <w:color w:val="auto"/>
        </w:rPr>
      </w:pPr>
    </w:p>
    <w:p>
      <w:pPr>
        <w:ind w:left="452" w:hanging="452"/>
        <w:spacing w:after="0"/>
        <w:tabs>
          <w:tab w:leader="none" w:pos="45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Parking</w:t>
      </w:r>
    </w:p>
    <w:p>
      <w:pPr>
        <w:spacing w:after="0" w:line="117" w:lineRule="exact"/>
        <w:rPr>
          <w:rFonts w:ascii="Arial" w:cs="Arial" w:eastAsia="Arial" w:hAnsi="Arial"/>
          <w:sz w:val="18"/>
          <w:szCs w:val="18"/>
          <w:color w:val="auto"/>
        </w:rPr>
      </w:pPr>
    </w:p>
    <w:p>
      <w:pPr>
        <w:ind w:left="452" w:right="240" w:firstLine="4"/>
        <w:spacing w:after="0" w:line="277" w:lineRule="auto"/>
        <w:tabs>
          <w:tab w:leader="none" w:pos="632" w:val="left"/>
        </w:tabs>
        <w:numPr>
          <w:ilvl w:val="2"/>
          <w:numId w:val="349"/>
        </w:numPr>
        <w:rPr>
          <w:rFonts w:ascii="Arial" w:cs="Arial" w:eastAsia="Arial" w:hAnsi="Arial"/>
          <w:sz w:val="18"/>
          <w:szCs w:val="18"/>
          <w:color w:val="auto"/>
        </w:rPr>
      </w:pPr>
      <w:r>
        <w:rPr>
          <w:rFonts w:ascii="Arial" w:cs="Arial" w:eastAsia="Arial" w:hAnsi="Arial"/>
          <w:sz w:val="18"/>
          <w:szCs w:val="18"/>
          <w:color w:val="auto"/>
        </w:rPr>
        <w:t>Unless otherwise stipulated in the Lease, parking is on an unassigned, non-reserved basis. Tenant shall park in conformity with all signs and other markings and will honor all reserved and handicap parking spaces.</w:t>
      </w:r>
    </w:p>
    <w:p>
      <w:pPr>
        <w:spacing w:after="0" w:line="62" w:lineRule="exact"/>
        <w:rPr>
          <w:rFonts w:ascii="Arial" w:cs="Arial" w:eastAsia="Arial" w:hAnsi="Arial"/>
          <w:sz w:val="18"/>
          <w:szCs w:val="18"/>
          <w:color w:val="auto"/>
        </w:rPr>
      </w:pPr>
    </w:p>
    <w:p>
      <w:pPr>
        <w:ind w:left="632" w:hanging="176"/>
        <w:spacing w:after="0"/>
        <w:tabs>
          <w:tab w:leader="none" w:pos="632" w:val="left"/>
        </w:tabs>
        <w:numPr>
          <w:ilvl w:val="2"/>
          <w:numId w:val="349"/>
        </w:numPr>
        <w:rPr>
          <w:rFonts w:ascii="Arial" w:cs="Arial" w:eastAsia="Arial" w:hAnsi="Arial"/>
          <w:sz w:val="18"/>
          <w:szCs w:val="18"/>
          <w:color w:val="auto"/>
        </w:rPr>
      </w:pPr>
      <w:r>
        <w:rPr>
          <w:rFonts w:ascii="Arial" w:cs="Arial" w:eastAsia="Arial" w:hAnsi="Arial"/>
          <w:sz w:val="18"/>
          <w:szCs w:val="18"/>
          <w:color w:val="auto"/>
        </w:rPr>
        <w:t>Parking of any trailers, trucks, motor homes, or unregistered vehicles in the parking areas is prohibited.</w:t>
      </w:r>
    </w:p>
    <w:p>
      <w:pPr>
        <w:spacing w:after="0" w:line="117" w:lineRule="exact"/>
        <w:rPr>
          <w:rFonts w:ascii="Arial" w:cs="Arial" w:eastAsia="Arial" w:hAnsi="Arial"/>
          <w:sz w:val="18"/>
          <w:szCs w:val="18"/>
          <w:color w:val="auto"/>
        </w:rPr>
      </w:pPr>
    </w:p>
    <w:p>
      <w:pPr>
        <w:ind w:left="632" w:hanging="176"/>
        <w:spacing w:after="0"/>
        <w:tabs>
          <w:tab w:leader="none" w:pos="632" w:val="left"/>
        </w:tabs>
        <w:numPr>
          <w:ilvl w:val="2"/>
          <w:numId w:val="349"/>
        </w:numPr>
        <w:rPr>
          <w:rFonts w:ascii="Arial" w:cs="Arial" w:eastAsia="Arial" w:hAnsi="Arial"/>
          <w:sz w:val="17"/>
          <w:szCs w:val="17"/>
          <w:color w:val="auto"/>
        </w:rPr>
      </w:pPr>
      <w:r>
        <w:rPr>
          <w:rFonts w:ascii="Arial" w:cs="Arial" w:eastAsia="Arial" w:hAnsi="Arial"/>
          <w:sz w:val="17"/>
          <w:szCs w:val="17"/>
          <w:color w:val="auto"/>
        </w:rPr>
        <w:t>Vehicles may not be stored in the Parking Spaces, however, overnight parking shall be permitted with notice to the Management Company.</w:t>
      </w:r>
    </w:p>
    <w:p>
      <w:pPr>
        <w:spacing w:after="0" w:line="128" w:lineRule="exact"/>
        <w:rPr>
          <w:rFonts w:ascii="Arial" w:cs="Arial" w:eastAsia="Arial" w:hAnsi="Arial"/>
          <w:sz w:val="17"/>
          <w:szCs w:val="17"/>
          <w:color w:val="auto"/>
        </w:rPr>
      </w:pPr>
    </w:p>
    <w:p>
      <w:pPr>
        <w:ind w:left="452" w:right="160" w:firstLine="4"/>
        <w:spacing w:after="0" w:line="277" w:lineRule="auto"/>
        <w:tabs>
          <w:tab w:leader="none" w:pos="632" w:val="left"/>
        </w:tabs>
        <w:numPr>
          <w:ilvl w:val="2"/>
          <w:numId w:val="349"/>
        </w:numPr>
        <w:rPr>
          <w:rFonts w:ascii="Arial" w:cs="Arial" w:eastAsia="Arial" w:hAnsi="Arial"/>
          <w:sz w:val="18"/>
          <w:szCs w:val="18"/>
          <w:color w:val="auto"/>
        </w:rPr>
      </w:pPr>
      <w:r>
        <w:rPr>
          <w:rFonts w:ascii="Arial" w:cs="Arial" w:eastAsia="Arial" w:hAnsi="Arial"/>
          <w:sz w:val="18"/>
          <w:szCs w:val="18"/>
          <w:color w:val="auto"/>
        </w:rPr>
        <w:t>Washing, maintenance and repair of motor vehicles in the Parking Spaces is expressly prohibited. Disabled vehicles shall be removed within forty-eight (48) hours.</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Moving</w:t>
      </w:r>
    </w:p>
    <w:p>
      <w:pPr>
        <w:spacing w:after="0" w:line="117" w:lineRule="exact"/>
        <w:rPr>
          <w:rFonts w:ascii="Arial" w:cs="Arial" w:eastAsia="Arial" w:hAnsi="Arial"/>
          <w:sz w:val="18"/>
          <w:szCs w:val="18"/>
          <w:color w:val="auto"/>
        </w:rPr>
      </w:pPr>
    </w:p>
    <w:p>
      <w:pPr>
        <w:ind w:left="-8" w:right="700" w:firstLine="464"/>
        <w:spacing w:after="0" w:line="277" w:lineRule="auto"/>
        <w:tabs>
          <w:tab w:leader="none" w:pos="628"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Tenant shall provide Landlord with reasonable notice of move in and/or move out of equipment and/or furniture. In the case of move out or removals, Tenant shall provide notice in writing.</w:t>
      </w:r>
    </w:p>
    <w:p>
      <w:pPr>
        <w:spacing w:after="0" w:line="62" w:lineRule="exact"/>
        <w:rPr>
          <w:rFonts w:ascii="Arial" w:cs="Arial" w:eastAsia="Arial" w:hAnsi="Arial"/>
          <w:sz w:val="18"/>
          <w:szCs w:val="18"/>
          <w:color w:val="auto"/>
        </w:rPr>
      </w:pPr>
    </w:p>
    <w:p>
      <w:pPr>
        <w:ind w:left="-8" w:firstLine="464"/>
        <w:spacing w:after="0" w:line="277" w:lineRule="auto"/>
        <w:tabs>
          <w:tab w:leader="none" w:pos="628" w:val="left"/>
        </w:tabs>
        <w:numPr>
          <w:ilvl w:val="2"/>
          <w:numId w:val="349"/>
        </w:numPr>
        <w:rPr>
          <w:rFonts w:ascii="Arial" w:cs="Arial" w:eastAsia="Arial" w:hAnsi="Arial"/>
          <w:sz w:val="18"/>
          <w:szCs w:val="18"/>
          <w:color w:val="auto"/>
        </w:rPr>
      </w:pPr>
      <w:r>
        <w:rPr>
          <w:rFonts w:ascii="Arial" w:cs="Arial" w:eastAsia="Arial" w:hAnsi="Arial"/>
          <w:sz w:val="18"/>
          <w:szCs w:val="18"/>
          <w:color w:val="auto"/>
        </w:rPr>
        <w:t>Moving shall be performed during normal business hours unless otherwise approved by Landlord. Tenant will be responsible for any additional costs incurred by Landlord for after business hours use.</w:t>
      </w:r>
    </w:p>
    <w:p>
      <w:pPr>
        <w:spacing w:after="0" w:line="62" w:lineRule="exact"/>
        <w:rPr>
          <w:rFonts w:ascii="Arial" w:cs="Arial" w:eastAsia="Arial" w:hAnsi="Arial"/>
          <w:sz w:val="18"/>
          <w:szCs w:val="18"/>
          <w:color w:val="auto"/>
        </w:rPr>
      </w:pPr>
    </w:p>
    <w:p>
      <w:pPr>
        <w:ind w:left="632" w:hanging="176"/>
        <w:spacing w:after="0"/>
        <w:tabs>
          <w:tab w:leader="none" w:pos="632" w:val="left"/>
        </w:tabs>
        <w:numPr>
          <w:ilvl w:val="2"/>
          <w:numId w:val="349"/>
        </w:numPr>
        <w:rPr>
          <w:rFonts w:ascii="Arial" w:cs="Arial" w:eastAsia="Arial" w:hAnsi="Arial"/>
          <w:sz w:val="17"/>
          <w:szCs w:val="17"/>
          <w:color w:val="auto"/>
        </w:rPr>
      </w:pPr>
      <w:r>
        <w:rPr>
          <w:rFonts w:ascii="Arial" w:cs="Arial" w:eastAsia="Arial" w:hAnsi="Arial"/>
          <w:sz w:val="17"/>
          <w:szCs w:val="17"/>
          <w:color w:val="auto"/>
        </w:rPr>
        <w:t>Certificate of insurance shall be provided by Tenant’s contractor naming Landlord and Landlord’s managing agent as additional insureds.</w:t>
      </w:r>
    </w:p>
    <w:p>
      <w:pPr>
        <w:spacing w:after="0" w:line="128" w:lineRule="exact"/>
        <w:rPr>
          <w:rFonts w:ascii="Arial" w:cs="Arial" w:eastAsia="Arial" w:hAnsi="Arial"/>
          <w:sz w:val="17"/>
          <w:szCs w:val="17"/>
          <w:color w:val="auto"/>
        </w:rPr>
      </w:pPr>
    </w:p>
    <w:p>
      <w:pPr>
        <w:ind w:left="-8" w:firstLine="464"/>
        <w:spacing w:after="0" w:line="277" w:lineRule="auto"/>
        <w:tabs>
          <w:tab w:leader="none" w:pos="628"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Tenant shall cause its moving contractor to provide protection to all Common Area floors and walls. All dollies and handcarts must be equipped with rubber wheels. Tenant’s</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EXHIBIT 9, PAGE 4</w:t>
      </w:r>
    </w:p>
    <w:p>
      <w:pPr>
        <w:sectPr>
          <w:pgSz w:w="11900" w:h="16838" w:orient="portrait"/>
          <w:cols w:equalWidth="0" w:num="1">
            <w:col w:w="11372"/>
          </w:cols>
          <w:pgMar w:left="248" w:top="274" w:right="279" w:bottom="1440" w:gutter="0" w:footer="0" w:header="0"/>
        </w:sectPr>
      </w:pPr>
    </w:p>
    <w:bookmarkStart w:id="444" w:name="page445"/>
    <w:bookmarkEnd w:id="44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moving contractor shall be responsible for the off-site removal of any boxes, padding, and other associated trash from the common areas. Disposal of trash from moving shall not be permitted in the Building dumpster or compactor.</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EXHIBIT 9, PAGE 5</w:t>
      </w:r>
    </w:p>
    <w:p>
      <w:pPr>
        <w:sectPr>
          <w:pgSz w:w="11900" w:h="16838" w:orient="portrait"/>
          <w:cols w:equalWidth="0" w:num="1">
            <w:col w:w="11160"/>
          </w:cols>
          <w:pgMar w:left="240" w:top="274" w:right="499" w:bottom="1440" w:gutter="0" w:footer="0" w:header="0"/>
        </w:sectPr>
      </w:pPr>
    </w:p>
    <w:bookmarkStart w:id="445" w:name="page446"/>
    <w:bookmarkEnd w:id="445"/>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NOTICE OF LEASE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NOTICE OF LEASE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733 Concord Avenue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Massachusetts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4 of Chapter 183 of the General Laws of Massachusetts, notice is hereby given of the following described lease (the “Lease”):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20"/>
                <w:szCs w:val="20"/>
                <w:color w:val="auto"/>
              </w:rPr>
            </w:pPr>
            <w:r>
              <w:rPr>
                <w:rFonts w:ascii="Arial" w:cs="Arial" w:eastAsia="Arial" w:hAnsi="Arial"/>
                <w:sz w:val="18"/>
                <w:szCs w:val="18"/>
                <w:color w:val="auto"/>
              </w:rPr>
              <w:t>LEASE EXECUTION DATE:</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March   , 2015</w:t>
            </w:r>
          </w:p>
        </w:tc>
      </w:tr>
      <w:tr>
        <w:trPr>
          <w:trHeight w:val="20"/>
        </w:trPr>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2540" w:type="dxa"/>
            <w:vAlign w:val="bottom"/>
          </w:tcPr>
          <w:p>
            <w:pPr>
              <w:spacing w:after="0"/>
              <w:rPr>
                <w:sz w:val="20"/>
                <w:szCs w:val="20"/>
                <w:color w:val="auto"/>
              </w:rPr>
            </w:pPr>
            <w:r>
              <w:rPr>
                <w:rFonts w:ascii="Arial" w:cs="Arial" w:eastAsia="Arial" w:hAnsi="Arial"/>
                <w:sz w:val="18"/>
                <w:szCs w:val="18"/>
                <w:color w:val="auto"/>
              </w:rPr>
              <w:t>LANDLORD:</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2"/>
              </w:rPr>
              <w:t>KING 773 CONCORD LLC, a Delaware limited liability company, whose address is c/o King Street Properties 200</w:t>
            </w:r>
          </w:p>
        </w:tc>
      </w:tr>
      <w:tr>
        <w:trPr>
          <w:trHeight w:val="230"/>
        </w:trPr>
        <w:tc>
          <w:tcPr>
            <w:tcW w:w="2540" w:type="dxa"/>
            <w:vAlign w:val="bottom"/>
          </w:tcPr>
          <w:p>
            <w:pPr>
              <w:spacing w:after="0"/>
              <w:rPr>
                <w:sz w:val="20"/>
                <w:szCs w:val="20"/>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CambridgePark Drive, Cambridge, MA 02140, Attention: Stephen D. Lynch</w:t>
            </w:r>
          </w:p>
        </w:tc>
      </w:tr>
      <w:tr>
        <w:trPr>
          <w:trHeight w:val="418"/>
        </w:trPr>
        <w:tc>
          <w:tcPr>
            <w:tcW w:w="2540" w:type="dxa"/>
            <w:vAlign w:val="bottom"/>
          </w:tcPr>
          <w:p>
            <w:pPr>
              <w:spacing w:after="0"/>
              <w:rPr>
                <w:sz w:val="20"/>
                <w:szCs w:val="20"/>
                <w:color w:val="auto"/>
              </w:rPr>
            </w:pPr>
            <w:r>
              <w:rPr>
                <w:rFonts w:ascii="Arial" w:cs="Arial" w:eastAsia="Arial" w:hAnsi="Arial"/>
                <w:sz w:val="18"/>
                <w:szCs w:val="18"/>
                <w:color w:val="auto"/>
              </w:rPr>
              <w:t>TENANT:</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6"/>
              </w:rPr>
              <w:t>WAVE LIFE SCIENCES USA, INC., a Delaware corporation, whose address is 419 Western Avenue, Boston,</w:t>
            </w:r>
          </w:p>
        </w:tc>
      </w:tr>
      <w:tr>
        <w:trPr>
          <w:trHeight w:val="230"/>
        </w:trPr>
        <w:tc>
          <w:tcPr>
            <w:tcW w:w="2540" w:type="dxa"/>
            <w:vAlign w:val="bottom"/>
          </w:tcPr>
          <w:p>
            <w:pPr>
              <w:spacing w:after="0"/>
              <w:rPr>
                <w:sz w:val="20"/>
                <w:szCs w:val="20"/>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Massachusetts 02135 Attention: Paul B. Bolno ad Kyle Moran</w:t>
            </w:r>
          </w:p>
        </w:tc>
      </w:tr>
      <w:tr>
        <w:trPr>
          <w:trHeight w:val="392"/>
        </w:trPr>
        <w:tc>
          <w:tcPr>
            <w:tcW w:w="2540" w:type="dxa"/>
            <w:vAlign w:val="bottom"/>
          </w:tcPr>
          <w:p>
            <w:pPr>
              <w:spacing w:after="0"/>
              <w:rPr>
                <w:sz w:val="20"/>
                <w:szCs w:val="20"/>
                <w:color w:val="auto"/>
              </w:rPr>
            </w:pPr>
            <w:r>
              <w:rPr>
                <w:rFonts w:ascii="Arial" w:cs="Arial" w:eastAsia="Arial" w:hAnsi="Arial"/>
                <w:sz w:val="18"/>
                <w:szCs w:val="18"/>
                <w:color w:val="auto"/>
              </w:rPr>
              <w:t>PROPERTY:</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7"/>
              </w:rPr>
              <w:t>The land described in Exhibit A attached hereto and depicted on Exhibit B attached hereto (the “Land”), now</w:t>
            </w:r>
          </w:p>
        </w:tc>
      </w:tr>
      <w:tr>
        <w:trPr>
          <w:trHeight w:val="20"/>
        </w:trPr>
        <w:tc>
          <w:tcPr>
            <w:tcW w:w="25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4"/>
              </w:rPr>
              <w:t>commonly known as 733 Concord Avenue, Cambridge, Massachusetts, including the building (the “Building”) in</w:t>
            </w:r>
          </w:p>
        </w:tc>
      </w:tr>
      <w:tr>
        <w:trPr>
          <w:trHeight w:val="216"/>
        </w:trPr>
        <w:tc>
          <w:tcPr>
            <w:tcW w:w="2540" w:type="dxa"/>
            <w:vAlign w:val="bottom"/>
          </w:tcPr>
          <w:p>
            <w:pPr>
              <w:spacing w:after="0"/>
              <w:rPr>
                <w:sz w:val="18"/>
                <w:szCs w:val="18"/>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89"/>
              </w:rPr>
              <w:t>which the Premises are located, together with other improvements thereon and other areas used from time to time for</w:t>
            </w:r>
          </w:p>
        </w:tc>
      </w:tr>
      <w:tr>
        <w:trPr>
          <w:trHeight w:val="230"/>
        </w:trPr>
        <w:tc>
          <w:tcPr>
            <w:tcW w:w="2540" w:type="dxa"/>
            <w:vAlign w:val="bottom"/>
          </w:tcPr>
          <w:p>
            <w:pPr>
              <w:spacing w:after="0"/>
              <w:rPr>
                <w:sz w:val="20"/>
                <w:szCs w:val="20"/>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driveways, landscaping and parking for the Building.</w:t>
            </w:r>
          </w:p>
        </w:tc>
      </w:tr>
      <w:tr>
        <w:trPr>
          <w:trHeight w:val="418"/>
        </w:trPr>
        <w:tc>
          <w:tcPr>
            <w:tcW w:w="2540" w:type="dxa"/>
            <w:vAlign w:val="bottom"/>
          </w:tcPr>
          <w:p>
            <w:pPr>
              <w:spacing w:after="0"/>
              <w:rPr>
                <w:sz w:val="20"/>
                <w:szCs w:val="20"/>
                <w:color w:val="auto"/>
              </w:rPr>
            </w:pPr>
            <w:r>
              <w:rPr>
                <w:rFonts w:ascii="Arial" w:cs="Arial" w:eastAsia="Arial" w:hAnsi="Arial"/>
                <w:sz w:val="18"/>
                <w:szCs w:val="18"/>
                <w:color w:val="auto"/>
              </w:rPr>
              <w:t>PREMISES:</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1"/>
              </w:rPr>
              <w:t>An area on the first (1</w:t>
            </w:r>
            <w:r>
              <w:rPr>
                <w:rFonts w:ascii="Arial" w:cs="Arial" w:eastAsia="Arial" w:hAnsi="Arial"/>
                <w:sz w:val="15"/>
                <w:szCs w:val="15"/>
                <w:color w:val="auto"/>
                <w:w w:val="91"/>
              </w:rPr>
              <w:t>st</w:t>
            </w:r>
            <w:r>
              <w:rPr>
                <w:rFonts w:ascii="Arial" w:cs="Arial" w:eastAsia="Arial" w:hAnsi="Arial"/>
                <w:sz w:val="18"/>
                <w:szCs w:val="18"/>
                <w:color w:val="auto"/>
                <w:w w:val="91"/>
              </w:rPr>
              <w:t>) floor of the Building, containing approximately 25,911 rentable square feet, and an area on</w:t>
            </w:r>
          </w:p>
        </w:tc>
      </w:tr>
      <w:tr>
        <w:trPr>
          <w:trHeight w:val="216"/>
        </w:trPr>
        <w:tc>
          <w:tcPr>
            <w:tcW w:w="2540" w:type="dxa"/>
            <w:vAlign w:val="bottom"/>
          </w:tcPr>
          <w:p>
            <w:pPr>
              <w:spacing w:after="0"/>
              <w:rPr>
                <w:sz w:val="18"/>
                <w:szCs w:val="18"/>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1"/>
              </w:rPr>
              <w:t>the mezzanine level of the Building, containing approximately 4,982 rentable square feet, depicted as the Premises</w:t>
            </w:r>
          </w:p>
        </w:tc>
      </w:tr>
      <w:tr>
        <w:trPr>
          <w:trHeight w:val="190"/>
        </w:trPr>
        <w:tc>
          <w:tcPr>
            <w:tcW w:w="2540" w:type="dxa"/>
            <w:vAlign w:val="bottom"/>
          </w:tcPr>
          <w:p>
            <w:pPr>
              <w:spacing w:after="0"/>
              <w:rPr>
                <w:sz w:val="16"/>
                <w:szCs w:val="16"/>
                <w:color w:val="auto"/>
              </w:rPr>
            </w:pPr>
          </w:p>
        </w:tc>
        <w:tc>
          <w:tcPr>
            <w:tcW w:w="8760" w:type="dxa"/>
            <w:vAlign w:val="bottom"/>
            <w:gridSpan w:val="13"/>
          </w:tcPr>
          <w:p>
            <w:pPr>
              <w:ind w:left="340"/>
              <w:spacing w:after="0" w:line="190" w:lineRule="exact"/>
              <w:rPr>
                <w:sz w:val="20"/>
                <w:szCs w:val="20"/>
                <w:color w:val="auto"/>
              </w:rPr>
            </w:pPr>
            <w:r>
              <w:rPr>
                <w:rFonts w:ascii="Arial" w:cs="Arial" w:eastAsia="Arial" w:hAnsi="Arial"/>
                <w:sz w:val="18"/>
                <w:szCs w:val="18"/>
                <w:color w:val="auto"/>
              </w:rPr>
              <w:t>and Mezzanine Premises respectively on Exhibit C and Exhibit C-1 attached hereto.</w:t>
            </w:r>
          </w:p>
        </w:tc>
      </w:tr>
      <w:tr>
        <w:trPr>
          <w:trHeight w:val="438"/>
        </w:trPr>
        <w:tc>
          <w:tcPr>
            <w:tcW w:w="2540" w:type="dxa"/>
            <w:vAlign w:val="bottom"/>
          </w:tcPr>
          <w:p>
            <w:pPr>
              <w:spacing w:after="0"/>
              <w:rPr>
                <w:sz w:val="20"/>
                <w:szCs w:val="20"/>
                <w:color w:val="auto"/>
              </w:rPr>
            </w:pPr>
            <w:r>
              <w:rPr>
                <w:rFonts w:ascii="Arial" w:cs="Arial" w:eastAsia="Arial" w:hAnsi="Arial"/>
                <w:sz w:val="18"/>
                <w:szCs w:val="18"/>
                <w:color w:val="auto"/>
              </w:rPr>
              <w:t>TERM COMMENCEMENT</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DATE:</w:t>
            </w: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rPr>
              <w:t>The earlier of:</w:t>
            </w:r>
          </w:p>
        </w:tc>
      </w:tr>
      <w:tr>
        <w:trPr>
          <w:trHeight w:val="324"/>
        </w:trPr>
        <w:tc>
          <w:tcPr>
            <w:tcW w:w="2540" w:type="dxa"/>
            <w:vAlign w:val="bottom"/>
          </w:tcPr>
          <w:p>
            <w:pPr>
              <w:spacing w:after="0"/>
              <w:rPr>
                <w:sz w:val="24"/>
                <w:szCs w:val="24"/>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5"/>
              </w:rPr>
              <w:t>(i)   the date that Tenant first commences to use the Premises, or any portion thereof, for any Permitted Use, or</w:t>
            </w:r>
          </w:p>
        </w:tc>
      </w:tr>
      <w:tr>
        <w:trPr>
          <w:trHeight w:val="324"/>
        </w:trPr>
        <w:tc>
          <w:tcPr>
            <w:tcW w:w="2540" w:type="dxa"/>
            <w:vAlign w:val="bottom"/>
          </w:tcPr>
          <w:p>
            <w:pPr>
              <w:spacing w:after="0"/>
              <w:rPr>
                <w:sz w:val="24"/>
                <w:szCs w:val="24"/>
                <w:color w:val="auto"/>
              </w:rPr>
            </w:pPr>
          </w:p>
        </w:tc>
        <w:tc>
          <w:tcPr>
            <w:tcW w:w="8760" w:type="dxa"/>
            <w:vAlign w:val="bottom"/>
            <w:gridSpan w:val="13"/>
          </w:tcPr>
          <w:p>
            <w:pPr>
              <w:ind w:left="340"/>
              <w:spacing w:after="0"/>
              <w:rPr>
                <w:sz w:val="20"/>
                <w:szCs w:val="20"/>
                <w:color w:val="auto"/>
              </w:rPr>
            </w:pPr>
            <w:r>
              <w:rPr>
                <w:rFonts w:ascii="Arial" w:cs="Arial" w:eastAsia="Arial" w:hAnsi="Arial"/>
                <w:sz w:val="18"/>
                <w:szCs w:val="18"/>
                <w:color w:val="auto"/>
                <w:w w:val="95"/>
              </w:rPr>
              <w:t>(ii)  the later of: (x) August 15, 2015, or (y) Substantial Completion of Landlord’s Work, as defined in the Lease.</w:t>
            </w:r>
          </w:p>
        </w:tc>
      </w:tr>
      <w:tr>
        <w:trPr>
          <w:trHeight w:val="365"/>
        </w:trPr>
        <w:tc>
          <w:tcPr>
            <w:tcW w:w="2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20" w:type="dxa"/>
            <w:vAlign w:val="bottom"/>
            <w:gridSpan w:val="10"/>
          </w:tcPr>
          <w:p>
            <w:pPr>
              <w:ind w:left="420"/>
              <w:spacing w:after="0"/>
              <w:rPr>
                <w:sz w:val="20"/>
                <w:szCs w:val="20"/>
                <w:color w:val="auto"/>
              </w:rPr>
            </w:pPr>
            <w:r>
              <w:rPr>
                <w:rFonts w:ascii="Arial" w:cs="Arial" w:eastAsia="Arial" w:hAnsi="Arial"/>
                <w:sz w:val="18"/>
                <w:szCs w:val="18"/>
                <w:color w:val="auto"/>
              </w:rPr>
              <w:t>EXHIBIT 10, PAGE 1</w:t>
            </w:r>
          </w:p>
        </w:tc>
      </w:tr>
    </w:tbl>
    <w:p>
      <w:pPr>
        <w:sectPr>
          <w:pgSz w:w="11900" w:h="16838" w:orient="portrait"/>
          <w:cols w:equalWidth="0" w:num="1">
            <w:col w:w="11300"/>
          </w:cols>
          <w:pgMar w:left="240" w:top="273" w:right="359" w:bottom="1440" w:gutter="0" w:footer="0" w:header="0"/>
        </w:sectPr>
      </w:pPr>
    </w:p>
    <w:bookmarkStart w:id="446" w:name="page447"/>
    <w:bookmarkEnd w:id="4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The parties estimate that the Term Commencement Date will occur on or about the August   , 2015.</w:t>
            </w:r>
          </w:p>
        </w:tc>
      </w:tr>
      <w:tr>
        <w:trPr>
          <w:trHeight w:val="20"/>
        </w:trPr>
        <w:tc>
          <w:tcPr>
            <w:tcW w:w="2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8"/>
        </w:trPr>
        <w:tc>
          <w:tcPr>
            <w:tcW w:w="2320" w:type="dxa"/>
            <w:vAlign w:val="bottom"/>
          </w:tcPr>
          <w:p>
            <w:pPr>
              <w:spacing w:after="0"/>
              <w:rPr>
                <w:sz w:val="20"/>
                <w:szCs w:val="20"/>
                <w:color w:val="auto"/>
              </w:rPr>
            </w:pPr>
            <w:r>
              <w:rPr>
                <w:rFonts w:ascii="Arial" w:cs="Arial" w:eastAsia="Arial" w:hAnsi="Arial"/>
                <w:sz w:val="18"/>
                <w:szCs w:val="18"/>
                <w:color w:val="auto"/>
              </w:rPr>
              <w:t>EXPIRATION DATE:</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4"/>
              </w:rPr>
              <w:t>The date that is seven (7) years and six (6) months after the Term Commencement Date, except that if the Term</w:t>
            </w:r>
          </w:p>
        </w:tc>
      </w:tr>
      <w:tr>
        <w:trPr>
          <w:trHeight w:val="216"/>
        </w:trPr>
        <w:tc>
          <w:tcPr>
            <w:tcW w:w="2320" w:type="dxa"/>
            <w:vAlign w:val="bottom"/>
          </w:tcPr>
          <w:p>
            <w:pPr>
              <w:spacing w:after="0"/>
              <w:rPr>
                <w:sz w:val="18"/>
                <w:szCs w:val="18"/>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2"/>
              </w:rPr>
              <w:t>Commencement Date does not occur on the first day of a calendar month, then the Expiration Date shall be the last</w:t>
            </w:r>
          </w:p>
        </w:tc>
      </w:tr>
      <w:tr>
        <w:trPr>
          <w:trHeight w:val="216"/>
        </w:trPr>
        <w:tc>
          <w:tcPr>
            <w:tcW w:w="2320" w:type="dxa"/>
            <w:vAlign w:val="bottom"/>
          </w:tcPr>
          <w:p>
            <w:pPr>
              <w:spacing w:after="0"/>
              <w:rPr>
                <w:sz w:val="18"/>
                <w:szCs w:val="18"/>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9"/>
              </w:rPr>
              <w:t>day of the calendar month in which the date which is seven (7) years and six (6) months following the Term</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Commencement Date occurs</w:t>
            </w: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RENEWAL:</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0"/>
              </w:rPr>
              <w:t>Tenant may extend the Lease Term for one (1) additional period of five (5) years each in accordance with Section 1.2</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of the Lease.</w:t>
            </w: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PARKING:</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3"/>
              </w:rPr>
              <w:t>During the Term, Landlord shall, subject to the terms of the Lease make available up to eighty (81) surface parking</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spaces for Tenant’s exclusive use located in the surface parking area serving the Property.</w:t>
            </w: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ROOFTOP USE:</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2"/>
              </w:rPr>
              <w:t>During the Term, Tenant shall have the right to use a portion of the Rooftop Premises of the Building in the location</w:t>
            </w:r>
          </w:p>
        </w:tc>
      </w:tr>
      <w:tr>
        <w:trPr>
          <w:trHeight w:val="190"/>
        </w:trPr>
        <w:tc>
          <w:tcPr>
            <w:tcW w:w="2320" w:type="dxa"/>
            <w:vAlign w:val="bottom"/>
          </w:tcPr>
          <w:p>
            <w:pPr>
              <w:spacing w:after="0"/>
              <w:rPr>
                <w:sz w:val="16"/>
                <w:szCs w:val="16"/>
                <w:color w:val="auto"/>
              </w:rPr>
            </w:pPr>
          </w:p>
        </w:tc>
        <w:tc>
          <w:tcPr>
            <w:tcW w:w="9060" w:type="dxa"/>
            <w:vAlign w:val="bottom"/>
            <w:gridSpan w:val="5"/>
          </w:tcPr>
          <w:p>
            <w:pPr>
              <w:ind w:left="560"/>
              <w:spacing w:after="0" w:line="190" w:lineRule="exact"/>
              <w:rPr>
                <w:sz w:val="20"/>
                <w:szCs w:val="20"/>
                <w:color w:val="auto"/>
              </w:rPr>
            </w:pPr>
            <w:r>
              <w:rPr>
                <w:rFonts w:ascii="Arial" w:cs="Arial" w:eastAsia="Arial" w:hAnsi="Arial"/>
                <w:sz w:val="18"/>
                <w:szCs w:val="18"/>
                <w:color w:val="auto"/>
              </w:rPr>
              <w:t>shown on Exhibit 1C in the Lease</w:t>
            </w:r>
          </w:p>
        </w:tc>
      </w:tr>
      <w:tr>
        <w:trPr>
          <w:trHeight w:val="20"/>
        </w:trPr>
        <w:tc>
          <w:tcPr>
            <w:tcW w:w="2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438"/>
        </w:trPr>
        <w:tc>
          <w:tcPr>
            <w:tcW w:w="2320" w:type="dxa"/>
            <w:vAlign w:val="bottom"/>
          </w:tcPr>
          <w:p>
            <w:pPr>
              <w:spacing w:after="0"/>
              <w:rPr>
                <w:sz w:val="20"/>
                <w:szCs w:val="20"/>
                <w:color w:val="auto"/>
              </w:rPr>
            </w:pPr>
            <w:r>
              <w:rPr>
                <w:rFonts w:ascii="Arial" w:cs="Arial" w:eastAsia="Arial" w:hAnsi="Arial"/>
                <w:sz w:val="18"/>
                <w:szCs w:val="18"/>
                <w:color w:val="auto"/>
              </w:rPr>
              <w:t>NAME OF BUILDING:</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89"/>
              </w:rPr>
              <w:t>In no event shall the name of the Building be changed, during the Term of this Lease, to be the name of another tenant</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of the Building.</w:t>
            </w: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FAÇADE SIGNAGE:</w:t>
            </w: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w w:val="91"/>
              </w:rPr>
              <w:t>Landlord covenants and agrees that, so long as the Facade Signage Conditions in the Lease are satisfied, then there</w:t>
            </w:r>
          </w:p>
        </w:tc>
      </w:tr>
      <w:tr>
        <w:trPr>
          <w:trHeight w:val="230"/>
        </w:trPr>
        <w:tc>
          <w:tcPr>
            <w:tcW w:w="2320" w:type="dxa"/>
            <w:vAlign w:val="bottom"/>
          </w:tcPr>
          <w:p>
            <w:pPr>
              <w:spacing w:after="0"/>
              <w:rPr>
                <w:sz w:val="20"/>
                <w:szCs w:val="20"/>
                <w:color w:val="auto"/>
              </w:rPr>
            </w:pPr>
          </w:p>
        </w:tc>
        <w:tc>
          <w:tcPr>
            <w:tcW w:w="9060" w:type="dxa"/>
            <w:vAlign w:val="bottom"/>
            <w:gridSpan w:val="5"/>
          </w:tcPr>
          <w:p>
            <w:pPr>
              <w:ind w:left="560"/>
              <w:spacing w:after="0"/>
              <w:rPr>
                <w:sz w:val="20"/>
                <w:szCs w:val="20"/>
                <w:color w:val="auto"/>
              </w:rPr>
            </w:pPr>
            <w:r>
              <w:rPr>
                <w:rFonts w:ascii="Arial" w:cs="Arial" w:eastAsia="Arial" w:hAnsi="Arial"/>
                <w:sz w:val="18"/>
                <w:szCs w:val="18"/>
                <w:color w:val="auto"/>
              </w:rPr>
              <w:t>shall be no other signage permitted on the south facing wall of the Building.</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Notice of Lease is executed only for the purpose of giving notice of the existence of the Lease and is not intended to modify, expand or reduce any of the rights of Landlord and Tenant as set forth in the Lease. All terms not otherwise defined herein shall have the meanings set forth in the Lease.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balance of this page has been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10, PAGE 2</w:t>
      </w:r>
    </w:p>
    <w:p>
      <w:pPr>
        <w:sectPr>
          <w:pgSz w:w="11900" w:h="16838" w:orient="portrait"/>
          <w:cols w:equalWidth="0" w:num="1">
            <w:col w:w="11380"/>
          </w:cols>
          <w:pgMar w:left="240" w:top="257" w:right="279" w:bottom="1440" w:gutter="0" w:footer="0" w:header="0"/>
        </w:sectPr>
      </w:pPr>
    </w:p>
    <w:bookmarkStart w:id="447" w:name="page448"/>
    <w:bookmarkEnd w:id="447"/>
    <w:tbl>
      <w:tblPr>
        <w:tblLayout w:type="fixed"/>
        <w:tblInd w:w="0" w:type="dxa"/>
        <w:tblCellMar>
          <w:top w:w="0" w:type="dxa"/>
          <w:left w:w="0" w:type="dxa"/>
          <w:bottom w:w="0" w:type="dxa"/>
          <w:right w:w="0" w:type="dxa"/>
        </w:tblCellMar>
      </w:tblPr>
      <w:tr>
        <w:trPr>
          <w:trHeight w:val="207"/>
        </w:trPr>
        <w:tc>
          <w:tcPr>
            <w:tcW w:w="6680" w:type="dxa"/>
            <w:vAlign w:val="bottom"/>
            <w:gridSpan w:val="5"/>
          </w:tcPr>
          <w:p>
            <w:pPr>
              <w:spacing w:after="0"/>
              <w:rPr>
                <w:sz w:val="20"/>
                <w:szCs w:val="20"/>
                <w:color w:val="auto"/>
              </w:rPr>
            </w:pPr>
            <w:r>
              <w:rPr>
                <w:rFonts w:ascii="Arial" w:cs="Arial" w:eastAsia="Arial" w:hAnsi="Arial"/>
                <w:sz w:val="18"/>
                <w:szCs w:val="18"/>
                <w:color w:val="auto"/>
              </w:rPr>
              <w:t>EXECUTED under seal as of March   , 2015.</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480"/>
        </w:trPr>
        <w:tc>
          <w:tcPr>
            <w:tcW w:w="268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180" w:type="dxa"/>
            <w:vAlign w:val="bottom"/>
            <w:tcBorders>
              <w:top w:val="single" w:sz="8" w:color="auto"/>
            </w:tcBorders>
          </w:tcPr>
          <w:p>
            <w:pPr>
              <w:spacing w:after="0"/>
              <w:rPr>
                <w:sz w:val="24"/>
                <w:szCs w:val="24"/>
                <w:color w:val="auto"/>
              </w:rPr>
            </w:pPr>
          </w:p>
        </w:tc>
        <w:tc>
          <w:tcPr>
            <w:tcW w:w="3820" w:type="dxa"/>
            <w:vAlign w:val="bottom"/>
            <w:gridSpan w:val="2"/>
          </w:tcPr>
          <w:p>
            <w:pPr>
              <w:spacing w:after="0"/>
              <w:rPr>
                <w:sz w:val="24"/>
                <w:szCs w:val="24"/>
                <w:color w:val="auto"/>
              </w:rPr>
            </w:pPr>
          </w:p>
        </w:tc>
        <w:tc>
          <w:tcPr>
            <w:tcW w:w="4740" w:type="dxa"/>
            <w:vAlign w:val="bottom"/>
            <w:gridSpan w:val="3"/>
          </w:tcPr>
          <w:p>
            <w:pPr>
              <w:ind w:left="340"/>
              <w:spacing w:after="0"/>
              <w:rPr>
                <w:sz w:val="20"/>
                <w:szCs w:val="20"/>
                <w:color w:val="auto"/>
              </w:rPr>
            </w:pPr>
            <w:r>
              <w:rPr>
                <w:rFonts w:ascii="Arial" w:cs="Arial" w:eastAsia="Arial" w:hAnsi="Arial"/>
                <w:sz w:val="18"/>
                <w:szCs w:val="18"/>
                <w:color w:val="auto"/>
              </w:rPr>
              <w:t>TENANT:</w:t>
            </w:r>
          </w:p>
        </w:tc>
      </w:tr>
      <w:tr>
        <w:trPr>
          <w:trHeight w:val="418"/>
        </w:trPr>
        <w:tc>
          <w:tcPr>
            <w:tcW w:w="6680" w:type="dxa"/>
            <w:vAlign w:val="bottom"/>
            <w:gridSpan w:val="5"/>
          </w:tcPr>
          <w:p>
            <w:pPr>
              <w:spacing w:after="0"/>
              <w:rPr>
                <w:sz w:val="20"/>
                <w:szCs w:val="20"/>
                <w:color w:val="auto"/>
              </w:rPr>
            </w:pPr>
            <w:r>
              <w:rPr>
                <w:rFonts w:ascii="Arial" w:cs="Arial" w:eastAsia="Arial" w:hAnsi="Arial"/>
                <w:sz w:val="18"/>
                <w:szCs w:val="18"/>
                <w:color w:val="auto"/>
              </w:rPr>
              <w:t>KING 773 CONCORD LLC,</w:t>
            </w:r>
          </w:p>
        </w:tc>
        <w:tc>
          <w:tcPr>
            <w:tcW w:w="4740" w:type="dxa"/>
            <w:vAlign w:val="bottom"/>
            <w:gridSpan w:val="3"/>
          </w:tcPr>
          <w:p>
            <w:pPr>
              <w:ind w:left="340"/>
              <w:spacing w:after="0"/>
              <w:rPr>
                <w:sz w:val="20"/>
                <w:szCs w:val="20"/>
                <w:color w:val="auto"/>
              </w:rPr>
            </w:pPr>
            <w:r>
              <w:rPr>
                <w:rFonts w:ascii="Arial" w:cs="Arial" w:eastAsia="Arial" w:hAnsi="Arial"/>
                <w:sz w:val="18"/>
                <w:szCs w:val="18"/>
                <w:color w:val="auto"/>
              </w:rPr>
              <w:t>WAVE LIFE SCIENCES USA, INC.,</w:t>
            </w:r>
          </w:p>
        </w:tc>
      </w:tr>
      <w:tr>
        <w:trPr>
          <w:trHeight w:val="230"/>
        </w:trPr>
        <w:tc>
          <w:tcPr>
            <w:tcW w:w="6680" w:type="dxa"/>
            <w:vAlign w:val="bottom"/>
            <w:gridSpan w:val="5"/>
          </w:tcPr>
          <w:p>
            <w:pPr>
              <w:spacing w:after="0"/>
              <w:rPr>
                <w:sz w:val="20"/>
                <w:szCs w:val="20"/>
                <w:color w:val="auto"/>
              </w:rPr>
            </w:pPr>
            <w:r>
              <w:rPr>
                <w:rFonts w:ascii="Arial" w:cs="Arial" w:eastAsia="Arial" w:hAnsi="Arial"/>
                <w:sz w:val="18"/>
                <w:szCs w:val="18"/>
                <w:color w:val="auto"/>
              </w:rPr>
              <w:t>By:  KING STREET PROPERTIES INVESTMENTS, LLC, its Manager</w:t>
            </w:r>
          </w:p>
        </w:tc>
        <w:tc>
          <w:tcPr>
            <w:tcW w:w="4740" w:type="dxa"/>
            <w:vAlign w:val="bottom"/>
            <w:gridSpan w:val="3"/>
          </w:tcPr>
          <w:p>
            <w:pPr>
              <w:ind w:left="340"/>
              <w:spacing w:after="0"/>
              <w:rPr>
                <w:sz w:val="20"/>
                <w:szCs w:val="20"/>
                <w:color w:val="auto"/>
              </w:rPr>
            </w:pPr>
            <w:r>
              <w:rPr>
                <w:rFonts w:ascii="Arial" w:cs="Arial" w:eastAsia="Arial" w:hAnsi="Arial"/>
                <w:sz w:val="18"/>
                <w:szCs w:val="18"/>
                <w:color w:val="auto"/>
              </w:rPr>
              <w:t>a Delaware corporation</w:t>
            </w:r>
          </w:p>
        </w:tc>
      </w:tr>
      <w:tr>
        <w:trPr>
          <w:trHeight w:val="432"/>
        </w:trPr>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By:</w:t>
            </w:r>
          </w:p>
        </w:tc>
      </w:tr>
      <w:tr>
        <w:trPr>
          <w:trHeight w:val="223"/>
        </w:trPr>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Name:</w:t>
            </w:r>
          </w:p>
        </w:tc>
        <w:tc>
          <w:tcPr>
            <w:tcW w:w="3520" w:type="dxa"/>
            <w:vAlign w:val="bottom"/>
            <w:tcBorders>
              <w:top w:val="single" w:sz="8" w:color="auto"/>
              <w:bottom w:val="single" w:sz="8" w:color="auto"/>
            </w:tcBorders>
          </w:tcPr>
          <w:p>
            <w:pPr>
              <w:spacing w:after="0"/>
              <w:rPr>
                <w:sz w:val="19"/>
                <w:szCs w:val="19"/>
                <w:color w:val="auto"/>
              </w:rPr>
            </w:pPr>
          </w:p>
        </w:tc>
      </w:tr>
      <w:tr>
        <w:trPr>
          <w:trHeight w:val="223"/>
        </w:trPr>
        <w:tc>
          <w:tcPr>
            <w:tcW w:w="6680" w:type="dxa"/>
            <w:vAlign w:val="bottom"/>
            <w:gridSpan w:val="5"/>
          </w:tcPr>
          <w:p>
            <w:pPr>
              <w:ind w:left="1140"/>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19"/>
                <w:szCs w:val="19"/>
                <w:color w:val="auto"/>
              </w:rPr>
            </w:pPr>
          </w:p>
        </w:tc>
        <w:tc>
          <w:tcPr>
            <w:tcW w:w="4200" w:type="dxa"/>
            <w:vAlign w:val="bottom"/>
            <w:gridSpan w:val="2"/>
          </w:tcPr>
          <w:p>
            <w:pPr>
              <w:jc w:val="right"/>
              <w:ind w:right="3550"/>
              <w:spacing w:after="0"/>
              <w:rPr>
                <w:sz w:val="20"/>
                <w:szCs w:val="20"/>
                <w:color w:val="auto"/>
              </w:rPr>
            </w:pPr>
            <w:r>
              <w:rPr>
                <w:rFonts w:ascii="Arial" w:cs="Arial" w:eastAsia="Arial" w:hAnsi="Arial"/>
                <w:sz w:val="18"/>
                <w:szCs w:val="18"/>
                <w:color w:val="auto"/>
              </w:rPr>
              <w:t>Title:</w:t>
            </w:r>
          </w:p>
        </w:tc>
      </w:tr>
      <w:tr>
        <w:trPr>
          <w:trHeight w:val="209"/>
        </w:trPr>
        <w:tc>
          <w:tcPr>
            <w:tcW w:w="1520" w:type="dxa"/>
            <w:vAlign w:val="bottom"/>
          </w:tcPr>
          <w:p>
            <w:pPr>
              <w:spacing w:after="0"/>
              <w:rPr>
                <w:sz w:val="18"/>
                <w:szCs w:val="18"/>
                <w:color w:val="auto"/>
              </w:rPr>
            </w:pPr>
          </w:p>
        </w:tc>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Thomas Ragno</w:t>
            </w:r>
          </w:p>
        </w:tc>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Hereunto Duly Authorized</w:t>
            </w:r>
          </w:p>
        </w:tc>
      </w:tr>
      <w:tr>
        <w:trPr>
          <w:trHeight w:val="230"/>
        </w:trPr>
        <w:tc>
          <w:tcPr>
            <w:tcW w:w="6680" w:type="dxa"/>
            <w:vAlign w:val="bottom"/>
            <w:gridSpan w:val="5"/>
          </w:tcPr>
          <w:p>
            <w:pPr>
              <w:ind w:left="1520"/>
              <w:spacing w:after="0"/>
              <w:rPr>
                <w:sz w:val="20"/>
                <w:szCs w:val="20"/>
                <w:color w:val="auto"/>
              </w:rPr>
            </w:pPr>
            <w:r>
              <w:rPr>
                <w:rFonts w:ascii="Arial" w:cs="Arial" w:eastAsia="Arial" w:hAnsi="Arial"/>
                <w:sz w:val="18"/>
                <w:szCs w:val="18"/>
                <w:color w:val="auto"/>
              </w:rPr>
              <w:t>Title: A Manager</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65"/>
        </w:trPr>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tcPr>
          <w:p>
            <w:pPr>
              <w:ind w:left="980"/>
              <w:spacing w:after="0"/>
              <w:rPr>
                <w:sz w:val="20"/>
                <w:szCs w:val="20"/>
                <w:color w:val="auto"/>
              </w:rPr>
            </w:pPr>
            <w:r>
              <w:rPr>
                <w:rFonts w:ascii="Arial" w:cs="Arial" w:eastAsia="Arial" w:hAnsi="Arial"/>
                <w:sz w:val="18"/>
                <w:szCs w:val="18"/>
                <w:color w:val="auto"/>
              </w:rPr>
              <w:t>EXHIBIT 10, PAGE 3</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48" w:name="page449"/>
    <w:bookmarkEnd w:id="448"/>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40" w:type="dxa"/>
            <w:vAlign w:val="bottom"/>
          </w:tcPr>
          <w:p>
            <w:pPr>
              <w:ind w:left="260"/>
              <w:spacing w:after="0"/>
              <w:rPr>
                <w:sz w:val="20"/>
                <w:szCs w:val="20"/>
                <w:color w:val="auto"/>
              </w:rPr>
            </w:pPr>
            <w:r>
              <w:rPr>
                <w:rFonts w:ascii="Arial" w:cs="Arial" w:eastAsia="Arial" w:hAnsi="Arial"/>
                <w:sz w:val="18"/>
                <w:szCs w:val="18"/>
                <w:color w:val="auto"/>
                <w:w w:val="97"/>
              </w:rPr>
              <w:t>COMMONWEALTH/STATE OF</w:t>
            </w:r>
          </w:p>
        </w:tc>
        <w:tc>
          <w:tcPr>
            <w:tcW w:w="2740" w:type="dxa"/>
            <w:vAlign w:val="bottom"/>
            <w:tcBorders>
              <w:bottom w:val="single" w:sz="8" w:color="auto"/>
            </w:tcBorders>
            <w:gridSpan w:val="3"/>
          </w:tcPr>
          <w:p>
            <w:pPr>
              <w:spacing w:after="0"/>
              <w:rPr>
                <w:sz w:val="17"/>
                <w:szCs w:val="17"/>
                <w:color w:val="auto"/>
              </w:rPr>
            </w:pPr>
          </w:p>
        </w:tc>
        <w:tc>
          <w:tcPr>
            <w:tcW w:w="3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w w:val="98"/>
              </w:rPr>
              <w:t>County of</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80" w:type="dxa"/>
            <w:vAlign w:val="bottom"/>
            <w:gridSpan w:val="8"/>
          </w:tcPr>
          <w:p>
            <w:pPr>
              <w:ind w:left="100"/>
              <w:spacing w:after="0"/>
              <w:rPr>
                <w:sz w:val="20"/>
                <w:szCs w:val="20"/>
                <w:color w:val="auto"/>
              </w:rPr>
            </w:pPr>
            <w:r>
              <w:rPr>
                <w:rFonts w:ascii="Arial" w:cs="Arial" w:eastAsia="Arial" w:hAnsi="Arial"/>
                <w:sz w:val="18"/>
                <w:szCs w:val="18"/>
                <w:color w:val="auto"/>
              </w:rPr>
              <w:t>, ss.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2"/>
          </w:tcPr>
          <w:p>
            <w:pPr>
              <w:ind w:left="460"/>
              <w:spacing w:after="0"/>
              <w:rPr>
                <w:sz w:val="20"/>
                <w:szCs w:val="20"/>
                <w:color w:val="auto"/>
              </w:rPr>
            </w:pPr>
            <w:r>
              <w:rPr>
                <w:rFonts w:ascii="Arial" w:cs="Arial" w:eastAsia="Arial" w:hAnsi="Arial"/>
                <w:sz w:val="18"/>
                <w:szCs w:val="18"/>
                <w:color w:val="auto"/>
                <w:w w:val="98"/>
              </w:rPr>
              <w:t>On this</w:t>
            </w:r>
          </w:p>
        </w:tc>
        <w:tc>
          <w:tcPr>
            <w:tcW w:w="3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00" w:type="dxa"/>
            <w:vAlign w:val="bottom"/>
          </w:tcPr>
          <w:p>
            <w:pPr>
              <w:spacing w:after="0"/>
              <w:rPr>
                <w:sz w:val="24"/>
                <w:szCs w:val="24"/>
                <w:color w:val="auto"/>
              </w:rPr>
            </w:pPr>
          </w:p>
        </w:tc>
        <w:tc>
          <w:tcPr>
            <w:tcW w:w="9380" w:type="dxa"/>
            <w:vAlign w:val="bottom"/>
            <w:gridSpan w:val="7"/>
          </w:tcPr>
          <w:p>
            <w:pPr>
              <w:ind w:left="800"/>
              <w:spacing w:after="0"/>
              <w:rPr>
                <w:sz w:val="20"/>
                <w:szCs w:val="20"/>
                <w:color w:val="auto"/>
              </w:rPr>
            </w:pPr>
            <w:r>
              <w:rPr>
                <w:rFonts w:ascii="Arial" w:cs="Arial" w:eastAsia="Arial" w:hAnsi="Arial"/>
                <w:sz w:val="18"/>
                <w:szCs w:val="18"/>
                <w:color w:val="auto"/>
                <w:w w:val="89"/>
              </w:rPr>
              <w:t>, 2015, before me, the undersigned Notary Public, personally appeared the above-named Thomas Ragno, proved to me</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w w:val="88"/>
              </w:rPr>
              <w:t>by satisfactory</w:t>
            </w: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40" w:type="dxa"/>
            <w:vAlign w:val="bottom"/>
            <w:gridSpan w:val="2"/>
            <w:vMerge w:val="continue"/>
          </w:tcPr>
          <w:p>
            <w:pPr>
              <w:spacing w:after="0"/>
              <w:rPr>
                <w:sz w:val="16"/>
                <w:szCs w:val="16"/>
                <w:color w:val="auto"/>
              </w:rPr>
            </w:pPr>
          </w:p>
        </w:tc>
        <w:tc>
          <w:tcPr>
            <w:tcW w:w="10380" w:type="dxa"/>
            <w:vAlign w:val="bottom"/>
            <w:gridSpan w:val="10"/>
          </w:tcPr>
          <w:p>
            <w:pPr>
              <w:ind w:left="60"/>
              <w:spacing w:after="0" w:line="189" w:lineRule="exact"/>
              <w:rPr>
                <w:sz w:val="20"/>
                <w:szCs w:val="20"/>
                <w:color w:val="auto"/>
              </w:rPr>
            </w:pPr>
            <w:r>
              <w:rPr>
                <w:rFonts w:ascii="Arial" w:cs="Arial" w:eastAsia="Arial" w:hAnsi="Arial"/>
                <w:sz w:val="18"/>
                <w:szCs w:val="18"/>
                <w:color w:val="auto"/>
                <w:w w:val="94"/>
              </w:rPr>
              <w:t xml:space="preserve">evidence of identification, being (check whichever applies): </w:t>
            </w: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driver’s license or other state or federal governmental document bearing a</w:t>
            </w:r>
          </w:p>
        </w:tc>
        <w:tc>
          <w:tcPr>
            <w:tcW w:w="0" w:type="dxa"/>
            <w:vAlign w:val="bottom"/>
          </w:tcPr>
          <w:p>
            <w:pPr>
              <w:spacing w:after="0"/>
              <w:rPr>
                <w:sz w:val="1"/>
                <w:szCs w:val="1"/>
                <w:color w:val="auto"/>
              </w:rPr>
            </w:pPr>
          </w:p>
        </w:tc>
      </w:tr>
      <w:tr>
        <w:trPr>
          <w:trHeight w:val="249"/>
        </w:trPr>
        <w:tc>
          <w:tcPr>
            <w:tcW w:w="11420" w:type="dxa"/>
            <w:vAlign w:val="bottom"/>
            <w:gridSpan w:val="12"/>
          </w:tcPr>
          <w:p>
            <w:pPr>
              <w:spacing w:after="0" w:line="207" w:lineRule="exact"/>
              <w:rPr>
                <w:sz w:val="20"/>
                <w:szCs w:val="20"/>
                <w:color w:val="auto"/>
              </w:rPr>
            </w:pPr>
            <w:r>
              <w:rPr>
                <w:rFonts w:ascii="Arial" w:cs="Arial" w:eastAsia="Arial" w:hAnsi="Arial"/>
                <w:sz w:val="18"/>
                <w:szCs w:val="18"/>
                <w:color w:val="auto"/>
                <w:w w:val="95"/>
              </w:rPr>
              <w:t xml:space="preserve">photographic image,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oath or affirmation of a credible witness known to me who knows the above signatory, or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my own personal knowledge of the</w:t>
            </w:r>
          </w:p>
        </w:tc>
        <w:tc>
          <w:tcPr>
            <w:tcW w:w="0" w:type="dxa"/>
            <w:vAlign w:val="bottom"/>
          </w:tcPr>
          <w:p>
            <w:pPr>
              <w:spacing w:after="0"/>
              <w:rPr>
                <w:sz w:val="1"/>
                <w:szCs w:val="1"/>
                <w:color w:val="auto"/>
              </w:rPr>
            </w:pPr>
          </w:p>
        </w:tc>
      </w:tr>
      <w:tr>
        <w:trPr>
          <w:trHeight w:val="216"/>
        </w:trPr>
        <w:tc>
          <w:tcPr>
            <w:tcW w:w="11420" w:type="dxa"/>
            <w:vAlign w:val="bottom"/>
            <w:gridSpan w:val="12"/>
          </w:tcPr>
          <w:p>
            <w:pPr>
              <w:spacing w:after="0"/>
              <w:rPr>
                <w:sz w:val="20"/>
                <w:szCs w:val="20"/>
                <w:color w:val="auto"/>
              </w:rPr>
            </w:pPr>
            <w:r>
              <w:rPr>
                <w:rFonts w:ascii="Arial" w:cs="Arial" w:eastAsia="Arial" w:hAnsi="Arial"/>
                <w:sz w:val="18"/>
                <w:szCs w:val="18"/>
                <w:color w:val="auto"/>
                <w:w w:val="93"/>
              </w:rPr>
              <w:t>identity of the signatory, to be the person whose name is signed above, and acknowledged the foregoing to be signed by him/her voluntarily for its stated</w:t>
            </w:r>
          </w:p>
        </w:tc>
        <w:tc>
          <w:tcPr>
            <w:tcW w:w="0" w:type="dxa"/>
            <w:vAlign w:val="bottom"/>
          </w:tcPr>
          <w:p>
            <w:pPr>
              <w:spacing w:after="0"/>
              <w:rPr>
                <w:sz w:val="1"/>
                <w:szCs w:val="1"/>
                <w:color w:val="auto"/>
              </w:rPr>
            </w:pPr>
          </w:p>
        </w:tc>
      </w:tr>
      <w:tr>
        <w:trPr>
          <w:trHeight w:val="230"/>
        </w:trPr>
        <w:tc>
          <w:tcPr>
            <w:tcW w:w="11420" w:type="dxa"/>
            <w:vAlign w:val="bottom"/>
            <w:gridSpan w:val="12"/>
          </w:tcPr>
          <w:p>
            <w:pPr>
              <w:spacing w:after="0"/>
              <w:rPr>
                <w:sz w:val="20"/>
                <w:szCs w:val="20"/>
                <w:color w:val="auto"/>
              </w:rPr>
            </w:pPr>
            <w:r>
              <w:rPr>
                <w:rFonts w:ascii="Arial" w:cs="Arial" w:eastAsia="Arial" w:hAnsi="Arial"/>
                <w:sz w:val="18"/>
                <w:szCs w:val="18"/>
                <w:color w:val="auto"/>
              </w:rPr>
              <w:t>purpose, as the a Manager of KING STREET PROPERTIES INVESTMENTS, LLC, acting as Manager of KING 773 CONCORD LLC.</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Notary Public</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Printed Name:</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8"/>
              </w:rPr>
              <w:t>My commission</w:t>
            </w: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expires:</w:t>
            </w:r>
          </w:p>
        </w:tc>
        <w:tc>
          <w:tcPr>
            <w:tcW w:w="24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Pr>
          <w:p>
            <w:pPr>
              <w:ind w:left="700"/>
              <w:spacing w:after="0"/>
              <w:rPr>
                <w:sz w:val="20"/>
                <w:szCs w:val="20"/>
                <w:color w:val="auto"/>
              </w:rPr>
            </w:pPr>
            <w:r>
              <w:rPr>
                <w:rFonts w:ascii="Arial" w:cs="Arial" w:eastAsia="Arial" w:hAnsi="Arial"/>
                <w:sz w:val="18"/>
                <w:szCs w:val="18"/>
                <w:color w:val="auto"/>
                <w:w w:val="97"/>
              </w:rPr>
              <w:t>COMMONWEALTH/STATE OF</w:t>
            </w:r>
          </w:p>
        </w:tc>
        <w:tc>
          <w:tcPr>
            <w:tcW w:w="274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780" w:type="dxa"/>
            <w:vAlign w:val="bottom"/>
            <w:gridSpan w:val="2"/>
          </w:tcPr>
          <w:p>
            <w:pPr>
              <w:spacing w:after="0"/>
              <w:rPr>
                <w:sz w:val="20"/>
                <w:szCs w:val="20"/>
                <w:color w:val="auto"/>
              </w:rPr>
            </w:pPr>
            <w:r>
              <w:rPr>
                <w:rFonts w:ascii="Arial" w:cs="Arial" w:eastAsia="Arial" w:hAnsi="Arial"/>
                <w:sz w:val="18"/>
                <w:szCs w:val="18"/>
                <w:color w:val="auto"/>
                <w:w w:val="98"/>
              </w:rPr>
              <w:t>County of</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 ss.</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Arial" w:cs="Arial" w:eastAsia="Arial" w:hAnsi="Arial"/>
                <w:sz w:val="18"/>
                <w:szCs w:val="18"/>
                <w:color w:val="auto"/>
                <w:w w:val="98"/>
              </w:rPr>
              <w:t>On this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90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w w:val="90"/>
              </w:rPr>
              <w:t>, 2015, before me, the undersigned Notary Public, personally appeared the above-named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right="20"/>
        <w:spacing w:after="0" w:line="225" w:lineRule="exact"/>
        <w:rPr>
          <w:sz w:val="20"/>
          <w:szCs w:val="20"/>
          <w:color w:val="auto"/>
        </w:rPr>
      </w:pPr>
      <w:r>
        <w:rPr>
          <w:rFonts w:ascii="Arial" w:cs="Arial" w:eastAsia="Arial" w:hAnsi="Arial"/>
          <w:sz w:val="16"/>
          <w:szCs w:val="16"/>
          <w:color w:val="auto"/>
        </w:rPr>
        <w:t xml:space="preserve">proved to me by satisfactory evidence of identification, being (check whichever applies): </w:t>
      </w:r>
      <w:r>
        <w:rPr>
          <w:rFonts w:ascii="MS PGothic" w:cs="MS PGothic" w:eastAsia="MS PGothic" w:hAnsi="MS PGothic"/>
          <w:sz w:val="16"/>
          <w:szCs w:val="16"/>
          <w:color w:val="auto"/>
        </w:rPr>
        <w:t>☐</w:t>
      </w:r>
      <w:r>
        <w:rPr>
          <w:rFonts w:ascii="Arial" w:cs="Arial" w:eastAsia="Arial" w:hAnsi="Arial"/>
          <w:sz w:val="16"/>
          <w:szCs w:val="16"/>
          <w:color w:val="auto"/>
        </w:rPr>
        <w:t xml:space="preserve"> driver’s license or other state or federal governmental document bearing a photographic image, </w:t>
      </w:r>
      <w:r>
        <w:rPr>
          <w:rFonts w:ascii="MS PGothic" w:cs="MS PGothic" w:eastAsia="MS PGothic" w:hAnsi="MS PGothic"/>
          <w:sz w:val="16"/>
          <w:szCs w:val="16"/>
          <w:color w:val="auto"/>
        </w:rPr>
        <w:t>☐</w:t>
      </w:r>
      <w:r>
        <w:rPr>
          <w:rFonts w:ascii="Arial" w:cs="Arial" w:eastAsia="Arial" w:hAnsi="Arial"/>
          <w:sz w:val="16"/>
          <w:szCs w:val="16"/>
          <w:color w:val="auto"/>
        </w:rPr>
        <w:t xml:space="preserve"> oath or affirmation of a credible witness known to me who knows the above signatory, or </w:t>
      </w:r>
      <w:r>
        <w:rPr>
          <w:rFonts w:ascii="MS PGothic" w:cs="MS PGothic" w:eastAsia="MS PGothic" w:hAnsi="MS PGothic"/>
          <w:sz w:val="16"/>
          <w:szCs w:val="16"/>
          <w:color w:val="auto"/>
        </w:rPr>
        <w:t>☐</w:t>
      </w:r>
      <w:r>
        <w:rPr>
          <w:rFonts w:ascii="Arial" w:cs="Arial" w:eastAsia="Arial" w:hAnsi="Arial"/>
          <w:sz w:val="16"/>
          <w:szCs w:val="16"/>
          <w:color w:val="auto"/>
        </w:rPr>
        <w:t xml:space="preserve"> my own personal knowledge of the identity of the signatory, to be the person whose name is signed above, and acknowledged the foregoing to be signed by him/her voluntarily for its stated</w:t>
      </w:r>
    </w:p>
    <w:p>
      <w:pPr>
        <w:spacing w:after="0" w:line="1"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purpose, as the</w:t>
      </w:r>
      <w:r>
        <w:rPr>
          <w:sz w:val="20"/>
          <w:szCs w:val="20"/>
          <w:color w:val="auto"/>
        </w:rPr>
        <w:tab/>
      </w:r>
      <w:r>
        <w:rPr>
          <w:rFonts w:ascii="Arial" w:cs="Arial" w:eastAsia="Arial" w:hAnsi="Arial"/>
          <w:sz w:val="17"/>
          <w:szCs w:val="17"/>
          <w:color w:val="auto"/>
        </w:rPr>
        <w:t>of WAVE LIFE SCIENCES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297180</wp:posOffset>
            </wp:positionV>
            <wp:extent cx="289877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-19050</wp:posOffset>
            </wp:positionV>
            <wp:extent cx="151447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5715</wp:posOffset>
            </wp:positionV>
            <wp:extent cx="210947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14605</wp:posOffset>
            </wp:positionV>
            <wp:extent cx="156083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 PAGE 4</w:t>
      </w:r>
    </w:p>
    <w:p>
      <w:pPr>
        <w:sectPr>
          <w:pgSz w:w="11900" w:h="16838" w:orient="portrait"/>
          <w:cols w:equalWidth="0" w:num="1">
            <w:col w:w="11420"/>
          </w:cols>
          <w:pgMar w:left="240" w:top="257" w:right="239" w:bottom="1440" w:gutter="0" w:footer="0" w:header="0"/>
        </w:sectPr>
      </w:pPr>
    </w:p>
    <w:bookmarkStart w:id="449" w:name="page450"/>
    <w:bookmarkEnd w:id="449"/>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EXIHIBT A</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Description of Landlord’s Property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LEGAL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land at 733 Concord Street, Cambridge, Middlesex County, Massachusetts, consisting of two parcels of land: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PARCEL1:</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Being shown as Lot 7 on Land Court Plan No. 7191U, dated December 3, 1952, a copy of which is filed with the Middlesex South District Registry of the Land Court with Certificate of Title No. 77364.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PARCEL 2:</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Being shown as Lot 25 and Lot 29 on Land Court Plan No. 7191-3, dated July 22, 1960, a copy of which is filed with the Middlesex South District Registry of the Land Court with Certificate of Title No. 102747.</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TOGETHER with the benefit of rights set forth in a Deed from Jean D. Balkin, dated January 31, 1949, filed with said Registry District as Document No. 227978.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right to use the whole of Smith Place shown on said plan in common with others entitled thereto, as to Lots 7 and 29.</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TOGETHER with the right to use Lots 10, 11 and 12 shown on a plan filed in Registration Book 516, Page 481, in common with others having like rights therein, said right as appurtenant to Lot 25, being set forth in a Deed from Julia T. Corkery, dated December 28, 1954, filed with said Registry District as Document No. 289672, as to Lot 25.</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TOGETHER with the benefit of the right to use the “Way” shown as Lot 26 on a plan filed in Registration Book 643, Page 197, as set forth in a Deed from Haskell Cohn, et als, dated October 10, 1960, filed with said Registry District as Document No. 360534, as to Lot 25.</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Being the same premises conveyed to King 733 Concord LLC by Quitclaim Deed dated May 11, 2011, filed with said Registry District as Document No. 1566113 and noted on Certificate of Title No. 248720, Book 1399, Page 99.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10, PAGE 5</w:t>
      </w:r>
    </w:p>
    <w:p>
      <w:pPr>
        <w:sectPr>
          <w:pgSz w:w="11900" w:h="16838" w:orient="portrait"/>
          <w:cols w:equalWidth="0" w:num="1">
            <w:col w:w="11240"/>
          </w:cols>
          <w:pgMar w:left="240" w:top="270" w:right="419" w:bottom="1440" w:gutter="0" w:footer="0" w:header="0"/>
        </w:sectPr>
      </w:pPr>
    </w:p>
    <w:bookmarkStart w:id="450" w:name="page451"/>
    <w:bookmarkEnd w:id="45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Plan of Landlord’s Property</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10, PAGE 6</w:t>
      </w:r>
    </w:p>
    <w:p>
      <w:pPr>
        <w:sectPr>
          <w:pgSz w:w="11900" w:h="16838" w:orient="portrait"/>
          <w:cols w:equalWidth="0" w:num="1">
            <w:col w:w="9019"/>
          </w:cols>
          <w:pgMar w:left="1440" w:top="269" w:right="1440" w:bottom="1440" w:gutter="0" w:footer="0" w:header="0"/>
        </w:sectPr>
      </w:pPr>
    </w:p>
    <w:bookmarkStart w:id="451" w:name="page452"/>
    <w:bookmarkEnd w:id="4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Plan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176530</wp:posOffset>
            </wp:positionV>
            <wp:extent cx="5582920" cy="31642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58292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10, PAGE 7</w:t>
      </w:r>
    </w:p>
    <w:p>
      <w:pPr>
        <w:sectPr>
          <w:pgSz w:w="11900" w:h="16838" w:orient="portrait"/>
          <w:cols w:equalWidth="0" w:num="1">
            <w:col w:w="9019"/>
          </w:cols>
          <w:pgMar w:left="1440" w:top="270" w:right="1440" w:bottom="1440" w:gutter="0" w:footer="0" w:header="0"/>
        </w:sectPr>
      </w:pPr>
    </w:p>
    <w:bookmarkStart w:id="452" w:name="page453"/>
    <w:bookmarkEnd w:id="45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Plan of Mezzanine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183515</wp:posOffset>
            </wp:positionV>
            <wp:extent cx="3559175" cy="13633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55917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10, PAGE 8</w:t>
      </w:r>
    </w:p>
    <w:p>
      <w:pPr>
        <w:sectPr>
          <w:pgSz w:w="11900" w:h="16838" w:orient="portrait"/>
          <w:cols w:equalWidth="0" w:num="1">
            <w:col w:w="9019"/>
          </w:cols>
          <w:pgMar w:left="1440" w:top="269" w:right="1440" w:bottom="1440" w:gutter="0" w:footer="0" w:header="0"/>
        </w:sectPr>
      </w:pPr>
    </w:p>
    <w:bookmarkStart w:id="453" w:name="page454"/>
    <w:bookmarkEnd w:id="45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TENANT WORK INSURANCE SCHEDULE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Tenant shall, at its own expense, maintain and keep in force, or cause to be maintained and kept in force by any general contractors, sub-contractors or other third party entities, as applicable, each required by contract, throughout any period of alterations to the Premises or the Building by Tenant, the following insurance coverages on a primary and non-contributory basis:</w:t>
      </w:r>
    </w:p>
    <w:p>
      <w:pPr>
        <w:spacing w:after="0" w:line="181" w:lineRule="exact"/>
        <w:rPr>
          <w:sz w:val="20"/>
          <w:szCs w:val="20"/>
          <w:color w:val="auto"/>
        </w:rPr>
      </w:pPr>
    </w:p>
    <w:p>
      <w:pPr>
        <w:ind w:firstLine="464"/>
        <w:spacing w:after="0" w:line="291" w:lineRule="auto"/>
        <w:tabs>
          <w:tab w:leader="none" w:pos="711"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Property Insurance</w:t>
      </w:r>
      <w:r>
        <w:rPr>
          <w:rFonts w:ascii="Arial" w:cs="Arial" w:eastAsia="Arial" w:hAnsi="Arial"/>
          <w:sz w:val="16"/>
          <w:szCs w:val="16"/>
          <w:color w:val="auto"/>
        </w:rPr>
        <w:t>. “All-Risk” or “Special” Form property insurance, and/or Builders Risk coverage for major renovation projects, including, without limitation, coverage for fire, earthquake and flood; boiler and machinery (if applicable); sprinkler damage; vandalism; malicious mischief coverage on all equipment, furniture, fixtures, fittings, tenants work, improvements and betterments, business income, extra expense, merchandise, inventory/stock, contents, and personal property located on or in the Premises. Such insurance shall be in an amount equal to the full replacement cost of the aggregate of the foregoing and shall provide coverage comparable to the coverage in the standard ISO “All-Risk” or “Special” form, when such coverage is supplemented with the coverages required above; provided, however, for earthquake and flood coverage, rather than full replacement cost, the coverage shall be in amounts as then commercially available. Property policy shall also include coverage for Plate Glass, where required by written contract.</w:t>
      </w:r>
    </w:p>
    <w:p>
      <w:pPr>
        <w:spacing w:after="0" w:line="16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Builders Risk insurance coverage may be provided by the general contractor on a blanket builders risk policy with limits adequate for the project, and evidencing the additional insureds as required in the Lease.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Liability Insurance</w:t>
      </w:r>
      <w:r>
        <w:rPr>
          <w:rFonts w:ascii="Arial" w:cs="Arial" w:eastAsia="Arial" w:hAnsi="Arial"/>
          <w:sz w:val="18"/>
          <w:szCs w:val="18"/>
          <w:color w:val="auto"/>
        </w:rPr>
        <w:t>. General Liability, Umbrella/Excess Liability, Workers Compensation and Auto Liability coverage as follows:</w:t>
      </w:r>
    </w:p>
    <w:p>
      <w:pPr>
        <w:sectPr>
          <w:pgSz w:w="11900" w:h="16838" w:orient="portrait"/>
          <w:cols w:equalWidth="0" w:num="1">
            <w:col w:w="11340"/>
          </w:cols>
          <w:pgMar w:left="240" w:top="274" w:right="319" w:bottom="1440" w:gutter="0" w:footer="0" w:header="0"/>
        </w:sectPr>
      </w:pPr>
    </w:p>
    <w:p>
      <w:pPr>
        <w:spacing w:after="0" w:line="252"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General Liability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$1,000,000 per occurrence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$1,000,000 personal &amp; advertising injury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$2,000,000 general aggregate</w:t>
      </w:r>
    </w:p>
    <w:p>
      <w:pPr>
        <w:spacing w:after="0" w:line="200" w:lineRule="exact"/>
        <w:rPr>
          <w:sz w:val="20"/>
          <w:szCs w:val="20"/>
          <w:color w:val="auto"/>
        </w:rPr>
      </w:pPr>
    </w:p>
    <w:p>
      <w:pPr>
        <w:sectPr>
          <w:pgSz w:w="11900" w:h="16838" w:orient="portrait"/>
          <w:cols w:equalWidth="0" w:num="2">
            <w:col w:w="3660" w:space="720"/>
            <w:col w:w="6960"/>
          </w:cols>
          <w:pgMar w:left="240" w:top="274" w:right="319" w:bottom="1440" w:gutter="0" w:footer="0" w:header="0"/>
          <w:type w:val="continuous"/>
        </w:sectPr>
      </w:pPr>
    </w:p>
    <w:p>
      <w:pPr>
        <w:spacing w:after="0" w:line="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General Contractor is required to maintain, during the construction period and through completion of construction for the relevant project, a General Liability insurance policy, covering bodily injury, personal injury and property damage, with limits to include a $1,000,000 limit for contractual liability coverage as may be commercially available in standard General Liability insurance policies and adding Landlord and Landlord’s managing agent as additional insured as respects the project during construction. Landlord requires a copy of the ISO 20 10 11 85 Additional Insured endorsement or its equivalent, showing Landlord as an additional insured to the General Contractor’s policy.</w:t>
      </w:r>
    </w:p>
    <w:p>
      <w:pPr>
        <w:sectPr>
          <w:pgSz w:w="11900" w:h="16838" w:orient="portrait"/>
          <w:cols w:equalWidth="0" w:num="1">
            <w:col w:w="11340"/>
          </w:cols>
          <w:pgMar w:left="240" w:top="274" w:right="319" w:bottom="1440" w:gutter="0" w:footer="0" w:header="0"/>
          <w:type w:val="continuous"/>
        </w:sectPr>
      </w:pPr>
    </w:p>
    <w:p>
      <w:pPr>
        <w:spacing w:after="0" w:line="215"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Auto Liability</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460"/>
        <w:spacing w:after="0" w:line="277" w:lineRule="auto"/>
        <w:rPr>
          <w:sz w:val="20"/>
          <w:szCs w:val="20"/>
          <w:color w:val="auto"/>
        </w:rPr>
      </w:pPr>
      <w:r>
        <w:rPr>
          <w:rFonts w:ascii="Arial" w:cs="Arial" w:eastAsia="Arial" w:hAnsi="Arial"/>
          <w:sz w:val="18"/>
          <w:szCs w:val="18"/>
          <w:color w:val="auto"/>
        </w:rPr>
        <w:t>$1,000,000 combined single limit (Any Auto) for bodily injury and property damage, hired and non-owned cover.</w:t>
      </w:r>
    </w:p>
    <w:p>
      <w:pPr>
        <w:spacing w:after="0" w:line="170" w:lineRule="exact"/>
        <w:rPr>
          <w:sz w:val="20"/>
          <w:szCs w:val="20"/>
          <w:color w:val="auto"/>
        </w:rPr>
      </w:pPr>
    </w:p>
    <w:p>
      <w:pPr>
        <w:sectPr>
          <w:pgSz w:w="11900" w:h="16838" w:orient="portrait"/>
          <w:cols w:equalWidth="0" w:num="2">
            <w:col w:w="3660" w:space="720"/>
            <w:col w:w="6960"/>
          </w:cols>
          <w:pgMar w:left="240" w:top="274" w:right="319" w:bottom="1440" w:gutter="0" w:footer="0" w:header="0"/>
          <w:type w:val="continuous"/>
        </w:sectPr>
      </w:pPr>
    </w:p>
    <w:p>
      <w:pPr>
        <w:ind w:left="920"/>
        <w:spacing w:after="0"/>
        <w:tabs>
          <w:tab w:leader="none" w:pos="140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Workers Compensation</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Employers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Statutory Limits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$1,000,000 each accident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 each employee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$1,000,000 policy limit</w:t>
      </w:r>
    </w:p>
    <w:p>
      <w:pPr>
        <w:spacing w:after="0" w:line="143" w:lineRule="exact"/>
        <w:rPr>
          <w:sz w:val="20"/>
          <w:szCs w:val="20"/>
          <w:color w:val="auto"/>
        </w:rPr>
      </w:pPr>
    </w:p>
    <w:p>
      <w:pPr>
        <w:sectPr>
          <w:pgSz w:w="11900" w:h="16838" w:orient="portrait"/>
          <w:cols w:equalWidth="0" w:num="2">
            <w:col w:w="3660" w:space="720"/>
            <w:col w:w="6960"/>
          </w:cols>
          <w:pgMar w:left="240" w:top="274" w:right="319" w:bottom="1440" w:gutter="0" w:footer="0" w:header="0"/>
          <w:type w:val="continuous"/>
        </w:sectPr>
      </w:pPr>
    </w:p>
    <w:p>
      <w:pPr>
        <w:jc w:val="center"/>
        <w:ind w:right="-79"/>
        <w:spacing w:after="0"/>
        <w:rPr>
          <w:sz w:val="20"/>
          <w:szCs w:val="20"/>
          <w:color w:val="auto"/>
        </w:rPr>
      </w:pPr>
      <w:r>
        <w:rPr>
          <w:rFonts w:ascii="Arial" w:cs="Arial" w:eastAsia="Arial" w:hAnsi="Arial"/>
          <w:sz w:val="17"/>
          <w:szCs w:val="17"/>
          <w:color w:val="auto"/>
        </w:rPr>
        <w:t>EXHIBIT 11, PAGE 1</w:t>
      </w:r>
    </w:p>
    <w:p>
      <w:pPr>
        <w:sectPr>
          <w:pgSz w:w="11900" w:h="16838" w:orient="portrait"/>
          <w:cols w:equalWidth="0" w:num="1">
            <w:col w:w="11340"/>
          </w:cols>
          <w:pgMar w:left="240" w:top="274" w:right="319" w:bottom="1440" w:gutter="0" w:footer="0" w:header="0"/>
          <w:type w:val="continuous"/>
        </w:sectPr>
      </w:pPr>
    </w:p>
    <w:bookmarkStart w:id="454" w:name="page455"/>
    <w:bookmarkEnd w:id="454"/>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Contractor shall endeavor to cause any and all sub-contractors with contracts to perform work at the Premises in excess of $25,000 to maintain equal limits of coverage for Workers Compensation/EL, Auto Liability, and primary Commercial General Liability insurance and collect insurance certificates verifying same.</w:t>
      </w:r>
    </w:p>
    <w:p>
      <w:pPr>
        <w:sectPr>
          <w:pgSz w:w="11900" w:h="16838" w:orient="portrait"/>
          <w:cols w:equalWidth="0" w:num="1">
            <w:col w:w="11420"/>
          </w:cols>
          <w:pgMar w:left="240" w:top="274" w:right="239" w:bottom="1440" w:gutter="0" w:footer="0" w:header="0"/>
        </w:sectPr>
      </w:pPr>
    </w:p>
    <w:p>
      <w:pPr>
        <w:spacing w:after="0" w:line="208"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7"/>
          <w:szCs w:val="17"/>
          <w:color w:val="auto"/>
        </w:rPr>
        <w:t>Umbrella/Excess Liability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$3,000,000 per occurrence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$3,000,000 aggregate</w:t>
      </w:r>
    </w:p>
    <w:p>
      <w:pPr>
        <w:spacing w:after="0" w:line="200" w:lineRule="exact"/>
        <w:rPr>
          <w:sz w:val="20"/>
          <w:szCs w:val="20"/>
          <w:color w:val="auto"/>
        </w:rPr>
      </w:pPr>
    </w:p>
    <w:p>
      <w:pPr>
        <w:sectPr>
          <w:pgSz w:w="11900" w:h="16838" w:orient="portrait"/>
          <w:cols w:equalWidth="0" w:num="2">
            <w:col w:w="3660" w:space="720"/>
            <w:col w:w="7040"/>
          </w:cols>
          <w:pgMar w:left="240" w:top="274" w:right="239" w:bottom="1440" w:gutter="0" w:footer="0" w:header="0"/>
          <w:type w:val="continuous"/>
        </w:sectPr>
      </w:pPr>
    </w:p>
    <w:p>
      <w:pPr>
        <w:spacing w:after="0" w:line="11"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Tenant shall require General Contractors’ Commercial General Liability/Umbrella insurance policy(ies) include Landlord and Landlord’s managing agent as additional insureds, and shall include a primary non-contributory provision.</w:t>
      </w:r>
    </w:p>
    <w:p>
      <w:pPr>
        <w:spacing w:after="0" w:line="170" w:lineRule="exact"/>
        <w:rPr>
          <w:sz w:val="20"/>
          <w:szCs w:val="20"/>
          <w:color w:val="auto"/>
        </w:rPr>
      </w:pPr>
    </w:p>
    <w:p>
      <w:pPr>
        <w:ind w:right="380" w:firstLine="464"/>
        <w:spacing w:after="0" w:line="277" w:lineRule="auto"/>
        <w:tabs>
          <w:tab w:leader="none" w:pos="711"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Deductibles</w:t>
      </w:r>
      <w:r>
        <w:rPr>
          <w:rFonts w:ascii="Arial" w:cs="Arial" w:eastAsia="Arial" w:hAnsi="Arial"/>
          <w:sz w:val="18"/>
          <w:szCs w:val="18"/>
          <w:color w:val="auto"/>
        </w:rPr>
        <w:t>. If any of the above insurances have deductibles or self insured retentions, the Tenant and/or contractor (policy Named Insured), as applicable, shall be responsible for the deductible amount.</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All of the insurance policies required in this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shall be written by insurance companies which are licensed to do business in the State where the property is located, or obtained through a duly authorized surplus lines insurance agent or otherwise in conformity with the laws of such state, with an A.M. Best rating of at least A minus and a financial size category of not less than VII. Tenant shall provide Landlord with certificates of insurance upon request, and prior to commencement of the Tenant/contractor work.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 PAGE 2</w:t>
      </w:r>
    </w:p>
    <w:p>
      <w:pPr>
        <w:sectPr>
          <w:pgSz w:w="11900" w:h="16838" w:orient="portrait"/>
          <w:cols w:equalWidth="0" w:num="1">
            <w:col w:w="11420"/>
          </w:cols>
          <w:pgMar w:left="240" w:top="274" w:right="239" w:bottom="1440" w:gutter="0" w:footer="0" w:header="0"/>
          <w:type w:val="continuous"/>
        </w:sectPr>
      </w:pPr>
    </w:p>
    <w:bookmarkStart w:id="455" w:name="page456"/>
    <w:bookmarkEnd w:id="45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TENANT’S RIGHT OF FIRST OFFER</w:t>
      </w:r>
    </w:p>
    <w:p>
      <w:pPr>
        <w:spacing w:after="0" w:line="221" w:lineRule="exact"/>
        <w:rPr>
          <w:sz w:val="20"/>
          <w:szCs w:val="20"/>
          <w:color w:val="auto"/>
        </w:rPr>
      </w:pPr>
    </w:p>
    <w:p>
      <w:pPr>
        <w:ind w:firstLine="464"/>
        <w:spacing w:after="0" w:line="291" w:lineRule="auto"/>
        <w:tabs>
          <w:tab w:leader="none" w:pos="636"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Definition of ROFO Premises</w:t>
      </w:r>
      <w:r>
        <w:rPr>
          <w:rFonts w:ascii="Arial" w:cs="Arial" w:eastAsia="Arial" w:hAnsi="Arial"/>
          <w:sz w:val="16"/>
          <w:szCs w:val="16"/>
          <w:color w:val="auto"/>
        </w:rPr>
        <w:t>: The “</w:t>
      </w:r>
      <w:r>
        <w:rPr>
          <w:rFonts w:ascii="Arial" w:cs="Arial" w:eastAsia="Arial" w:hAnsi="Arial"/>
          <w:sz w:val="16"/>
          <w:szCs w:val="16"/>
          <w:b w:val="1"/>
          <w:bCs w:val="1"/>
          <w:color w:val="auto"/>
        </w:rPr>
        <w:t>ROFO Premises</w:t>
      </w:r>
      <w:r>
        <w:rPr>
          <w:rFonts w:ascii="Arial" w:cs="Arial" w:eastAsia="Arial" w:hAnsi="Arial"/>
          <w:sz w:val="16"/>
          <w:szCs w:val="16"/>
          <w:color w:val="auto"/>
        </w:rPr>
        <w:t>” consist of any portion of the rentable area of the Building which is not included in the Premises initially leased to Tenant. The ROFO Premises are vacant and unencumbered by any leases or occupancy agreements as of the Execution Date of this Lease. Tenant’s Right of First Offer shall apply to any portion of the ROFO Premises only after Landlord, in Landlord’s bona fide business judgment, determines that such portion of the ROFO Premises will become available for lease to Tenant, i.e.: (i) the term of the lease of Landlord’s lease with the initial tenant (“</w:t>
      </w:r>
      <w:r>
        <w:rPr>
          <w:rFonts w:ascii="Arial" w:cs="Arial" w:eastAsia="Arial" w:hAnsi="Arial"/>
          <w:sz w:val="16"/>
          <w:szCs w:val="16"/>
          <w:b w:val="1"/>
          <w:bCs w:val="1"/>
          <w:color w:val="auto"/>
        </w:rPr>
        <w:t>Initial Tenant</w:t>
      </w:r>
      <w:r>
        <w:rPr>
          <w:rFonts w:ascii="Arial" w:cs="Arial" w:eastAsia="Arial" w:hAnsi="Arial"/>
          <w:sz w:val="16"/>
          <w:szCs w:val="16"/>
          <w:color w:val="auto"/>
        </w:rPr>
        <w:t>”) of such portion of the ROFO Premises will terminate, (ii) the Initial Tenant of such portion of the ROFO Premises (as well as anyone claiming by, through, or under such Initial Tenant) will be vacating the ROFO Premises, and (iii) Landlord intends to offer such portion of the ROFO Premises for lease to a third party. Landlord hereby agrees that the term of the lease of the Initial Tenant of any portion of the ROFO Premises shall, by its terms, expire not earlier than the date three (3) years after the Commencement Date nor later than the date six (6) years after the Commencement Date.</w:t>
      </w:r>
    </w:p>
    <w:p>
      <w:pPr>
        <w:spacing w:after="0" w:line="160" w:lineRule="exact"/>
        <w:rPr>
          <w:rFonts w:ascii="Arial" w:cs="Arial" w:eastAsia="Arial" w:hAnsi="Arial"/>
          <w:sz w:val="16"/>
          <w:szCs w:val="16"/>
          <w:color w:val="auto"/>
        </w:rPr>
      </w:pPr>
    </w:p>
    <w:p>
      <w:pPr>
        <w:ind w:right="140" w:firstLine="464"/>
        <w:spacing w:after="0" w:line="303" w:lineRule="auto"/>
        <w:tabs>
          <w:tab w:leader="none" w:pos="636"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Prior Rights in ROFO Premises</w:t>
      </w:r>
      <w:r>
        <w:rPr>
          <w:rFonts w:ascii="Arial" w:cs="Arial" w:eastAsia="Arial" w:hAnsi="Arial"/>
          <w:sz w:val="16"/>
          <w:szCs w:val="16"/>
          <w:color w:val="auto"/>
        </w:rPr>
        <w:t>: The “</w:t>
      </w:r>
      <w:r>
        <w:rPr>
          <w:rFonts w:ascii="Arial" w:cs="Arial" w:eastAsia="Arial" w:hAnsi="Arial"/>
          <w:sz w:val="16"/>
          <w:szCs w:val="16"/>
          <w:b w:val="1"/>
          <w:bCs w:val="1"/>
          <w:u w:val="single" w:color="auto"/>
          <w:color w:val="auto"/>
        </w:rPr>
        <w:t>Prior Rights in ROFO Premises</w:t>
      </w:r>
      <w:r>
        <w:rPr>
          <w:rFonts w:ascii="Arial" w:cs="Arial" w:eastAsia="Arial" w:hAnsi="Arial"/>
          <w:sz w:val="16"/>
          <w:szCs w:val="16"/>
          <w:color w:val="auto"/>
        </w:rPr>
        <w:t>” shall be defined as: (i) the right of any tenant of any portion of the ROFO Premises, other than an Initial Tenant, as defined in Section 1 above, to exercise any extension or renewal option under its lease, and (ii) Landlord’s right to enter into an agreement, with any tenant of any portion of the ROFO Premises, , other than an Initial Tenant, as defined in Section 1 above, extending or renewing such tenant’s lease of such portion of the ROFO Premises, whether or not such tenant’s lease contains an extension or renewal option.</w:t>
      </w:r>
    </w:p>
    <w:p>
      <w:pPr>
        <w:spacing w:after="0" w:line="151" w:lineRule="exact"/>
        <w:rPr>
          <w:rFonts w:ascii="Arial" w:cs="Arial" w:eastAsia="Arial" w:hAnsi="Arial"/>
          <w:sz w:val="16"/>
          <w:szCs w:val="16"/>
          <w:color w:val="auto"/>
        </w:rPr>
      </w:pPr>
    </w:p>
    <w:p>
      <w:pPr>
        <w:ind w:left="640" w:hanging="176"/>
        <w:spacing w:after="0"/>
        <w:tabs>
          <w:tab w:leader="none" w:pos="640"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Conditions to Right of First Offer</w:t>
      </w:r>
      <w:r>
        <w:rPr>
          <w:rFonts w:ascii="Arial" w:cs="Arial" w:eastAsia="Arial" w:hAnsi="Arial"/>
          <w:sz w:val="16"/>
          <w:szCs w:val="16"/>
          <w:color w:val="auto"/>
        </w:rPr>
        <w:t>: Tenant shall be deemed to have failed to satisfy the “</w:t>
      </w:r>
      <w:r>
        <w:rPr>
          <w:rFonts w:ascii="Arial" w:cs="Arial" w:eastAsia="Arial" w:hAnsi="Arial"/>
          <w:sz w:val="16"/>
          <w:szCs w:val="16"/>
          <w:b w:val="1"/>
          <w:bCs w:val="1"/>
          <w:u w:val="single" w:color="auto"/>
          <w:color w:val="auto"/>
        </w:rPr>
        <w:t>Conditions to Right of First Offer</w:t>
      </w:r>
      <w:r>
        <w:rPr>
          <w:rFonts w:ascii="Arial" w:cs="Arial" w:eastAsia="Arial" w:hAnsi="Arial"/>
          <w:sz w:val="16"/>
          <w:szCs w:val="16"/>
          <w:color w:val="auto"/>
        </w:rPr>
        <w:t>” if any of the following</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w:t>
      </w:r>
    </w:p>
    <w:p>
      <w:pPr>
        <w:spacing w:after="0" w:line="102" w:lineRule="exact"/>
        <w:rPr>
          <w:rFonts w:ascii="Arial" w:cs="Arial" w:eastAsia="Arial" w:hAnsi="Arial"/>
          <w:sz w:val="16"/>
          <w:szCs w:val="16"/>
          <w:color w:val="auto"/>
        </w:rPr>
      </w:pPr>
    </w:p>
    <w:p>
      <w:pPr>
        <w:ind w:left="460" w:right="620" w:firstLine="443"/>
        <w:spacing w:after="0" w:line="277" w:lineRule="auto"/>
        <w:tabs>
          <w:tab w:leader="none" w:pos="1143"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Tenant is in default under the Lease beyond any applicable cure periods at the time that Landlord would otherwise deliver an Offer, as hereinafter defined, to Tenant to lease such ROFO Premises; or</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53" w:val="left"/>
        </w:tabs>
        <w:numPr>
          <w:ilvl w:val="1"/>
          <w:numId w:val="352"/>
        </w:numPr>
        <w:rPr>
          <w:rFonts w:ascii="Arial" w:cs="Arial" w:eastAsia="Arial" w:hAnsi="Arial"/>
          <w:sz w:val="18"/>
          <w:szCs w:val="18"/>
          <w:color w:val="auto"/>
        </w:rPr>
      </w:pPr>
      <w:r>
        <w:rPr>
          <w:rFonts w:ascii="Arial" w:cs="Arial" w:eastAsia="Arial" w:hAnsi="Arial"/>
          <w:sz w:val="18"/>
          <w:szCs w:val="18"/>
          <w:color w:val="auto"/>
        </w:rPr>
        <w:t>more than seventy (70%) percent, in the aggregate, of the rentable floor area of the Premises will be sublet (other than to an Affiliated Entity or (other than to an Affiliated Entity and/or a Successor, as defined in Section 13.7 of the Lease) at the projected commencement date of the term of the Lease with respect to such ROFO Premises; or</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the Lease has been assigned (other than to an Affiliated or a Successor) prior to the date Landlord would otherwise deliver the Advice.</w:t>
      </w:r>
    </w:p>
    <w:p>
      <w:pPr>
        <w:spacing w:after="0" w:line="236" w:lineRule="exact"/>
        <w:rPr>
          <w:rFonts w:ascii="Arial" w:cs="Arial" w:eastAsia="Arial" w:hAnsi="Arial"/>
          <w:sz w:val="17"/>
          <w:szCs w:val="17"/>
          <w:color w:val="auto"/>
        </w:rPr>
      </w:pPr>
    </w:p>
    <w:p>
      <w:pPr>
        <w:ind w:right="320" w:firstLine="464"/>
        <w:spacing w:after="0" w:line="312" w:lineRule="auto"/>
        <w:tabs>
          <w:tab w:leader="none" w:pos="636"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Procedures Relating to the Offer of each ROFO Premises</w:t>
      </w:r>
      <w:r>
        <w:rPr>
          <w:rFonts w:ascii="Arial" w:cs="Arial" w:eastAsia="Arial" w:hAnsi="Arial"/>
          <w:sz w:val="16"/>
          <w:szCs w:val="16"/>
          <w:color w:val="auto"/>
        </w:rPr>
        <w:t>. Provided that Tenant satisfies all of the applicable ROFO Conditions at the time that Landlord would otherwise be required to provide an Offer, as hereinafter defined, to lease a ROFO Premises to Tenant, Tenant shall have ongoing right of first offer (“</w:t>
      </w:r>
      <w:r>
        <w:rPr>
          <w:rFonts w:ascii="Arial" w:cs="Arial" w:eastAsia="Arial" w:hAnsi="Arial"/>
          <w:sz w:val="16"/>
          <w:szCs w:val="16"/>
          <w:b w:val="1"/>
          <w:bCs w:val="1"/>
          <w:color w:val="auto"/>
        </w:rPr>
        <w:t>Right of First Offer</w:t>
      </w:r>
      <w:r>
        <w:rPr>
          <w:rFonts w:ascii="Arial" w:cs="Arial" w:eastAsia="Arial" w:hAnsi="Arial"/>
          <w:sz w:val="16"/>
          <w:szCs w:val="16"/>
          <w:color w:val="auto"/>
        </w:rPr>
        <w:t>”) to lease any ROFO Premises when it becomes available for lease to Tenant during the term of the Lease, as it may be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12, PAGE 1</w:t>
      </w:r>
    </w:p>
    <w:p>
      <w:pPr>
        <w:sectPr>
          <w:pgSz w:w="11900" w:h="16838" w:orient="portrait"/>
          <w:cols w:equalWidth="0" w:num="1">
            <w:col w:w="11420"/>
          </w:cols>
          <w:pgMar w:left="240" w:top="273" w:right="239" w:bottom="1440" w:gutter="0" w:footer="0" w:header="0"/>
        </w:sectPr>
      </w:pPr>
    </w:p>
    <w:bookmarkStart w:id="456" w:name="page457"/>
    <w:bookmarkEnd w:id="456"/>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extended. However, Tenant’s Right of First Offer shall be subject and subordinate to any Prior Rights in ROFO Premises with respect to such ROFO Premises. At such time as any portion of the ROFO Premises becomes available for lease to Tenant, Landlord shall, prior to offering to lease any ROFO Premises to any third party, give Tenant a written offer (“</w:t>
      </w:r>
      <w:r>
        <w:rPr>
          <w:rFonts w:ascii="Arial" w:cs="Arial" w:eastAsia="Arial" w:hAnsi="Arial"/>
          <w:sz w:val="18"/>
          <w:szCs w:val="18"/>
          <w:b w:val="1"/>
          <w:bCs w:val="1"/>
          <w:color w:val="auto"/>
        </w:rPr>
        <w:t>Offer</w:t>
      </w:r>
      <w:r>
        <w:rPr>
          <w:rFonts w:ascii="Arial" w:cs="Arial" w:eastAsia="Arial" w:hAnsi="Arial"/>
          <w:sz w:val="18"/>
          <w:szCs w:val="18"/>
          <w:color w:val="auto"/>
        </w:rPr>
        <w:t>”) to lease such portion of the ROFO Premises to Tenant. An Offer shall set forth: (i) a description of the portion of the ROFO Premises in question, (ii) the rental and other economic terms on which Landlord is willing to enter into a lease of such portion of the ROFO Premises with Tenant, (iii) the estimated Term Commencement Date with respect to such portion of the ROFO Premises, (iv) the term of the Lease which would be applicable to such portion of the ROFO Premises, and (v) any other terms applicable to Tenant’s demise of such portion of the ROFO Premises.</w:t>
      </w:r>
    </w:p>
    <w:p>
      <w:pPr>
        <w:spacing w:after="0" w:line="185" w:lineRule="exact"/>
        <w:rPr>
          <w:sz w:val="20"/>
          <w:szCs w:val="20"/>
          <w:color w:val="auto"/>
        </w:rPr>
      </w:pPr>
    </w:p>
    <w:p>
      <w:pPr>
        <w:ind w:left="640" w:hanging="176"/>
        <w:spacing w:after="0"/>
        <w:tabs>
          <w:tab w:leader="none" w:pos="640" w:val="left"/>
        </w:tabs>
        <w:numPr>
          <w:ilvl w:val="1"/>
          <w:numId w:val="353"/>
        </w:numPr>
        <w:rPr>
          <w:rFonts w:ascii="Arial" w:cs="Arial" w:eastAsia="Arial" w:hAnsi="Arial"/>
          <w:sz w:val="17"/>
          <w:szCs w:val="17"/>
          <w:color w:val="auto"/>
        </w:rPr>
      </w:pPr>
      <w:r>
        <w:rPr>
          <w:rFonts w:ascii="Arial" w:cs="Arial" w:eastAsia="Arial" w:hAnsi="Arial"/>
          <w:sz w:val="17"/>
          <w:szCs w:val="17"/>
          <w:u w:val="single" w:color="auto"/>
          <w:color w:val="auto"/>
        </w:rPr>
        <w:t>Acceptance of Offer</w:t>
      </w:r>
      <w:r>
        <w:rPr>
          <w:rFonts w:ascii="Arial" w:cs="Arial" w:eastAsia="Arial" w:hAnsi="Arial"/>
          <w:sz w:val="17"/>
          <w:szCs w:val="17"/>
          <w:color w:val="auto"/>
        </w:rPr>
        <w:t>. Tenant shall, within ten (10) business days of its receipt of such Offer, give written notice (“</w:t>
      </w:r>
      <w:r>
        <w:rPr>
          <w:rFonts w:ascii="Arial" w:cs="Arial" w:eastAsia="Arial" w:hAnsi="Arial"/>
          <w:sz w:val="17"/>
          <w:szCs w:val="17"/>
          <w:b w:val="1"/>
          <w:bCs w:val="1"/>
          <w:color w:val="auto"/>
        </w:rPr>
        <w:t>Tenant’s Response</w:t>
      </w:r>
      <w:r>
        <w:rPr>
          <w:rFonts w:ascii="Arial" w:cs="Arial" w:eastAsia="Arial" w:hAnsi="Arial"/>
          <w:sz w:val="17"/>
          <w:szCs w:val="17"/>
          <w:color w:val="auto"/>
        </w:rPr>
        <w:t>”) either:</w:t>
      </w:r>
    </w:p>
    <w:p>
      <w:pPr>
        <w:spacing w:after="0" w:line="38" w:lineRule="exact"/>
        <w:rPr>
          <w:rFonts w:ascii="Arial" w:cs="Arial" w:eastAsia="Arial" w:hAnsi="Arial"/>
          <w:sz w:val="17"/>
          <w:szCs w:val="17"/>
          <w:color w:val="auto"/>
        </w:rPr>
      </w:pPr>
    </w:p>
    <w:p>
      <w:pPr>
        <w:ind w:right="360" w:firstLine="8"/>
        <w:spacing w:after="0" w:line="323" w:lineRule="auto"/>
        <w:tabs>
          <w:tab w:leader="none" w:pos="245"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accepting such Offer, or (b) rejecting such Offer. Tenant’s failure timely to give a Tenant’s Response shall conclusively be deemed to be a rejection of Landlord’s Offer. If Tenant does not timely accept such Offer, Tenant shall no further right to lease the ROFO Premises in question, unless:</w:t>
      </w:r>
    </w:p>
    <w:p>
      <w:pPr>
        <w:spacing w:after="0" w:line="27" w:lineRule="exact"/>
        <w:rPr>
          <w:sz w:val="20"/>
          <w:szCs w:val="20"/>
          <w:color w:val="auto"/>
        </w:rPr>
      </w:pPr>
    </w:p>
    <w:p>
      <w:pPr>
        <w:ind w:left="460" w:firstLine="4"/>
        <w:spacing w:after="0" w:line="281" w:lineRule="auto"/>
        <w:tabs>
          <w:tab w:leader="none" w:pos="67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Landlord does not enter into a lease of such ROFO Premises within nine (9) months (“</w:t>
      </w:r>
      <w:r>
        <w:rPr>
          <w:rFonts w:ascii="Arial" w:cs="Arial" w:eastAsia="Arial" w:hAnsi="Arial"/>
          <w:sz w:val="17"/>
          <w:szCs w:val="17"/>
          <w:b w:val="1"/>
          <w:bCs w:val="1"/>
          <w:color w:val="auto"/>
        </w:rPr>
        <w:t>Marketing Period</w:t>
      </w:r>
      <w:r>
        <w:rPr>
          <w:rFonts w:ascii="Arial" w:cs="Arial" w:eastAsia="Arial" w:hAnsi="Arial"/>
          <w:sz w:val="17"/>
          <w:szCs w:val="17"/>
          <w:color w:val="auto"/>
        </w:rPr>
        <w:t>”) after the date (“</w:t>
      </w:r>
      <w:r>
        <w:rPr>
          <w:rFonts w:ascii="Arial" w:cs="Arial" w:eastAsia="Arial" w:hAnsi="Arial"/>
          <w:sz w:val="17"/>
          <w:szCs w:val="17"/>
          <w:b w:val="1"/>
          <w:bCs w:val="1"/>
          <w:color w:val="auto"/>
        </w:rPr>
        <w:t>Rejection Date</w:t>
      </w:r>
      <w:r>
        <w:rPr>
          <w:rFonts w:ascii="Arial" w:cs="Arial" w:eastAsia="Arial" w:hAnsi="Arial"/>
          <w:sz w:val="17"/>
          <w:szCs w:val="17"/>
          <w:color w:val="auto"/>
        </w:rPr>
        <w:t>”) that Tenant either declines to accept such Offer or does not timely respond to such Offer, provided however, that the Marketing Period shall be extended to one (1) year after the Rejection Date if, as of the date nine (9) months after the Rejection Date, Landlord has executed a letter of intent and has prepared a lease and is then in good faith negotiations of such lease with a prospective Tenant of such ROFO Premises, or</w:t>
      </w:r>
    </w:p>
    <w:p>
      <w:pPr>
        <w:spacing w:after="0" w:line="60" w:lineRule="exact"/>
        <w:rPr>
          <w:rFonts w:ascii="Arial" w:cs="Arial" w:eastAsia="Arial" w:hAnsi="Arial"/>
          <w:sz w:val="17"/>
          <w:szCs w:val="17"/>
          <w:color w:val="auto"/>
        </w:rPr>
      </w:pPr>
    </w:p>
    <w:p>
      <w:pPr>
        <w:ind w:left="460" w:right="180" w:firstLine="4"/>
        <w:spacing w:after="0" w:line="279" w:lineRule="auto"/>
        <w:tabs>
          <w:tab w:leader="none" w:pos="72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such portion of the ROFO Premises again becomes available for lease to Tenant after the expiration or termination of the term of Landlord’s lease with the next tenant (“</w:t>
      </w:r>
      <w:r>
        <w:rPr>
          <w:rFonts w:ascii="Arial" w:cs="Arial" w:eastAsia="Arial" w:hAnsi="Arial"/>
          <w:sz w:val="17"/>
          <w:szCs w:val="17"/>
          <w:b w:val="1"/>
          <w:bCs w:val="1"/>
          <w:color w:val="auto"/>
        </w:rPr>
        <w:t>Successor Tenant</w:t>
      </w:r>
      <w:r>
        <w:rPr>
          <w:rFonts w:ascii="Arial" w:cs="Arial" w:eastAsia="Arial" w:hAnsi="Arial"/>
          <w:sz w:val="17"/>
          <w:szCs w:val="17"/>
          <w:color w:val="auto"/>
        </w:rPr>
        <w:t xml:space="preserve">”) to lease such portion of the ROFO Premises (the parties hereby agreeing that, in such event, the term “available for lease to Tenant” shall have the same definition as set forth in Section 1 of this </w:t>
      </w:r>
      <w:r>
        <w:rPr>
          <w:rFonts w:ascii="Arial" w:cs="Arial" w:eastAsia="Arial" w:hAnsi="Arial"/>
          <w:sz w:val="17"/>
          <w:szCs w:val="17"/>
          <w:u w:val="single" w:color="auto"/>
          <w:color w:val="auto"/>
        </w:rPr>
        <w:t>Exhibit 12</w:t>
      </w:r>
      <w:r>
        <w:rPr>
          <w:rFonts w:ascii="Arial" w:cs="Arial" w:eastAsia="Arial" w:hAnsi="Arial"/>
          <w:sz w:val="17"/>
          <w:szCs w:val="17"/>
          <w:color w:val="auto"/>
        </w:rPr>
        <w:t>, except that the Successor Tenant of such portion of the ROFO Premises shall be substituted for the Initial Tenant of such portion of the ROFO Premises.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Tenant must exercise its Right of First Offer with respect to the entirety of the ROFO Premises offered to Tenant.</w:t>
      </w:r>
    </w:p>
    <w:p>
      <w:pPr>
        <w:spacing w:after="0" w:line="225" w:lineRule="exact"/>
        <w:rPr>
          <w:sz w:val="20"/>
          <w:szCs w:val="20"/>
          <w:color w:val="auto"/>
        </w:rPr>
      </w:pPr>
    </w:p>
    <w:p>
      <w:pPr>
        <w:ind w:firstLine="464"/>
        <w:spacing w:after="0" w:line="277" w:lineRule="auto"/>
        <w:tabs>
          <w:tab w:leader="none" w:pos="636"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Terms for ROFO Premises</w:t>
      </w:r>
      <w:r>
        <w:rPr>
          <w:rFonts w:ascii="Arial" w:cs="Arial" w:eastAsia="Arial" w:hAnsi="Arial"/>
          <w:sz w:val="18"/>
          <w:szCs w:val="18"/>
          <w:color w:val="auto"/>
        </w:rPr>
        <w:t>. The terms of Tenant’s demise of any ROFO Premises shall be upon the terms of the Offer, and upon all of the same terms and conditions of the Lease to the extent not inconsistent with the Offer.</w:t>
      </w:r>
    </w:p>
    <w:p>
      <w:pPr>
        <w:spacing w:after="0" w:line="166" w:lineRule="exact"/>
        <w:rPr>
          <w:rFonts w:ascii="Arial" w:cs="Arial" w:eastAsia="Arial" w:hAnsi="Arial"/>
          <w:sz w:val="18"/>
          <w:szCs w:val="18"/>
          <w:color w:val="auto"/>
        </w:rPr>
      </w:pPr>
    </w:p>
    <w:p>
      <w:pPr>
        <w:ind w:right="60" w:firstLine="464"/>
        <w:spacing w:after="0" w:line="266" w:lineRule="auto"/>
        <w:tabs>
          <w:tab w:leader="none" w:pos="636"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Offering Amendment</w:t>
      </w:r>
      <w:r>
        <w:rPr>
          <w:rFonts w:ascii="Arial" w:cs="Arial" w:eastAsia="Arial" w:hAnsi="Arial"/>
          <w:sz w:val="18"/>
          <w:szCs w:val="18"/>
          <w:color w:val="auto"/>
        </w:rPr>
        <w:t>. If Tenant exercises its Right of First Offer, the parties shall execute a confirmatory amendment (the “</w:t>
      </w:r>
      <w:r>
        <w:rPr>
          <w:rFonts w:ascii="Arial" w:cs="Arial" w:eastAsia="Arial" w:hAnsi="Arial"/>
          <w:sz w:val="18"/>
          <w:szCs w:val="18"/>
          <w:b w:val="1"/>
          <w:bCs w:val="1"/>
          <w:color w:val="auto"/>
        </w:rPr>
        <w:t>Offering Amendment</w:t>
      </w:r>
      <w:r>
        <w:rPr>
          <w:rFonts w:ascii="Arial" w:cs="Arial" w:eastAsia="Arial" w:hAnsi="Arial"/>
          <w:sz w:val="18"/>
          <w:szCs w:val="18"/>
          <w:color w:val="auto"/>
        </w:rPr>
        <w:t>”) reflecting the addition of the ROFO Premises in question to the Premises on the terms set forth above. However, an otherwise valid exercise of the Right of First Offer shall be fully effective whether or not the Offering Amendment is executed.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12, PAGE 2</w:t>
      </w:r>
    </w:p>
    <w:p>
      <w:pPr>
        <w:sectPr>
          <w:pgSz w:w="11900" w:h="16838" w:orient="portrait"/>
          <w:cols w:equalWidth="0" w:num="1">
            <w:col w:w="11400"/>
          </w:cols>
          <w:pgMar w:left="240" w:top="274" w:right="259" w:bottom="1440" w:gutter="0" w:footer="0" w:header="0"/>
        </w:sectPr>
      </w:pPr>
    </w:p>
    <w:bookmarkStart w:id="457" w:name="page458"/>
    <w:bookmarkEnd w:id="45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TENANT’S EXTERIOR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176530</wp:posOffset>
            </wp:positionV>
            <wp:extent cx="3782060" cy="676656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782060" cy="676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13, PAGE 1</w:t>
      </w:r>
    </w:p>
    <w:p>
      <w:pPr>
        <w:sectPr>
          <w:pgSz w:w="11900" w:h="16838" w:orient="portrait"/>
          <w:cols w:equalWidth="0" w:num="1">
            <w:col w:w="9019"/>
          </w:cols>
          <w:pgMar w:left="1440" w:top="273" w:right="1440"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INDEMNITY</w:t>
      </w:r>
    </w:p>
    <w:p>
      <w:pPr>
        <w:spacing w:after="0" w:line="229"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color w:val="auto"/>
        </w:rPr>
        <w:t>This Deed is made the</w:t>
      </w:r>
      <w:r>
        <w:rPr>
          <w:sz w:val="20"/>
          <w:szCs w:val="20"/>
          <w:color w:val="auto"/>
        </w:rPr>
        <w:tab/>
      </w:r>
      <w:r>
        <w:rPr>
          <w:rFonts w:ascii="Arial" w:cs="Arial" w:eastAsia="Arial" w:hAnsi="Arial"/>
          <w:sz w:val="16"/>
          <w:szCs w:val="16"/>
          <w:color w:val="auto"/>
        </w:rPr>
        <w:t>day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31" w:lineRule="exact"/>
        <w:rPr>
          <w:sz w:val="20"/>
          <w:szCs w:val="20"/>
          <w:color w:val="auto"/>
        </w:rPr>
      </w:pPr>
    </w:p>
    <w:p>
      <w:pPr>
        <w:ind w:left="460" w:right="140" w:hanging="452"/>
        <w:spacing w:after="0" w:line="277" w:lineRule="auto"/>
        <w:tabs>
          <w:tab w:leader="none" w:pos="4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Wave Life Sciences Pte. Ltd. (Company Registration Number 201218209G) a company duly incorporated in Singapore with its registered address at 8 Cross Street, #10-00 PWC Building, Singapore 048424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27" w:lineRule="exact"/>
        <w:rPr>
          <w:sz w:val="20"/>
          <w:szCs w:val="20"/>
          <w:color w:val="auto"/>
        </w:rPr>
      </w:pPr>
    </w:p>
    <w:p>
      <w:pPr>
        <w:ind w:left="460" w:hanging="452"/>
        <w:spacing w:after="0"/>
        <w:tabs>
          <w:tab w:leader="none" w:pos="460"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 xml:space="preserve">[NAME OF DIRECTOR OR OFFICER] [RESIDENTIAL/BUSINESS ADDRESS] </w:t>
      </w:r>
      <w:r>
        <w:rPr>
          <w:rFonts w:ascii="Arial" w:cs="Arial" w:eastAsia="Arial" w:hAnsi="Arial"/>
          <w:sz w:val="18"/>
          <w:szCs w:val="18"/>
          <w:color w:val="auto"/>
        </w:rPr>
        <w:t>(the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WHEREAS</w:t>
      </w:r>
      <w:r>
        <w:rPr>
          <w:rFonts w:ascii="Arial" w:cs="Arial" w:eastAsia="Arial" w:hAnsi="Arial"/>
          <w:sz w:val="18"/>
          <w:szCs w:val="18"/>
          <w:color w:val="auto"/>
        </w:rPr>
        <w:t>:-</w:t>
      </w:r>
    </w:p>
    <w:p>
      <w:pPr>
        <w:spacing w:after="0" w:line="127" w:lineRule="exact"/>
        <w:rPr>
          <w:sz w:val="20"/>
          <w:szCs w:val="20"/>
          <w:color w:val="auto"/>
        </w:rPr>
      </w:pPr>
    </w:p>
    <w:p>
      <w:pPr>
        <w:ind w:left="460" w:hanging="452"/>
        <w:spacing w:after="0"/>
        <w:tabs>
          <w:tab w:leader="none" w:pos="4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Company desires and has requested the Indemnitee to serve or continue to serve as a director or officer (“</w:t>
      </w:r>
      <w:r>
        <w:rPr>
          <w:rFonts w:ascii="Arial" w:cs="Arial" w:eastAsia="Arial" w:hAnsi="Arial"/>
          <w:sz w:val="16"/>
          <w:szCs w:val="16"/>
          <w:b w:val="1"/>
          <w:bCs w:val="1"/>
          <w:color w:val="auto"/>
        </w:rPr>
        <w:t>Director</w:t>
      </w:r>
      <w:r>
        <w:rPr>
          <w:rFonts w:ascii="Arial" w:cs="Arial" w:eastAsia="Arial" w:hAnsi="Arial"/>
          <w:sz w:val="16"/>
          <w:szCs w:val="16"/>
          <w:color w:val="auto"/>
        </w:rPr>
        <w:t>” or “</w:t>
      </w:r>
      <w:r>
        <w:rPr>
          <w:rFonts w:ascii="Arial" w:cs="Arial" w:eastAsia="Arial" w:hAnsi="Arial"/>
          <w:sz w:val="16"/>
          <w:szCs w:val="16"/>
          <w:b w:val="1"/>
          <w:bCs w:val="1"/>
          <w:color w:val="auto"/>
        </w:rPr>
        <w:t>Officer</w:t>
      </w:r>
      <w:r>
        <w:rPr>
          <w:rFonts w:ascii="Arial" w:cs="Arial" w:eastAsia="Arial" w:hAnsi="Arial"/>
          <w:sz w:val="16"/>
          <w:szCs w:val="16"/>
          <w:color w:val="auto"/>
        </w:rPr>
        <w:t>”) of the Company.</w:t>
      </w:r>
    </w:p>
    <w:p>
      <w:pPr>
        <w:spacing w:after="0" w:line="157" w:lineRule="exact"/>
        <w:rPr>
          <w:rFonts w:ascii="Arial" w:cs="Arial" w:eastAsia="Arial" w:hAnsi="Arial"/>
          <w:sz w:val="16"/>
          <w:szCs w:val="16"/>
          <w:color w:val="auto"/>
        </w:rPr>
      </w:pPr>
    </w:p>
    <w:p>
      <w:pPr>
        <w:ind w:left="460" w:right="300" w:hanging="452"/>
        <w:spacing w:after="0" w:line="277" w:lineRule="auto"/>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Indemnitee is willing to serve, or to continue to serve, the Company in the aforementioned capacity subject to the execution and delivery by the Company of this Deed.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THIS DEED WITNESSETH THAT IN CONSIDERATION OF THE PREMISES:-</w:t>
      </w:r>
    </w:p>
    <w:p>
      <w:pPr>
        <w:spacing w:after="0" w:line="131" w:lineRule="exact"/>
        <w:rPr>
          <w:sz w:val="20"/>
          <w:szCs w:val="20"/>
          <w:color w:val="auto"/>
        </w:rPr>
      </w:pPr>
    </w:p>
    <w:p>
      <w:pPr>
        <w:ind w:left="460" w:right="80" w:hanging="452"/>
        <w:spacing w:after="0" w:line="286" w:lineRule="auto"/>
        <w:tabs>
          <w:tab w:leader="none" w:pos="460"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Agreement to Serve</w:t>
      </w:r>
      <w:r>
        <w:rPr>
          <w:rFonts w:ascii="Arial" w:cs="Arial" w:eastAsia="Arial" w:hAnsi="Arial"/>
          <w:sz w:val="17"/>
          <w:szCs w:val="17"/>
          <w:color w:val="auto"/>
        </w:rPr>
        <w:t>. The Indemnitee hereby accepts the appointment as a Director or Officer of the Company and, so long as the Indemnitee continues to be a Director or Officer of the Company, the Indemnitee shall, within the limits imposed by law, exercise all functions required by the Articles of Association of the Company (the “</w:t>
      </w:r>
      <w:r>
        <w:rPr>
          <w:rFonts w:ascii="Arial" w:cs="Arial" w:eastAsia="Arial" w:hAnsi="Arial"/>
          <w:sz w:val="17"/>
          <w:szCs w:val="17"/>
          <w:b w:val="1"/>
          <w:bCs w:val="1"/>
          <w:color w:val="auto"/>
        </w:rPr>
        <w:t>Articles</w:t>
      </w:r>
      <w:r>
        <w:rPr>
          <w:rFonts w:ascii="Arial" w:cs="Arial" w:eastAsia="Arial" w:hAnsi="Arial"/>
          <w:sz w:val="17"/>
          <w:szCs w:val="17"/>
          <w:color w:val="auto"/>
        </w:rPr>
        <w:t>”) while observing to the best of the Indemnitee’s ability the interests of the Company.</w:t>
      </w:r>
    </w:p>
    <w:p>
      <w:pPr>
        <w:spacing w:after="0" w:line="70" w:lineRule="exact"/>
        <w:rPr>
          <w:rFonts w:ascii="Arial" w:cs="Arial" w:eastAsia="Arial" w:hAnsi="Arial"/>
          <w:sz w:val="17"/>
          <w:szCs w:val="17"/>
          <w:color w:val="auto"/>
        </w:rPr>
      </w:pPr>
    </w:p>
    <w:p>
      <w:pPr>
        <w:ind w:left="460" w:hanging="452"/>
        <w:spacing w:after="0" w:line="270" w:lineRule="auto"/>
        <w:tabs>
          <w:tab w:leader="none" w:pos="460"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Subject to, and to the maximum extent permitted by the Articles, the Companies Act (Chapter 50 of Singapore), as amended from time to time (the “</w:t>
      </w:r>
      <w:r>
        <w:rPr>
          <w:rFonts w:ascii="Arial" w:cs="Arial" w:eastAsia="Arial" w:hAnsi="Arial"/>
          <w:sz w:val="17"/>
          <w:szCs w:val="17"/>
          <w:b w:val="1"/>
          <w:bCs w:val="1"/>
          <w:color w:val="auto"/>
        </w:rPr>
        <w:t>Act</w:t>
      </w:r>
      <w:r>
        <w:rPr>
          <w:rFonts w:ascii="Arial" w:cs="Arial" w:eastAsia="Arial" w:hAnsi="Arial"/>
          <w:sz w:val="17"/>
          <w:szCs w:val="17"/>
          <w:color w:val="auto"/>
        </w:rPr>
        <w:t>”) or other applicable law, the Company does hereby covenant and agree to hold harmless and indemnify the Indemnitee as from the date of appointment of the Indemnitee as a Director or Officer from and against all matters of whatsoever nature and howsoever arising by reason of or in connection with the Indemnitee’s provision of services under clause 1 above (“</w:t>
      </w:r>
      <w:r>
        <w:rPr>
          <w:rFonts w:ascii="Arial" w:cs="Arial" w:eastAsia="Arial" w:hAnsi="Arial"/>
          <w:sz w:val="17"/>
          <w:szCs w:val="17"/>
          <w:b w:val="1"/>
          <w:bCs w:val="1"/>
          <w:color w:val="auto"/>
        </w:rPr>
        <w:t>Claims</w:t>
      </w:r>
      <w:r>
        <w:rPr>
          <w:rFonts w:ascii="Arial" w:cs="Arial" w:eastAsia="Arial" w:hAnsi="Arial"/>
          <w:sz w:val="17"/>
          <w:szCs w:val="17"/>
          <w:color w:val="auto"/>
        </w:rPr>
        <w:t>”). In addition to and not in limitation of the indemnification otherwise provided for herein, and subject only to the exclusions set forth in clause 7 hereof, the Company hereby further agrees to hold harmless and indemnify Indemnitee against any and all expenses (including attorneys’ fees), witness fees, damages, judgments, fines and amounts paid in settlement and any other amounts that Indemnitee becomes legally obligated to pay in connection with any threatened, pending or completed action, suit or proceeding, whether civil, criminal, arbitrational, administrative or investigative (including, without limitation, an action by or in the right of the Company, and also including, without limitation, a claim, demand, discovery request, formal or informal investigation, inquiry, administrative hearing, and any form of alternative</w:t>
      </w:r>
    </w:p>
    <w:p>
      <w:pPr>
        <w:sectPr>
          <w:pgSz w:w="11900" w:h="16838" w:orient="portrait"/>
          <w:cols w:equalWidth="0" w:num="1">
            <w:col w:w="11420"/>
          </w:cols>
          <w:pgMar w:left="240" w:top="121" w:right="239" w:bottom="1440" w:gutter="0" w:footer="0" w:header="0"/>
        </w:sectPr>
      </w:pPr>
    </w:p>
    <w:bookmarkStart w:id="459" w:name="page460"/>
    <w:bookmarkEnd w:id="459"/>
    <w:p>
      <w:pPr>
        <w:ind w:left="45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resolution), including an appeal from any of the foregoing (with each of the foregoing, and any appeal therefrom, being referred to as a</w:t>
      </w:r>
    </w:p>
    <w:p>
      <w:pPr>
        <w:spacing w:after="0" w:line="35" w:lineRule="exact"/>
        <w:rPr>
          <w:sz w:val="20"/>
          <w:szCs w:val="20"/>
          <w:color w:val="auto"/>
        </w:rPr>
      </w:pPr>
    </w:p>
    <w:p>
      <w:pPr>
        <w:ind w:left="452"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to which Indemnitee is, was or at any time becomes a party, or is threatened to be made a party, by reason of the fact that Indemnitee is, was or at any time becomes a director, officer, auditor, secretary, employee or agent of the Company, or is or was serving or at any time serves at the Company’s request as a director, officer, employee or other agent of another company, partnership, joint venture, trust, employee benefit plan or other enterprise.</w:t>
      </w:r>
    </w:p>
    <w:p>
      <w:pPr>
        <w:spacing w:after="0" w:line="95" w:lineRule="exact"/>
        <w:rPr>
          <w:sz w:val="20"/>
          <w:szCs w:val="20"/>
          <w:color w:val="auto"/>
        </w:rPr>
      </w:pPr>
    </w:p>
    <w:p>
      <w:pPr>
        <w:ind w:left="452" w:hanging="452"/>
        <w:spacing w:after="0" w:line="273" w:lineRule="auto"/>
        <w:tabs>
          <w:tab w:leader="none" w:pos="452"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Partial Indemnification</w:t>
      </w:r>
      <w:r>
        <w:rPr>
          <w:rFonts w:ascii="Arial" w:cs="Arial" w:eastAsia="Arial" w:hAnsi="Arial"/>
          <w:sz w:val="17"/>
          <w:szCs w:val="17"/>
          <w:color w:val="auto"/>
        </w:rPr>
        <w:t>. Notwithstanding any other provision of this Deed, to the extent that Indemnitee is a party to and is successful, on the merits or otherwise, in any Proceeding, Indemnitee shall be indemnified to the maximum extent permitted by law against all expenses, liabilities, and other amounts described in clause 2 (collectively, the “</w:t>
      </w:r>
      <w:r>
        <w:rPr>
          <w:rFonts w:ascii="Arial" w:cs="Arial" w:eastAsia="Arial" w:hAnsi="Arial"/>
          <w:sz w:val="17"/>
          <w:szCs w:val="17"/>
          <w:b w:val="1"/>
          <w:bCs w:val="1"/>
          <w:color w:val="auto"/>
        </w:rPr>
        <w:t>Expenses</w:t>
      </w:r>
      <w:r>
        <w:rPr>
          <w:rFonts w:ascii="Arial" w:cs="Arial" w:eastAsia="Arial" w:hAnsi="Arial"/>
          <w:sz w:val="17"/>
          <w:szCs w:val="17"/>
          <w:color w:val="auto"/>
        </w:rPr>
        <w:t>”) actually and reasonably incurred by Indemnitee or on Indemnitee’s behalf in connection therewith. To the extent that Indemnitee is not wholly successful but is successful, on the merits or otherwise, as to one or more but less than all claims, issues or matters in any Proceeding, then the Company shall indemnify Indemnitee against all Expenses actually and reasonably incurred by Indemnitee or on Indemnitee’s behalf in connection with each successfully resolved claim, issue or matter.</w:t>
      </w:r>
    </w:p>
    <w:p>
      <w:pPr>
        <w:spacing w:after="0" w:line="83" w:lineRule="exact"/>
        <w:rPr>
          <w:rFonts w:ascii="Arial" w:cs="Arial" w:eastAsia="Arial" w:hAnsi="Arial"/>
          <w:sz w:val="17"/>
          <w:szCs w:val="17"/>
          <w:color w:val="auto"/>
        </w:rPr>
      </w:pPr>
    </w:p>
    <w:p>
      <w:pPr>
        <w:ind w:left="452" w:right="80" w:hanging="452"/>
        <w:spacing w:after="0" w:line="259" w:lineRule="auto"/>
        <w:tabs>
          <w:tab w:leader="none" w:pos="452"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of Witness</w:t>
      </w:r>
      <w:r>
        <w:rPr>
          <w:rFonts w:ascii="Arial" w:cs="Arial" w:eastAsia="Arial" w:hAnsi="Arial"/>
          <w:sz w:val="18"/>
          <w:szCs w:val="18"/>
          <w:color w:val="auto"/>
        </w:rPr>
        <w:t>. Notwithstanding any other provision of this Deed, to the extent that Indemnitee is, by reason of Indemnitee’s status as a director, officer, agent or employee of the Company, a witness, or is made to asked to respond to discovery requests, in any Proceeding to which Indemnitee is not a party, Indemnitee shall be indemnified against all Expenses actually and reasonably incurred by Indemnitee or on Indemnitee’s half in connection therewith.</w:t>
      </w:r>
    </w:p>
    <w:p>
      <w:pPr>
        <w:spacing w:after="0" w:line="92" w:lineRule="exact"/>
        <w:rPr>
          <w:rFonts w:ascii="Arial" w:cs="Arial" w:eastAsia="Arial" w:hAnsi="Arial"/>
          <w:sz w:val="18"/>
          <w:szCs w:val="18"/>
          <w:color w:val="auto"/>
        </w:rPr>
      </w:pPr>
    </w:p>
    <w:p>
      <w:pPr>
        <w:ind w:left="452" w:right="20" w:hanging="452"/>
        <w:spacing w:after="0" w:line="254" w:lineRule="auto"/>
        <w:tabs>
          <w:tab w:leader="none" w:pos="452"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Notwithstanding any other provision of this Deed, the Company shall advance all Expenses incurred by or on behalf of Indemnitee in connection with any Proceeding by reason of Indemnitee’s status as a director, officer, agent or employee of the Company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 to repay pursuant to this clause 5 shall be unsecured and interest-free.</w:t>
      </w:r>
    </w:p>
    <w:p>
      <w:pPr>
        <w:spacing w:after="0" w:line="97" w:lineRule="exact"/>
        <w:rPr>
          <w:rFonts w:ascii="Arial" w:cs="Arial" w:eastAsia="Arial" w:hAnsi="Arial"/>
          <w:sz w:val="18"/>
          <w:szCs w:val="18"/>
          <w:color w:val="auto"/>
        </w:rPr>
      </w:pPr>
    </w:p>
    <w:p>
      <w:pPr>
        <w:ind w:left="452" w:right="140" w:hanging="452"/>
        <w:spacing w:after="0" w:line="286" w:lineRule="auto"/>
        <w:tabs>
          <w:tab w:leader="none" w:pos="452"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Survival of Rights</w:t>
      </w:r>
      <w:r>
        <w:rPr>
          <w:rFonts w:ascii="Arial" w:cs="Arial" w:eastAsia="Arial" w:hAnsi="Arial"/>
          <w:sz w:val="17"/>
          <w:szCs w:val="17"/>
          <w:color w:val="auto"/>
        </w:rPr>
        <w:t>. All the rights and privileges afforded by this Deed, including the right to indemnification and the advancement of legal fees and expenses provided under this Deed, to the extent permissible by law, shall continue as to Indemnitee for any action taken or not taken while serving in an indemnified capacity even though Indemnitee may have ceased to serve in such capacity at the time of any Proceeding.</w:t>
      </w:r>
    </w:p>
    <w:p>
      <w:pPr>
        <w:spacing w:after="0" w:line="70" w:lineRule="exact"/>
        <w:rPr>
          <w:rFonts w:ascii="Arial" w:cs="Arial" w:eastAsia="Arial" w:hAnsi="Arial"/>
          <w:sz w:val="17"/>
          <w:szCs w:val="17"/>
          <w:color w:val="auto"/>
        </w:rPr>
      </w:pPr>
    </w:p>
    <w:p>
      <w:pPr>
        <w:ind w:left="452" w:right="300" w:hanging="452"/>
        <w:spacing w:after="0" w:line="277" w:lineRule="auto"/>
        <w:tabs>
          <w:tab w:leader="none" w:pos="452"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Request for Indemnification</w:t>
      </w:r>
      <w:r>
        <w:rPr>
          <w:rFonts w:ascii="Arial" w:cs="Arial" w:eastAsia="Arial" w:hAnsi="Arial"/>
          <w:sz w:val="18"/>
          <w:szCs w:val="18"/>
          <w:color w:val="auto"/>
        </w:rPr>
        <w:t>. Whenever Indemnitee believes that the Indemnitee is entitled to indemnification pursuant to this Deed, the Indemnitee shall submit a written request for</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460" w:name="page461"/>
    <w:bookmarkEnd w:id="460"/>
    <w:p>
      <w:pPr>
        <w:ind w:left="452"/>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to the Company. Any request for indemnification shall include sufficient documentation or information reasonably available to Indemnitee for the determination of entitlement to indemnification. In any event, Indemnitee shall submit Indemnitee’s claim for indemnification within a reasonable time, not to exceed one year after becoming aware of the circumstances giving rise to the Indemnity’s entitlement to indemnification.</w:t>
      </w:r>
    </w:p>
    <w:p>
      <w:pPr>
        <w:spacing w:after="0" w:line="52" w:lineRule="exact"/>
        <w:rPr>
          <w:sz w:val="20"/>
          <w:szCs w:val="20"/>
          <w:color w:val="auto"/>
        </w:rPr>
      </w:pPr>
    </w:p>
    <w:p>
      <w:pPr>
        <w:ind w:left="452" w:right="380" w:hanging="452"/>
        <w:spacing w:after="0" w:line="277" w:lineRule="auto"/>
        <w:tabs>
          <w:tab w:leader="none" w:pos="45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Exceptions to Indemnification</w:t>
      </w:r>
      <w:r>
        <w:rPr>
          <w:rFonts w:ascii="Arial" w:cs="Arial" w:eastAsia="Arial" w:hAnsi="Arial"/>
          <w:sz w:val="18"/>
          <w:szCs w:val="18"/>
          <w:color w:val="auto"/>
        </w:rPr>
        <w:t>. Notwithstanding anything in this Deed to the contrary, the Company will not provide indemnity with respect to any Claim:</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settled without the Company’s consent, which consent, however, shall not be unreasonably withheld;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in respect of any liability that cannot be indemnified by reason of section 172 of the Act or other applicable law;</w:t>
      </w:r>
    </w:p>
    <w:p>
      <w:pPr>
        <w:spacing w:after="0" w:line="130" w:lineRule="exact"/>
        <w:rPr>
          <w:rFonts w:ascii="Arial" w:cs="Arial" w:eastAsia="Arial" w:hAnsi="Arial"/>
          <w:sz w:val="18"/>
          <w:szCs w:val="18"/>
          <w:color w:val="auto"/>
        </w:rPr>
      </w:pPr>
    </w:p>
    <w:p>
      <w:pPr>
        <w:ind w:left="892" w:right="20" w:hanging="446"/>
        <w:spacing w:after="0" w:line="342" w:lineRule="auto"/>
        <w:tabs>
          <w:tab w:leader="none" w:pos="892" w:val="left"/>
        </w:tabs>
        <w:numPr>
          <w:ilvl w:val="1"/>
          <w:numId w:val="362"/>
        </w:numPr>
        <w:rPr>
          <w:rFonts w:ascii="Arial" w:cs="Arial" w:eastAsia="Arial" w:hAnsi="Arial"/>
          <w:sz w:val="16"/>
          <w:szCs w:val="16"/>
          <w:color w:val="auto"/>
        </w:rPr>
      </w:pPr>
      <w:r>
        <w:rPr>
          <w:rFonts w:ascii="Arial" w:cs="Arial" w:eastAsia="Arial" w:hAnsi="Arial"/>
          <w:sz w:val="16"/>
          <w:szCs w:val="16"/>
          <w:color w:val="auto"/>
        </w:rPr>
        <w:t>in connection with any claims, threats, or suits commenced by Indemnitee (other than any claims, threats, or suits commenced by Indemnitee to enforce Indemnitee’s rights under this Deed) unless the commencement of such claims, threats, or suits was authorized by the Board of Directors;</w:t>
      </w:r>
    </w:p>
    <w:p>
      <w:pPr>
        <w:spacing w:after="0" w:line="29" w:lineRule="exact"/>
        <w:rPr>
          <w:rFonts w:ascii="Arial" w:cs="Arial" w:eastAsia="Arial" w:hAnsi="Arial"/>
          <w:sz w:val="16"/>
          <w:szCs w:val="16"/>
          <w:color w:val="auto"/>
        </w:rPr>
      </w:pPr>
    </w:p>
    <w:p>
      <w:pPr>
        <w:ind w:left="892" w:right="280" w:hanging="446"/>
        <w:spacing w:after="0" w:line="264" w:lineRule="auto"/>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on account of any determination or judgment against Indemnitee solely for an accounting of profits made from the purchase or sale by Indemnitee of securities of the Company pursuant to the provisions of Section 16(b) of the United States Securities Exchange Act of 1934 and amendments thereto or similar provisions of any United States federal, state or local statutory law;</w:t>
      </w:r>
    </w:p>
    <w:p>
      <w:pPr>
        <w:spacing w:after="0" w:line="86" w:lineRule="exact"/>
        <w:rPr>
          <w:rFonts w:ascii="Arial" w:cs="Arial" w:eastAsia="Arial" w:hAnsi="Arial"/>
          <w:sz w:val="18"/>
          <w:szCs w:val="18"/>
          <w:color w:val="auto"/>
        </w:rPr>
      </w:pPr>
    </w:p>
    <w:p>
      <w:pPr>
        <w:ind w:left="892" w:right="20" w:hanging="446"/>
        <w:spacing w:after="0" w:line="277" w:lineRule="auto"/>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on account of Indemnitee’s conduct to the extent that it is established by a final, non-appealable judgment as knowingly fraudulent or deliberately dishonest or that constituted willful misconduct; or</w:t>
      </w:r>
    </w:p>
    <w:p>
      <w:pPr>
        <w:spacing w:after="0" w:line="75" w:lineRule="exact"/>
        <w:rPr>
          <w:rFonts w:ascii="Arial" w:cs="Arial" w:eastAsia="Arial" w:hAnsi="Arial"/>
          <w:sz w:val="18"/>
          <w:szCs w:val="18"/>
          <w:color w:val="auto"/>
        </w:rPr>
      </w:pPr>
    </w:p>
    <w:p>
      <w:pPr>
        <w:ind w:left="892" w:right="580" w:hanging="446"/>
        <w:spacing w:after="0" w:line="342" w:lineRule="auto"/>
        <w:tabs>
          <w:tab w:leader="none" w:pos="892" w:val="left"/>
        </w:tabs>
        <w:numPr>
          <w:ilvl w:val="1"/>
          <w:numId w:val="362"/>
        </w:numPr>
        <w:rPr>
          <w:rFonts w:ascii="Arial" w:cs="Arial" w:eastAsia="Arial" w:hAnsi="Arial"/>
          <w:sz w:val="16"/>
          <w:szCs w:val="16"/>
          <w:color w:val="auto"/>
        </w:rPr>
      </w:pPr>
      <w:r>
        <w:rPr>
          <w:rFonts w:ascii="Arial" w:cs="Arial" w:eastAsia="Arial" w:hAnsi="Arial"/>
          <w:sz w:val="16"/>
          <w:szCs w:val="16"/>
          <w:color w:val="auto"/>
        </w:rPr>
        <w:t>on account of Indemnitee’s conduct to the extent that it is established by a final, non-appealable judgment as constituting a breach of Indemnitee’s duty of loyalty to the Company or resulting in any personal profit or advantage to which Indemnitee was not legally entitled.</w:t>
      </w:r>
    </w:p>
    <w:p>
      <w:pPr>
        <w:spacing w:after="0" w:line="29" w:lineRule="exact"/>
        <w:rPr>
          <w:rFonts w:ascii="Arial" w:cs="Arial" w:eastAsia="Arial" w:hAnsi="Arial"/>
          <w:sz w:val="16"/>
          <w:szCs w:val="16"/>
          <w:color w:val="auto"/>
        </w:rPr>
      </w:pPr>
    </w:p>
    <w:p>
      <w:pPr>
        <w:ind w:left="452" w:right="60" w:hanging="452"/>
        <w:spacing w:after="0" w:line="264" w:lineRule="auto"/>
        <w:tabs>
          <w:tab w:leader="none" w:pos="45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Deed, the Company shall be subrogated to the extent of such payment to all of the rights of recovery of the Indemnitee, who shall execute all papers required and shall do everything that may be necessary to secure such rights, including the execution of such documents necessary to enable the Company effectively to bring suit to enforce such rights.</w:t>
      </w:r>
    </w:p>
    <w:p>
      <w:pPr>
        <w:spacing w:after="0" w:line="86" w:lineRule="exact"/>
        <w:rPr>
          <w:rFonts w:ascii="Arial" w:cs="Arial" w:eastAsia="Arial" w:hAnsi="Arial"/>
          <w:sz w:val="18"/>
          <w:szCs w:val="18"/>
          <w:color w:val="auto"/>
        </w:rPr>
      </w:pPr>
    </w:p>
    <w:p>
      <w:pPr>
        <w:jc w:val="both"/>
        <w:ind w:left="452" w:right="100" w:hanging="452"/>
        <w:spacing w:after="0" w:line="264" w:lineRule="auto"/>
        <w:tabs>
          <w:tab w:leader="none" w:pos="45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Directors and Officers Liability Insurance</w:t>
      </w:r>
      <w:r>
        <w:rPr>
          <w:rFonts w:ascii="Arial" w:cs="Arial" w:eastAsia="Arial" w:hAnsi="Arial"/>
          <w:sz w:val="18"/>
          <w:szCs w:val="18"/>
          <w:color w:val="auto"/>
        </w:rPr>
        <w:t>. The Company agrees that so long as Indemnitee serves as a director and/or officer of the Company, and for so long thereafter as Indemnitee shall be subject to any possible Claim, by reason of the fact that the Indemnitee was serving in the capacity referred to herein (the “</w:t>
      </w:r>
      <w:r>
        <w:rPr>
          <w:rFonts w:ascii="Arial" w:cs="Arial" w:eastAsia="Arial" w:hAnsi="Arial"/>
          <w:sz w:val="18"/>
          <w:szCs w:val="18"/>
          <w:b w:val="1"/>
          <w:bCs w:val="1"/>
          <w:color w:val="auto"/>
        </w:rPr>
        <w:t>Indemnification Period</w:t>
      </w:r>
      <w:r>
        <w:rPr>
          <w:rFonts w:ascii="Arial" w:cs="Arial" w:eastAsia="Arial" w:hAnsi="Arial"/>
          <w:sz w:val="18"/>
          <w:szCs w:val="18"/>
          <w:color w:val="auto"/>
        </w:rPr>
        <w:t>”), the Company will maintain directors’ and officers’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461" w:name="page462"/>
    <w:bookmarkEnd w:id="461"/>
    <w:p>
      <w:pPr>
        <w:ind w:left="452"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for the benefit of the Indemnitee with established and reputable insurers, at coverage levels customary for companies comparable in size and business to the Company, and providing the same rights and benefits as are accorded the Company’s and its subsidiaries’ then-current directors and officers. Upon receipt of notice of any Proceeding, the Company shall give or cause to be given prompt notice of such proceeding to all insurers providing liability insurance in accordance with the procedures set forth in all applicable or potentially applicable policies. The Company shall thereafter take all necessary action to cause such insurers to pay all amounts payable in accordance with the terms of such policies.</w:t>
      </w:r>
    </w:p>
    <w:p>
      <w:pPr>
        <w:spacing w:after="0" w:line="64" w:lineRule="exact"/>
        <w:rPr>
          <w:sz w:val="20"/>
          <w:szCs w:val="20"/>
          <w:color w:val="auto"/>
        </w:rPr>
      </w:pPr>
    </w:p>
    <w:p>
      <w:pPr>
        <w:ind w:left="452" w:right="40" w:hanging="452"/>
        <w:spacing w:after="0" w:line="255" w:lineRule="auto"/>
        <w:tabs>
          <w:tab w:leader="none" w:pos="452"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The Indemnitee shall promptly notify the Company in writing upon being served with any document relating to a potential Claim that may result in the right to indemnification, but the omission so to notify the Company will not relieve it from any liability that it may have to Indemnitee if such omission does not prejudice the Company’s rights. If such omission does prejudice the Company’s rights, the Company will be relieved from liability only to the extent of such prejudice. Notwithstanding the foregoing, such omission will not relieve the Company from any liability that it may have to Indemnitee otherwise than under this Deed. With respect to any Claim as to which Indemnitee notifies the Company of the commencement thereof:</w:t>
      </w:r>
    </w:p>
    <w:p>
      <w:pPr>
        <w:spacing w:after="0" w:line="98" w:lineRule="exact"/>
        <w:rPr>
          <w:rFonts w:ascii="Arial" w:cs="Arial" w:eastAsia="Arial" w:hAnsi="Arial"/>
          <w:sz w:val="18"/>
          <w:szCs w:val="18"/>
          <w:color w:val="auto"/>
        </w:rPr>
      </w:pPr>
    </w:p>
    <w:p>
      <w:pPr>
        <w:ind w:left="892" w:hanging="446"/>
        <w:spacing w:after="0"/>
        <w:tabs>
          <w:tab w:leader="none" w:pos="89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Company will be entitled to participate therein at its own expense;</w:t>
      </w:r>
    </w:p>
    <w:p>
      <w:pPr>
        <w:spacing w:after="0" w:line="130" w:lineRule="exact"/>
        <w:rPr>
          <w:rFonts w:ascii="Arial" w:cs="Arial" w:eastAsia="Arial" w:hAnsi="Arial"/>
          <w:sz w:val="18"/>
          <w:szCs w:val="18"/>
          <w:color w:val="auto"/>
        </w:rPr>
      </w:pPr>
    </w:p>
    <w:p>
      <w:pPr>
        <w:ind w:left="892" w:hanging="446"/>
        <w:spacing w:after="0" w:line="288" w:lineRule="auto"/>
        <w:tabs>
          <w:tab w:leader="none" w:pos="892"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Company jointly with any other indemnifying party similarly notified will be entitled to assume the defence thereof. After notice from the Company to Indemnitee of its election to assume the defence thereof, the Company will not be liable to Indemnitee under this Deed for any expenses subsequently incurred by Indemnitee in connection with the defence thereof, other than reasonable costs of investigation or otherwise as provided below. Indemnitee shall have the right to employ separate counsel in such action, suit or proceeding, but the fees and expenses of such counsel incurred after notice from the Company of its assumption of the defence thereof shall be at the expense of Indemnitee unless (i) the Company authorizes Indemnitee’s employment of separate counsel, (ii) Indemnitee reasonably concludes, and so notifies the Company, that there is an actual conflict of interest between the Company and Indemnitee in the conduct of the defence of such action, or (iii) the Company shall not in fact have employed counsel to assume the defence of such action, in each of which cases the fees and expenses of Indemnitee’s separate counsel shall be at the Company’s expense. The Company shall not be entitled to assume the defence of any action, suit or proceeding brought by or on behalf of the Company or as to which Indemnitee shall have made the conclusion provided for in clause (ii) above;</w:t>
      </w:r>
    </w:p>
    <w:p>
      <w:pPr>
        <w:spacing w:after="0" w:line="74" w:lineRule="exact"/>
        <w:rPr>
          <w:rFonts w:ascii="Arial" w:cs="Arial" w:eastAsia="Arial" w:hAnsi="Arial"/>
          <w:sz w:val="16"/>
          <w:szCs w:val="16"/>
          <w:color w:val="auto"/>
        </w:rPr>
      </w:pPr>
    </w:p>
    <w:p>
      <w:pPr>
        <w:ind w:left="892" w:right="180" w:hanging="446"/>
        <w:spacing w:after="0" w:line="308" w:lineRule="auto"/>
        <w:tabs>
          <w:tab w:leader="none" w:pos="892"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the Company shall not settle any Claim in any manner that would impose any penalty or limitation on Indemnitee without Indemnitee’s written consent provided that Indemnitee will not unreasonably withhold his or her consent to any proposed settlement; and</w:t>
      </w:r>
    </w:p>
    <w:p>
      <w:pPr>
        <w:spacing w:after="0" w:line="51" w:lineRule="exact"/>
        <w:rPr>
          <w:rFonts w:ascii="Arial" w:cs="Arial" w:eastAsia="Arial" w:hAnsi="Arial"/>
          <w:sz w:val="17"/>
          <w:szCs w:val="17"/>
          <w:color w:val="auto"/>
        </w:rPr>
      </w:pPr>
    </w:p>
    <w:p>
      <w:pPr>
        <w:ind w:left="892" w:right="20" w:hanging="446"/>
        <w:spacing w:after="0" w:line="277" w:lineRule="auto"/>
        <w:tabs>
          <w:tab w:leader="none" w:pos="89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Company shall advance the legal fees and expenses Indemnitee incurs in connection with such proceeding in accordance with clause 5 above; and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462" w:name="page463"/>
    <w:bookmarkEnd w:id="462"/>
    <w:p>
      <w:pPr>
        <w:ind w:left="892" w:right="20" w:hanging="446"/>
        <w:spacing w:after="0" w:line="277" w:lineRule="auto"/>
        <w:tabs>
          <w:tab w:leader="none" w:pos="892" w:val="left"/>
        </w:tabs>
        <w:numPr>
          <w:ilvl w:val="1"/>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in this clause 11 shall entitle Indemnitee to any indemnification, reimbursement or payment other than in accordance with section 172 of the Act and applicable law.</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hereunder shall be in writing and shall be deemed to have been duly given if</w:t>
      </w:r>
    </w:p>
    <w:p>
      <w:pPr>
        <w:spacing w:after="0" w:line="34" w:lineRule="exact"/>
        <w:rPr>
          <w:rFonts w:ascii="Arial" w:cs="Arial" w:eastAsia="Arial" w:hAnsi="Arial"/>
          <w:sz w:val="17"/>
          <w:szCs w:val="17"/>
          <w:color w:val="auto"/>
        </w:rPr>
      </w:pPr>
    </w:p>
    <w:p>
      <w:pPr>
        <w:ind w:left="452" w:right="60" w:hanging="6"/>
        <w:spacing w:after="0" w:line="261" w:lineRule="auto"/>
        <w:tabs>
          <w:tab w:leader="none" w:pos="667" w:val="left"/>
        </w:tabs>
        <w:numPr>
          <w:ilvl w:val="1"/>
          <w:numId w:val="365"/>
        </w:numPr>
        <w:rPr>
          <w:rFonts w:ascii="Arial" w:cs="Arial" w:eastAsia="Arial" w:hAnsi="Arial"/>
          <w:sz w:val="18"/>
          <w:szCs w:val="18"/>
          <w:color w:val="auto"/>
        </w:rPr>
      </w:pPr>
      <w:r>
        <w:rPr>
          <w:rFonts w:ascii="Arial" w:cs="Arial" w:eastAsia="Arial" w:hAnsi="Arial"/>
          <w:sz w:val="18"/>
          <w:szCs w:val="18"/>
          <w:color w:val="auto"/>
        </w:rPr>
        <w:t>delivered by hand and receipted for by the party to whom said notice or other communication shall have been directed, or (ii) mailed by certified or registered mail with postage prepaid, on the third business day after the date on which it is so mailed:</w:t>
      </w:r>
    </w:p>
    <w:p>
      <w:pPr>
        <w:spacing w:after="0" w:line="89" w:lineRule="exact"/>
        <w:rPr>
          <w:sz w:val="20"/>
          <w:szCs w:val="20"/>
          <w:color w:val="auto"/>
        </w:rPr>
      </w:pPr>
    </w:p>
    <w:p>
      <w:pPr>
        <w:ind w:left="892" w:hanging="446"/>
        <w:spacing w:after="0"/>
        <w:tabs>
          <w:tab w:leader="none" w:pos="89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If to Indemnitee, 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892" w:hanging="446"/>
        <w:spacing w:after="0"/>
        <w:tabs>
          <w:tab w:leader="none" w:pos="89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-893445</wp:posOffset>
            </wp:positionV>
            <wp:extent cx="151765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-670560</wp:posOffset>
            </wp:positionV>
            <wp:extent cx="151765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-455930</wp:posOffset>
            </wp:positionV>
            <wp:extent cx="151765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-233045</wp:posOffset>
            </wp:positionV>
            <wp:extent cx="151765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Wave Life Sciences Pte. Ltd.</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419 Western Avenue</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Boston, MA 02135</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USA</w:t>
      </w:r>
    </w:p>
    <w:p>
      <w:pPr>
        <w:spacing w:after="0" w:line="103" w:lineRule="exact"/>
        <w:rPr>
          <w:sz w:val="20"/>
          <w:szCs w:val="20"/>
          <w:color w:val="auto"/>
        </w:rPr>
      </w:pPr>
    </w:p>
    <w:p>
      <w:pPr>
        <w:ind w:left="452"/>
        <w:spacing w:after="0"/>
        <w:rPr>
          <w:sz w:val="20"/>
          <w:szCs w:val="20"/>
          <w:color w:val="auto"/>
        </w:rPr>
      </w:pPr>
      <w:r>
        <w:rPr>
          <w:rFonts w:ascii="Arial" w:cs="Arial" w:eastAsia="Arial" w:hAnsi="Arial"/>
          <w:sz w:val="17"/>
          <w:szCs w:val="17"/>
          <w:color w:val="auto"/>
        </w:rPr>
        <w:t>or to such other address as may have been furnished to Indemnitee by the Company or to the Company by Indemnitee, as the case may be.</w:t>
      </w:r>
    </w:p>
    <w:p>
      <w:pPr>
        <w:spacing w:after="0" w:line="142" w:lineRule="exact"/>
        <w:rPr>
          <w:sz w:val="20"/>
          <w:szCs w:val="20"/>
          <w:color w:val="auto"/>
        </w:rPr>
      </w:pPr>
    </w:p>
    <w:p>
      <w:pPr>
        <w:ind w:left="452" w:right="340" w:hanging="452"/>
        <w:spacing w:after="0" w:line="277" w:lineRule="auto"/>
        <w:tabs>
          <w:tab w:leader="none" w:pos="452"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Effective Period</w:t>
      </w:r>
      <w:r>
        <w:rPr>
          <w:rFonts w:ascii="Arial" w:cs="Arial" w:eastAsia="Arial" w:hAnsi="Arial"/>
          <w:sz w:val="18"/>
          <w:szCs w:val="18"/>
          <w:color w:val="auto"/>
        </w:rPr>
        <w:t>. This Deed shall be deemed to be effective as of the commencement date of the Indemnitee’s service as a director or officer of the Company and shall continue in effect during the Indemnification Period.</w:t>
      </w:r>
    </w:p>
    <w:p>
      <w:pPr>
        <w:spacing w:after="0" w:line="75"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terms of this Deed may be changed, waived, discharged or terminated only by an instrument in writing signed by all parties.</w:t>
      </w:r>
    </w:p>
    <w:p>
      <w:pPr>
        <w:spacing w:after="0" w:line="75" w:lineRule="exact"/>
        <w:rPr>
          <w:rFonts w:ascii="Arial" w:cs="Arial" w:eastAsia="Arial" w:hAnsi="Arial"/>
          <w:sz w:val="18"/>
          <w:szCs w:val="18"/>
          <w:color w:val="auto"/>
        </w:rPr>
      </w:pPr>
    </w:p>
    <w:p>
      <w:pPr>
        <w:ind w:left="452" w:right="160" w:hanging="452"/>
        <w:spacing w:after="0" w:line="276" w:lineRule="auto"/>
        <w:tabs>
          <w:tab w:leader="none" w:pos="452"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Non-Waiver</w:t>
      </w:r>
      <w:r>
        <w:rPr>
          <w:rFonts w:ascii="Arial" w:cs="Arial" w:eastAsia="Arial" w:hAnsi="Arial"/>
          <w:sz w:val="17"/>
          <w:szCs w:val="17"/>
          <w:color w:val="auto"/>
        </w:rPr>
        <w:t>. The failure of any party to insist in any one or more cases upon the strict performance of any provisions hereof shall not be a waiver or relinquishment for the future of such provisions, and receipt by any part of any payment or benefit with knowledge of any default or breach by any other party shall not be a waiver of such default or breach. No delay by any party in exercising any of its or the Indemnitee’s powers or remedies hereunder or a partial or single exercise thereof shall constitute a waiver thereof or a waiver of any power or remedy. The failure by any party to give notice to any other party of any breach hereof shall not constitute a waiver of the said breach.</w:t>
      </w:r>
    </w:p>
    <w:p>
      <w:pPr>
        <w:spacing w:after="0" w:line="77" w:lineRule="exact"/>
        <w:rPr>
          <w:rFonts w:ascii="Arial" w:cs="Arial" w:eastAsia="Arial" w:hAnsi="Arial"/>
          <w:sz w:val="17"/>
          <w:szCs w:val="17"/>
          <w:color w:val="auto"/>
        </w:rPr>
      </w:pPr>
    </w:p>
    <w:p>
      <w:pPr>
        <w:ind w:left="452" w:hanging="452"/>
        <w:spacing w:after="0" w:line="264" w:lineRule="auto"/>
        <w:tabs>
          <w:tab w:leader="none" w:pos="452"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Deed shall be severable, and if any provision or part thereof of this Deed shall be, or be found by any court of competent jurisdiction to be, invalid or unenforceable, the invalidity or unenforceability of such provision shall not affect any other provision hereof or the enforceability or validity of that or any other provision in any other jurisdiction.</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32"/>
          </w:cols>
          <w:pgMar w:left="248" w:top="273" w:right="319" w:bottom="1440" w:gutter="0" w:footer="0" w:header="0"/>
        </w:sectPr>
      </w:pPr>
    </w:p>
    <w:bookmarkStart w:id="463" w:name="page464"/>
    <w:bookmarkEnd w:id="463"/>
    <w:p>
      <w:pPr>
        <w:ind w:left="452" w:right="300" w:hanging="452"/>
        <w:spacing w:after="0" w:line="277" w:lineRule="auto"/>
        <w:tabs>
          <w:tab w:leader="none" w:pos="452"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Presumptions and Burden of Proof</w:t>
      </w:r>
      <w:r>
        <w:rPr>
          <w:rFonts w:ascii="Arial" w:cs="Arial" w:eastAsia="Arial" w:hAnsi="Arial"/>
          <w:sz w:val="18"/>
          <w:szCs w:val="18"/>
          <w:color w:val="auto"/>
        </w:rPr>
        <w:t>. The following procedures and presumptions shall apply in the event of any question as to whether Indemnitee is entitled to indemnification under this Deed:</w:t>
      </w:r>
    </w:p>
    <w:p>
      <w:pPr>
        <w:spacing w:after="0" w:line="75" w:lineRule="exact"/>
        <w:rPr>
          <w:rFonts w:ascii="Arial" w:cs="Arial" w:eastAsia="Arial" w:hAnsi="Arial"/>
          <w:sz w:val="18"/>
          <w:szCs w:val="18"/>
          <w:color w:val="auto"/>
        </w:rPr>
      </w:pPr>
    </w:p>
    <w:p>
      <w:pPr>
        <w:ind w:left="892" w:right="40" w:hanging="446"/>
        <w:spacing w:after="0" w:line="264" w:lineRule="auto"/>
        <w:tabs>
          <w:tab w:leader="none" w:pos="89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or persons or entity making such determination shall presume that Indemnitee is entitled to indemnification under this Deed. Anyone seeking to overcome this presumption shall have the burden of proof and the burden of persuasion by clear and convincing evidence.</w:t>
      </w:r>
    </w:p>
    <w:p>
      <w:pPr>
        <w:spacing w:after="0" w:line="86" w:lineRule="exact"/>
        <w:rPr>
          <w:rFonts w:ascii="Arial" w:cs="Arial" w:eastAsia="Arial" w:hAnsi="Arial"/>
          <w:sz w:val="18"/>
          <w:szCs w:val="18"/>
          <w:color w:val="auto"/>
        </w:rPr>
      </w:pPr>
    </w:p>
    <w:p>
      <w:pPr>
        <w:ind w:left="892" w:hanging="446"/>
        <w:spacing w:after="0" w:line="342" w:lineRule="auto"/>
        <w:tabs>
          <w:tab w:leader="none" w:pos="892" w:val="left"/>
        </w:tabs>
        <w:numPr>
          <w:ilvl w:val="1"/>
          <w:numId w:val="368"/>
        </w:numPr>
        <w:rPr>
          <w:rFonts w:ascii="Arial" w:cs="Arial" w:eastAsia="Arial" w:hAnsi="Arial"/>
          <w:sz w:val="16"/>
          <w:szCs w:val="16"/>
          <w:color w:val="auto"/>
        </w:rPr>
      </w:pPr>
      <w:r>
        <w:rPr>
          <w:rFonts w:ascii="Arial" w:cs="Arial" w:eastAsia="Arial" w:hAnsi="Arial"/>
          <w:sz w:val="16"/>
          <w:szCs w:val="16"/>
          <w:color w:val="auto"/>
        </w:rPr>
        <w:t>It shall be presumed that Indemnitee has at all times acted in good faith and in a manner he reasonably believed to be in or not opposed to the best interests of the Company. Anyone seeking to overcome this presumption shall have the burden of proof by clear and convincing evidence.</w:t>
      </w:r>
    </w:p>
    <w:p>
      <w:pPr>
        <w:spacing w:after="0" w:line="29" w:lineRule="exact"/>
        <w:rPr>
          <w:rFonts w:ascii="Arial" w:cs="Arial" w:eastAsia="Arial" w:hAnsi="Arial"/>
          <w:sz w:val="16"/>
          <w:szCs w:val="16"/>
          <w:color w:val="auto"/>
        </w:rPr>
      </w:pPr>
    </w:p>
    <w:p>
      <w:pPr>
        <w:ind w:left="892" w:right="40" w:hanging="446"/>
        <w:spacing w:after="0" w:line="279" w:lineRule="auto"/>
        <w:tabs>
          <w:tab w:leader="none" w:pos="892" w:val="left"/>
        </w:tabs>
        <w:numPr>
          <w:ilvl w:val="1"/>
          <w:numId w:val="368"/>
        </w:numPr>
        <w:rPr>
          <w:rFonts w:ascii="Arial" w:cs="Arial" w:eastAsia="Arial" w:hAnsi="Arial"/>
          <w:sz w:val="17"/>
          <w:szCs w:val="17"/>
          <w:color w:val="auto"/>
        </w:rPr>
      </w:pPr>
      <w:r>
        <w:rPr>
          <w:rFonts w:ascii="Arial" w:cs="Arial" w:eastAsia="Arial" w:hAnsi="Arial"/>
          <w:sz w:val="17"/>
          <w:szCs w:val="17"/>
          <w:color w:val="auto"/>
        </w:rPr>
        <w:t>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doing so by clear and convincing evidence.</w:t>
      </w:r>
    </w:p>
    <w:p>
      <w:pPr>
        <w:spacing w:after="0" w:line="76" w:lineRule="exact"/>
        <w:rPr>
          <w:rFonts w:ascii="Arial" w:cs="Arial" w:eastAsia="Arial" w:hAnsi="Arial"/>
          <w:sz w:val="17"/>
          <w:szCs w:val="17"/>
          <w:color w:val="auto"/>
        </w:rPr>
      </w:pPr>
    </w:p>
    <w:p>
      <w:pPr>
        <w:ind w:left="892" w:right="60" w:hanging="446"/>
        <w:spacing w:after="0" w:line="257" w:lineRule="auto"/>
        <w:tabs>
          <w:tab w:leader="none" w:pos="89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Deed) of itself adversely affect the right of Indemnitee to indemnification or create a presumption that Indemnitee did not act in good faith and in a manner which he reasonable believed to be in or not opposed to the best interests of the Company or, with respect to any criminal proceeding, that Indemnitee had reasonable cause to believe that his conduct was unlawful.</w:t>
      </w:r>
    </w:p>
    <w:p>
      <w:pPr>
        <w:spacing w:after="0" w:line="93"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The rights conferred on Indemnitee by this Deed shall not be exclusive of any other right which Indemnitee may have or hereafter acquire under any applicable law, under the Articles, Bylaws, other organizational document of the Company, under any agreement, insurance policy, or vote of stockholders, members or directors, or otherwise, both as to action in Indemnitee’s official capacity and as to action in another capacity while holding office.</w:t>
      </w:r>
    </w:p>
    <w:p>
      <w:pPr>
        <w:spacing w:after="0" w:line="88" w:lineRule="exact"/>
        <w:rPr>
          <w:rFonts w:ascii="Arial" w:cs="Arial" w:eastAsia="Arial" w:hAnsi="Arial"/>
          <w:sz w:val="18"/>
          <w:szCs w:val="18"/>
          <w:color w:val="auto"/>
        </w:rPr>
      </w:pPr>
    </w:p>
    <w:p>
      <w:pPr>
        <w:ind w:left="452" w:right="180" w:hanging="452"/>
        <w:spacing w:after="0" w:line="295" w:lineRule="auto"/>
        <w:tabs>
          <w:tab w:leader="none" w:pos="452" w:val="left"/>
        </w:tabs>
        <w:numPr>
          <w:ilvl w:val="0"/>
          <w:numId w:val="36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u w:val="single" w:color="auto"/>
          <w:color w:val="auto"/>
        </w:rPr>
        <w:t>Primacy of Indemnification</w:t>
      </w:r>
      <w:r>
        <w:rPr>
          <w:rFonts w:ascii="Arial" w:cs="Arial" w:eastAsia="Arial" w:hAnsi="Arial"/>
          <w:sz w:val="16"/>
          <w:szCs w:val="16"/>
          <w:color w:val="auto"/>
        </w:rPr>
        <w:t>. The Company hereby acknowledges that Indemnitee has certain rights to indemnification, advancement of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and/or insurance provided by </w:t>
      </w:r>
      <w:r>
        <w:rPr>
          <w:rFonts w:ascii="Arial" w:cs="Arial" w:eastAsia="Arial" w:hAnsi="Arial"/>
          <w:sz w:val="16"/>
          <w:szCs w:val="16"/>
          <w:b w:val="1"/>
          <w:bCs w:val="1"/>
          <w:color w:val="auto"/>
        </w:rPr>
        <w:t>[Names of Funds/Sponsors]</w:t>
      </w:r>
      <w:r>
        <w:rPr>
          <w:rFonts w:ascii="Arial" w:cs="Arial" w:eastAsia="Arial" w:hAnsi="Arial"/>
          <w:sz w:val="16"/>
          <w:szCs w:val="16"/>
          <w:color w:val="auto"/>
        </w:rPr>
        <w:t xml:space="preserve"> and certain of their affiliates (collectively, the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Deed and the Articles or Bylaws of the</w:t>
      </w:r>
    </w:p>
    <w:p>
      <w:pPr>
        <w:spacing w:after="0" w:line="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3" w:right="239" w:bottom="1440" w:gutter="0" w:footer="0" w:header="0"/>
        </w:sectPr>
      </w:pPr>
    </w:p>
    <w:bookmarkStart w:id="464" w:name="page465"/>
    <w:bookmarkEnd w:id="464"/>
    <w:p>
      <w:pPr>
        <w:ind w:left="452"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third-party beneficiaries of the terms of this clause </w:t>
      </w:r>
      <w:r>
        <w:rPr>
          <w:rFonts w:ascii="Arial" w:cs="Arial" w:eastAsia="Arial" w:hAnsi="Arial"/>
          <w:sz w:val="18"/>
          <w:szCs w:val="18"/>
          <w:b w:val="1"/>
          <w:bCs w:val="1"/>
          <w:color w:val="auto"/>
        </w:rPr>
        <w:t>[19]</w:t>
      </w:r>
      <w:r>
        <w:rPr>
          <w:rFonts w:ascii="Arial" w:cs="Arial" w:eastAsia="Arial" w:hAnsi="Arial"/>
          <w:sz w:val="18"/>
          <w:szCs w:val="18"/>
          <w:color w:val="auto"/>
        </w:rPr>
        <w:t>.</w:t>
      </w:r>
      <w:r>
        <w:rPr>
          <w:rFonts w:ascii="Arial" w:cs="Arial" w:eastAsia="Arial" w:hAnsi="Arial"/>
          <w:sz w:val="18"/>
          <w:szCs w:val="18"/>
          <w:b w:val="1"/>
          <w:bCs w:val="1"/>
          <w:color w:val="auto"/>
        </w:rPr>
        <w:t>] [Note: This paragraph will apply only to the directors that are appointed to the Board by the Fund</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Indemnitors.]</w:t>
      </w:r>
    </w:p>
    <w:p>
      <w:pPr>
        <w:spacing w:after="0" w:line="98" w:lineRule="exact"/>
        <w:rPr>
          <w:sz w:val="20"/>
          <w:szCs w:val="20"/>
          <w:color w:val="auto"/>
        </w:rPr>
      </w:pPr>
    </w:p>
    <w:p>
      <w:pPr>
        <w:ind w:left="452" w:right="100" w:hanging="452"/>
        <w:spacing w:after="0" w:line="257"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Regarding Expenses</w:t>
      </w:r>
      <w:r>
        <w:rPr>
          <w:rFonts w:ascii="Arial" w:cs="Arial" w:eastAsia="Arial" w:hAnsi="Arial"/>
          <w:sz w:val="18"/>
          <w:szCs w:val="18"/>
          <w:color w:val="auto"/>
        </w:rPr>
        <w:t>. Without limiting the foregoing, in the event of an action instituted by or in the name of the Company under this Deed or to enforce or interpret any of its terms, Indemnitee shall be entitled, to the extent permissible by law, to be paid all court costs and expenses, including attorneys’ fees, incurred by Indemnitee in defense of such action (including with respect to Indemnitee’s counterclaims and cross-claims made in such action), unless as a part of such action the court determines that each of Indemnitee’s material defenses to such action were made in bad faith or were frivolous.</w:t>
      </w:r>
    </w:p>
    <w:p>
      <w:pPr>
        <w:spacing w:after="0" w:line="93"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Termination of Indemnitee’s Office</w:t>
      </w:r>
      <w:r>
        <w:rPr>
          <w:rFonts w:ascii="Arial" w:cs="Arial" w:eastAsia="Arial" w:hAnsi="Arial"/>
          <w:sz w:val="18"/>
          <w:szCs w:val="18"/>
          <w:color w:val="auto"/>
        </w:rPr>
        <w:t>. Nothing in this Deed shall be construed as requiring the Company to retain the Indemnitee in the office hereinbefore described, or as in any way restricting its rights to remove the Indemnitee from office, or as requiring the Indemnitee to remain in office in the event that the Indemnitee wishes to resign from or relinquish such office.</w:t>
      </w:r>
    </w:p>
    <w:p>
      <w:pPr>
        <w:spacing w:after="0" w:line="86" w:lineRule="exact"/>
        <w:rPr>
          <w:rFonts w:ascii="Arial" w:cs="Arial" w:eastAsia="Arial" w:hAnsi="Arial"/>
          <w:sz w:val="18"/>
          <w:szCs w:val="18"/>
          <w:color w:val="auto"/>
        </w:rPr>
      </w:pPr>
    </w:p>
    <w:p>
      <w:pPr>
        <w:ind w:left="452" w:right="140" w:hanging="452"/>
        <w:spacing w:after="0" w:line="259"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Duration of Agreement</w:t>
      </w:r>
      <w:r>
        <w:rPr>
          <w:rFonts w:ascii="Arial" w:cs="Arial" w:eastAsia="Arial" w:hAnsi="Arial"/>
          <w:sz w:val="18"/>
          <w:szCs w:val="18"/>
          <w:color w:val="auto"/>
        </w:rPr>
        <w:t>. The rights conferred on the Indemnitee by this Deed shall continue after the Indemnitee has ceased to be a director, officer, employee or other agent of the Company or to serve at the request of the Company as a director, officer, employee or other agent of another company, partnership, joint venture, trust, employee benefit plan or other enterprise, and shall inure to the benefit of the Indemnitee’s successors, assigns, heirs, executors and administrators.</w:t>
      </w:r>
    </w:p>
    <w:p>
      <w:pPr>
        <w:spacing w:after="0" w:line="92" w:lineRule="exact"/>
        <w:rPr>
          <w:rFonts w:ascii="Arial" w:cs="Arial" w:eastAsia="Arial" w:hAnsi="Arial"/>
          <w:sz w:val="18"/>
          <w:szCs w:val="18"/>
          <w:color w:val="auto"/>
        </w:rPr>
      </w:pPr>
    </w:p>
    <w:p>
      <w:pPr>
        <w:ind w:left="452" w:right="180" w:hanging="452"/>
        <w:spacing w:after="0" w:line="259"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Deed shall be binding upon the Company and its successors and assigns. The Company shall require any successor (whether direct or indirect, by purchase, merger, consolidation or otherwise) to all or substantially all of the business or assets of the Company, expressly to assume and agree to perform this Deed in the same manner and to the same extent the Company would be required to perform if no such succession had taken place.</w:t>
      </w:r>
    </w:p>
    <w:p>
      <w:pPr>
        <w:spacing w:after="0" w:line="92"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Entire Agreement and Integration</w:t>
      </w:r>
      <w:r>
        <w:rPr>
          <w:rFonts w:ascii="Arial" w:cs="Arial" w:eastAsia="Arial" w:hAnsi="Arial"/>
          <w:sz w:val="18"/>
          <w:szCs w:val="18"/>
          <w:color w:val="auto"/>
        </w:rPr>
        <w:t>. This Deed shall contain the entire Deed among the parties with respect to the subject matter hereof and supersede all prior Deeds, written or oral, with respect thereto.</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465" w:name="page466"/>
    <w:bookmarkEnd w:id="465"/>
    <w:p>
      <w:pPr>
        <w:ind w:left="460" w:hanging="452"/>
        <w:spacing w:after="0" w:line="277" w:lineRule="auto"/>
        <w:tabs>
          <w:tab w:leader="none" w:pos="4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Deed may be executed in one or more counterparts, each of which shall for all purposes be deemed to be an original, but all of which together shall constitute one and the same Deed.</w:t>
      </w:r>
    </w:p>
    <w:p>
      <w:pPr>
        <w:spacing w:after="0" w:line="75"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Except as provided in clause 19, a person who is not a party to this Deed shall have no right under the Contracts (Rights of Third Parties) Act (Chapter 53B) to enforce any of its terms.</w:t>
      </w:r>
    </w:p>
    <w:p>
      <w:pPr>
        <w:spacing w:after="0" w:line="75"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clauses of this Deed are inserted for convenience only and shall not be deemed to constitute part of this Agreement or to affect its interpretation and construction.</w:t>
      </w:r>
    </w:p>
    <w:p>
      <w:pPr>
        <w:spacing w:after="0" w:line="75"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This Deed shall be construed in accordance with and governed by the laws of Singapore, without regard to its conflict-of-laws rules. The parties hereto agree to submit to the non-exclusive jurisdiction of the courts of Singapore for purposes of any action or proceeding arising out of or in connection with this Deed.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66" w:name="page467"/>
    <w:bookmarkEnd w:id="4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Deed on the date first set forth above.</w:t>
      </w:r>
    </w:p>
    <w:p>
      <w:pPr>
        <w:sectPr>
          <w:pgSz w:w="11900" w:h="16838" w:orient="portrait"/>
          <w:cols w:equalWidth="0" w:num="1">
            <w:col w:w="10219"/>
          </w:cols>
          <w:pgMar w:left="240" w:top="274"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Common Seal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Wave Life Sciences Pte.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affixed hereto</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777875</wp:posOffset>
            </wp:positionV>
            <wp:extent cx="427101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720"/>
            <w:col w:w="5799"/>
          </w:cols>
          <w:pgMar w:left="2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1859"/>
        <w:spacing w:after="0"/>
        <w:rPr>
          <w:sz w:val="20"/>
          <w:szCs w:val="20"/>
          <w:color w:val="auto"/>
        </w:rPr>
      </w:pPr>
      <w:r>
        <w:rPr>
          <w:rFonts w:ascii="Arial" w:cs="Arial" w:eastAsia="Arial" w:hAnsi="Arial"/>
          <w:sz w:val="17"/>
          <w:szCs w:val="17"/>
          <w:color w:val="auto"/>
        </w:rPr>
        <w:t>Paul B. Bolno, Chief Executive Officer &amp;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433705</wp:posOffset>
            </wp:positionV>
            <wp:extent cx="427101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Director/Secretary</w:t>
      </w:r>
    </w:p>
    <w:p>
      <w:pPr>
        <w:sectPr>
          <w:pgSz w:w="11900" w:h="16838" w:orient="portrait"/>
          <w:cols w:equalWidth="0" w:num="1">
            <w:col w:w="10219"/>
          </w:cols>
          <w:pgMar w:left="2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Signed, sealed and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[NAME OF DIRECTOR OR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-1905</wp:posOffset>
            </wp:positionV>
            <wp:extent cx="426212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3700" w:space="720"/>
            <w:col w:w="5799"/>
          </w:cols>
          <w:pgMar w:left="240" w:top="274" w:right="1440" w:bottom="1440" w:gutter="0" w:footer="0" w:header="0"/>
          <w:type w:val="continuous"/>
        </w:sectPr>
      </w:pPr>
    </w:p>
    <w:p>
      <w:pPr>
        <w:ind w:left="4700"/>
        <w:spacing w:after="0"/>
        <w:rPr>
          <w:sz w:val="20"/>
          <w:szCs w:val="20"/>
          <w:color w:val="auto"/>
        </w:rPr>
      </w:pPr>
      <w:r>
        <w:rPr>
          <w:rFonts w:ascii="Arial" w:cs="Arial" w:eastAsia="Arial" w:hAnsi="Arial"/>
          <w:sz w:val="16"/>
          <w:szCs w:val="16"/>
          <w:color w:val="auto"/>
        </w:rPr>
        <w:t>Indemnitee: [Name of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in the presence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6670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74" w:right="1440" w:bottom="1440" w:gutter="0" w:footer="0" w:header="0"/>
          <w:type w:val="continuous"/>
        </w:sectPr>
      </w:pPr>
    </w:p>
    <w:bookmarkStart w:id="467" w:name="page468"/>
    <w:bookmarkEnd w:id="467"/>
    <w:p>
      <w:pPr>
        <w:jc w:val="right"/>
        <w:spacing w:after="0"/>
        <w:rPr>
          <w:sz w:val="20"/>
          <w:szCs w:val="20"/>
          <w:color w:val="auto"/>
        </w:rPr>
      </w:pPr>
      <w:r>
        <w:rPr>
          <w:rFonts w:ascii="Arial" w:cs="Arial" w:eastAsia="Arial" w:hAnsi="Arial"/>
          <w:sz w:val="18"/>
          <w:szCs w:val="18"/>
          <w:b w:val="1"/>
          <w:bCs w:val="1"/>
          <w:color w:val="auto"/>
        </w:rPr>
        <w:t>Exhibit 10.12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 12,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Paul Bolno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Bolno:</w:t>
      </w:r>
    </w:p>
    <w:p>
      <w:pPr>
        <w:spacing w:after="0" w:line="22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I am pleased to offer you a position with </w:t>
      </w:r>
      <w:r>
        <w:rPr>
          <w:rFonts w:ascii="Arial" w:cs="Arial" w:eastAsia="Arial" w:hAnsi="Arial"/>
          <w:sz w:val="18"/>
          <w:szCs w:val="18"/>
          <w:b w:val="1"/>
          <w:bCs w:val="1"/>
          <w:color w:val="auto"/>
        </w:rPr>
        <w:t>W</w:t>
      </w:r>
      <w:r>
        <w:rPr>
          <w:rFonts w:ascii="Arial" w:cs="Arial" w:eastAsia="Arial" w:hAnsi="Arial"/>
          <w:sz w:val="15"/>
          <w:szCs w:val="15"/>
          <w:b w:val="1"/>
          <w:bCs w:val="1"/>
          <w:color w:val="auto"/>
        </w:rPr>
        <w:t>A</w:t>
      </w:r>
      <w:r>
        <w:rPr>
          <w:rFonts w:ascii="Arial" w:cs="Arial" w:eastAsia="Arial" w:hAnsi="Arial"/>
          <w:sz w:val="18"/>
          <w:szCs w:val="18"/>
          <w:b w:val="1"/>
          <w:bCs w:val="1"/>
          <w:color w:val="auto"/>
        </w:rPr>
        <w:t>V</w:t>
      </w:r>
      <w:r>
        <w:rPr>
          <w:rFonts w:ascii="Arial" w:cs="Arial" w:eastAsia="Arial" w:hAnsi="Arial"/>
          <w:sz w:val="15"/>
          <w:szCs w:val="15"/>
          <w:b w:val="1"/>
          <w:bCs w:val="1"/>
          <w:color w:val="auto"/>
        </w:rPr>
        <w:t>E</w:t>
      </w:r>
      <w:r>
        <w:rPr>
          <w:rFonts w:ascii="Arial" w:cs="Arial" w:eastAsia="Arial" w:hAnsi="Arial"/>
          <w:sz w:val="18"/>
          <w:szCs w:val="18"/>
          <w:color w:val="auto"/>
        </w:rPr>
        <w:t xml:space="preserve"> </w:t>
      </w:r>
      <w:r>
        <w:rPr>
          <w:rFonts w:ascii="Arial" w:cs="Arial" w:eastAsia="Arial" w:hAnsi="Arial"/>
          <w:sz w:val="18"/>
          <w:szCs w:val="18"/>
          <w:b w:val="1"/>
          <w:bCs w:val="1"/>
          <w:color w:val="auto"/>
        </w:rPr>
        <w:t>L</w:t>
      </w:r>
      <w:r>
        <w:rPr>
          <w:rFonts w:ascii="Arial" w:cs="Arial" w:eastAsia="Arial" w:hAnsi="Arial"/>
          <w:sz w:val="15"/>
          <w:szCs w:val="15"/>
          <w:b w:val="1"/>
          <w:bCs w:val="1"/>
          <w:color w:val="auto"/>
        </w:rPr>
        <w:t>IFE</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CIENCES</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5"/>
          <w:szCs w:val="15"/>
          <w:b w:val="1"/>
          <w:bCs w:val="1"/>
          <w:color w:val="auto"/>
        </w:rPr>
        <w:t>TE</w:t>
      </w:r>
      <w:r>
        <w:rPr>
          <w:rFonts w:ascii="Arial" w:cs="Arial" w:eastAsia="Arial" w:hAnsi="Arial"/>
          <w:sz w:val="18"/>
          <w:szCs w:val="18"/>
          <w:b w:val="1"/>
          <w:bCs w:val="1"/>
          <w:color w:val="auto"/>
        </w:rPr>
        <w:t>. L</w:t>
      </w:r>
      <w:r>
        <w:rPr>
          <w:rFonts w:ascii="Arial" w:cs="Arial" w:eastAsia="Arial" w:hAnsi="Arial"/>
          <w:sz w:val="15"/>
          <w:szCs w:val="15"/>
          <w:b w:val="1"/>
          <w:bCs w:val="1"/>
          <w:color w:val="auto"/>
        </w:rPr>
        <w:t>TD</w:t>
      </w:r>
      <w:r>
        <w:rPr>
          <w:rFonts w:ascii="Arial" w:cs="Arial" w:eastAsia="Arial" w:hAnsi="Arial"/>
          <w:sz w:val="18"/>
          <w:szCs w:val="18"/>
          <w:color w:val="auto"/>
        </w:rPr>
        <w:t>., a company organized under the laws of Singapore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xml:space="preserve">”), as its </w:t>
      </w:r>
      <w:r>
        <w:rPr>
          <w:rFonts w:ascii="Arial" w:cs="Arial" w:eastAsia="Arial" w:hAnsi="Arial"/>
          <w:sz w:val="18"/>
          <w:szCs w:val="18"/>
          <w:b w:val="1"/>
          <w:bCs w:val="1"/>
          <w:color w:val="auto"/>
        </w:rPr>
        <w:t>President</w:t>
      </w:r>
      <w:r>
        <w:rPr>
          <w:rFonts w:ascii="Arial" w:cs="Arial" w:eastAsia="Arial" w:hAnsi="Arial"/>
          <w:sz w:val="18"/>
          <w:szCs w:val="18"/>
          <w:color w:val="auto"/>
        </w:rPr>
        <w:t xml:space="preserve"> and </w:t>
      </w:r>
      <w:r>
        <w:rPr>
          <w:rFonts w:ascii="Arial" w:cs="Arial" w:eastAsia="Arial" w:hAnsi="Arial"/>
          <w:sz w:val="18"/>
          <w:szCs w:val="18"/>
          <w:b w:val="1"/>
          <w:bCs w:val="1"/>
          <w:color w:val="auto"/>
        </w:rPr>
        <w:t>Chief Executive Officer</w:t>
      </w:r>
      <w:r>
        <w:rPr>
          <w:rFonts w:ascii="Arial" w:cs="Arial" w:eastAsia="Arial" w:hAnsi="Arial"/>
          <w:sz w:val="18"/>
          <w:szCs w:val="18"/>
          <w:color w:val="auto"/>
        </w:rPr>
        <w:t>. As President and Chief Executive Officer, you shall use all proper means in your power to improve, develop, extend, maintain, advise and promote the Company’s business and to protect and further the reputation, interests and success of the Company and its affiliates (the “</w:t>
      </w:r>
      <w:r>
        <w:rPr>
          <w:rFonts w:ascii="Arial" w:cs="Arial" w:eastAsia="Arial" w:hAnsi="Arial"/>
          <w:sz w:val="18"/>
          <w:szCs w:val="18"/>
          <w:b w:val="1"/>
          <w:bCs w:val="1"/>
          <w:u w:val="single" w:color="auto"/>
          <w:color w:val="auto"/>
        </w:rPr>
        <w:t>Group Companies</w:t>
      </w:r>
      <w:r>
        <w:rPr>
          <w:rFonts w:ascii="Arial" w:cs="Arial" w:eastAsia="Arial" w:hAnsi="Arial"/>
          <w:sz w:val="18"/>
          <w:szCs w:val="18"/>
          <w:color w:val="auto"/>
        </w:rPr>
        <w:t>” and each, a “</w:t>
      </w:r>
      <w:r>
        <w:rPr>
          <w:rFonts w:ascii="Arial" w:cs="Arial" w:eastAsia="Arial" w:hAnsi="Arial"/>
          <w:sz w:val="18"/>
          <w:szCs w:val="18"/>
          <w:b w:val="1"/>
          <w:bCs w:val="1"/>
          <w:u w:val="single" w:color="auto"/>
          <w:color w:val="auto"/>
        </w:rPr>
        <w:t>Group Company</w:t>
      </w:r>
      <w:r>
        <w:rPr>
          <w:rFonts w:ascii="Arial" w:cs="Arial" w:eastAsia="Arial" w:hAnsi="Arial"/>
          <w:sz w:val="18"/>
          <w:szCs w:val="18"/>
          <w:color w:val="auto"/>
        </w:rPr>
        <w:t>”). It is anticipate that you will render your duties from the United States, which shall include (but are not in any way restricted or limited to):</w:t>
      </w:r>
    </w:p>
    <w:p>
      <w:pPr>
        <w:spacing w:after="0" w:line="93" w:lineRule="exact"/>
        <w:rPr>
          <w:sz w:val="20"/>
          <w:szCs w:val="20"/>
          <w:color w:val="auto"/>
        </w:rPr>
      </w:pPr>
    </w:p>
    <w:p>
      <w:pPr>
        <w:jc w:val="both"/>
        <w:ind w:left="900" w:right="40" w:hanging="446"/>
        <w:spacing w:after="0" w:line="264" w:lineRule="auto"/>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undertaking such duties (which may include assuming such other executive or management positions in the Company or any of Group Company) and exercise such powers in relation to the Company and its business at such place as the Company’s board of directors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may from time to time assign to or vest in you;</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devoting substantially the whole of your time and attention during business hours to the discharge of your duties hereunder;</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in the discharge of such duties and in the exercise of such powers observing and complying with all resolutions and all reasonable and lawful directions from time to time made or given by the Board;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serving the Company faithfully and diligently to the best of your 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using all reasonable efforts to promote the interests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acting in the Company’s best interests;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advising the Company immediately if you becomes aware of or suspect any unlawful act or omission by any director, officer, employee or contractor of the Company;</w:t>
      </w:r>
    </w:p>
    <w:p>
      <w:pPr>
        <w:spacing w:after="0" w:line="75"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in pursuance of your duties hereunder performing such services for any existing or future Group Company and without further remuneration (unless otherwise agreed) accepting such offices in any such companies as the Board may from time to time reasonably require;</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other duties as assigned to you by the Board from time to time;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without limiting your duties to the Company, you must not act in conflict with the Company’s best interests, or disparage the Company or any other Group Company.</w:t>
      </w:r>
    </w:p>
    <w:p>
      <w:pPr>
        <w:sectPr>
          <w:pgSz w:w="11900" w:h="16838" w:orient="portrait"/>
          <w:cols w:equalWidth="0" w:num="1">
            <w:col w:w="11420"/>
          </w:cols>
          <w:pgMar w:left="240" w:top="121" w:right="239" w:bottom="1440" w:gutter="0" w:footer="0" w:header="0"/>
        </w:sectPr>
      </w:pPr>
    </w:p>
    <w:bookmarkStart w:id="468" w:name="page469"/>
    <w:bookmarkEnd w:id="468"/>
    <w:p>
      <w:pPr>
        <w:ind w:right="2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the Company’s President and Chief Executive Officer, you will receive a monthly Base Salary of $37,500.00 US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which will be paid semimonthly in accordance with the Company’s normal payroll procedures. As an employee, you will also be eligible to receive certain employee benefits including: (i) medical, dental, vision, and pharmaceutical coverage, which are provided at no charge to you and are available to your family for a small fee (note that Actual costs to cover your qualified dependents will vary based on the relationship and number of dependents); (ii) life insurance in the amount of fifty thousand dollars ($50,000); (iii) short term and long term disability insurance paid for by the Company; (iv) participation in a Flexible Spending Account program; and (v) access to the Company’s Employee Assistance Program. You should note that the Company may modify benefits from time to time as it deems necessary.</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you decide to join the Company, and subject to the approval of the Board and the completion of any other necessary corporate procedures, within 60 days, or a reasonable number days as may be required under the circumstances, following the earlier of (i) the completion of the Company’s next equity financing or (ii) April 1, 2014, the Company shall grant you a restricted share award for a number of shares of the Company’s ordinary share capital in amount equal to 7.5% of the Company’s issued and paid-up share capital as of the earlier of (a) the date immediately following the closing of such financing or (b) the date of grant of the share award (the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Twenty-five percent (25%) of the Shares shall vest twelve (12) months after your start date subject to your continuing employment with the Company, and no Shares shall vest before such date. The remaining Shares shall vest over the next thirty-six (36) months in equal monthly amounts subject to your continuing employment with the Company.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vesting of Shares described in the paragraph above, in the event you are responsible for securing for the Company a Qualifying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Strategic Partnership (defined below) pursuant to a binding long-form written agreement within the first year of your employment with the Company, twelve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one half percent (12.5%) of the Shares shall immediately vest upon the date the Company executes such agreement. For purposes of this letter,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Qualifying Strategic Partnership</w:t>
      </w:r>
      <w:r>
        <w:rPr>
          <w:rFonts w:ascii="Arial" w:cs="Arial" w:eastAsia="Arial" w:hAnsi="Arial"/>
          <w:sz w:val="17"/>
          <w:szCs w:val="17"/>
          <w:color w:val="auto"/>
        </w:rPr>
        <w:t>” shall mean either (1) a strategic partnership, joint development, joint venture or other similar arrangement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negotiated by you and memorized in a binding written agreement where the counterparty is a major pharmaceutical or biotechnology company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traded publicly as of the date the Company enters into the applicable Qualifying Strategic Partnership or (2) a strategic partnership, joint development, joint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 or other arrangement with the Company negotiated by you and memorized in a binding written agreement pursuant to which the counterparty either</w:t>
      </w:r>
    </w:p>
    <w:p>
      <w:pPr>
        <w:spacing w:after="0" w:line="32" w:lineRule="exact"/>
        <w:rPr>
          <w:sz w:val="20"/>
          <w:szCs w:val="20"/>
          <w:color w:val="auto"/>
        </w:rPr>
      </w:pPr>
    </w:p>
    <w:p>
      <w:pPr>
        <w:jc w:val="both"/>
        <w:ind w:right="120" w:firstLine="8"/>
        <w:spacing w:after="0" w:line="295" w:lineRule="auto"/>
        <w:tabs>
          <w:tab w:leader="none" w:pos="21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commits a minimum of $10,000,000 of development and/or marketing funds to the Company, (ii) agrees to pay a license fee to the Company in excess of $5,000,000 over the first 2 years of the license term, (iii) agrees to a revenue sharing or royalty arrangement with the Company through which the Company reasonably anticipates receiving at least $5,000,000 of income over the first 2 years of its term. The parties agree that whether any contractual agreement constitutes a “Qualifying Strategic Partnership” shall be determined by the Board in its reasonable and good faith discretion.</w:t>
      </w:r>
    </w:p>
    <w:p>
      <w:pPr>
        <w:spacing w:after="0" w:line="93" w:lineRule="exact"/>
        <w:rPr>
          <w:rFonts w:ascii="Arial" w:cs="Arial" w:eastAsia="Arial" w:hAnsi="Arial"/>
          <w:sz w:val="16"/>
          <w:szCs w:val="16"/>
          <w:color w:val="auto"/>
        </w:rPr>
      </w:pPr>
    </w:p>
    <w:p>
      <w:pPr>
        <w:ind w:left="5660" w:hanging="96"/>
        <w:spacing w:after="0"/>
        <w:tabs>
          <w:tab w:leader="none" w:pos="56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80"/>
          </w:cols>
          <w:pgMar w:left="240" w:top="269" w:right="279" w:bottom="1440" w:gutter="0" w:footer="0" w:header="0"/>
        </w:sectPr>
      </w:pPr>
    </w:p>
    <w:bookmarkStart w:id="469" w:name="page470"/>
    <w:bookmarkEnd w:id="469"/>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you cease to be employed by, or terminate your employment with, the Company, then all unvested Shares will thereupon be forfeited and automatically transferred to and reacquired by the Company at no cost to the Company upon the date of such termination and you will have no further rights thereunder. It will also be recommended to the Board that your Shares include accelerated vesting that provides that in the event that you are terminated by the Company without Cause (as defined below) within twelve (12) months following a change of control, one hundred percent (100%) of the total number of any unvested Shares shall be deemed fully vested and immediately exercisable. The Shares will be subject to the terms and conditions of a restricted share award agreement, including vesting requirements.</w:t>
      </w:r>
    </w:p>
    <w:p>
      <w:pPr>
        <w:spacing w:after="0" w:line="19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As additional compensation for your services, as the Company’s Chief Executive Officer, you will be eligible to earn an annual performance bonuses in amount equal to up to 25% of your Base Salary in any calendar year (each a “</w:t>
      </w:r>
      <w:r>
        <w:rPr>
          <w:rFonts w:ascii="Arial" w:cs="Arial" w:eastAsia="Arial" w:hAnsi="Arial"/>
          <w:sz w:val="16"/>
          <w:szCs w:val="16"/>
          <w:b w:val="1"/>
          <w:bCs w:val="1"/>
          <w:u w:val="single" w:color="auto"/>
          <w:color w:val="auto"/>
        </w:rPr>
        <w:t>Performance Bonus</w:t>
      </w:r>
      <w:r>
        <w:rPr>
          <w:rFonts w:ascii="Arial" w:cs="Arial" w:eastAsia="Arial" w:hAnsi="Arial"/>
          <w:sz w:val="16"/>
          <w:szCs w:val="16"/>
          <w:color w:val="auto"/>
        </w:rPr>
        <w:t>”). The amount of each Performance Bonus, if any, will be subject to achievement of annual performance milestones to be determined by the Board in its sole discretion after consultation with Dr. Ryoich Nagata.</w:t>
      </w:r>
    </w:p>
    <w:p>
      <w:pPr>
        <w:ind w:right="240"/>
        <w:spacing w:after="0" w:line="261" w:lineRule="auto"/>
        <w:rPr>
          <w:sz w:val="20"/>
          <w:szCs w:val="20"/>
          <w:color w:val="auto"/>
        </w:rPr>
      </w:pPr>
      <w:r>
        <w:rPr>
          <w:rFonts w:ascii="Arial" w:cs="Arial" w:eastAsia="Arial" w:hAnsi="Arial"/>
          <w:sz w:val="18"/>
          <w:szCs w:val="18"/>
          <w:color w:val="auto"/>
        </w:rPr>
        <w:t>Performance Bonuses are not earned until paid and you must be continuously employed through the date of payment to be eligible to earn the Performance Bonus.</w:t>
      </w:r>
    </w:p>
    <w:p>
      <w:pPr>
        <w:spacing w:after="0" w:line="18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Except as may be required by applicable U.S. federal and state law, you shall be fully liable for the payment of income tax payable in respect of any remuneration received from the Company.</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determination of whether any performance or financial targets have been achieved (including, but not limited to, those set forth above in respect of any Performance Bonus) shall be made by the Board in its sole discretion acting in good faith. Any Performance Bonuses, less applicable withholdings, will be paid to you by the Company as soon as practicable after the Board determines, in its sole discretion, that any such bonus has been earned, but in no event later than March 15 following the calendar year in which such bonus is earned. The Company will review your Base Salary on an annual basis, typically in January. The Company may, in its sole discretion, adjust the Base Salary or any bonuses.</w:t>
      </w:r>
    </w:p>
    <w:p>
      <w:pPr>
        <w:spacing w:after="0" w:line="173"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Nevertheless, subject to the terms and conditions of this letter, your employment with the Company constitutes “at-will” employment and the Company may at any time terminate your employment with the Company for any reason or no reason, with or without Cause (as defined below). Similarly, you are free to resign at any time, for any reason or for no reason. We request that, in the event of resignation, you give the Company at least two weeks’ prior notice.</w:t>
      </w:r>
    </w:p>
    <w:p>
      <w:pPr>
        <w:spacing w:after="0" w:line="143"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color w:val="auto"/>
        </w:rPr>
        <w:t xml:space="preserve">If the Company terminates your employment without Cause, then, subject to the provisions of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you shall be entitled to receive only: (i) any earned but unpaid Base Salary, as of the date of termination, (ii) reimbursement for all reasonable and necessary expenses incurred by you in connection with your performance of services on behalf of the Company, as of the date of termination (subject to providing reasonable documentation of such expenses), payable in accordance with applicable Company policies and procedures, (iii) continued payment of your then current Base Salary for twelve (12) months from the date your employment is terminated, less applicable withholdings, paid in accordance with the Company’s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470" w:name="page471"/>
    <w:bookmarkEnd w:id="47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regular payroll procedures, and (iv) no other payments, severance, or benefits, including, but not limited to, payments under any express or implied Company severance policy. Any severance payments made under the paragraph shall be the maximum severance benefits available to you and shall be coordinated with and reduced by the amount of any notice pay that may be required pursuant to federal, state or local law, including the Worker Adjustment and Retraining Notification Act (“</w:t>
      </w:r>
      <w:r>
        <w:rPr>
          <w:rFonts w:ascii="Arial" w:cs="Arial" w:eastAsia="Arial" w:hAnsi="Arial"/>
          <w:sz w:val="18"/>
          <w:szCs w:val="18"/>
          <w:b w:val="1"/>
          <w:bCs w:val="1"/>
          <w:u w:val="single" w:color="auto"/>
          <w:color w:val="auto"/>
        </w:rPr>
        <w:t>WARN</w:t>
      </w:r>
      <w:r>
        <w:rPr>
          <w:rFonts w:ascii="Arial" w:cs="Arial" w:eastAsia="Arial" w:hAnsi="Arial"/>
          <w:sz w:val="18"/>
          <w:szCs w:val="18"/>
          <w:color w:val="auto"/>
        </w:rPr>
        <w:t>”). You acknowledge and agree that the severance benefits provided in this paragraph satisfy and exceed any required notice pay under WARN or similar acts.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Company terminates your employment for Cause, or upon your voluntary resignation for any reason, or upon termination of your employment as a result of your death or Disability (as defined below), then, subject to your execution and delivery to the Company of a full and unconditional customary general release in favor of the Company, and provided such release becomes effective no later than sixty (60) days following your termination, you shall be entitled to receive only: (i) any earned but unpaid Base Salary, as of the date of termination, (ii) reimbursement for all reasonable and necessary expenses incurred by you in connection with your performance of services on behalf of the Company, as of the date of termination (subject to providing reasonable documentation of such expenses), payable in accordance with applicable Company policies and procedures, and (iii) no other payments, severance, or benefits, including, but not limited to, payments under any express or implied Company severance policy.</w:t>
      </w:r>
    </w:p>
    <w:p>
      <w:pPr>
        <w:spacing w:after="0" w:line="16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For purposes of this letter, “</w:t>
      </w:r>
      <w:r>
        <w:rPr>
          <w:rFonts w:ascii="Arial" w:cs="Arial" w:eastAsia="Arial" w:hAnsi="Arial"/>
          <w:sz w:val="16"/>
          <w:szCs w:val="16"/>
          <w:b w:val="1"/>
          <w:bCs w:val="1"/>
          <w:u w:val="single" w:color="auto"/>
          <w:color w:val="auto"/>
        </w:rPr>
        <w:t>Cause</w:t>
      </w:r>
      <w:r>
        <w:rPr>
          <w:rFonts w:ascii="Arial" w:cs="Arial" w:eastAsia="Arial" w:hAnsi="Arial"/>
          <w:sz w:val="16"/>
          <w:szCs w:val="16"/>
          <w:color w:val="auto"/>
        </w:rPr>
        <w:t>” is defined as: (i) an act of dishonesty made in connection with your responsibilities as an employee; (ii) a conviction of, or plea of nolo contendere to, a felony or any crime involving fraud, embezzlement or any other act of moral turpitude; (iii) gross misconduct;</w:t>
      </w:r>
    </w:p>
    <w:p>
      <w:pPr>
        <w:spacing w:after="0" w:line="1" w:lineRule="exact"/>
        <w:rPr>
          <w:sz w:val="20"/>
          <w:szCs w:val="20"/>
          <w:color w:val="auto"/>
        </w:rPr>
      </w:pPr>
    </w:p>
    <w:p>
      <w:pPr>
        <w:ind w:right="60" w:firstLine="8"/>
        <w:spacing w:after="0" w:line="251" w:lineRule="auto"/>
        <w:tabs>
          <w:tab w:leader="none" w:pos="30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unauthorized use or disclosure of any proprietary information or trade secrets of the Company or any other party to whom you owe an obligation of nondisclosure as a result of your relationship with the Company; (v) termination due to the Company becoming insolvent (e.g., the inability to pay its debts generally as they mature) on or after the six (6) month anniversary of the date first written above; (vi) willful breach of any obligations under any written agreement or covenant with the Company; or (vii) your continued failure to perform employment duties after you have received a written demand of performance from the Company which specifically sets forth the factual basis for the Company’s belief that you have not substantially performed your duties and you have failed to cure such non-performance to the Company’s satisfaction within 10 business days after receiving such notice. For purposes of this letter,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is defined as your incapacity, due to physical or mental illness or disability, to perform the essential functions of your position for the Company, for more than ninety (90) days out of any rolling one year period unless a longer period is required by law, in which case the longer period will be applied.</w:t>
      </w:r>
    </w:p>
    <w:p>
      <w:pPr>
        <w:spacing w:after="0" w:line="19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Company reserves the right to conduct background investigations and/or reference checks on all of its potential employees.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4" w:right="279" w:bottom="1440" w:gutter="0" w:footer="0" w:header="0"/>
        </w:sectPr>
      </w:pPr>
    </w:p>
    <w:bookmarkStart w:id="471" w:name="page472"/>
    <w:bookmarkEnd w:id="471"/>
    <w:p>
      <w:pPr>
        <w:ind w:right="4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an employee, you shall consent to the Company obtaining, holding and processing data relating to you for legal, personnel, administrative and management purposes including, without limitation, any sensitive personal data relating to you including, as appropriate:</w:t>
      </w:r>
    </w:p>
    <w:p>
      <w:pPr>
        <w:spacing w:after="0" w:line="52" w:lineRule="exact"/>
        <w:rPr>
          <w:sz w:val="20"/>
          <w:szCs w:val="20"/>
          <w:color w:val="auto"/>
        </w:rPr>
      </w:pPr>
    </w:p>
    <w:p>
      <w:pPr>
        <w:ind w:left="900" w:hanging="446"/>
        <w:spacing w:after="0"/>
        <w:tabs>
          <w:tab w:leader="none" w:pos="90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information about your physical or mental health or condition in order to monitor sick leave and take decisions as to your fitness for work;</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and</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shall further consent to (i) the Company making such data or information available to any Group Company, those who provide products or services to the Company or any Group Company (such as advisers), regulatory authorities, governmental or quasi governmental organizations and potential purchasers of the Company or any part of its business; and (ii) the transfer of such data or information to the Company’s or any Group Company’s business contacts outside Singapore in order to further its or their business interests.</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During your employment with the Company and for a period of one (1) year after the termination of your relationship with the Company (“</w:t>
      </w:r>
      <w:r>
        <w:rPr>
          <w:rFonts w:ascii="Arial" w:cs="Arial" w:eastAsia="Arial" w:hAnsi="Arial"/>
          <w:sz w:val="17"/>
          <w:szCs w:val="17"/>
          <w:b w:val="1"/>
          <w:bCs w:val="1"/>
          <w:u w:val="single" w:color="auto"/>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Period</w:t>
      </w:r>
      <w:r>
        <w:rPr>
          <w:rFonts w:ascii="Arial" w:cs="Arial" w:eastAsia="Arial" w:hAnsi="Arial"/>
          <w:sz w:val="17"/>
          <w:szCs w:val="17"/>
          <w:color w:val="auto"/>
        </w:rPr>
        <w:t>”) for any reason, whether voluntary or involuntary and with or without cause, you agree not to, whether paid or unpaid: (1) serve as a partner,</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licensor, licensee, employee, consultant, officer, director, manager, agent, affiliate, representative, advisor, promoter, associate, investor, or otherwise for; (2) directly or indirectly, own, purchase, organize or take preparatory steps for the organization of; or (3) build, design, finance, acquire, lease, operate, manage, control, invest in, work or consult for or otherwise join, participate in or affiliate yourself with, any business whose business, products or operations are in any respect competitive with or otherwise similar to the Company’s nucleic acid drug related businesses or any disease areas in the Company’s development pipelines. The foregoing covenant shall cover your activities in every part of the Territory. “</w:t>
      </w:r>
      <w:r>
        <w:rPr>
          <w:rFonts w:ascii="Arial" w:cs="Arial" w:eastAsia="Arial" w:hAnsi="Arial"/>
          <w:sz w:val="17"/>
          <w:szCs w:val="17"/>
          <w:b w:val="1"/>
          <w:bCs w:val="1"/>
          <w:u w:val="single" w:color="auto"/>
          <w:color w:val="auto"/>
        </w:rPr>
        <w:t>Territory</w:t>
      </w:r>
      <w:r>
        <w:rPr>
          <w:rFonts w:ascii="Arial" w:cs="Arial" w:eastAsia="Arial" w:hAnsi="Arial"/>
          <w:sz w:val="17"/>
          <w:szCs w:val="17"/>
          <w:color w:val="auto"/>
        </w:rPr>
        <w:t>” shall mean (i) all counties in the Commonwealth of Massachusetts; (ii) all other states of the United States of America; and (iii) any other countries outside the United States of America. The noncompetition covenant set forth in this paragraph shall terminate and be of no further force or effect in the event that you are terminated without Cause within six (6) months of the date of this offer letter due to the Company becoming insolvent as a result of the Company’s inability to secure and close financing during such 6 month period.</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You further agree that during the Restricted Period, whether you resign voluntarily or are terminated by the Company involuntarily, you shall not contact, or cause to be contacted, directly or indirectly, or engage in any form of oral, verbal, written, recorded, transcribed, or electronic communication with any Customer for the purposes of conducting business that is competitive or similar to that of the Company (as defined above) or for the purpose of disadvantaging the Company’s business in any way. For the purposes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472" w:name="page473"/>
    <w:bookmarkEnd w:id="472"/>
    <w:p>
      <w:pPr>
        <w:ind w:right="10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Customer</w:t>
      </w:r>
      <w:r>
        <w:rPr>
          <w:rFonts w:ascii="Arial" w:cs="Arial" w:eastAsia="Arial" w:hAnsi="Arial"/>
          <w:sz w:val="18"/>
          <w:szCs w:val="18"/>
          <w:color w:val="auto"/>
        </w:rPr>
        <w:t xml:space="preserve">” shall mean all persons or entities that have used or inquired of the Company’s services at any time during the two-year period preceding the termination of your relationship with the Company. You further agree that if you wish to engage in any outside employment, occupation, consulting or other business activity during the time of your employment with the Company, you must submit a written request to the Company explaining the details of such activity so that the Company may determine whether a conflict exists. The parties acknowledge as of the date hereof you have submitted a letter detailing all such potential conflicts, which is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Additionally, you agree that during the Restricted Period, whether you resign voluntarily or are terminated by the Company involuntarily, you will not directly or indirectly hire, solicit, or recruit, or attempt to hire, solicit, or recruit, any employee of the Company to leave their employment with the Company, nor will you contact any employee of the Company, or cause an employee of the Company to be contacted, for the purpose of leaving employment with the Company.</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noncompetition and nonsolicitation covenants set forth above shall be construed as a series of separate covenants, one for each city, county and state of any geographic area in the Territory. Except for geographic coverage, each such separate covenant shall be deemed identical in terms to the covenant set forth above. If, in any judicial or arbitral proceeding, a court or arbitrator refuses to enforce any of such separate covenants (or any part thereof), then such unenforceable covenant (or such part) shall be revised, or if revision is not permitted it shall be eliminated from this Agreement, to the extent necessary to permit the remaining separate covenants (or portions thereof) to be enforced. In the event that the covenants set forth above are deemed to exceed the time, geographic or scope limitations permitted by applicable law, then such provisions shall be reformed to the maximum time, geographic or scope limitations, as the case may be, then permitted by such law.</w:t>
      </w:r>
    </w:p>
    <w:p>
      <w:pPr>
        <w:spacing w:after="0" w:line="17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As a condition of your employment, you are also required to sign and comply with a Confidential Information, Invention Assignment and Arbitration Agreement (the “</w:t>
      </w:r>
      <w:r>
        <w:rPr>
          <w:rFonts w:ascii="Arial" w:cs="Arial" w:eastAsia="Arial" w:hAnsi="Arial"/>
          <w:sz w:val="16"/>
          <w:szCs w:val="16"/>
          <w:b w:val="1"/>
          <w:bCs w:val="1"/>
          <w:u w:val="single" w:color="auto"/>
          <w:color w:val="auto"/>
        </w:rPr>
        <w:t>Invention Agreement</w:t>
      </w:r>
      <w:r>
        <w:rPr>
          <w:rFonts w:ascii="Arial" w:cs="Arial" w:eastAsia="Arial" w:hAnsi="Arial"/>
          <w:sz w:val="16"/>
          <w:szCs w:val="16"/>
          <w:color w:val="auto"/>
        </w:rPr>
        <w:t>”) which requires, among other provisions, the assignment of patent rights to any invention made during your employment with the Company, and nondisclosure of Company proprietary information. In the event of any dispute or claim relating to or arising out of our employment relationship with the Company, you and the Company agree that (i) any and all disputes between you and the Company shall be fully and finally resolved by binding arbitration in Boston, Massachusetts , to be administered by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pursuant to the then-current</w:t>
      </w:r>
    </w:p>
    <w:p>
      <w:pPr>
        <w:spacing w:after="0" w:line="2" w:lineRule="exact"/>
        <w:rPr>
          <w:sz w:val="20"/>
          <w:szCs w:val="20"/>
          <w:color w:val="auto"/>
        </w:rPr>
      </w:pPr>
    </w:p>
    <w:p>
      <w:pPr>
        <w:ind w:right="40" w:firstLine="8"/>
        <w:spacing w:after="0" w:line="271" w:lineRule="auto"/>
        <w:tabs>
          <w:tab w:leader="none" w:pos="435" w:val="left"/>
        </w:tabs>
        <w:numPr>
          <w:ilvl w:val="0"/>
          <w:numId w:val="375"/>
        </w:numPr>
        <w:rPr>
          <w:rFonts w:ascii="Arial" w:cs="Arial" w:eastAsia="Arial" w:hAnsi="Arial"/>
          <w:sz w:val="17"/>
          <w:szCs w:val="17"/>
          <w:color w:val="auto"/>
        </w:rPr>
      </w:pPr>
      <w:r>
        <w:rPr>
          <w:rFonts w:ascii="Arial" w:cs="Arial" w:eastAsia="Arial" w:hAnsi="Arial"/>
          <w:sz w:val="17"/>
          <w:szCs w:val="17"/>
          <w:color w:val="auto"/>
        </w:rPr>
        <w:t>National Rules for the Resolution of Employment Disputes, (ii) you are waiving any and all rights to a jury trial but all court remedies will be available in arbitration, (iii) all disputes shall be resolved by a neutral arbitrator who shall issue a written opinion, (iv) the arbitration shall provide for adequate discovery, and (v) the arbitrator has the power to award to the substantially prevailing party the reimbursement of such party’s reasonable attorneys’ fees and costs (including, but not limited to, expert fees) as well as such administrative fees in connection with such arbitration. This letter shall be governed by, and shall be construed under, the laws of the Commonwealth of Massachusetts without regards to conflicts of laws principles.</w:t>
      </w:r>
    </w:p>
    <w:p>
      <w:pPr>
        <w:spacing w:after="0" w:line="111" w:lineRule="exact"/>
        <w:rPr>
          <w:rFonts w:ascii="Arial" w:cs="Arial" w:eastAsia="Arial" w:hAnsi="Arial"/>
          <w:sz w:val="17"/>
          <w:szCs w:val="17"/>
          <w:color w:val="auto"/>
        </w:rPr>
      </w:pPr>
    </w:p>
    <w:p>
      <w:pPr>
        <w:ind w:left="5660" w:hanging="96"/>
        <w:spacing w:after="0"/>
        <w:tabs>
          <w:tab w:leader="none" w:pos="566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80"/>
          </w:cols>
          <w:pgMar w:left="240" w:top="269" w:right="279" w:bottom="1440" w:gutter="0" w:footer="0" w:header="0"/>
        </w:sectPr>
      </w:pPr>
    </w:p>
    <w:bookmarkStart w:id="473" w:name="page474"/>
    <w:bookmarkEnd w:id="473"/>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accept the Company’s offer, please sign and date this letter in the space provided below. A duplicate original is enclosed for your records. This letter and the Invention Agreement set forth the terms of your employment with the Company and supersede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a written agreement signed by the President of the Company and you.</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look forward to your favorable reply and to working with you at </w:t>
      </w:r>
      <w:r>
        <w:rPr>
          <w:rFonts w:ascii="Arial" w:cs="Arial" w:eastAsia="Arial" w:hAnsi="Arial"/>
          <w:sz w:val="18"/>
          <w:szCs w:val="18"/>
          <w:b w:val="1"/>
          <w:bCs w:val="1"/>
          <w:color w:val="auto"/>
        </w:rPr>
        <w:t>W</w:t>
      </w:r>
      <w:r>
        <w:rPr>
          <w:rFonts w:ascii="Arial" w:cs="Arial" w:eastAsia="Arial" w:hAnsi="Arial"/>
          <w:sz w:val="15"/>
          <w:szCs w:val="15"/>
          <w:b w:val="1"/>
          <w:bCs w:val="1"/>
          <w:color w:val="auto"/>
        </w:rPr>
        <w:t>A</w:t>
      </w:r>
      <w:r>
        <w:rPr>
          <w:rFonts w:ascii="Arial" w:cs="Arial" w:eastAsia="Arial" w:hAnsi="Arial"/>
          <w:sz w:val="18"/>
          <w:szCs w:val="18"/>
          <w:b w:val="1"/>
          <w:bCs w:val="1"/>
          <w:color w:val="auto"/>
        </w:rPr>
        <w:t>V</w:t>
      </w:r>
      <w:r>
        <w:rPr>
          <w:rFonts w:ascii="Arial" w:cs="Arial" w:eastAsia="Arial" w:hAnsi="Arial"/>
          <w:sz w:val="15"/>
          <w:szCs w:val="15"/>
          <w:b w:val="1"/>
          <w:bCs w:val="1"/>
          <w:color w:val="auto"/>
        </w:rPr>
        <w:t>E</w:t>
      </w:r>
      <w:r>
        <w:rPr>
          <w:rFonts w:ascii="Arial" w:cs="Arial" w:eastAsia="Arial" w:hAnsi="Arial"/>
          <w:sz w:val="18"/>
          <w:szCs w:val="18"/>
          <w:color w:val="auto"/>
        </w:rPr>
        <w:t xml:space="preserve"> </w:t>
      </w:r>
      <w:r>
        <w:rPr>
          <w:rFonts w:ascii="Arial" w:cs="Arial" w:eastAsia="Arial" w:hAnsi="Arial"/>
          <w:sz w:val="18"/>
          <w:szCs w:val="18"/>
          <w:b w:val="1"/>
          <w:bCs w:val="1"/>
          <w:color w:val="auto"/>
        </w:rPr>
        <w:t>L</w:t>
      </w:r>
      <w:r>
        <w:rPr>
          <w:rFonts w:ascii="Arial" w:cs="Arial" w:eastAsia="Arial" w:hAnsi="Arial"/>
          <w:sz w:val="15"/>
          <w:szCs w:val="15"/>
          <w:b w:val="1"/>
          <w:bCs w:val="1"/>
          <w:color w:val="auto"/>
        </w:rPr>
        <w:t>IFE</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CIENCES</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5"/>
          <w:szCs w:val="15"/>
          <w:b w:val="1"/>
          <w:bCs w:val="1"/>
          <w:color w:val="auto"/>
        </w:rPr>
        <w:t>TE</w:t>
      </w:r>
      <w:r>
        <w:rPr>
          <w:rFonts w:ascii="Arial" w:cs="Arial" w:eastAsia="Arial" w:hAnsi="Arial"/>
          <w:sz w:val="18"/>
          <w:szCs w:val="18"/>
          <w:b w:val="1"/>
          <w:bCs w:val="1"/>
          <w:color w:val="auto"/>
        </w:rPr>
        <w:t>. L</w:t>
      </w:r>
      <w:r>
        <w:rPr>
          <w:rFonts w:ascii="Arial" w:cs="Arial" w:eastAsia="Arial" w:hAnsi="Arial"/>
          <w:sz w:val="15"/>
          <w:szCs w:val="15"/>
          <w:b w:val="1"/>
          <w:bCs w:val="1"/>
          <w:color w:val="auto"/>
        </w:rPr>
        <w:t>TD</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Ken Takanashi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Ken Takanashi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Director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Agreed to and accepted:</w:t>
            </w:r>
          </w:p>
        </w:tc>
        <w:tc>
          <w:tcPr>
            <w:tcW w:w="2540" w:type="dxa"/>
            <w:vAlign w:val="bottom"/>
          </w:tcPr>
          <w:p>
            <w:pPr>
              <w:spacing w:after="0"/>
              <w:rPr>
                <w:sz w:val="20"/>
                <w:szCs w:val="20"/>
                <w:color w:val="auto"/>
              </w:rPr>
            </w:pPr>
          </w:p>
        </w:tc>
      </w:tr>
      <w:tr>
        <w:trPr>
          <w:trHeight w:val="446"/>
        </w:trPr>
        <w:tc>
          <w:tcPr>
            <w:tcW w:w="1300" w:type="dxa"/>
            <w:vAlign w:val="bottom"/>
          </w:tcPr>
          <w:p>
            <w:pPr>
              <w:spacing w:after="0"/>
              <w:rPr>
                <w:sz w:val="20"/>
                <w:szCs w:val="20"/>
                <w:color w:val="auto"/>
              </w:rPr>
            </w:pPr>
            <w:r>
              <w:rPr>
                <w:rFonts w:ascii="Arial" w:cs="Arial" w:eastAsia="Arial" w:hAnsi="Arial"/>
                <w:sz w:val="18"/>
                <w:szCs w:val="18"/>
                <w:color w:val="auto"/>
              </w:rPr>
              <w:t>Signature:</w:t>
            </w:r>
          </w:p>
        </w:tc>
        <w:tc>
          <w:tcPr>
            <w:tcW w:w="740" w:type="dxa"/>
            <w:vAlign w:val="bottom"/>
            <w:tcBorders>
              <w:bottom w:val="single" w:sz="8" w:color="auto"/>
            </w:tcBorders>
            <w:gridSpan w:val="2"/>
          </w:tcPr>
          <w:p>
            <w:pPr>
              <w:spacing w:after="0"/>
              <w:rPr>
                <w:sz w:val="24"/>
                <w:szCs w:val="24"/>
                <w:color w:val="auto"/>
              </w:rPr>
            </w:pPr>
          </w:p>
        </w:tc>
        <w:tc>
          <w:tcPr>
            <w:tcW w:w="254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93"/>
              </w:rPr>
              <w:t>/s/ Paul B. Bolno</w:t>
            </w: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Printed Name:</w:t>
            </w:r>
          </w:p>
        </w:tc>
        <w:tc>
          <w:tcPr>
            <w:tcW w:w="740" w:type="dxa"/>
            <w:vAlign w:val="bottom"/>
            <w:tcBorders>
              <w:bottom w:val="single" w:sz="8" w:color="auto"/>
            </w:tcBorders>
            <w:gridSpan w:val="2"/>
          </w:tcPr>
          <w:p>
            <w:pPr>
              <w:spacing w:after="0"/>
              <w:rPr>
                <w:sz w:val="24"/>
                <w:szCs w:val="24"/>
                <w:color w:val="auto"/>
              </w:rPr>
            </w:pPr>
          </w:p>
        </w:tc>
        <w:tc>
          <w:tcPr>
            <w:tcW w:w="254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91"/>
              </w:rPr>
              <w:t>Paul B. Bolno</w:t>
            </w: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Date:</w:t>
            </w:r>
          </w:p>
        </w:tc>
        <w:tc>
          <w:tcPr>
            <w:tcW w:w="7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91"/>
              </w:rPr>
              <w:t>12/12/13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Duplicate Original Letter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Employment, Confidential Information, Invention Assignment and Arbitration Agreement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60"/>
          </w:cols>
          <w:pgMar w:left="240" w:top="273" w:right="299" w:bottom="1440" w:gutter="0" w:footer="0" w:header="0"/>
        </w:sectPr>
      </w:pPr>
    </w:p>
    <w:bookmarkStart w:id="474" w:name="page475"/>
    <w:bookmarkEnd w:id="47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the extent any severance payments will be made under this letter, such severance payments will be delayed as necessary pursuant to (A) the Release Requirement and (B) the provisions of Section 409A of the of the Internal Revenue Code of 1986, as amended and the final regulations and any guidance promulgated thereunder and any applicable state law equivalents (“</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each as outlined below.</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Release Requirement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receipt of any severance pursuant to this letter is subject to you signing and not revoking a standard release of claims with the Company in a form approved by the Company (the “</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and provided that such Release becomes effective and irrevocable no later than 60 days following your termination of employment. (such deadline, the “</w:t>
      </w:r>
      <w:r>
        <w:rPr>
          <w:rFonts w:ascii="Arial" w:cs="Arial" w:eastAsia="Arial" w:hAnsi="Arial"/>
          <w:sz w:val="18"/>
          <w:szCs w:val="18"/>
          <w:b w:val="1"/>
          <w:bCs w:val="1"/>
          <w:u w:val="single" w:color="auto"/>
          <w:color w:val="auto"/>
        </w:rPr>
        <w:t>Release Deadline Date</w:t>
      </w:r>
      <w:r>
        <w:rPr>
          <w:rFonts w:ascii="Arial" w:cs="Arial" w:eastAsia="Arial" w:hAnsi="Arial"/>
          <w:sz w:val="18"/>
          <w:szCs w:val="18"/>
          <w:color w:val="auto"/>
        </w:rPr>
        <w:t>”). If the Release does not become effective and irrevocable by the Release Deadline Date, you will forfeit any rights to severance under this letter. In no event will severance payments be paid or provided until the Release becomes effective and irrevocable.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409A</w:t>
      </w:r>
    </w:p>
    <w:p>
      <w:pPr>
        <w:spacing w:after="0" w:line="121" w:lineRule="exact"/>
        <w:rPr>
          <w:sz w:val="20"/>
          <w:szCs w:val="20"/>
          <w:color w:val="auto"/>
        </w:rPr>
      </w:pPr>
    </w:p>
    <w:p>
      <w:pPr>
        <w:ind w:right="260" w:firstLine="464"/>
        <w:spacing w:after="0" w:line="259" w:lineRule="auto"/>
        <w:tabs>
          <w:tab w:leader="none" w:pos="67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This letter and all payments and benefits hereunder are intended to be exempt from or otherwise comply with Section 409A so that none of the severance payments and benefits to be provided hereunder will be subject to the additional tax imposed under Section 409A, and any ambiguities or ambiguous terms herein will be interpreted in that manner. References to your “termination of employment” will refer to your “separation from service” as defined in Section 409A.</w:t>
      </w:r>
    </w:p>
    <w:p>
      <w:pPr>
        <w:spacing w:after="0" w:line="186" w:lineRule="exact"/>
        <w:rPr>
          <w:rFonts w:ascii="Arial" w:cs="Arial" w:eastAsia="Arial" w:hAnsi="Arial"/>
          <w:sz w:val="18"/>
          <w:szCs w:val="18"/>
          <w:color w:val="auto"/>
        </w:rPr>
      </w:pPr>
    </w:p>
    <w:p>
      <w:pPr>
        <w:ind w:firstLine="464"/>
        <w:spacing w:after="0" w:line="259" w:lineRule="auto"/>
        <w:tabs>
          <w:tab w:leader="none" w:pos="72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Any severance payments under this letter will be paid on, or, in the case of installments, will not commence until, the Release Deadline Date, or, if later, such time as required by clause (iii) below. Except as required by clause (iii) below, any installment payments that would have been made to you during the 60 day period immediately following your separation from service but for the preceding sentence will be paid to you on the Release Deadline Date and the remaining payments shall be made as provided in this offer letter.</w:t>
      </w:r>
    </w:p>
    <w:p>
      <w:pPr>
        <w:spacing w:after="0" w:line="186" w:lineRule="exact"/>
        <w:rPr>
          <w:rFonts w:ascii="Arial" w:cs="Arial" w:eastAsia="Arial" w:hAnsi="Arial"/>
          <w:sz w:val="18"/>
          <w:szCs w:val="18"/>
          <w:color w:val="auto"/>
        </w:rPr>
      </w:pPr>
    </w:p>
    <w:p>
      <w:pPr>
        <w:ind w:right="80" w:firstLine="464"/>
        <w:spacing w:after="0" w:line="255" w:lineRule="auto"/>
        <w:tabs>
          <w:tab w:leader="none" w:pos="77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Further, if and to the extent necessary to avoid subjecting you to an additional tax under Section 409A, payment of all or a portion of the payments that constitute deferred compensation under Section 409A (the “</w:t>
      </w:r>
      <w:r>
        <w:rPr>
          <w:rFonts w:ascii="Arial" w:cs="Arial" w:eastAsia="Arial" w:hAnsi="Arial"/>
          <w:sz w:val="18"/>
          <w:szCs w:val="18"/>
          <w:b w:val="1"/>
          <w:bCs w:val="1"/>
          <w:u w:val="single" w:color="auto"/>
          <w:color w:val="auto"/>
        </w:rPr>
        <w:t>Deferred Payments</w:t>
      </w:r>
      <w:r>
        <w:rPr>
          <w:rFonts w:ascii="Arial" w:cs="Arial" w:eastAsia="Arial" w:hAnsi="Arial"/>
          <w:sz w:val="18"/>
          <w:szCs w:val="18"/>
          <w:color w:val="auto"/>
        </w:rPr>
        <w:t>”), if any, that otherwise would be payable to you within the first 6 months following your termination of employment will instead be delayed until the date that is 6 months and 1 day following your termination of employment (except where your termination of employment is due to your death). All subsequent Deferred Payments, if any, will be payable in accordance with the payment schedule applicable to each payment or benefit. Each payment and benefit payable under this letter is intended to constitute a separate payment for purposes of the Section 409A-related regulations.</w:t>
      </w:r>
    </w:p>
    <w:p>
      <w:pPr>
        <w:spacing w:after="0" w:line="193" w:lineRule="exact"/>
        <w:rPr>
          <w:rFonts w:ascii="Arial" w:cs="Arial" w:eastAsia="Arial" w:hAnsi="Arial"/>
          <w:sz w:val="18"/>
          <w:szCs w:val="18"/>
          <w:color w:val="auto"/>
        </w:rPr>
      </w:pPr>
    </w:p>
    <w:p>
      <w:pPr>
        <w:jc w:val="both"/>
        <w:ind w:right="120" w:firstLine="464"/>
        <w:spacing w:after="0" w:line="264" w:lineRule="auto"/>
        <w:tabs>
          <w:tab w:leader="none" w:pos="76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You and the Company agree to work together to consider amendments to this letter and to take such reasonable actions to avoid imposition of any additional tax or income recognition under Section 409A prior to actual payment to you. In no event will the Company reimburse you for any taxes that may be imposed on you as a result of Section 409A.</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70" w:right="239" w:bottom="1440" w:gutter="0" w:footer="0" w:header="0"/>
        </w:sectPr>
      </w:pPr>
    </w:p>
    <w:bookmarkStart w:id="475" w:name="page476"/>
    <w:bookmarkEnd w:id="47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Letter of Potential Conflicts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currently serve on the Board of Directors (non-executive director) of:</w:t>
      </w:r>
    </w:p>
    <w:p>
      <w:pPr>
        <w:spacing w:after="0" w:line="131" w:lineRule="exact"/>
        <w:rPr>
          <w:sz w:val="20"/>
          <w:szCs w:val="20"/>
          <w:color w:val="auto"/>
        </w:rPr>
      </w:pPr>
    </w:p>
    <w:p>
      <w:pPr>
        <w:ind w:left="900" w:hanging="446"/>
        <w:spacing w:after="0"/>
        <w:tabs>
          <w:tab w:leader="none" w:pos="90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Renaptys Vaccines: A Colorado based, synthetic peptide vaccine company. Initial research focuses on a universal influenza vaccine.</w:t>
      </w:r>
    </w:p>
    <w:p>
      <w:pPr>
        <w:spacing w:after="0" w:line="142" w:lineRule="exact"/>
        <w:rPr>
          <w:rFonts w:ascii="Arial" w:cs="Arial" w:eastAsia="Arial" w:hAnsi="Arial"/>
          <w:sz w:val="17"/>
          <w:szCs w:val="17"/>
          <w:color w:val="auto"/>
        </w:rPr>
      </w:pPr>
    </w:p>
    <w:p>
      <w:pPr>
        <w:ind w:left="900" w:right="100"/>
        <w:spacing w:after="0" w:line="342" w:lineRule="auto"/>
        <w:rPr>
          <w:rFonts w:ascii="Arial" w:cs="Arial" w:eastAsia="Arial" w:hAnsi="Arial"/>
          <w:sz w:val="17"/>
          <w:szCs w:val="17"/>
          <w:color w:val="auto"/>
        </w:rPr>
      </w:pPr>
      <w:r>
        <w:rPr>
          <w:rFonts w:ascii="Arial" w:cs="Arial" w:eastAsia="Arial" w:hAnsi="Arial"/>
          <w:sz w:val="16"/>
          <w:szCs w:val="16"/>
          <w:color w:val="auto"/>
        </w:rPr>
        <w:t>Renaptys is focused on a synthetic peptide vaccines that generate antibodies against conserved targets on viruses. Lead program at candidate for Universal Influenza vaccine. As co-founder my only compensation is the equity I hold in the company (i.e. no cash compensation).</w:t>
      </w:r>
    </w:p>
    <w:p>
      <w:pPr>
        <w:spacing w:after="0" w:line="29" w:lineRule="exact"/>
        <w:rPr>
          <w:rFonts w:ascii="Arial" w:cs="Arial" w:eastAsia="Arial" w:hAnsi="Arial"/>
          <w:sz w:val="17"/>
          <w:szCs w:val="17"/>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ProteoTech: A Washington based company focused on small molecule approaches to protein misfolding diseases (CNS).</w:t>
      </w:r>
    </w:p>
    <w:p>
      <w:pPr>
        <w:spacing w:after="0" w:line="117"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ProteoTech’s small molecule programs are designed to block aggregation as well as disaggragate misfolded proteins. This includes amyloid, alpha synuclein and Tau. There lead program is going into IND toxicology studies now with plan for phase 1/2a studies to begin by end of year. Compensation is $2500 and 10,000 options per meeting.</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My commitment to both companies includes quarterly board calls/meetings and occasional interim calls to address issues. Neither of these roles represents a conflict of interest or time to Wave.</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 will update my status at least once per year by devliering a letter to the Company’s Board, detailing any other potentially conflicting engagements that I may have. And if circumstances change at any time, I will notify and disclose to the Board any such changes or any new potential conflicts.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70" w:right="279"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This Employment Agreement (the “Agreement”), made and entered into this 10th day of March, 2015 (the “Effective Date”), by and between Wave Life Sciences Pte. Ltd., a company organized under the laws of Singapore (“Company”), and Roberto Guerciolini (“Executive”).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wishes to employ Executive as its Senior Vice-President, Head of Early Development;</w:t>
      </w:r>
    </w:p>
    <w:p>
      <w:pPr>
        <w:spacing w:after="0" w:line="225"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represents that Executive possesses the necessary skills to perform the duties of this position and that Executive has no</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any other person or entity which would prevent, limit or interfere with Executive’s ability to do so;</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Company desire to enter into a formal Employment Agreement to assure the harmonious performance of the affairs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promises, terms, provisions, and conditions contained herein, the parties agree as follows:</w:t>
      </w:r>
    </w:p>
    <w:p>
      <w:pPr>
        <w:spacing w:after="0" w:line="237" w:lineRule="exact"/>
        <w:rPr>
          <w:sz w:val="20"/>
          <w:szCs w:val="20"/>
          <w:color w:val="auto"/>
        </w:rPr>
      </w:pPr>
    </w:p>
    <w:p>
      <w:pPr>
        <w:ind w:right="20" w:firstLine="464"/>
        <w:spacing w:after="0" w:line="286" w:lineRule="auto"/>
        <w:tabs>
          <w:tab w:leader="none" w:pos="636" w:val="left"/>
        </w:tabs>
        <w:numPr>
          <w:ilvl w:val="0"/>
          <w:numId w:val="3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Position and Devotion to Duties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the terms and conditions of this Agreement, Company shall employ Executive as its Senior Vice-President, Head of Early Development, reporting to Company’s Chief Executive Officer. Executive accepts such employment upon the terms and conditions set forth herein, and agrees to perform to the best of Executive’s ability the duties normally associated with such position and as determined by Company’s Chief Executive Officer in his sole discretion. During Executive’s employment, Executive shall devote all of Executive’s business time and energies to the business and affairs of Company,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contained in this Section 1 shall prevent or limit Executive’s right to manage Executive’s personal investments on Executive’s own personal time, including, without limitation the right to make passive investments in the securities of any publicly held entity so long as Executive’s aggregate direct and indirect interest does not exceed two percent (2%) of the issued and outstanding securities of any class of securities of such publicly held entity. In addition, subject to the approval of Company’s Board of Directors (the “Board”), Executive may (a) serve on the boards of directors of and/or provide related advisory or consulting services to other business entities that do not compete with the business of Company, including the entities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so long as such activities have been disclosed in writing to and approved by the Board, and (b) serve on the boards of directors of civic or not-for-profit corporations provided that the Executive provides the Board with written notice that the Executive has taken such position;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Board determines that Executive’s activities as aforesaid interfere with or may interfere with the effective discharge of Executive’s duties and responsibilities to Company or that any business related to such service is then in competition with any business of Company, then the Board shall have the right to require Executive to immediately cease such activities.</w:t>
      </w:r>
    </w:p>
    <w:p>
      <w:pPr>
        <w:sectPr>
          <w:pgSz w:w="11900" w:h="16838" w:orient="portrait"/>
          <w:cols w:equalWidth="0" w:num="1">
            <w:col w:w="11420"/>
          </w:cols>
          <w:pgMar w:left="240" w:top="121" w:right="239" w:bottom="1440" w:gutter="0" w:footer="0" w:header="0"/>
        </w:sectPr>
      </w:pPr>
    </w:p>
    <w:bookmarkStart w:id="477" w:name="page478"/>
    <w:bookmarkEnd w:id="477"/>
    <w:p>
      <w:pPr>
        <w:ind w:left="640" w:hanging="176"/>
        <w:spacing w:after="0"/>
        <w:tabs>
          <w:tab w:leader="none" w:pos="64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and Termination of Employment</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64"/>
        <w:spacing w:after="0" w:line="277" w:lineRule="auto"/>
        <w:tabs>
          <w:tab w:leader="none" w:pos="701"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terms hereof, Executive’s employment hereunder shall commence on March 10, 2015 (the “Commencement Date”) and shall continue until terminated hereunder by either party as provided for below.</w:t>
      </w:r>
    </w:p>
    <w:p>
      <w:pPr>
        <w:spacing w:after="0" w:line="170"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Termination by Company</w:t>
      </w:r>
      <w:r>
        <w:rPr>
          <w:rFonts w:ascii="Arial" w:cs="Arial" w:eastAsia="Arial" w:hAnsi="Arial"/>
          <w:sz w:val="18"/>
          <w:szCs w:val="18"/>
          <w:color w:val="auto"/>
        </w:rPr>
        <w:t>. Notwithstanding anything else contained in this Agreement, Company may terminate Executive’s employment hereunder as follows:</w:t>
      </w:r>
    </w:p>
    <w:p>
      <w:pPr>
        <w:spacing w:after="0" w:line="62" w:lineRule="exact"/>
        <w:rPr>
          <w:rFonts w:ascii="Arial" w:cs="Arial" w:eastAsia="Arial" w:hAnsi="Arial"/>
          <w:sz w:val="18"/>
          <w:szCs w:val="18"/>
          <w:color w:val="auto"/>
        </w:rPr>
      </w:pPr>
    </w:p>
    <w:p>
      <w:pPr>
        <w:jc w:val="both"/>
        <w:ind w:left="460" w:right="20" w:firstLine="443"/>
        <w:spacing w:after="0" w:line="259" w:lineRule="auto"/>
        <w:tabs>
          <w:tab w:leader="none" w:pos="1113"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For Cause (as defined below), by written notice by Company to Executive that Executive’s employment is being terminated for Cause, which termination shall be effective on the date of such notice or such later date as specified in writing by Company; </w:t>
      </w:r>
      <w:r>
        <w:rPr>
          <w:rFonts w:ascii="Arial" w:cs="Arial" w:eastAsia="Arial" w:hAnsi="Arial"/>
          <w:sz w:val="18"/>
          <w:szCs w:val="18"/>
          <w:u w:val="single" w:color="auto"/>
          <w:color w:val="auto"/>
        </w:rPr>
        <w:t>provided that</w:t>
      </w:r>
      <w:r>
        <w:rPr>
          <w:rFonts w:ascii="Arial" w:cs="Arial" w:eastAsia="Arial" w:hAnsi="Arial"/>
          <w:sz w:val="18"/>
          <w:szCs w:val="18"/>
          <w:color w:val="auto"/>
        </w:rPr>
        <w:t>, if Executive has cured the circumstances giving rise to Cause (as applicable pursuant to the terms and conditions set forth in Section 2(d)(i) below) then such termination shall not be effective; or</w:t>
      </w:r>
    </w:p>
    <w:p>
      <w:pPr>
        <w:spacing w:after="0" w:line="78" w:lineRule="exact"/>
        <w:rPr>
          <w:rFonts w:ascii="Arial" w:cs="Arial" w:eastAsia="Arial" w:hAnsi="Arial"/>
          <w:sz w:val="18"/>
          <w:szCs w:val="18"/>
          <w:color w:val="auto"/>
        </w:rPr>
      </w:pPr>
    </w:p>
    <w:p>
      <w:pPr>
        <w:jc w:val="both"/>
        <w:ind w:left="460" w:right="360" w:firstLine="443"/>
        <w:spacing w:after="0" w:line="264" w:lineRule="auto"/>
        <w:tabs>
          <w:tab w:leader="none" w:pos="1163"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Without Cause, by written notice by Company to Executive that Executive’s employment is being terminated, which termination shall be effective thirty (30) days after the date of such notice; </w:t>
      </w:r>
      <w:r>
        <w:rPr>
          <w:rFonts w:ascii="Arial" w:cs="Arial" w:eastAsia="Arial" w:hAnsi="Arial"/>
          <w:sz w:val="18"/>
          <w:szCs w:val="18"/>
          <w:u w:val="single" w:color="auto"/>
          <w:color w:val="auto"/>
        </w:rPr>
        <w:t>provided that</w:t>
      </w:r>
      <w:r>
        <w:rPr>
          <w:rFonts w:ascii="Arial" w:cs="Arial" w:eastAsia="Arial" w:hAnsi="Arial"/>
          <w:sz w:val="18"/>
          <w:szCs w:val="18"/>
          <w:color w:val="auto"/>
        </w:rPr>
        <w:t>, Company may, at its sole discretion, either place Executive on unpaid leave or suspend all of his duties and powers for all or part of the applicable notice period.</w:t>
      </w:r>
    </w:p>
    <w:p>
      <w:pPr>
        <w:spacing w:after="0" w:line="181" w:lineRule="exact"/>
        <w:rPr>
          <w:rFonts w:ascii="Arial" w:cs="Arial" w:eastAsia="Arial" w:hAnsi="Arial"/>
          <w:sz w:val="18"/>
          <w:szCs w:val="18"/>
          <w:color w:val="auto"/>
        </w:rPr>
      </w:pPr>
    </w:p>
    <w:p>
      <w:pPr>
        <w:ind w:right="760" w:firstLine="464"/>
        <w:spacing w:after="0" w:line="277" w:lineRule="auto"/>
        <w:tabs>
          <w:tab w:leader="none" w:pos="701"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Termination by Executive.</w:t>
      </w:r>
      <w:r>
        <w:rPr>
          <w:rFonts w:ascii="Arial" w:cs="Arial" w:eastAsia="Arial" w:hAnsi="Arial"/>
          <w:sz w:val="18"/>
          <w:szCs w:val="18"/>
          <w:color w:val="auto"/>
        </w:rPr>
        <w:t xml:space="preserve"> Notwithstanding anything else contained in this Agreement, Executive may terminate Executive’s employment hereunder as follows:</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13"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For Good Reason (as defined below), by written notice by Executive to Company that Executive is terminating Executive’s employment for Good Reason, which termination shall be effective thirty (30) days after the date of such notice; </w:t>
      </w:r>
      <w:r>
        <w:rPr>
          <w:rFonts w:ascii="Arial" w:cs="Arial" w:eastAsia="Arial" w:hAnsi="Arial"/>
          <w:sz w:val="18"/>
          <w:szCs w:val="18"/>
          <w:u w:val="single" w:color="auto"/>
          <w:color w:val="auto"/>
        </w:rPr>
        <w:t>provided that</w:t>
      </w:r>
      <w:r>
        <w:rPr>
          <w:rFonts w:ascii="Arial" w:cs="Arial" w:eastAsia="Arial" w:hAnsi="Arial"/>
          <w:sz w:val="18"/>
          <w:szCs w:val="18"/>
          <w:color w:val="auto"/>
        </w:rPr>
        <w:t>, if Company has cured the circumstances giving rise to Good Reason then such termination shall not be effective; or</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63"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Without Good Reason, by written notice by Executive to Company that Executive is terminating Executive’s employment, which termination shall be effective thirty (30) days after the date of such notice; </w:t>
      </w:r>
      <w:r>
        <w:rPr>
          <w:rFonts w:ascii="Arial" w:cs="Arial" w:eastAsia="Arial" w:hAnsi="Arial"/>
          <w:sz w:val="18"/>
          <w:szCs w:val="18"/>
          <w:u w:val="single" w:color="auto"/>
          <w:color w:val="auto"/>
        </w:rPr>
        <w:t>provided that</w:t>
      </w:r>
      <w:r>
        <w:rPr>
          <w:rFonts w:ascii="Arial" w:cs="Arial" w:eastAsia="Arial" w:hAnsi="Arial"/>
          <w:sz w:val="18"/>
          <w:szCs w:val="18"/>
          <w:color w:val="auto"/>
        </w:rPr>
        <w:t>, Company may, at its sole discretion, either place Executive on unpaid leave or suspend all of his duties and powers for all or part of the applicable notice period.</w:t>
      </w:r>
    </w:p>
    <w:p>
      <w:pPr>
        <w:spacing w:after="0" w:line="289" w:lineRule="exact"/>
        <w:rPr>
          <w:rFonts w:ascii="Arial" w:cs="Arial" w:eastAsia="Arial" w:hAnsi="Arial"/>
          <w:sz w:val="18"/>
          <w:szCs w:val="18"/>
          <w:color w:val="auto"/>
        </w:rPr>
      </w:pPr>
    </w:p>
    <w:p>
      <w:pPr>
        <w:ind w:left="720" w:hanging="256"/>
        <w:spacing w:after="0"/>
        <w:tabs>
          <w:tab w:leader="none" w:pos="72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55" w:lineRule="auto"/>
        <w:tabs>
          <w:tab w:leader="none" w:pos="1113"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For the purposes of this Agreement, “Cause” shall mean Executive’s: (A) having committed, intentionally or through gross negligence, wrongful damage to property of Company or its parents, subsidiaries or other affiliates; (B) commission of,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(excluding minor traffic violations); (C) engaging in fraud, misappropriation, dishonesty or embezzlement in connection with the business, operations or affairs of Company (including without limitation any business done with clients or vendors); (D) material breach of this Agreement or any other agreement between Executive and Company (including, without limitation, any breaches of Section 5 and/or Section 6 of this Agreement which shall be deemed “material” for purposes of this subsection (D)); (E) willful misconduct or gross negligence that is injurious to the business or reputation of Company; or (F) failure or refusal to perform, 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478" w:name="page479"/>
    <w:bookmarkEnd w:id="478"/>
    <w:p>
      <w:pPr>
        <w:ind w:left="42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gross incompetence in the performance of, the duties and obligations delegated to Executive commensurate with Executive’s position as an employee of Company, </w:t>
      </w:r>
      <w:r>
        <w:rPr>
          <w:rFonts w:ascii="Arial" w:cs="Arial" w:eastAsia="Arial" w:hAnsi="Arial"/>
          <w:sz w:val="18"/>
          <w:szCs w:val="18"/>
          <w:u w:val="single" w:color="auto"/>
          <w:color w:val="auto"/>
        </w:rPr>
        <w:t>provided that</w:t>
      </w:r>
      <w:r>
        <w:rPr>
          <w:rFonts w:ascii="Arial" w:cs="Arial" w:eastAsia="Arial" w:hAnsi="Arial"/>
          <w:sz w:val="18"/>
          <w:szCs w:val="18"/>
          <w:color w:val="auto"/>
        </w:rPr>
        <w:t>, “Cause” shall not be deemed to have occurred pursuant to subsection (F) hereof unless Executive has first received written notice specifying in reasonable detail the particulars of such grounds and that Company intends to terminate Executive’s employment hereunder for such ground, and if such ground is reasonably capable of being cured within ten (10) days, Executive has failed to cure such ground within a period of ten (10) days from the date of such notice (the “Cause Cure Period”).</w:t>
      </w:r>
    </w:p>
    <w:p>
      <w:pPr>
        <w:spacing w:after="0" w:line="80" w:lineRule="exact"/>
        <w:rPr>
          <w:sz w:val="20"/>
          <w:szCs w:val="20"/>
          <w:color w:val="auto"/>
        </w:rPr>
      </w:pPr>
    </w:p>
    <w:p>
      <w:pPr>
        <w:ind w:left="420" w:firstLine="443"/>
        <w:spacing w:after="0" w:line="269" w:lineRule="auto"/>
        <w:tabs>
          <w:tab w:leader="none" w:pos="1123" w:val="left"/>
        </w:tabs>
        <w:numPr>
          <w:ilvl w:val="1"/>
          <w:numId w:val="381"/>
        </w:numPr>
        <w:rPr>
          <w:rFonts w:ascii="Arial" w:cs="Arial" w:eastAsia="Arial" w:hAnsi="Arial"/>
          <w:sz w:val="17"/>
          <w:szCs w:val="17"/>
          <w:color w:val="auto"/>
        </w:rPr>
      </w:pPr>
      <w:r>
        <w:rPr>
          <w:rFonts w:ascii="Arial" w:cs="Arial" w:eastAsia="Arial" w:hAnsi="Arial"/>
          <w:sz w:val="17"/>
          <w:szCs w:val="17"/>
          <w:color w:val="auto"/>
        </w:rPr>
        <w:t xml:space="preserve">For the purposes of this Agreement, “Good Reason” shall mean, without Executive’s consent: (A) a material reduction in Executive’s Base Salary (other than as a result of a broad-based reduction of salary similarly affecting other Company executives having comparable rank, authority and seniority); (B) a material adverse change by Company in Executive’s authority or responsibilities which causes Executive’s position with Company to become of less authority or responsibility than his position immediately prior to such change; or (C) a change in the principal location at which Executive performs his duties for Company to a new location that is at least fifty (50) miles from the prior location; </w:t>
      </w:r>
      <w:r>
        <w:rPr>
          <w:rFonts w:ascii="Arial" w:cs="Arial" w:eastAsia="Arial" w:hAnsi="Arial"/>
          <w:sz w:val="17"/>
          <w:szCs w:val="17"/>
          <w:u w:val="single" w:color="auto"/>
          <w:color w:val="auto"/>
        </w:rPr>
        <w:t>provided that</w:t>
      </w:r>
      <w:r>
        <w:rPr>
          <w:rFonts w:ascii="Arial" w:cs="Arial" w:eastAsia="Arial" w:hAnsi="Arial"/>
          <w:sz w:val="17"/>
          <w:szCs w:val="17"/>
          <w:color w:val="auto"/>
        </w:rPr>
        <w:t>, “Good Reason” shall not be deemed to have occurred unless: (x) Executive provides Company with written notice that she intends to terminate Executive’s employment hereunder for one of the grounds set forth above within thirty (30) days of such ground occurring; (y) if such ground is capable of being cured, Company has failed to cure such ground within a period of thirty (30) days from the date of such written notice; and (z) Executive terminates Executive’s employment within seventy-five (75) days from the date that Good Reason first occurs. For purposes of clarification, the above-listed conditions shall apply separately to each occurrence of Good Reason and failure to adhere to such conditions in the event of Good Reason shall not disqualify Executive from asserting Good Reason for any subsequent occurrence of Good Reason.</w:t>
      </w:r>
    </w:p>
    <w:p>
      <w:pPr>
        <w:spacing w:after="0" w:line="287" w:lineRule="exact"/>
        <w:rPr>
          <w:rFonts w:ascii="Arial" w:cs="Arial" w:eastAsia="Arial" w:hAnsi="Arial"/>
          <w:sz w:val="17"/>
          <w:szCs w:val="17"/>
          <w:color w:val="auto"/>
        </w:rPr>
      </w:pPr>
    </w:p>
    <w:p>
      <w:pPr>
        <w:ind w:left="600" w:hanging="176"/>
        <w:spacing w:after="0"/>
        <w:tabs>
          <w:tab w:leader="none" w:pos="6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sz w:val="20"/>
          <w:szCs w:val="20"/>
          <w:color w:val="auto"/>
        </w:rPr>
      </w:pPr>
    </w:p>
    <w:p>
      <w:pPr>
        <w:ind w:left="-40" w:right="60" w:firstLine="464"/>
        <w:spacing w:after="0" w:line="286" w:lineRule="auto"/>
        <w:tabs>
          <w:tab w:leader="none" w:pos="661"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As compensation for services rendered hereunder, Executive shall receive a salary of $315,000.00 annually (the “Base Salary”), which shall be paid in accordance with Company’s then prevailing payroll practices. The annualized amount of the Base Salary is set forth herein as a matter of convenience and shall not be deemed or interpreted as an agreement by Company to employ Executive for any specific period of time.</w:t>
      </w:r>
    </w:p>
    <w:p>
      <w:pPr>
        <w:spacing w:after="0" w:line="165" w:lineRule="exact"/>
        <w:rPr>
          <w:rFonts w:ascii="Arial" w:cs="Arial" w:eastAsia="Arial" w:hAnsi="Arial"/>
          <w:sz w:val="17"/>
          <w:szCs w:val="17"/>
          <w:color w:val="auto"/>
        </w:rPr>
      </w:pPr>
    </w:p>
    <w:p>
      <w:pPr>
        <w:ind w:left="-40" w:right="140" w:firstLine="464"/>
        <w:spacing w:after="0" w:line="255" w:lineRule="auto"/>
        <w:tabs>
          <w:tab w:leader="none" w:pos="671"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Beginning in calendar year 2015 and for each full calendar year thereafter that Executive is employed by Company hereunder, Executive will be eligible to receive an annual, discretionary bonus of up to twenty-five percent (25%) of the Base Salary (the “Bonus”), based upon achievement of individual and corporate performance objectives as determined by the Board. Such performance objectives shall be established by the Board by no later than March 1st of each calendar year that Executive is employed hereunder; </w:t>
      </w:r>
      <w:r>
        <w:rPr>
          <w:rFonts w:ascii="Arial" w:cs="Arial" w:eastAsia="Arial" w:hAnsi="Arial"/>
          <w:sz w:val="18"/>
          <w:szCs w:val="18"/>
          <w:u w:val="single" w:color="auto"/>
          <w:color w:val="auto"/>
        </w:rPr>
        <w:t>provided that</w:t>
      </w:r>
      <w:r>
        <w:rPr>
          <w:rFonts w:ascii="Arial" w:cs="Arial" w:eastAsia="Arial" w:hAnsi="Arial"/>
          <w:sz w:val="18"/>
          <w:szCs w:val="18"/>
          <w:color w:val="auto"/>
        </w:rPr>
        <w:t>, for calendar year 2015, the performance objectives shall be established by no later than April 30th, 2015. The amount of the Bonus, if any, will be determined by the Board in its sole and absolute discretion. Whether Executive receives a Bonus and the amount of any such Bonus will be based on whether Executive and/or Company fail to achieve or achieves the aforementioned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3" w:right="259" w:bottom="1440" w:gutter="0" w:footer="0" w:header="0"/>
        </w:sectPr>
      </w:pPr>
    </w:p>
    <w:bookmarkStart w:id="479" w:name="page480"/>
    <w:bookmarkEnd w:id="479"/>
    <w:p>
      <w:pPr>
        <w:ind w:right="2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objectives, as determined by the Board in its discretion. For calendar year 2015, the Bonus shall be pro-rated based on the number of calendar days that Executive is employed by Company hereunder from the Commencement Date through December 31, 2015. The Bonus will be deemed earned provided that Executive is employed as of December 31st of the calendar year to which such Bonus relates and is not in breach of this Agreement as of the payment date. The Bonus, if any, will be paid no later than March 15th of the year following the year to which the performance objectives relate.</w:t>
      </w:r>
    </w:p>
    <w:p>
      <w:pPr>
        <w:spacing w:after="0" w:line="154" w:lineRule="exact"/>
        <w:rPr>
          <w:sz w:val="20"/>
          <w:szCs w:val="20"/>
          <w:color w:val="auto"/>
        </w:rPr>
      </w:pPr>
    </w:p>
    <w:p>
      <w:pPr>
        <w:ind w:firstLine="464"/>
        <w:spacing w:after="0" w:line="290" w:lineRule="auto"/>
        <w:tabs>
          <w:tab w:leader="none" w:pos="701"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xml:space="preserve">. Subject to Board approval and pursuant to the terms of Company’s 2014 Equity Incentive Plan, as amended (the “Plan”), Company shall grant Executive options to purchase 30,000 ordinary shares in the capital of Company (the “Stock Option”), at a per share exercise price equal to the fair market value of Company’s ordinary share, as determined by the board of directors of Company on the date of grant. Vesting of the Stock Option will take place over forty-eight (48) months, with twenty-five percent (25%) of all shares vesting on the one (1) year anniversary of the Commencement Date, and the remaining shares vesting in equal monthly installments of 2.0833% of the total number of shares on the last day of each calendar month thereafter for thirty-six (36) months, subject to Executive’s continued service to Company; </w:t>
      </w:r>
      <w:r>
        <w:rPr>
          <w:rFonts w:ascii="Arial" w:cs="Arial" w:eastAsia="Arial" w:hAnsi="Arial"/>
          <w:sz w:val="16"/>
          <w:szCs w:val="16"/>
          <w:u w:val="single" w:color="auto"/>
          <w:color w:val="auto"/>
        </w:rPr>
        <w:t>provided that</w:t>
      </w:r>
      <w:r>
        <w:rPr>
          <w:rFonts w:ascii="Arial" w:cs="Arial" w:eastAsia="Arial" w:hAnsi="Arial"/>
          <w:sz w:val="16"/>
          <w:szCs w:val="16"/>
          <w:color w:val="auto"/>
        </w:rPr>
        <w:t>, upon the occurrence of a “Change of Control” (as defined in Company’s standard form of stock option agreement), the vesting schedule of the Stock Option shall be accelerated in full. The Stock Option shall be evidenced in writing by, and subject to the terms and conditions of, the Plan and Company’s standard form of stock option agreement.</w:t>
      </w:r>
    </w:p>
    <w:p>
      <w:pPr>
        <w:spacing w:after="0" w:line="166" w:lineRule="exact"/>
        <w:rPr>
          <w:rFonts w:ascii="Arial" w:cs="Arial" w:eastAsia="Arial" w:hAnsi="Arial"/>
          <w:sz w:val="16"/>
          <w:szCs w:val="16"/>
          <w:color w:val="auto"/>
        </w:rPr>
      </w:pPr>
    </w:p>
    <w:p>
      <w:pPr>
        <w:jc w:val="both"/>
        <w:ind w:right="60" w:firstLine="464"/>
        <w:spacing w:after="0" w:line="264" w:lineRule="auto"/>
        <w:tabs>
          <w:tab w:leader="none" w:pos="711"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Fringe Benefits</w:t>
      </w:r>
      <w:r>
        <w:rPr>
          <w:rFonts w:ascii="Arial" w:cs="Arial" w:eastAsia="Arial" w:hAnsi="Arial"/>
          <w:sz w:val="18"/>
          <w:szCs w:val="18"/>
          <w:color w:val="auto"/>
        </w:rPr>
        <w:t>. Executive shall be entitled to participate in all benefit/welfare plans and fringe benefits provided to employees at the same level as Executive. Executive understands that, except when prohibited by applicable law, Company’s benefit plans and fringe benefits may be amended by Company from time to time in its sole discretion.</w:t>
      </w:r>
    </w:p>
    <w:p>
      <w:pPr>
        <w:spacing w:after="0" w:line="181" w:lineRule="exact"/>
        <w:rPr>
          <w:rFonts w:ascii="Arial" w:cs="Arial" w:eastAsia="Arial" w:hAnsi="Arial"/>
          <w:sz w:val="18"/>
          <w:szCs w:val="18"/>
          <w:color w:val="auto"/>
        </w:rPr>
      </w:pPr>
    </w:p>
    <w:p>
      <w:pPr>
        <w:jc w:val="both"/>
        <w:ind w:right="620" w:firstLine="464"/>
        <w:spacing w:after="0" w:line="342" w:lineRule="auto"/>
        <w:tabs>
          <w:tab w:leader="none" w:pos="701"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Executive may take up to twenty (20) days of vacation per year, to be scheduled to minimize disruption to Company’s operations. Executive’s vacation use, accrual and carryover shall be subject to the terms and conditions of Company’s vacation policy in effect from time to time.</w:t>
      </w:r>
    </w:p>
    <w:p>
      <w:pPr>
        <w:spacing w:after="0" w:line="123" w:lineRule="exact"/>
        <w:rPr>
          <w:rFonts w:ascii="Arial" w:cs="Arial" w:eastAsia="Arial" w:hAnsi="Arial"/>
          <w:sz w:val="16"/>
          <w:szCs w:val="16"/>
          <w:color w:val="auto"/>
        </w:rPr>
      </w:pPr>
    </w:p>
    <w:p>
      <w:pPr>
        <w:ind w:right="80" w:firstLine="464"/>
        <w:spacing w:after="0" w:line="270" w:lineRule="auto"/>
        <w:tabs>
          <w:tab w:leader="none" w:pos="681"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Reimbursement of Expenses</w:t>
      </w:r>
      <w:r>
        <w:rPr>
          <w:rFonts w:ascii="Arial" w:cs="Arial" w:eastAsia="Arial" w:hAnsi="Arial"/>
          <w:sz w:val="17"/>
          <w:szCs w:val="17"/>
          <w:color w:val="auto"/>
        </w:rPr>
        <w:t>. Company shall reimburse Executive for all ordinary and reasonable out-of-pocket business expenses incurred by Executive in furtherance of Company’s business in accordance with Company’s policies with respect thereto as in effect from time to time. Executive must submit any request for reimbursement no later than ninety (90) days following the date that such business expense is incurred. All reimbursements provided under this Agreement shall be made or provided in accordance with the requirements of Section 409A of the Internal Revenue Code and the rules and regulations thereunder (“Section 409A”)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shall be made no later than the last day of the calendar year following the year in which the expense is incurred, and (iv) the right to reimbursement or in kind benefits is not subject to liquidation or exchange for another benefit.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80" w:name="page481"/>
    <w:bookmarkEnd w:id="480"/>
    <w:p>
      <w:pPr>
        <w:ind w:right="60" w:firstLine="464"/>
        <w:spacing w:after="0" w:line="277" w:lineRule="auto"/>
        <w:tabs>
          <w:tab w:leader="none" w:pos="711"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w:t>
      </w:r>
      <w:r>
        <w:rPr>
          <w:rFonts w:ascii="Arial" w:cs="Arial" w:eastAsia="Arial" w:hAnsi="Arial"/>
          <w:sz w:val="18"/>
          <w:szCs w:val="18"/>
          <w:color w:val="auto"/>
        </w:rPr>
        <w:t>. All amounts payable to Executive under this Section 3 shall be subject to all required federal, state and local withholding, payroll and insurance taxes.</w:t>
      </w:r>
    </w:p>
    <w:p>
      <w:pPr>
        <w:spacing w:after="0" w:line="275" w:lineRule="exact"/>
        <w:rPr>
          <w:sz w:val="20"/>
          <w:szCs w:val="20"/>
          <w:color w:val="auto"/>
        </w:rPr>
      </w:pPr>
    </w:p>
    <w:p>
      <w:pPr>
        <w:ind w:left="640" w:hanging="176"/>
        <w:spacing w:after="0"/>
        <w:tabs>
          <w:tab w:leader="none" w:pos="64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Severance Payments</w:t>
      </w:r>
      <w:r>
        <w:rPr>
          <w:rFonts w:ascii="Arial" w:cs="Arial" w:eastAsia="Arial" w:hAnsi="Arial"/>
          <w:sz w:val="18"/>
          <w:szCs w:val="18"/>
          <w:b w:val="1"/>
          <w:bCs w:val="1"/>
          <w:color w:val="auto"/>
        </w:rPr>
        <w:t>.</w:t>
      </w:r>
    </w:p>
    <w:p>
      <w:pPr>
        <w:spacing w:after="0" w:line="121" w:lineRule="exact"/>
        <w:rPr>
          <w:sz w:val="20"/>
          <w:szCs w:val="20"/>
          <w:color w:val="auto"/>
        </w:rPr>
      </w:pPr>
    </w:p>
    <w:p>
      <w:pPr>
        <w:ind w:right="300" w:firstLine="464"/>
        <w:spacing w:after="0" w:line="293" w:lineRule="auto"/>
        <w:tabs>
          <w:tab w:leader="none" w:pos="701" w:val="left"/>
        </w:tabs>
        <w:numPr>
          <w:ilvl w:val="0"/>
          <w:numId w:val="387"/>
        </w:numPr>
        <w:rPr>
          <w:rFonts w:ascii="Arial" w:cs="Arial" w:eastAsia="Arial" w:hAnsi="Arial"/>
          <w:sz w:val="16"/>
          <w:szCs w:val="16"/>
          <w:color w:val="auto"/>
        </w:rPr>
      </w:pPr>
      <w:r>
        <w:rPr>
          <w:rFonts w:ascii="Arial" w:cs="Arial" w:eastAsia="Arial" w:hAnsi="Arial"/>
          <w:sz w:val="16"/>
          <w:szCs w:val="16"/>
          <w:u w:val="single" w:color="auto"/>
          <w:color w:val="auto"/>
        </w:rPr>
        <w:t>Payment of Accrued Obligations</w:t>
      </w:r>
      <w:r>
        <w:rPr>
          <w:rFonts w:ascii="Arial" w:cs="Arial" w:eastAsia="Arial" w:hAnsi="Arial"/>
          <w:sz w:val="16"/>
          <w:szCs w:val="16"/>
          <w:color w:val="auto"/>
        </w:rPr>
        <w:t>. Regardless of the reason for any employment termination hereunder, Company shall pay to Executive: (i) the portion of Executive’s Base Salary that has accrued prior to any termination of Executive’s employment and has not yet been paid; (ii) the portion of Executive’s vacation days that have accrued prior to any termination of Executive’s employment and has not yet been used; and (iii) the amount of any expenses properly incurred by Executive on behalf of Company prior to any such termination and has not yet been reimbursed (together, the “Accrued Obligations”) promptly following the effective date of termination. Executive’s entitlement to other compensation or benefits under any Company plan or policy shall be governed by and determined in accordance with the terms of such plan or policy, except as otherwise specified in this Agreement.</w:t>
      </w:r>
    </w:p>
    <w:p>
      <w:pPr>
        <w:spacing w:after="0" w:line="164" w:lineRule="exact"/>
        <w:rPr>
          <w:rFonts w:ascii="Arial" w:cs="Arial" w:eastAsia="Arial" w:hAnsi="Arial"/>
          <w:sz w:val="16"/>
          <w:szCs w:val="16"/>
          <w:color w:val="auto"/>
        </w:rPr>
      </w:pPr>
    </w:p>
    <w:p>
      <w:pPr>
        <w:ind w:right="180" w:firstLine="464"/>
        <w:spacing w:after="0" w:line="277" w:lineRule="auto"/>
        <w:tabs>
          <w:tab w:leader="none" w:pos="711"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If Executive’s employment hereunder is terminated by Company without Cause or by Executive for Good Reason, then, in addition to the Accrued Obligations:</w:t>
      </w:r>
    </w:p>
    <w:p>
      <w:pPr>
        <w:spacing w:after="0" w:line="62" w:lineRule="exact"/>
        <w:rPr>
          <w:rFonts w:ascii="Arial" w:cs="Arial" w:eastAsia="Arial" w:hAnsi="Arial"/>
          <w:sz w:val="18"/>
          <w:szCs w:val="18"/>
          <w:color w:val="auto"/>
        </w:rPr>
      </w:pPr>
    </w:p>
    <w:p>
      <w:pPr>
        <w:ind w:left="460" w:right="180" w:firstLine="443"/>
        <w:spacing w:after="0" w:line="308" w:lineRule="auto"/>
        <w:tabs>
          <w:tab w:leader="none" w:pos="1113" w:val="left"/>
        </w:tabs>
        <w:numPr>
          <w:ilvl w:val="1"/>
          <w:numId w:val="387"/>
        </w:numPr>
        <w:rPr>
          <w:rFonts w:ascii="Arial" w:cs="Arial" w:eastAsia="Arial" w:hAnsi="Arial"/>
          <w:sz w:val="17"/>
          <w:szCs w:val="17"/>
          <w:color w:val="auto"/>
        </w:rPr>
      </w:pPr>
      <w:r>
        <w:rPr>
          <w:rFonts w:ascii="Arial" w:cs="Arial" w:eastAsia="Arial" w:hAnsi="Arial"/>
          <w:sz w:val="17"/>
          <w:szCs w:val="17"/>
          <w:color w:val="auto"/>
        </w:rPr>
        <w:t>Company shall pay Executive an amount equal to Executive’s monthly Base Salary for a six (6) month period, such payments to be made in accordance with Company’s normal payroll practices, less all customary and required taxes and employment-related deductions; and</w:t>
      </w:r>
    </w:p>
    <w:p>
      <w:pPr>
        <w:spacing w:after="0" w:line="38" w:lineRule="exact"/>
        <w:rPr>
          <w:rFonts w:ascii="Arial" w:cs="Arial" w:eastAsia="Arial" w:hAnsi="Arial"/>
          <w:sz w:val="17"/>
          <w:szCs w:val="17"/>
          <w:color w:val="auto"/>
        </w:rPr>
      </w:pPr>
    </w:p>
    <w:p>
      <w:pPr>
        <w:ind w:left="460" w:right="40" w:firstLine="443"/>
        <w:spacing w:after="0" w:line="253" w:lineRule="auto"/>
        <w:tabs>
          <w:tab w:leader="none" w:pos="1163" w:val="left"/>
        </w:tabs>
        <w:numPr>
          <w:ilvl w:val="1"/>
          <w:numId w:val="387"/>
        </w:numPr>
        <w:rPr>
          <w:rFonts w:ascii="Arial" w:cs="Arial" w:eastAsia="Arial" w:hAnsi="Arial"/>
          <w:sz w:val="18"/>
          <w:szCs w:val="18"/>
          <w:color w:val="auto"/>
        </w:rPr>
      </w:pPr>
      <w:r>
        <w:rPr>
          <w:rFonts w:ascii="Arial" w:cs="Arial" w:eastAsia="Arial" w:hAnsi="Arial"/>
          <w:sz w:val="18"/>
          <w:szCs w:val="18"/>
          <w:color w:val="auto"/>
        </w:rPr>
        <w:t>In the event that Executive is eligible for coverage under a Company health insurance plan and Executive has elected to have coverage thereunder and was covered thereunder prior to termination, and in the event that Executive chooses to exercise Executive’s right under the Consolidated Omnibus Budget Reconciliation Act of 1985, as amended (known as “COBRA”), to continue Executive’s participation in such plan, Company shall pay its normal share of the costs for such coverage for a period of six (6) months from termination, to the same extent that such insurance is provided to persons then currently employed by Company. Company shall deduct from each of the first six (6) monthly installments due under Section 4(b)(i) the portion of the monthly premium due from Executive in accordance with the terms of such coverage. Notwithstanding any other provision of this Agreement, this obligation shall cease on the date Executive becomes eligible to receive health insurance benefits through any other employer, and Executive agrees to provide Company with written notice immediately upon becoming eligible for such benefits. Executive’s acceptance of any payment on Executive’s behalf or coverage provided hereunder shall be an express representation to Company that Executive has no such eligibility.</w:t>
      </w:r>
    </w:p>
    <w:p>
      <w:pPr>
        <w:spacing w:after="0" w:line="19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Subsections (i) and (ii) are referred to as the “Severance.” The Severance is expressly subject to the conditions described in Section 4(c) below and Executive’s compliance with the terms of Sections 5 and 6 hereof, and any payment or benefit made as part of such Severance shall be paid less all customary and required taxes and employment-related deductions.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481" w:name="page482"/>
    <w:bookmarkEnd w:id="481"/>
    <w:p>
      <w:pPr>
        <w:ind w:left="700" w:hanging="236"/>
        <w:spacing w:after="0"/>
        <w:tabs>
          <w:tab w:leader="none" w:pos="700"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Severance Conditions</w:t>
      </w:r>
      <w:r>
        <w:rPr>
          <w:rFonts w:ascii="Arial" w:cs="Arial" w:eastAsia="Arial" w:hAnsi="Arial"/>
          <w:sz w:val="17"/>
          <w:szCs w:val="17"/>
          <w:color w:val="auto"/>
        </w:rPr>
        <w:t>. Company shall not be obligated to pay Executive the Severance unless Executive has executed without revocation a</w:t>
      </w:r>
    </w:p>
    <w:p>
      <w:pPr>
        <w:spacing w:after="0" w:line="34" w:lineRule="exact"/>
        <w:rPr>
          <w:rFonts w:ascii="Arial" w:cs="Arial" w:eastAsia="Arial" w:hAnsi="Arial"/>
          <w:sz w:val="17"/>
          <w:szCs w:val="17"/>
          <w:color w:val="auto"/>
        </w:rPr>
      </w:pPr>
    </w:p>
    <w:p>
      <w:pPr>
        <w:ind w:right="40"/>
        <w:spacing w:after="0" w:line="269" w:lineRule="auto"/>
        <w:rPr>
          <w:rFonts w:ascii="Arial" w:cs="Arial" w:eastAsia="Arial" w:hAnsi="Arial"/>
          <w:sz w:val="17"/>
          <w:szCs w:val="17"/>
          <w:color w:val="auto"/>
        </w:rPr>
      </w:pPr>
      <w:r>
        <w:rPr>
          <w:rFonts w:ascii="Arial" w:cs="Arial" w:eastAsia="Arial" w:hAnsi="Arial"/>
          <w:sz w:val="17"/>
          <w:szCs w:val="17"/>
          <w:color w:val="auto"/>
        </w:rPr>
        <w:t>separation agreement in a form acceptable to Company, which must be signed by Executive, returned to Company and be enforceable and irrevocable no later than sixty (60) days following Executive’s separation from service (the “Review Period”), and which shall include, at a minimum, a complete general release of claims against Company and its affiliated entities and each of their officers, directors, employees. If Executive executes and does not revoke such agreement within the Review Period, then payment of the Severance shall commence on the first (1</w:t>
      </w:r>
      <w:r>
        <w:rPr>
          <w:rFonts w:ascii="Arial" w:cs="Arial" w:eastAsia="Arial" w:hAnsi="Arial"/>
          <w:sz w:val="14"/>
          <w:szCs w:val="14"/>
          <w:color w:val="auto"/>
        </w:rPr>
        <w:t>st</w:t>
      </w:r>
      <w:r>
        <w:rPr>
          <w:rFonts w:ascii="Arial" w:cs="Arial" w:eastAsia="Arial" w:hAnsi="Arial"/>
          <w:sz w:val="17"/>
          <w:szCs w:val="17"/>
          <w:color w:val="auto"/>
        </w:rPr>
        <w:t>) day following the Review Period, provided that if the last day of the Review Period occurs in the calendar year following the year of termination, then the payment shall not commence until January 2 of such subsequent calendar year. The first payment shall include in a lump sum all amounts that were otherwise payable to Executive from the date Executive’s separation from service occurred through such first payment.</w:t>
      </w:r>
    </w:p>
    <w:p>
      <w:pPr>
        <w:spacing w:after="0" w:line="180" w:lineRule="exact"/>
        <w:rPr>
          <w:rFonts w:ascii="Arial" w:cs="Arial" w:eastAsia="Arial" w:hAnsi="Arial"/>
          <w:sz w:val="17"/>
          <w:szCs w:val="17"/>
          <w:color w:val="auto"/>
        </w:rPr>
      </w:pPr>
    </w:p>
    <w:p>
      <w:pPr>
        <w:ind w:firstLine="464"/>
        <w:spacing w:after="0" w:line="270" w:lineRule="auto"/>
        <w:tabs>
          <w:tab w:leader="none" w:pos="711"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COBRA</w:t>
      </w:r>
      <w:r>
        <w:rPr>
          <w:rFonts w:ascii="Arial" w:cs="Arial" w:eastAsia="Arial" w:hAnsi="Arial"/>
          <w:sz w:val="17"/>
          <w:szCs w:val="17"/>
          <w:color w:val="auto"/>
        </w:rPr>
        <w:t>. If the payment of any COBRA or health insurance premiums by Company on behalf of Executive as described herein would otherwise violate any applicable nondiscrimination rules or cause the reimbursement of claims to be taxable under the Patient Protection and Affordable Care Act of 2010, together with the Health Care and Education Reconciliation Act of 2010 (collectively, the “Act”) or Section 105(h) of the Internal Revenue Code, the COBRA premiums paid by Company shall be treated as taxable payments (subject to customary and required taxes and employment-related deductions) and be subject to imputed income tax treatment to the extent necessary to eliminate any discriminatory treatment or taxation under the Act or Section 105(h) of the Internal Revenue Code. If Company determines in its sole discretion that it cannot provide the COBRA benefits described herein under Company’s health insurance plan without potentially violating applicable law (including, without limitation, Section 2716 of the Public Health Service Act), Company shall in lieu thereof provide to Executive a taxable lump-sum payment in an amount equal to the sum of the monthly (or then remaining) COBRA premiums that Executive would be required to pay to maintain Executive’s group health insurance coverage in effect on the separation date for the remaining portion of the period for which Executive shall receive the payments described in Sections 4(b).</w:t>
      </w:r>
    </w:p>
    <w:p>
      <w:pPr>
        <w:spacing w:after="0" w:line="178" w:lineRule="exact"/>
        <w:rPr>
          <w:sz w:val="20"/>
          <w:szCs w:val="20"/>
          <w:color w:val="auto"/>
        </w:rPr>
      </w:pPr>
    </w:p>
    <w:p>
      <w:pPr>
        <w:ind w:right="360" w:firstLine="464"/>
        <w:spacing w:after="0" w:line="279" w:lineRule="auto"/>
        <w:tabs>
          <w:tab w:leader="none" w:pos="681"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No Other Payments or Benefits Owing</w:t>
      </w:r>
      <w:r>
        <w:rPr>
          <w:rFonts w:ascii="Arial" w:cs="Arial" w:eastAsia="Arial" w:hAnsi="Arial"/>
          <w:sz w:val="17"/>
          <w:szCs w:val="17"/>
          <w:color w:val="auto"/>
        </w:rPr>
        <w:t>. The payments and benefits set forth in this Section 4 shall be the sole amounts owing to Executive upon termination of Executive’s employment for the reasons set forth above and Executive shall not be eligible for any other payments or other forms of compensation or benefits. The payments and benefits set forth in this Section 4 shall be the sole remedy, if any, available to Executive in the event that Executive brings any claim against Company relating to the termination of Executive’s employment under this Agreement.</w:t>
      </w:r>
    </w:p>
    <w:p>
      <w:pPr>
        <w:spacing w:after="0" w:line="276" w:lineRule="exact"/>
        <w:rPr>
          <w:sz w:val="20"/>
          <w:szCs w:val="20"/>
          <w:color w:val="auto"/>
        </w:rPr>
      </w:pPr>
    </w:p>
    <w:p>
      <w:pPr>
        <w:ind w:left="640" w:hanging="176"/>
        <w:spacing w:after="0"/>
        <w:tabs>
          <w:tab w:leader="none" w:pos="64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Non-Competition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464"/>
        <w:spacing w:after="0" w:line="257" w:lineRule="auto"/>
        <w:tabs>
          <w:tab w:leader="none" w:pos="701"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As used in this Agreement, “Confidential Information” means information belonging to Company, its parents, subsidiaries or affiliates (each, an “Interested Party”), which is of value to the Interested Party in the course of conducting its business, the disclosure of which could result in a competitive or other disadvantage to the Interested Party. Confidential Information includes, without limitation, financial information, reports, and forecasts; inventions, improvements and other intellectual property; trade secrets; know-how; drawings, specifications, algorithms, designs, processes or formulae; software;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82" w:name="page483"/>
    <w:bookmarkEnd w:id="482"/>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firmware; market or sales information or plans; supplier lists (including their contact information, costs and pricing); customer lists (including past, current and potential customers, their contact information, preferences and purchase history); costs and pricing information and strategies; and business plans, prospects and opportunities (such as possible acquisitions or dispositions of businesses or facilities) which have been discussed or considered by an Interested Party. Confidential Information includes information developed by Executive in the course of Executive’s employment with Company, as well as other information to which Executive may have access in connection with his employment. Confidential Information also includes the confidential information of others disclosed to Executive and with which an Interested Party has a business relationship. Notwithstanding the foregoing, Confidential Information does not include information in the public domain, unless due to breach of Executive’s duties under Section 5(b).</w:t>
      </w:r>
    </w:p>
    <w:p>
      <w:pPr>
        <w:spacing w:after="0" w:line="178" w:lineRule="exact"/>
        <w:rPr>
          <w:sz w:val="20"/>
          <w:szCs w:val="20"/>
          <w:color w:val="auto"/>
        </w:rPr>
      </w:pPr>
    </w:p>
    <w:p>
      <w:pPr>
        <w:jc w:val="both"/>
        <w:ind w:right="160" w:firstLine="464"/>
        <w:spacing w:after="0" w:line="312" w:lineRule="auto"/>
        <w:tabs>
          <w:tab w:leader="none" w:pos="711"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At all times, both during Executive’s employment with Company and after his termination, Executive will keep in confidence and trust all such Confidential Information, and will not use or disclose for his own benefit or the benefit of any other Person any such Confidential Information without the written consent of Company, except as may be necessary in the ordinary course of performing Executive’s duties to Company.</w:t>
      </w:r>
    </w:p>
    <w:p>
      <w:pPr>
        <w:spacing w:after="0" w:line="146" w:lineRule="exact"/>
        <w:rPr>
          <w:rFonts w:ascii="Arial" w:cs="Arial" w:eastAsia="Arial" w:hAnsi="Arial"/>
          <w:sz w:val="16"/>
          <w:szCs w:val="16"/>
          <w:color w:val="auto"/>
        </w:rPr>
      </w:pPr>
    </w:p>
    <w:p>
      <w:pPr>
        <w:ind w:right="20" w:firstLine="464"/>
        <w:spacing w:after="0" w:line="297" w:lineRule="auto"/>
        <w:tabs>
          <w:tab w:leader="none" w:pos="701"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Documents, Records, etc</w:t>
      </w:r>
      <w:r>
        <w:rPr>
          <w:rFonts w:ascii="Arial" w:cs="Arial" w:eastAsia="Arial" w:hAnsi="Arial"/>
          <w:sz w:val="16"/>
          <w:szCs w:val="16"/>
          <w:color w:val="auto"/>
        </w:rPr>
        <w:t>. All documents, records, data, apparatus, equipment and other physical property, whether or not pertaining to Confidential Information, which are furnished to Executive by an Interested Party or are produced by Executive in connection with Executive’s employment with Company will be and remain the sole property of the respective Interested Party. Executive will return to the Interested Party all such materials and property as and when requested by the Interested Party. In any event, Executive shall return all such materials and property immediately upon termination of Executive’s employment for any reason. Executive will not retain any such material or property or any copies thereof after the termination of his employment.</w:t>
      </w:r>
    </w:p>
    <w:p>
      <w:pPr>
        <w:spacing w:after="0" w:line="158" w:lineRule="exact"/>
        <w:rPr>
          <w:rFonts w:ascii="Arial" w:cs="Arial" w:eastAsia="Arial" w:hAnsi="Arial"/>
          <w:sz w:val="16"/>
          <w:szCs w:val="16"/>
          <w:color w:val="auto"/>
        </w:rPr>
      </w:pPr>
    </w:p>
    <w:p>
      <w:pPr>
        <w:ind w:firstLine="464"/>
        <w:spacing w:after="0" w:line="255" w:lineRule="auto"/>
        <w:tabs>
          <w:tab w:leader="none" w:pos="711"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From the Commencement Date through the twelve (12) month anniversary of the date that Executive’s affiliation with Company is terminated, regardless of the reason for the termination (the “Restricted Period”), Executive will not, directly or indirectly, whether as owner, partner, shareholder, consultant, agent, employee, co-venturer or otherwise, engage, prepare to engage, participate, assist or invest in any Competing Business in any geographic area in which Company, or an Interested Party incorporating the know-how of Company’s business, distributes, provides, markets or sells its products or services. Notwithstanding the foregoing, Executive may own up to two percent (2%) of the outstanding stock of a publicly held corporation which constitutes or is affiliated with a Competing Business.</w:t>
      </w:r>
    </w:p>
    <w:p>
      <w:pPr>
        <w:spacing w:after="0" w:line="193" w:lineRule="exact"/>
        <w:rPr>
          <w:rFonts w:ascii="Arial" w:cs="Arial" w:eastAsia="Arial" w:hAnsi="Arial"/>
          <w:sz w:val="18"/>
          <w:szCs w:val="18"/>
          <w:color w:val="auto"/>
        </w:rPr>
      </w:pPr>
    </w:p>
    <w:p>
      <w:pPr>
        <w:ind w:right="300" w:firstLine="464"/>
        <w:spacing w:after="0" w:line="312" w:lineRule="auto"/>
        <w:tabs>
          <w:tab w:leader="none" w:pos="701"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During the Restricted Period, Executive shall not, directly or indirectly, take any of the following actions, and, to the extent Executive owns, manages, operates, controls, is employed by or participates in the ownership, management, operation or control of, or is connected in any manner with, any business, Executive shall use his best efforts to ensure that such business does not take any of the following actions:</w:t>
      </w:r>
    </w:p>
    <w:p>
      <w:pPr>
        <w:spacing w:after="0" w:line="38" w:lineRule="exact"/>
        <w:rPr>
          <w:rFonts w:ascii="Arial" w:cs="Arial" w:eastAsia="Arial" w:hAnsi="Arial"/>
          <w:sz w:val="16"/>
          <w:szCs w:val="16"/>
          <w:color w:val="auto"/>
        </w:rPr>
      </w:pPr>
    </w:p>
    <w:p>
      <w:pPr>
        <w:ind w:left="460" w:right="100" w:firstLine="881"/>
        <w:spacing w:after="0" w:line="277" w:lineRule="auto"/>
        <w:tabs>
          <w:tab w:leader="none" w:pos="1551" w:val="left"/>
        </w:tabs>
        <w:numPr>
          <w:ilvl w:val="1"/>
          <w:numId w:val="392"/>
        </w:numPr>
        <w:rPr>
          <w:rFonts w:ascii="Arial" w:cs="Arial" w:eastAsia="Arial" w:hAnsi="Arial"/>
          <w:sz w:val="18"/>
          <w:szCs w:val="18"/>
          <w:color w:val="auto"/>
        </w:rPr>
      </w:pPr>
      <w:r>
        <w:rPr>
          <w:rFonts w:ascii="Arial" w:cs="Arial" w:eastAsia="Arial" w:hAnsi="Arial"/>
          <w:sz w:val="18"/>
          <w:szCs w:val="18"/>
          <w:color w:val="auto"/>
        </w:rPr>
        <w:t>persuade or attempt to persuade any Customer, Prospective Customer or Supplier to cease doing business with an Interested Party, or to reduce the amount of business it does with an Interested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483" w:name="page484"/>
    <w:bookmarkEnd w:id="483"/>
    <w:p>
      <w:pPr>
        <w:ind w:left="452" w:right="40" w:firstLine="881"/>
        <w:spacing w:after="0" w:line="277" w:lineRule="auto"/>
        <w:tabs>
          <w:tab w:leader="none" w:pos="1593" w:val="left"/>
        </w:tabs>
        <w:numPr>
          <w:ilvl w:val="2"/>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solicit or service for himself or for any Person the business of a Customer, Prospective Customer or Supplier in order to provide goods or services that are competitive with the goods and services provided by an Interested Party;</w:t>
      </w:r>
    </w:p>
    <w:p>
      <w:pPr>
        <w:spacing w:after="0" w:line="62" w:lineRule="exact"/>
        <w:rPr>
          <w:rFonts w:ascii="Arial" w:cs="Arial" w:eastAsia="Arial" w:hAnsi="Arial"/>
          <w:sz w:val="18"/>
          <w:szCs w:val="18"/>
          <w:color w:val="auto"/>
        </w:rPr>
      </w:pPr>
    </w:p>
    <w:p>
      <w:pPr>
        <w:ind w:left="1652" w:hanging="319"/>
        <w:spacing w:after="0"/>
        <w:tabs>
          <w:tab w:leader="none" w:pos="1652" w:val="left"/>
        </w:tabs>
        <w:numPr>
          <w:ilvl w:val="2"/>
          <w:numId w:val="393"/>
        </w:numPr>
        <w:rPr>
          <w:rFonts w:ascii="Arial" w:cs="Arial" w:eastAsia="Arial" w:hAnsi="Arial"/>
          <w:sz w:val="18"/>
          <w:szCs w:val="18"/>
          <w:color w:val="auto"/>
        </w:rPr>
      </w:pPr>
      <w:r>
        <w:rPr>
          <w:rFonts w:ascii="Arial" w:cs="Arial" w:eastAsia="Arial" w:hAnsi="Arial"/>
          <w:sz w:val="18"/>
          <w:szCs w:val="18"/>
          <w:color w:val="auto"/>
        </w:rPr>
        <w:t>persuade or attempt to persuade any Service Provider to cease providing services to an Interested Party; or</w:t>
      </w:r>
    </w:p>
    <w:p>
      <w:pPr>
        <w:spacing w:after="0" w:line="117" w:lineRule="exact"/>
        <w:rPr>
          <w:rFonts w:ascii="Arial" w:cs="Arial" w:eastAsia="Arial" w:hAnsi="Arial"/>
          <w:sz w:val="18"/>
          <w:szCs w:val="18"/>
          <w:color w:val="auto"/>
        </w:rPr>
      </w:pPr>
    </w:p>
    <w:p>
      <w:pPr>
        <w:ind w:left="1632" w:hanging="299"/>
        <w:spacing w:after="0"/>
        <w:tabs>
          <w:tab w:leader="none" w:pos="1632" w:val="left"/>
        </w:tabs>
        <w:numPr>
          <w:ilvl w:val="2"/>
          <w:numId w:val="393"/>
        </w:numPr>
        <w:rPr>
          <w:rFonts w:ascii="Arial" w:cs="Arial" w:eastAsia="Arial" w:hAnsi="Arial"/>
          <w:sz w:val="18"/>
          <w:szCs w:val="18"/>
          <w:color w:val="auto"/>
        </w:rPr>
      </w:pPr>
      <w:r>
        <w:rPr>
          <w:rFonts w:ascii="Arial" w:cs="Arial" w:eastAsia="Arial" w:hAnsi="Arial"/>
          <w:sz w:val="18"/>
          <w:szCs w:val="18"/>
          <w:color w:val="auto"/>
        </w:rPr>
        <w:t>solicit for hire or hire for himself or for any third party any Service Provider.</w:t>
      </w:r>
    </w:p>
    <w:p>
      <w:pPr>
        <w:spacing w:after="0" w:line="225" w:lineRule="exact"/>
        <w:rPr>
          <w:rFonts w:ascii="Arial" w:cs="Arial" w:eastAsia="Arial" w:hAnsi="Arial"/>
          <w:sz w:val="18"/>
          <w:szCs w:val="18"/>
          <w:color w:val="auto"/>
        </w:rPr>
      </w:pPr>
    </w:p>
    <w:p>
      <w:pPr>
        <w:ind w:left="672" w:hanging="216"/>
        <w:spacing w:after="0"/>
        <w:tabs>
          <w:tab w:leader="none" w:pos="672"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are applicable to this Section 5.</w:t>
      </w:r>
    </w:p>
    <w:p>
      <w:pPr>
        <w:spacing w:after="0" w:line="117" w:lineRule="exact"/>
        <w:rPr>
          <w:rFonts w:ascii="Arial" w:cs="Arial" w:eastAsia="Arial" w:hAnsi="Arial"/>
          <w:sz w:val="18"/>
          <w:szCs w:val="18"/>
          <w:color w:val="auto"/>
        </w:rPr>
      </w:pPr>
    </w:p>
    <w:p>
      <w:pPr>
        <w:ind w:left="452" w:right="140" w:firstLine="881"/>
        <w:spacing w:after="0" w:line="257" w:lineRule="auto"/>
        <w:tabs>
          <w:tab w:leader="none" w:pos="1543" w:val="left"/>
        </w:tabs>
        <w:numPr>
          <w:ilvl w:val="2"/>
          <w:numId w:val="394"/>
        </w:numPr>
        <w:rPr>
          <w:rFonts w:ascii="Arial" w:cs="Arial" w:eastAsia="Arial" w:hAnsi="Arial"/>
          <w:sz w:val="18"/>
          <w:szCs w:val="18"/>
          <w:color w:val="auto"/>
        </w:rPr>
      </w:pPr>
      <w:r>
        <w:rPr>
          <w:rFonts w:ascii="Arial" w:cs="Arial" w:eastAsia="Arial" w:hAnsi="Arial"/>
          <w:sz w:val="18"/>
          <w:szCs w:val="18"/>
          <w:color w:val="auto"/>
        </w:rPr>
        <w:t>“Competing Business” means any Person that (A) performs any of the services provided by Company, or manufactures, produces, develops or sells any of the products manufactured, produced, developed or sold by Company, (B) performs any services, or manufactures, produces, develops or sells any products, that are the same as or similar to the services or products planned, under consideration or under development by Company, or (C) engages in research and development efforts that are the same as or similar to the research and development efforts engaged in by Company.</w:t>
      </w:r>
    </w:p>
    <w:p>
      <w:pPr>
        <w:spacing w:after="0" w:line="80" w:lineRule="exact"/>
        <w:rPr>
          <w:rFonts w:ascii="Arial" w:cs="Arial" w:eastAsia="Arial" w:hAnsi="Arial"/>
          <w:sz w:val="18"/>
          <w:szCs w:val="18"/>
          <w:color w:val="auto"/>
        </w:rPr>
      </w:pPr>
    </w:p>
    <w:p>
      <w:pPr>
        <w:ind w:left="452" w:right="160" w:firstLine="881"/>
        <w:spacing w:after="0" w:line="277" w:lineRule="auto"/>
        <w:tabs>
          <w:tab w:leader="none" w:pos="1593" w:val="left"/>
        </w:tabs>
        <w:numPr>
          <w:ilvl w:val="2"/>
          <w:numId w:val="394"/>
        </w:numPr>
        <w:rPr>
          <w:rFonts w:ascii="Arial" w:cs="Arial" w:eastAsia="Arial" w:hAnsi="Arial"/>
          <w:sz w:val="18"/>
          <w:szCs w:val="18"/>
          <w:color w:val="auto"/>
        </w:rPr>
      </w:pPr>
      <w:r>
        <w:rPr>
          <w:rFonts w:ascii="Arial" w:cs="Arial" w:eastAsia="Arial" w:hAnsi="Arial"/>
          <w:sz w:val="18"/>
          <w:szCs w:val="18"/>
          <w:color w:val="auto"/>
        </w:rPr>
        <w:t>“Customer” means any Person that purchased goods or services from an Interested Party at any time within two (2) years prior to the date of the solicitation prohibited by Section 5(e)(i) or (ii).</w:t>
      </w:r>
    </w:p>
    <w:p>
      <w:pPr>
        <w:spacing w:after="0" w:line="62" w:lineRule="exact"/>
        <w:rPr>
          <w:rFonts w:ascii="Arial" w:cs="Arial" w:eastAsia="Arial" w:hAnsi="Arial"/>
          <w:sz w:val="18"/>
          <w:szCs w:val="18"/>
          <w:color w:val="auto"/>
        </w:rPr>
      </w:pPr>
    </w:p>
    <w:p>
      <w:pPr>
        <w:ind w:left="452" w:firstLine="881"/>
        <w:spacing w:after="0" w:line="277" w:lineRule="auto"/>
        <w:tabs>
          <w:tab w:leader="none" w:pos="1643" w:val="left"/>
        </w:tabs>
        <w:numPr>
          <w:ilvl w:val="2"/>
          <w:numId w:val="394"/>
        </w:numPr>
        <w:rPr>
          <w:rFonts w:ascii="Arial" w:cs="Arial" w:eastAsia="Arial" w:hAnsi="Arial"/>
          <w:sz w:val="18"/>
          <w:szCs w:val="18"/>
          <w:color w:val="auto"/>
        </w:rPr>
      </w:pPr>
      <w:r>
        <w:rPr>
          <w:rFonts w:ascii="Arial" w:cs="Arial" w:eastAsia="Arial" w:hAnsi="Arial"/>
          <w:sz w:val="18"/>
          <w:szCs w:val="18"/>
          <w:color w:val="auto"/>
        </w:rPr>
        <w:t>“Person” means an individual, a sole proprietorship, a corporation, a limited liability company, a partnership, an association, a trust, or other business entity, whether or not incorporated.</w:t>
      </w:r>
    </w:p>
    <w:p>
      <w:pPr>
        <w:spacing w:after="0" w:line="62" w:lineRule="exact"/>
        <w:rPr>
          <w:rFonts w:ascii="Arial" w:cs="Arial" w:eastAsia="Arial" w:hAnsi="Arial"/>
          <w:sz w:val="18"/>
          <w:szCs w:val="18"/>
          <w:color w:val="auto"/>
        </w:rPr>
      </w:pPr>
    </w:p>
    <w:p>
      <w:pPr>
        <w:ind w:left="452" w:right="120" w:firstLine="881"/>
        <w:spacing w:after="0" w:line="264" w:lineRule="auto"/>
        <w:tabs>
          <w:tab w:leader="none" w:pos="1633" w:val="left"/>
        </w:tabs>
        <w:numPr>
          <w:ilvl w:val="2"/>
          <w:numId w:val="394"/>
        </w:numPr>
        <w:rPr>
          <w:rFonts w:ascii="Arial" w:cs="Arial" w:eastAsia="Arial" w:hAnsi="Arial"/>
          <w:sz w:val="18"/>
          <w:szCs w:val="18"/>
          <w:color w:val="auto"/>
        </w:rPr>
      </w:pPr>
      <w:r>
        <w:rPr>
          <w:rFonts w:ascii="Arial" w:cs="Arial" w:eastAsia="Arial" w:hAnsi="Arial"/>
          <w:sz w:val="18"/>
          <w:szCs w:val="18"/>
          <w:color w:val="auto"/>
        </w:rPr>
        <w:t>“Prospective Customer” means any Person with whom an Interested Party met or to whom an Interested Party presented for the purpose of soliciting the Person to become a Customer of an Interested Party within twelve (12) months prior to the date of the solicitation prohibited by Section 5(e)(i) or (ii).</w:t>
      </w:r>
    </w:p>
    <w:p>
      <w:pPr>
        <w:spacing w:after="0" w:line="73" w:lineRule="exact"/>
        <w:rPr>
          <w:rFonts w:ascii="Arial" w:cs="Arial" w:eastAsia="Arial" w:hAnsi="Arial"/>
          <w:sz w:val="18"/>
          <w:szCs w:val="18"/>
          <w:color w:val="auto"/>
        </w:rPr>
      </w:pPr>
    </w:p>
    <w:p>
      <w:pPr>
        <w:ind w:left="452" w:right="140" w:firstLine="881"/>
        <w:spacing w:after="0" w:line="342" w:lineRule="auto"/>
        <w:tabs>
          <w:tab w:leader="none" w:pos="1583" w:val="left"/>
        </w:tabs>
        <w:numPr>
          <w:ilvl w:val="2"/>
          <w:numId w:val="39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color w:val="auto"/>
        </w:rPr>
        <w:t>Service Provider” means any Person who is an employee or independent contractor of an Interested Party or who was within twelve</w:t>
      </w:r>
      <w:r>
        <w:rPr>
          <w:rFonts w:ascii="Arial" w:cs="Arial" w:eastAsia="Arial" w:hAnsi="Arial"/>
          <w:sz w:val="16"/>
          <w:szCs w:val="16"/>
          <w:i w:val="1"/>
          <w:iCs w:val="1"/>
          <w:color w:val="auto"/>
        </w:rPr>
        <w:t xml:space="preserve"> </w:t>
      </w:r>
      <w:r>
        <w:rPr>
          <w:rFonts w:ascii="Arial" w:cs="Arial" w:eastAsia="Arial" w:hAnsi="Arial"/>
          <w:sz w:val="16"/>
          <w:szCs w:val="16"/>
          <w:color w:val="auto"/>
        </w:rPr>
        <w:t>(12) months preceding the solicitation prohibited by Section 5(e)(iii) or (iv) an employee or independent contractor of an Interested Party.</w:t>
      </w:r>
    </w:p>
    <w:p>
      <w:pPr>
        <w:spacing w:after="0" w:line="15" w:lineRule="exact"/>
        <w:rPr>
          <w:rFonts w:ascii="Arial" w:cs="Arial" w:eastAsia="Arial" w:hAnsi="Arial"/>
          <w:sz w:val="16"/>
          <w:szCs w:val="16"/>
          <w:color w:val="auto"/>
        </w:rPr>
      </w:pPr>
    </w:p>
    <w:p>
      <w:pPr>
        <w:ind w:left="452" w:right="60" w:firstLine="881"/>
        <w:spacing w:after="0" w:line="277" w:lineRule="auto"/>
        <w:tabs>
          <w:tab w:leader="none" w:pos="1633" w:val="left"/>
        </w:tabs>
        <w:numPr>
          <w:ilvl w:val="2"/>
          <w:numId w:val="394"/>
        </w:numPr>
        <w:rPr>
          <w:rFonts w:ascii="Arial" w:cs="Arial" w:eastAsia="Arial" w:hAnsi="Arial"/>
          <w:sz w:val="18"/>
          <w:szCs w:val="18"/>
          <w:color w:val="auto"/>
        </w:rPr>
      </w:pPr>
      <w:r>
        <w:rPr>
          <w:rFonts w:ascii="Arial" w:cs="Arial" w:eastAsia="Arial" w:hAnsi="Arial"/>
          <w:sz w:val="18"/>
          <w:szCs w:val="18"/>
          <w:color w:val="auto"/>
        </w:rPr>
        <w:t>“Supplier” means any Person that sold goods or services to an Interested Party at any time within two (2) years prior to the date of the solicitation prohibited by Section 5(e)(i) or (ii).</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394"/>
        </w:numPr>
        <w:rPr>
          <w:rFonts w:ascii="Arial" w:cs="Arial" w:eastAsia="Arial" w:hAnsi="Arial"/>
          <w:sz w:val="16"/>
          <w:szCs w:val="16"/>
          <w:color w:val="auto"/>
        </w:rPr>
      </w:pPr>
      <w:r>
        <w:rPr>
          <w:rFonts w:ascii="Arial" w:cs="Arial" w:eastAsia="Arial" w:hAnsi="Arial"/>
          <w:sz w:val="16"/>
          <w:szCs w:val="16"/>
          <w:u w:val="single" w:color="auto"/>
          <w:color w:val="auto"/>
        </w:rPr>
        <w:t>Reasonableness of Restrictions</w:t>
      </w:r>
      <w:r>
        <w:rPr>
          <w:rFonts w:ascii="Arial" w:cs="Arial" w:eastAsia="Arial" w:hAnsi="Arial"/>
          <w:sz w:val="16"/>
          <w:szCs w:val="16"/>
          <w:color w:val="auto"/>
        </w:rPr>
        <w:t>. Executive recognizes and acknowledges that: (i) the types of activities which are prohibited by Section 5(d) and</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are narrow and reasonable in relation to the skills which represent Executive’s principal salable asset both to Company and to</w:t>
      </w:r>
    </w:p>
    <w:p>
      <w:pPr>
        <w:spacing w:after="0" w:line="14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32"/>
          </w:cols>
          <w:pgMar w:left="248" w:top="273" w:right="319" w:bottom="1440" w:gutter="0" w:footer="0" w:header="0"/>
        </w:sectPr>
      </w:pPr>
    </w:p>
    <w:bookmarkStart w:id="484" w:name="page485"/>
    <w:bookmarkEnd w:id="48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prospective employers; and (ii) the specific but broad temporal and geographical scope of Section 5(d) and (e) is reasonable, legitimate, and fair to Executive in light of Company’s need to market its services and sell its services in a large geographic area in order to maintain a sufficient customer base and the limited restrictions on the type of employment prohibited herein compared to the types of employment for which Executive is qualified to earn his livelihood.</w:t>
      </w:r>
    </w:p>
    <w:p>
      <w:pPr>
        <w:spacing w:after="0" w:line="187" w:lineRule="exact"/>
        <w:rPr>
          <w:sz w:val="20"/>
          <w:szCs w:val="20"/>
          <w:color w:val="auto"/>
        </w:rPr>
      </w:pPr>
    </w:p>
    <w:p>
      <w:pPr>
        <w:ind w:right="60" w:firstLine="464"/>
        <w:spacing w:after="0" w:line="259" w:lineRule="auto"/>
        <w:tabs>
          <w:tab w:leader="none" w:pos="711"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Effect of Breach</w:t>
      </w:r>
      <w:r>
        <w:rPr>
          <w:rFonts w:ascii="Arial" w:cs="Arial" w:eastAsia="Arial" w:hAnsi="Arial"/>
          <w:sz w:val="18"/>
          <w:szCs w:val="18"/>
          <w:color w:val="auto"/>
        </w:rPr>
        <w:t xml:space="preserve">. In the event that Executive breaches any of the terms described in Section 5(d) and (e) above, Executive acknowledges and agrees that the Restricted Period shall be tolled and shall not run during the time that Executive is in breach of such obligations; </w:t>
      </w:r>
      <w:r>
        <w:rPr>
          <w:rFonts w:ascii="Arial" w:cs="Arial" w:eastAsia="Arial" w:hAnsi="Arial"/>
          <w:sz w:val="18"/>
          <w:szCs w:val="18"/>
          <w:u w:val="single" w:color="auto"/>
          <w:color w:val="auto"/>
        </w:rPr>
        <w:t>provided that</w:t>
      </w:r>
      <w:r>
        <w:rPr>
          <w:rFonts w:ascii="Arial" w:cs="Arial" w:eastAsia="Arial" w:hAnsi="Arial"/>
          <w:sz w:val="18"/>
          <w:szCs w:val="18"/>
          <w:color w:val="auto"/>
        </w:rPr>
        <w:t>, the Restricted Period shall begin to run again once Executive has ceased breaching the terms of Section 5(d) and/or (e) (as applicable) and is otherwise in compliance with Executive’s obligations described therein.</w:t>
      </w:r>
    </w:p>
    <w:p>
      <w:pPr>
        <w:spacing w:after="0" w:line="291" w:lineRule="exact"/>
        <w:rPr>
          <w:sz w:val="20"/>
          <w:szCs w:val="20"/>
          <w:color w:val="auto"/>
        </w:rPr>
      </w:pPr>
    </w:p>
    <w:p>
      <w:pPr>
        <w:ind w:left="640" w:hanging="176"/>
        <w:spacing w:after="0"/>
        <w:tabs>
          <w:tab w:leader="none" w:pos="64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121" w:lineRule="exact"/>
        <w:rPr>
          <w:sz w:val="20"/>
          <w:szCs w:val="20"/>
          <w:color w:val="auto"/>
        </w:rPr>
      </w:pPr>
    </w:p>
    <w:p>
      <w:pPr>
        <w:ind w:firstLine="464"/>
        <w:spacing w:after="0" w:line="255" w:lineRule="auto"/>
        <w:tabs>
          <w:tab w:leader="none" w:pos="70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creations, inventions, ideas, designs, copyrightable materials, trademarks, and other technology and rights (and any related improvements or modifications), whether or not subject to patent or copyright protection (collectively, “Creations”), relating to any activities of Company which are conceived by Executive or developed by Executive in the course of his employment with Company, whether conceived alone or with others and whether or not conceived or developed during regular business hours, and if based on Confidential Information, after the termination of Executive’s employment, shall be the sole property of Company and, to the maximum extent permitted by applicable law, shall be deemed “works made for hire” as that term is used in the United States Copyright Act.</w:t>
      </w:r>
    </w:p>
    <w:p>
      <w:pPr>
        <w:spacing w:after="0" w:line="193" w:lineRule="exact"/>
        <w:rPr>
          <w:rFonts w:ascii="Arial" w:cs="Arial" w:eastAsia="Arial" w:hAnsi="Arial"/>
          <w:sz w:val="18"/>
          <w:szCs w:val="18"/>
          <w:color w:val="auto"/>
        </w:rPr>
      </w:pPr>
    </w:p>
    <w:p>
      <w:pPr>
        <w:ind w:right="100" w:firstLine="464"/>
        <w:spacing w:after="0" w:line="254" w:lineRule="auto"/>
        <w:tabs>
          <w:tab w:leader="none" w:pos="71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To the extent, if any, that Executive retains any right, title or interest with respect to any Creations delivered to Company or related to his employment with Company, Executive hereby grants to Company an irrevocable, paid-up, transferable, sub-licensable, worldwide right and license: (i) to modify all or any portion of such Creations, including, without limitation, the making of additions to or deletions from such Creations, regardless of the medium (now or hereafter known) into which such Creations may be modified and regardless of the effect of such modifications on the integrity of such Creations; and (ii) to identify Executive, or not to identify him, as one or more authors of or contributors to such Creations or any portion thereof, whether or not such Creations or any portion thereof have been modified. Executive further waives any “moral” rights, or other rights with respect to attribution of authorship or integrity of such Creations that he may have under any applicable law, whether under copyright, trademark, unfair competition, defamation, right of privacy, contract, tort or other legal theory.</w:t>
      </w:r>
    </w:p>
    <w:p>
      <w:pPr>
        <w:spacing w:after="0" w:line="192" w:lineRule="exact"/>
        <w:rPr>
          <w:rFonts w:ascii="Arial" w:cs="Arial" w:eastAsia="Arial" w:hAnsi="Arial"/>
          <w:sz w:val="18"/>
          <w:szCs w:val="18"/>
          <w:color w:val="auto"/>
        </w:rPr>
      </w:pPr>
    </w:p>
    <w:p>
      <w:pPr>
        <w:ind w:right="20" w:firstLine="464"/>
        <w:spacing w:after="0" w:line="255" w:lineRule="auto"/>
        <w:tabs>
          <w:tab w:leader="none" w:pos="70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Executive will promptly inform Company of any Creations conceived or developed by Executive during his employment hereunder. Executive will also allow Company to inspect any Creations he conceives or develops within one year after the termination of his employment for any reason to determine if they are based on Confidential Information. Executive shall (whether during his employment or after the termination of his employment) execute such written instruments and do other such acts as may be necessary in the opinion of Company or its counsel to secure Company’s rights in the Creations, including obtaining a patent, registering a copyright, or otherwise (and Executive hereby irrevocably appoints Company and any of its officers as his attorney in fact to undertake such acts in his name).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85" w:name="page486"/>
    <w:bookmarkEnd w:id="485"/>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obligation to execute written instruments and otherwise assist Company in securing its rights in the Creations will continue after the termination of his employment for any reason. Company shall reimburse Executive for any out-of-pocket expenses (but not attorneys’ fees) he incurs in connection with his compliance with this Section 6(c).</w:t>
      </w:r>
    </w:p>
    <w:p>
      <w:pPr>
        <w:spacing w:after="0" w:line="285" w:lineRule="exact"/>
        <w:rPr>
          <w:sz w:val="20"/>
          <w:szCs w:val="20"/>
          <w:color w:val="auto"/>
        </w:rPr>
      </w:pPr>
    </w:p>
    <w:p>
      <w:pPr>
        <w:ind w:left="640" w:hanging="176"/>
        <w:spacing w:after="0"/>
        <w:tabs>
          <w:tab w:leader="none" w:pos="64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Acknowledgements Regarding Sections 5 and 6</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64"/>
        <w:spacing w:after="0" w:line="277" w:lineRule="auto"/>
        <w:tabs>
          <w:tab w:leader="none" w:pos="701"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Executive’s acknowledgments and agreements set forth in Sections 5 and 6 shall survive the termination of Executive’s employment with Company for any reason.</w:t>
      </w:r>
    </w:p>
    <w:p>
      <w:pPr>
        <w:spacing w:after="0" w:line="170" w:lineRule="exact"/>
        <w:rPr>
          <w:rFonts w:ascii="Arial" w:cs="Arial" w:eastAsia="Arial" w:hAnsi="Arial"/>
          <w:sz w:val="18"/>
          <w:szCs w:val="18"/>
          <w:color w:val="auto"/>
        </w:rPr>
      </w:pPr>
    </w:p>
    <w:p>
      <w:pPr>
        <w:jc w:val="both"/>
        <w:ind w:right="100" w:firstLine="464"/>
        <w:spacing w:after="0" w:line="279" w:lineRule="auto"/>
        <w:tabs>
          <w:tab w:leader="none" w:pos="711"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parties intend Sections 5 and 6 of this Agreement to be enforced as written. However, if any portion or provision of such sections shall to any extent be declared illegal or unenforceable by a duly authorized court having jurisdiction, then the remainder of such sections, or the application of such portion or provision in circumstances other than those as to which it is so declared illegal or unenforceable, shall not be affected thereby, and each remaining portion and provision of such sections shall be valid and enforceable to the fullest extent permitted by law.</w:t>
      </w:r>
    </w:p>
    <w:p>
      <w:pPr>
        <w:spacing w:after="0" w:line="171" w:lineRule="exact"/>
        <w:rPr>
          <w:rFonts w:ascii="Arial" w:cs="Arial" w:eastAsia="Arial" w:hAnsi="Arial"/>
          <w:sz w:val="17"/>
          <w:szCs w:val="17"/>
          <w:color w:val="auto"/>
        </w:rPr>
      </w:pPr>
    </w:p>
    <w:p>
      <w:pPr>
        <w:ind w:right="120" w:firstLine="464"/>
        <w:spacing w:after="0" w:line="279" w:lineRule="auto"/>
        <w:tabs>
          <w:tab w:leader="none" w:pos="701"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Modification And Blue Pencil</w:t>
      </w:r>
      <w:r>
        <w:rPr>
          <w:rFonts w:ascii="Arial" w:cs="Arial" w:eastAsia="Arial" w:hAnsi="Arial"/>
          <w:sz w:val="17"/>
          <w:szCs w:val="17"/>
          <w:color w:val="auto"/>
        </w:rPr>
        <w:t>. The parties agree and intend that the covenants contained in Sections 5 and 6 of this Agreement shall be deemed to be a series of separate covenants and agreements, and if any provision of such sections shall be adjudicated to be invalid or unenforceable, such provision, without any action on the part of the parties hereto, shall be deemed amended to delete (</w:t>
      </w:r>
      <w:r>
        <w:rPr>
          <w:rFonts w:ascii="Arial" w:cs="Arial" w:eastAsia="Arial" w:hAnsi="Arial"/>
          <w:sz w:val="17"/>
          <w:szCs w:val="17"/>
          <w:i w:val="1"/>
          <w:iCs w:val="1"/>
          <w:color w:val="auto"/>
        </w:rPr>
        <w:t>i.e.</w:t>
      </w:r>
      <w:r>
        <w:rPr>
          <w:rFonts w:ascii="Arial" w:cs="Arial" w:eastAsia="Arial" w:hAnsi="Arial"/>
          <w:sz w:val="17"/>
          <w:szCs w:val="17"/>
          <w:color w:val="auto"/>
        </w:rPr>
        <w:t>, “blue pencil”) or modify the portion adjudicated to be invalid or unenforceable, to the extent necessary to cause the provision as amended to be valid and enforceable.</w:t>
      </w:r>
    </w:p>
    <w:p>
      <w:pPr>
        <w:spacing w:after="0" w:line="171" w:lineRule="exact"/>
        <w:rPr>
          <w:rFonts w:ascii="Arial" w:cs="Arial" w:eastAsia="Arial" w:hAnsi="Arial"/>
          <w:sz w:val="17"/>
          <w:szCs w:val="17"/>
          <w:color w:val="auto"/>
        </w:rPr>
      </w:pPr>
    </w:p>
    <w:p>
      <w:pPr>
        <w:jc w:val="both"/>
        <w:ind w:right="120" w:firstLine="464"/>
        <w:spacing w:after="0" w:line="259" w:lineRule="auto"/>
        <w:tabs>
          <w:tab w:leader="none" w:pos="711"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Irreparable Harm</w:t>
      </w:r>
      <w:r>
        <w:rPr>
          <w:rFonts w:ascii="Arial" w:cs="Arial" w:eastAsia="Arial" w:hAnsi="Arial"/>
          <w:sz w:val="18"/>
          <w:szCs w:val="18"/>
          <w:color w:val="auto"/>
        </w:rPr>
        <w:t>. Executive expressly acknowledges that any breach or threatened breach of any of the terms and/or conditions of Sections 5 or 6 of this Agreement will result in substantial, continuing and irreparable injury to Company. Therefore, Executive hereby agrees that, in addition to any other remedy that may be available to Company, Company shall be entitled to injunctive or other equitable relief by a court of appropriate jurisdiction in the event of any breach or threatened breach of the terms of Section 5 or 6, without having to post bond.</w:t>
      </w:r>
    </w:p>
    <w:p>
      <w:pPr>
        <w:spacing w:after="0" w:line="186" w:lineRule="exact"/>
        <w:rPr>
          <w:rFonts w:ascii="Arial" w:cs="Arial" w:eastAsia="Arial" w:hAnsi="Arial"/>
          <w:sz w:val="18"/>
          <w:szCs w:val="18"/>
          <w:color w:val="auto"/>
        </w:rPr>
      </w:pPr>
    </w:p>
    <w:p>
      <w:pPr>
        <w:ind w:firstLine="464"/>
        <w:spacing w:after="0" w:line="312" w:lineRule="auto"/>
        <w:tabs>
          <w:tab w:leader="none" w:pos="701"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Covenants Enforceable Upon Material Job Change</w:t>
      </w:r>
      <w:r>
        <w:rPr>
          <w:rFonts w:ascii="Arial" w:cs="Arial" w:eastAsia="Arial" w:hAnsi="Arial"/>
          <w:sz w:val="16"/>
          <w:szCs w:val="16"/>
          <w:color w:val="auto"/>
        </w:rPr>
        <w:t>. Executive acknowledges and agrees that if he should transfer between or among any affiliates or subsidiaries of Company, wherever situated, or be promoted, demoted, reassigned to functions other than his present functions, or have his job duties changed, altered or modified in any way, all terms of Section 5 and Section 6 of this Agreement shall continue to apply with full force and effect.</w:t>
      </w:r>
    </w:p>
    <w:p>
      <w:pPr>
        <w:spacing w:after="0" w:line="146" w:lineRule="exact"/>
        <w:rPr>
          <w:rFonts w:ascii="Arial" w:cs="Arial" w:eastAsia="Arial" w:hAnsi="Arial"/>
          <w:sz w:val="16"/>
          <w:szCs w:val="16"/>
          <w:color w:val="auto"/>
        </w:rPr>
      </w:pPr>
    </w:p>
    <w:p>
      <w:pPr>
        <w:ind w:firstLine="464"/>
        <w:spacing w:after="0" w:line="276" w:lineRule="auto"/>
        <w:tabs>
          <w:tab w:leader="none" w:pos="681"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Impact of Breach on Severance</w:t>
      </w:r>
      <w:r>
        <w:rPr>
          <w:rFonts w:ascii="Arial" w:cs="Arial" w:eastAsia="Arial" w:hAnsi="Arial"/>
          <w:sz w:val="17"/>
          <w:szCs w:val="17"/>
          <w:color w:val="auto"/>
        </w:rPr>
        <w:t>. Executive hereby expressly acknowledges and agrees that if he breaches any of the terms and/or conditions set forth in Section 5 and/or Section 6 of this Agreement following a termination of his employment either by Company without Cause or by Executive for Good Reason, then, in addition to the injunctive relief described in Section 7(d) above, (i) Company shall cease providing Executive with any further Severance as of the date of such breach, (ii) Company shall not be obligated to provide Executive with, and Executive shall not be eligible or otherwise entitled to receive, any further Severance, (iii) Company’s obligation to provide Executive with the Severance shall be null and void, and of no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86" w:name="page487"/>
    <w:bookmarkEnd w:id="486"/>
    <w:p>
      <w:pPr>
        <w:ind w:right="5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force or effect, and (iv) Company shall be entitled to recover, and Executive shall be obligated to repay to Company, any Severance previously provided to Executive by Company prior to the date of Executive’s breach of Section 5 and/or Section 6 of this Agreement (as applicable).</w:t>
      </w:r>
    </w:p>
    <w:p>
      <w:pPr>
        <w:spacing w:after="0" w:line="124" w:lineRule="exact"/>
        <w:rPr>
          <w:sz w:val="20"/>
          <w:szCs w:val="20"/>
          <w:color w:val="auto"/>
        </w:rPr>
      </w:pPr>
    </w:p>
    <w:p>
      <w:pPr>
        <w:ind w:right="100" w:firstLine="464"/>
        <w:spacing w:after="0" w:line="302" w:lineRule="auto"/>
        <w:tabs>
          <w:tab w:leader="none" w:pos="711"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Disclosure to Future Employers</w:t>
      </w:r>
      <w:r>
        <w:rPr>
          <w:rFonts w:ascii="Arial" w:cs="Arial" w:eastAsia="Arial" w:hAnsi="Arial"/>
          <w:sz w:val="16"/>
          <w:szCs w:val="16"/>
          <w:color w:val="auto"/>
        </w:rPr>
        <w:t>. Executive shall provide, and Company, in its discretion, may similarly provide, a copy of the covenants contained in Section 5 and Section 6 of this Agreement to any competitive business or enterprise which Executive may, directly or indirectly, own, manage, operate, finance, join, control or in which Executive may participate in the ownership, management, operation, financing, or control, or with which Executive may be connected as an officer, director, employee, partner, principal, agent, representative, consultant or otherwise during the Restricted Period.</w:t>
      </w:r>
    </w:p>
    <w:p>
      <w:pPr>
        <w:spacing w:after="0" w:line="258" w:lineRule="exact"/>
        <w:rPr>
          <w:sz w:val="20"/>
          <w:szCs w:val="20"/>
          <w:color w:val="auto"/>
        </w:rPr>
      </w:pPr>
    </w:p>
    <w:p>
      <w:pPr>
        <w:ind w:left="640" w:hanging="176"/>
        <w:spacing w:after="0"/>
        <w:tabs>
          <w:tab w:leader="none" w:pos="64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Sections 409A</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64"/>
        <w:spacing w:after="0" w:line="277" w:lineRule="auto"/>
        <w:tabs>
          <w:tab w:leader="none" w:pos="70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the event that the payments or benefits set forth in Section 4 constitute “non-qualified deferred compensation” subject to Section 409A, then the following conditions apply to such payments or benefits:</w:t>
      </w:r>
    </w:p>
    <w:p>
      <w:pPr>
        <w:spacing w:after="0" w:line="62" w:lineRule="exact"/>
        <w:rPr>
          <w:rFonts w:ascii="Arial" w:cs="Arial" w:eastAsia="Arial" w:hAnsi="Arial"/>
          <w:sz w:val="18"/>
          <w:szCs w:val="18"/>
          <w:color w:val="auto"/>
        </w:rPr>
      </w:pPr>
    </w:p>
    <w:p>
      <w:pPr>
        <w:ind w:left="460" w:right="60" w:firstLine="443"/>
        <w:spacing w:after="0" w:line="254" w:lineRule="auto"/>
        <w:tabs>
          <w:tab w:leader="none" w:pos="1113" w:val="left"/>
        </w:tabs>
        <w:numPr>
          <w:ilvl w:val="1"/>
          <w:numId w:val="403"/>
        </w:numPr>
        <w:rPr>
          <w:rFonts w:ascii="Arial" w:cs="Arial" w:eastAsia="Arial" w:hAnsi="Arial"/>
          <w:sz w:val="18"/>
          <w:szCs w:val="18"/>
          <w:color w:val="auto"/>
        </w:rPr>
      </w:pPr>
      <w:r>
        <w:rPr>
          <w:rFonts w:ascii="Arial" w:cs="Arial" w:eastAsia="Arial" w:hAnsi="Arial"/>
          <w:sz w:val="18"/>
          <w:szCs w:val="18"/>
          <w:color w:val="auto"/>
        </w:rPr>
        <w:t>Any termination of Executive’s employment triggering payment of benefits under Section 4 must constitute a “separation from service” under Section 409A(a)(2)(A)(i) of the Code and Treas. Reg. §1.409A-1(h) before distribution of such benefits can commence. To the extent that the termination of Executive’s employment does not constitute a separation of service under Section 409A(a)(2)(A)(i) of the Code and Treas. Reg. §1.409A-1(h) (as the result of further services that are reasonably anticipated to be provided by Executive to Company at the time Executive’s employment terminates), any such payments under Section 4 that constitute deferred compensation under Section 409A shall be delayed until after the date of a subsequent event constituting a separation of service under Section 409A(a)(2)(A)(i) of the Code and Treas. Reg. §1.409A-1(h). For purposes of clarification, this Section 8(a) shall not cause any forfeiture of benefits on Executive’s part, but shall only act as a delay until such time as a “separation from service” occurs.</w:t>
      </w:r>
    </w:p>
    <w:p>
      <w:pPr>
        <w:spacing w:after="0" w:line="84" w:lineRule="exact"/>
        <w:rPr>
          <w:rFonts w:ascii="Arial" w:cs="Arial" w:eastAsia="Arial" w:hAnsi="Arial"/>
          <w:sz w:val="18"/>
          <w:szCs w:val="18"/>
          <w:color w:val="auto"/>
        </w:rPr>
      </w:pPr>
    </w:p>
    <w:p>
      <w:pPr>
        <w:ind w:left="460" w:firstLine="443"/>
        <w:spacing w:after="0" w:line="255" w:lineRule="auto"/>
        <w:tabs>
          <w:tab w:leader="none" w:pos="1163" w:val="left"/>
        </w:tabs>
        <w:numPr>
          <w:ilvl w:val="1"/>
          <w:numId w:val="403"/>
        </w:numPr>
        <w:rPr>
          <w:rFonts w:ascii="Arial" w:cs="Arial" w:eastAsia="Arial" w:hAnsi="Arial"/>
          <w:sz w:val="18"/>
          <w:szCs w:val="18"/>
          <w:color w:val="auto"/>
        </w:rPr>
      </w:pPr>
      <w:r>
        <w:rPr>
          <w:rFonts w:ascii="Arial" w:cs="Arial" w:eastAsia="Arial" w:hAnsi="Arial"/>
          <w:sz w:val="18"/>
          <w:szCs w:val="18"/>
          <w:color w:val="auto"/>
        </w:rPr>
        <w:t>Notwithstanding any other provision with respect to the timing of payments under Section 4 if, at the time of Executive’s termination, Executive is deemed to be a “specified employee” of Company (within the meaning of Section 409A(a)(2)(B)(i) of the Code), then limited only to the extent necessary to comply with the requirements of Section 409A, any payments to which Executive may become entitled under Section 4 which are subject to Section 409A (and not otherwise exempt from its application) shall be withheld until the first (1</w:t>
      </w:r>
      <w:r>
        <w:rPr>
          <w:rFonts w:ascii="Arial" w:cs="Arial" w:eastAsia="Arial" w:hAnsi="Arial"/>
          <w:sz w:val="15"/>
          <w:szCs w:val="15"/>
          <w:color w:val="auto"/>
        </w:rPr>
        <w:t>st</w:t>
      </w:r>
      <w:r>
        <w:rPr>
          <w:rFonts w:ascii="Arial" w:cs="Arial" w:eastAsia="Arial" w:hAnsi="Arial"/>
          <w:sz w:val="18"/>
          <w:szCs w:val="18"/>
          <w:color w:val="auto"/>
        </w:rPr>
        <w:t>) business day of the seventh (7</w:t>
      </w:r>
      <w:r>
        <w:rPr>
          <w:rFonts w:ascii="Arial" w:cs="Arial" w:eastAsia="Arial" w:hAnsi="Arial"/>
          <w:sz w:val="15"/>
          <w:szCs w:val="15"/>
          <w:color w:val="auto"/>
        </w:rPr>
        <w:t>th</w:t>
      </w:r>
      <w:r>
        <w:rPr>
          <w:rFonts w:ascii="Arial" w:cs="Arial" w:eastAsia="Arial" w:hAnsi="Arial"/>
          <w:sz w:val="18"/>
          <w:szCs w:val="18"/>
          <w:color w:val="auto"/>
        </w:rPr>
        <w:t>) month following the termination of Executive’s employment, at which time Executive shall be paid an aggregate amount equal to the accumulated, but unpaid, payments otherwise due to Executive under the terms of Section 4.</w:t>
      </w:r>
    </w:p>
    <w:p>
      <w:pPr>
        <w:spacing w:after="0" w:line="193" w:lineRule="exact"/>
        <w:rPr>
          <w:rFonts w:ascii="Arial" w:cs="Arial" w:eastAsia="Arial" w:hAnsi="Arial"/>
          <w:sz w:val="18"/>
          <w:szCs w:val="18"/>
          <w:color w:val="auto"/>
        </w:rPr>
      </w:pPr>
    </w:p>
    <w:p>
      <w:pPr>
        <w:jc w:val="both"/>
        <w:ind w:right="180" w:firstLine="464"/>
        <w:spacing w:after="0" w:line="264" w:lineRule="auto"/>
        <w:tabs>
          <w:tab w:leader="none" w:pos="71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 4 shall be treated as a separate “payment” for purposes of Section 409A. Neither Company nor Executive shall have the right to accelerate or defer the delivery of any such payments or benefits except to the extent specifically permitted or required by Section 409A.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487" w:name="page488"/>
    <w:bookmarkEnd w:id="487"/>
    <w:p>
      <w:pPr>
        <w:ind w:firstLine="464"/>
        <w:spacing w:after="0" w:line="291" w:lineRule="auto"/>
        <w:tabs>
          <w:tab w:leader="none" w:pos="701" w:val="left"/>
        </w:tabs>
        <w:numPr>
          <w:ilvl w:val="0"/>
          <w:numId w:val="4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this Agreement to the contrary, this Agreement shall be interpreted and at all times administered in a manner that avoids the inclusion of compensation in income under Section 409A, or the payment of increased taxes, excise taxes or other penalties under</w:t>
      </w:r>
    </w:p>
    <w:p>
      <w:pPr>
        <w:ind w:right="620"/>
        <w:spacing w:after="0" w:line="255" w:lineRule="auto"/>
        <w:rPr>
          <w:rFonts w:ascii="Arial" w:cs="Arial" w:eastAsia="Arial" w:hAnsi="Arial"/>
          <w:sz w:val="16"/>
          <w:szCs w:val="16"/>
          <w:color w:val="auto"/>
        </w:rPr>
      </w:pPr>
      <w:r>
        <w:rPr>
          <w:rFonts w:ascii="Arial" w:cs="Arial" w:eastAsia="Arial" w:hAnsi="Arial"/>
          <w:sz w:val="18"/>
          <w:szCs w:val="18"/>
          <w:color w:val="auto"/>
        </w:rPr>
        <w:t>Section 409A. The parties intend this Agreement to be in compliance with Section 409A. Executive acknowledges and agrees that Company does not guarantee the tax treatment or tax consequences associated with any payment or benefit arising under this Agreement, including but not limited to consequences related to Section 409A.</w:t>
      </w:r>
    </w:p>
    <w:p>
      <w:pPr>
        <w:spacing w:after="0" w:line="294" w:lineRule="exact"/>
        <w:rPr>
          <w:sz w:val="20"/>
          <w:szCs w:val="20"/>
          <w:color w:val="auto"/>
        </w:rPr>
      </w:pPr>
    </w:p>
    <w:p>
      <w:pPr>
        <w:ind w:left="640" w:hanging="176"/>
        <w:spacing w:after="0"/>
        <w:tabs>
          <w:tab w:leader="none" w:pos="64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64"/>
        <w:spacing w:after="0" w:line="259" w:lineRule="auto"/>
        <w:tabs>
          <w:tab w:leader="none" w:pos="701"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specifically provided herein, any notice required or permitted by this Agreement shall be in writing and shall be delivered as follows with notice deemed given as indicated: (i) by personal delivery when delivered personally; (ii) by overnight courier upon written verification of receipt; (iii) by facsimile transmission upon acknowledgment of receipt of electronic transmission; or (iv) by certified or registered mail, return receipt requested, upon verification of receipt.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Notices to Executive shall be sent to</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Roberto Guerciolini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Notices to Company shall be sent to</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Chief Executive Officer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Wave Life Sciences Pte.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419 Western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Massachusetts 02135</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with a copy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Mintz, Levin, Cohn, Ferris, Glovsky &amp; Popeo, P.C.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Massachusetts 02111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James M. Nicholas, Esq.</w:t>
      </w:r>
    </w:p>
    <w:p>
      <w:pPr>
        <w:spacing w:after="0" w:line="211" w:lineRule="exact"/>
        <w:rPr>
          <w:sz w:val="20"/>
          <w:szCs w:val="20"/>
          <w:color w:val="auto"/>
        </w:rPr>
      </w:pPr>
    </w:p>
    <w:p>
      <w:pPr>
        <w:ind w:right="100" w:firstLine="464"/>
        <w:spacing w:after="0" w:line="277" w:lineRule="auto"/>
        <w:tabs>
          <w:tab w:leader="none" w:pos="711"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 executed by the parties hereto.</w:t>
      </w:r>
    </w:p>
    <w:p>
      <w:pPr>
        <w:spacing w:after="0" w:line="170" w:lineRule="exact"/>
        <w:rPr>
          <w:rFonts w:ascii="Arial" w:cs="Arial" w:eastAsia="Arial" w:hAnsi="Arial"/>
          <w:sz w:val="18"/>
          <w:szCs w:val="18"/>
          <w:color w:val="auto"/>
        </w:rPr>
      </w:pPr>
    </w:p>
    <w:p>
      <w:pPr>
        <w:ind w:right="40" w:firstLine="464"/>
        <w:spacing w:after="0" w:line="279" w:lineRule="auto"/>
        <w:tabs>
          <w:tab w:leader="none" w:pos="701" w:val="left"/>
        </w:tabs>
        <w:numPr>
          <w:ilvl w:val="0"/>
          <w:numId w:val="407"/>
        </w:numPr>
        <w:rPr>
          <w:rFonts w:ascii="Arial" w:cs="Arial" w:eastAsia="Arial" w:hAnsi="Arial"/>
          <w:sz w:val="17"/>
          <w:szCs w:val="17"/>
          <w:color w:val="auto"/>
        </w:rPr>
      </w:pPr>
      <w:r>
        <w:rPr>
          <w:rFonts w:ascii="Arial" w:cs="Arial" w:eastAsia="Arial" w:hAnsi="Arial"/>
          <w:sz w:val="17"/>
          <w:szCs w:val="17"/>
          <w:u w:val="single" w:color="auto"/>
          <w:color w:val="auto"/>
        </w:rPr>
        <w:t>Waivers and Consents</w:t>
      </w:r>
      <w:r>
        <w:rPr>
          <w:rFonts w:ascii="Arial" w:cs="Arial" w:eastAsia="Arial" w:hAnsi="Arial"/>
          <w:sz w:val="17"/>
          <w:szCs w:val="17"/>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488" w:name="page489"/>
    <w:bookmarkEnd w:id="488"/>
    <w:p>
      <w:pPr>
        <w:jc w:val="both"/>
        <w:ind w:right="80" w:firstLine="464"/>
        <w:spacing w:after="0" w:line="264" w:lineRule="auto"/>
        <w:tabs>
          <w:tab w:leader="none" w:pos="711"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Arial" w:cs="Arial" w:eastAsia="Arial" w:hAnsi="Arial"/>
          <w:sz w:val="18"/>
          <w:szCs w:val="18"/>
          <w:color w:val="auto"/>
        </w:rPr>
        <w:t>. Company may assign its rights and obligations hereunder to any person or entity that succeeds to all or substantially all of Company’s business or that aspect of Company’s business in which Executive is principally involved. Executive may not assign Executive’s rights and obligations under this Agreement without the prior written consent of Company.</w:t>
      </w:r>
    </w:p>
    <w:p>
      <w:pPr>
        <w:spacing w:after="0" w:line="181" w:lineRule="exact"/>
        <w:rPr>
          <w:rFonts w:ascii="Arial" w:cs="Arial" w:eastAsia="Arial" w:hAnsi="Arial"/>
          <w:sz w:val="18"/>
          <w:szCs w:val="18"/>
          <w:color w:val="auto"/>
        </w:rPr>
      </w:pPr>
    </w:p>
    <w:p>
      <w:pPr>
        <w:ind w:right="280" w:firstLine="464"/>
        <w:spacing w:after="0" w:line="255" w:lineRule="auto"/>
        <w:tabs>
          <w:tab w:leader="none" w:pos="701"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Governing Law; Jury Waiver</w:t>
      </w:r>
      <w:r>
        <w:rPr>
          <w:rFonts w:ascii="Arial" w:cs="Arial" w:eastAsia="Arial" w:hAnsi="Arial"/>
          <w:sz w:val="18"/>
          <w:szCs w:val="18"/>
          <w:color w:val="auto"/>
        </w:rPr>
        <w:t>. This Agreement and the rights and obligations of the parties hereunder shall be construed in accordance with and governed by the law of Massachusetts without giving effect to the conflict of law principles thereof. Any legal action or proceeding with respect to this Agreement shall be brought in the courts of the Commonwealth of Massachusetts or the United States of America for the District of Massachusetts. By execution and delivery of this Agreement, each of the parties hereto accepts for itself and in respect of its property, generally and unconditionally, the exclusive jurisdiction of the aforesaid courts. ANY ACTION, DEMAND, CLAIM OR COUNTERCLAIM ARISING UNDER OR RELATING TO THIS AGREEMENT SHALL BE RESOLVED BY A JUDGE ALONE AND EACH OF COMPANY AND EXECUTIVE WAIVES ANY RIGHT TO A JURY TRIAL THEREOF.</w:t>
      </w:r>
    </w:p>
    <w:p>
      <w:pPr>
        <w:spacing w:after="0" w:line="189" w:lineRule="exact"/>
        <w:rPr>
          <w:rFonts w:ascii="Arial" w:cs="Arial" w:eastAsia="Arial" w:hAnsi="Arial"/>
          <w:sz w:val="18"/>
          <w:szCs w:val="18"/>
          <w:color w:val="auto"/>
        </w:rPr>
      </w:pPr>
    </w:p>
    <w:p>
      <w:pPr>
        <w:ind w:right="20" w:firstLine="464"/>
        <w:spacing w:after="0" w:line="273" w:lineRule="auto"/>
        <w:tabs>
          <w:tab w:leader="none" w:pos="681"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Foreign Data Protection Act</w:t>
      </w:r>
      <w:r>
        <w:rPr>
          <w:rFonts w:ascii="Arial" w:cs="Arial" w:eastAsia="Arial" w:hAnsi="Arial"/>
          <w:sz w:val="17"/>
          <w:szCs w:val="17"/>
          <w:color w:val="auto"/>
        </w:rPr>
        <w:t>. Without limiting the Company’s rights under applicable law, the Executive hereby consents to the Company and any group company Processing (for any purpose directly or indirectly connected with the Executive’s employment or otherwise related to the business of the Company and/or any group company), both during and for a period of six months after termination of the Executive’s employment, Personal Data and, where reasonably necessary, to the transfer, storage and Processing by the Company of such data outside Singapore, and any other country in which the Company or any group company has offices. The Company will handle any such transfer in accordance with good practice and Company policy, and to the extent permitted by law. The following definitions are applicable to this Section 9(f):</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“Processing” means obtaining, recording or holding data and includes organising, adapting or altering data, using or consulting data, disclosing data by transmission or otherwise making the data available or destroying the data.</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“Personal Data” means the data provided by the Executive to the Company during the course of his employment that relates to the Executive, where the Executive can be identified from that data.</w:t>
      </w:r>
    </w:p>
    <w:p>
      <w:pPr>
        <w:spacing w:after="0" w:line="170" w:lineRule="exact"/>
        <w:rPr>
          <w:sz w:val="20"/>
          <w:szCs w:val="20"/>
          <w:color w:val="auto"/>
        </w:rPr>
      </w:pPr>
    </w:p>
    <w:p>
      <w:pPr>
        <w:ind w:right="60" w:firstLine="464"/>
        <w:spacing w:after="0" w:line="277" w:lineRule="auto"/>
        <w:tabs>
          <w:tab w:leader="none" w:pos="711"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70" w:lineRule="exact"/>
        <w:rPr>
          <w:rFonts w:ascii="Arial" w:cs="Arial" w:eastAsia="Arial" w:hAnsi="Arial"/>
          <w:sz w:val="18"/>
          <w:szCs w:val="18"/>
          <w:color w:val="auto"/>
        </w:rPr>
      </w:pPr>
    </w:p>
    <w:p>
      <w:pPr>
        <w:ind w:right="800" w:firstLine="464"/>
        <w:spacing w:after="0" w:line="308" w:lineRule="auto"/>
        <w:tabs>
          <w:tab w:leader="none" w:pos="711"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other agreements specifically referenced herein, embodies the entire agreement and understanding between the parties hereto with respect to the subject matter hereof and supersedes all prior oral or written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489" w:name="page490"/>
    <w:bookmarkEnd w:id="489"/>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47" w:lineRule="exact"/>
        <w:rPr>
          <w:sz w:val="20"/>
          <w:szCs w:val="20"/>
          <w:color w:val="auto"/>
        </w:rPr>
      </w:pPr>
    </w:p>
    <w:p>
      <w:pPr>
        <w:ind w:firstLine="464"/>
        <w:spacing w:after="0" w:line="308" w:lineRule="auto"/>
        <w:tabs>
          <w:tab w:leader="none" w:pos="671"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Executive’s employment to the extent necessary to effectuate the terms contained in this Agreement, including without limitation, the terms of Sections 5, 6, 7, 8 and 9 hereof.</w:t>
      </w:r>
    </w:p>
    <w:p>
      <w:pPr>
        <w:spacing w:after="0" w:line="146" w:lineRule="exact"/>
        <w:rPr>
          <w:rFonts w:ascii="Arial" w:cs="Arial" w:eastAsia="Arial" w:hAnsi="Arial"/>
          <w:sz w:val="17"/>
          <w:szCs w:val="17"/>
          <w:color w:val="auto"/>
        </w:rPr>
      </w:pPr>
    </w:p>
    <w:p>
      <w:pPr>
        <w:ind w:right="40" w:firstLine="464"/>
        <w:spacing w:after="0" w:line="264" w:lineRule="auto"/>
        <w:tabs>
          <w:tab w:leader="none" w:pos="671"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and by different parties hereto on separate counterparts, each of which shall be deemed an original, but all of which together shall constitute one and the same instrument. For all purposes a signature by fax shall be treated as an original.</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490" w:name="page491"/>
    <w:bookmarkEnd w:id="4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ROBERTO GUERCIOLINI</w:t>
            </w:r>
          </w:p>
        </w:tc>
        <w:tc>
          <w:tcPr>
            <w:tcW w:w="6660" w:type="dxa"/>
            <w:vAlign w:val="bottom"/>
            <w:gridSpan w:val="2"/>
          </w:tcPr>
          <w:p>
            <w:pPr>
              <w:ind w:left="1860"/>
              <w:spacing w:after="0"/>
              <w:rPr>
                <w:sz w:val="20"/>
                <w:szCs w:val="20"/>
                <w:color w:val="auto"/>
              </w:rPr>
            </w:pPr>
            <w:r>
              <w:rPr>
                <w:rFonts w:ascii="Arial" w:cs="Arial" w:eastAsia="Arial" w:hAnsi="Arial"/>
                <w:sz w:val="18"/>
                <w:szCs w:val="18"/>
                <w:b w:val="1"/>
                <w:bCs w:val="1"/>
                <w:color w:val="auto"/>
              </w:rPr>
              <w:t>WAVE LIFE SCIENCES PTE. LTD.</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/s/ Roberto Guerciolini</w:t>
            </w:r>
          </w:p>
        </w:tc>
        <w:tc>
          <w:tcPr>
            <w:tcW w:w="2460" w:type="dxa"/>
            <w:vAlign w:val="bottom"/>
          </w:tcPr>
          <w:p>
            <w:pPr>
              <w:ind w:left="1860"/>
              <w:spacing w:after="0"/>
              <w:rPr>
                <w:sz w:val="20"/>
                <w:szCs w:val="20"/>
                <w:color w:val="auto"/>
              </w:rPr>
            </w:pPr>
            <w:r>
              <w:rPr>
                <w:rFonts w:ascii="Arial" w:cs="Arial" w:eastAsia="Arial" w:hAnsi="Arial"/>
                <w:sz w:val="14"/>
                <w:szCs w:val="14"/>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Bolno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1860"/>
              <w:spacing w:after="0"/>
              <w:rPr>
                <w:sz w:val="20"/>
                <w:szCs w:val="20"/>
                <w:color w:val="auto"/>
              </w:rPr>
            </w:pPr>
            <w:r>
              <w:rPr>
                <w:rFonts w:ascii="Arial" w:cs="Arial" w:eastAsia="Arial" w:hAnsi="Arial"/>
                <w:sz w:val="18"/>
                <w:szCs w:val="18"/>
                <w:color w:val="auto"/>
              </w:rPr>
              <w:t>Name:</w:t>
            </w:r>
          </w:p>
        </w:tc>
        <w:tc>
          <w:tcPr>
            <w:tcW w:w="4200" w:type="dxa"/>
            <w:vAlign w:val="bottom"/>
            <w:vMerge w:val="restart"/>
          </w:tcPr>
          <w:p>
            <w:pPr>
              <w:spacing w:after="0"/>
              <w:rPr>
                <w:sz w:val="20"/>
                <w:szCs w:val="20"/>
                <w:color w:val="auto"/>
              </w:rPr>
            </w:pPr>
            <w:r>
              <w:rPr>
                <w:rFonts w:ascii="Arial" w:cs="Arial" w:eastAsia="Arial" w:hAnsi="Arial"/>
                <w:sz w:val="18"/>
                <w:szCs w:val="18"/>
                <w:color w:val="auto"/>
              </w:rPr>
              <w:t>Paul B. Bolno, M.D.</w:t>
            </w: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740" w:type="dxa"/>
            <w:vAlign w:val="bottom"/>
          </w:tcPr>
          <w:p>
            <w:pPr>
              <w:spacing w:after="0" w:line="182" w:lineRule="exact"/>
              <w:rPr>
                <w:sz w:val="20"/>
                <w:szCs w:val="20"/>
                <w:color w:val="auto"/>
              </w:rPr>
            </w:pPr>
            <w:r>
              <w:rPr>
                <w:rFonts w:ascii="Arial" w:cs="Arial" w:eastAsia="Arial" w:hAnsi="Arial"/>
                <w:sz w:val="18"/>
                <w:szCs w:val="18"/>
                <w:color w:val="auto"/>
              </w:rPr>
              <w:t>Signature</w:t>
            </w:r>
          </w:p>
        </w:tc>
        <w:tc>
          <w:tcPr>
            <w:tcW w:w="2460" w:type="dxa"/>
            <w:vAlign w:val="bottom"/>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460" w:type="dxa"/>
            <w:vAlign w:val="bottom"/>
          </w:tcPr>
          <w:p>
            <w:pPr>
              <w:ind w:left="1860"/>
              <w:spacing w:after="0"/>
              <w:rPr>
                <w:sz w:val="20"/>
                <w:szCs w:val="20"/>
                <w:color w:val="auto"/>
              </w:rPr>
            </w:pPr>
            <w:r>
              <w:rPr>
                <w:rFonts w:ascii="Arial" w:cs="Arial" w:eastAsia="Arial" w:hAnsi="Arial"/>
                <w:sz w:val="18"/>
                <w:szCs w:val="18"/>
                <w:color w:val="auto"/>
              </w:rPr>
              <w:t>Title:</w:t>
            </w:r>
          </w:p>
        </w:tc>
        <w:tc>
          <w:tcPr>
            <w:tcW w:w="42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60" w:type="dxa"/>
            <w:vAlign w:val="bottom"/>
          </w:tcPr>
          <w:p>
            <w:pPr>
              <w:ind w:left="860"/>
              <w:spacing w:after="0"/>
              <w:rPr>
                <w:sz w:val="20"/>
                <w:szCs w:val="20"/>
                <w:color w:val="auto"/>
              </w:rPr>
            </w:pPr>
            <w:r>
              <w:rPr>
                <w:rFonts w:ascii="Arial" w:cs="Arial" w:eastAsia="Arial" w:hAnsi="Arial"/>
                <w:sz w:val="18"/>
                <w:szCs w:val="18"/>
                <w:color w:val="auto"/>
              </w:rPr>
              <w:t>15</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491" w:name="page492"/>
    <w:bookmarkEnd w:id="49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Outside Activities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270" w:right="1440" w:bottom="1440" w:gutter="0" w:footer="0" w:header="0"/>
        </w:sectPr>
      </w:pPr>
    </w:p>
    <w:bookmarkStart w:id="492" w:name="page493"/>
    <w:bookmarkEnd w:id="492"/>
    <w:p>
      <w:pPr>
        <w:jc w:val="right"/>
        <w:spacing w:after="0"/>
        <w:rPr>
          <w:sz w:val="20"/>
          <w:szCs w:val="20"/>
          <w:color w:val="auto"/>
        </w:rPr>
      </w:pPr>
      <w:r>
        <w:rPr>
          <w:rFonts w:ascii="Arial" w:cs="Arial" w:eastAsia="Arial" w:hAnsi="Arial"/>
          <w:sz w:val="18"/>
          <w:szCs w:val="18"/>
          <w:b w:val="1"/>
          <w:bCs w:val="1"/>
          <w:color w:val="auto"/>
        </w:rPr>
        <w:t>Exhibit 10.14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WaVe Life Sciences,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92250" cy="11747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492250" cy="117475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419 Western Ave Boston, MA 02135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Tel: 617 206 4830 Fax 617 206 4831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July 2nd,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Dr. Vargeese: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It is a pleasure to offer you a position as SVP, Head of Drug Discovery with Wave Life Sciences, Pte. Ltd. You will be reporting to Dr. Paul Bolno, President and CEO of the company. We believe that you will be a valuable member to our company and will make an important contribution to the achievement of our goals. The details of your employment are outlined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Your first day of employment will be mutually agreed upon, and is expected to be no later than August 18th,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annually salary will be $285,000 (Two Hundred and Eighty Five Thousand Dollars) and will be paid in accordance with our normal payroll procedures.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addition, upon the establishment of the employee option pool and final approval of the board, you will be entitled to 1.5% of this newly issued option pool.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Options will have a 4-year vesting period with vesting occurring on monthly intervals starting from date of hire.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Pay/Bonus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Your position is eligible to participate in a discretionary variable, performance based pay bonus program up to 25% of your base salary subject to withholding and other applicable taxes, and paid in accordance with company’s usual payroll procedures. As per our agreement, you will receive $15,000 (Fifteen Thousand dollars) upon your commencement date, provided, however, that you sign and return our Employee Guide and our Confidentiality and Invention Disclosure and Assignment Agreement, all of which is a condition to your employment with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You will be eligible to participate in the Company’s group benefits program beginning the first day of the month following your hire date unless your hire date is the first work day of the month. These coverage, waiting periods, and rates of coverage are subject to change, as determined by the Company, and are not to be considered a contractual agreement with the employee. The benefits are as follows:</w:t>
      </w:r>
    </w:p>
    <w:p>
      <w:pPr>
        <w:spacing w:after="0" w:line="87" w:lineRule="exact"/>
        <w:rPr>
          <w:sz w:val="20"/>
          <w:szCs w:val="20"/>
          <w:color w:val="auto"/>
        </w:rPr>
      </w:pPr>
    </w:p>
    <w:p>
      <w:pPr>
        <w:ind w:left="900" w:right="120" w:hanging="325"/>
        <w:spacing w:after="0" w:line="277" w:lineRule="auto"/>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Medical, dental, vision, and pharmaceutical coverage’s are provided at no charge to the employee and available to immediate family members at a fee.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Short term and long term disability insurance is company paid for the employee.</w:t>
      </w:r>
    </w:p>
    <w:p>
      <w:pPr>
        <w:sectPr>
          <w:pgSz w:w="11900" w:h="16838" w:orient="portrait"/>
          <w:cols w:equalWidth="0" w:num="1">
            <w:col w:w="11420"/>
          </w:cols>
          <w:pgMar w:left="240" w:top="120" w:right="239"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Authorization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new employees are required to complete the Immigration and Naturalization Form (1-9) within the first three (3) days of employment with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documents verify your identity and right to work in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you are in need of a work visa please notify Dr. Paul Balno at the time of job acceptance.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 Will Employment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Your employment with WaVe Life Sciences, Pte. Ltd. is considered at-will employment. At-will employment means that the employer or employee may terminate the employment relationship, at any time with two week advance notice, with or without cause. </w:t>
      </w:r>
      <w:r>
        <w:rPr>
          <w:rFonts w:ascii="Arial" w:cs="Arial" w:eastAsia="Arial" w:hAnsi="Arial"/>
          <w:sz w:val="18"/>
          <w:szCs w:val="18"/>
          <w:b w:val="1"/>
          <w:bCs w:val="1"/>
          <w:i w:val="1"/>
          <w:iCs w:val="1"/>
          <w:color w:val="auto"/>
        </w:rPr>
        <w:t>This offer letter does not constitute an employment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contract nor guarantee permanent employment. The Company reserves the right, at its’ sole discretion, to modify your compensation, benefits, and other terms or conditions of employment, at any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Confidentiality/Non-Disclosure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a condition of employment, you are required to execute the company’s Confidentiality Agreement which will be provided to you at New Hire Orientation.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letter and the above referenced Confidentiality Agreement contain all of the terms of your employment with WaVe Life Sciences, Ptd. Ltd. and supersedes any prior understandings or agreement, whether oral or in writing. This letter and Confidentiality Agreement can only be modified in writing and with express agreement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interest in WaVe Life Sciences, Ptd. Ltd., and look forward to rewarding working relationship. Please contact me with any questions.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Paul Bolno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Paul Bolno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have read and understand the information stated above and accept this offer of employment.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Chandra Vargeese</w:t>
            </w:r>
          </w:p>
        </w:tc>
        <w:tc>
          <w:tcPr>
            <w:tcW w:w="24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18th, 2014</w:t>
            </w: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Name Chandra Vargeese, Ph.D.</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i w:val="1"/>
                <w:iCs w:val="1"/>
                <w:color w:val="auto"/>
              </w:rPr>
              <w:t>Date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Upon acceptance of this employment offer, fax a signed copy of this letter to Dr. Paul Bolno</w:t>
      </w:r>
    </w:p>
    <w:p>
      <w:pPr>
        <w:sectPr>
          <w:pgSz w:w="11900" w:h="16838" w:orient="portrait"/>
          <w:cols w:equalWidth="0" w:num="1">
            <w:col w:w="11420"/>
          </w:cols>
          <w:pgMar w:left="240" w:top="270" w:right="239"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b w:val="1"/>
          <w:bCs w:val="1"/>
          <w:color w:val="auto"/>
        </w:rPr>
        <w:t>Exhibit 10.15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WaVe Life Sciences,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92250" cy="12261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492250" cy="12261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419 Western Ave Boston, MA 02135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Tel: 617 206 4830 Fax 617 206 4831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March 10th,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Dr. Christopher Francis: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It is a pleasure to offer you a position as VP Business Development with Wave Life Sciences. You will be reporting to Dr. Paul Bolno, President and CEO of the company. We believe that you will be a valuable addition to our new company and will make an important contribution to the achievement of our goals. The details of your employment are outlined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Your first day of employment will be mutually agreed upon, and is expected to be no later than April 31st,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Your position is classified as exempt. The annual salary will be $185,000 (One Hundred and Eighty Five Thousand) and will be paid on a semi-monthly basis subject to withholding and other applicable taxes, and paid in accordance with the Company’s usual payroll procedures. In addition, upon the establishment of the employee option pool and final approval of the board, you will be entitled to 1% of this newly issued option pool. Options will have a 4-year vesting period with vesting occurring on monthly intervals starting from date of hire.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Pay/Bonus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Your position is eligible to participate in a discretionary, variable, performance-based pay bonus program up to 25% of base pay subject to withholding and other applicable taxes, and paid in accordance with the Company’s usual payroll procedures. In addition and based on performance you may be entitled to additional stock options; subject to final board approval.</w:t>
      </w:r>
    </w:p>
    <w:p>
      <w:pPr>
        <w:sectPr>
          <w:pgSz w:w="11900" w:h="16838" w:orient="portrait"/>
          <w:cols w:equalWidth="0" w:num="1">
            <w:col w:w="11420"/>
          </w:cols>
          <w:pgMar w:left="240" w:top="121" w:right="239" w:bottom="1440" w:gutter="0" w:footer="0" w:header="0"/>
        </w:sectPr>
      </w:pPr>
    </w:p>
    <w:bookmarkStart w:id="495" w:name="page496"/>
    <w:bookmarkEnd w:id="4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WaVe Life Sciences,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92250" cy="12261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492250" cy="12261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419 Western Ave Boston, MA 02135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Tel: 617 206 4830 Fax 617 206 4831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You will be eligible to participate in the Company’s group benefits program beginning the first day of the month following your hire date, unless your hire date is the first work day of the month. The benefits program, including waiting periods and rates of coverage, is subject to change, as determined by the Company, and is not to be considered a contractual agreement with the employee. The benefits are as follows:</w:t>
      </w:r>
    </w:p>
    <w:p>
      <w:pPr>
        <w:spacing w:after="0" w:line="71" w:lineRule="exact"/>
        <w:rPr>
          <w:sz w:val="20"/>
          <w:szCs w:val="20"/>
          <w:color w:val="auto"/>
        </w:rPr>
      </w:pPr>
    </w:p>
    <w:p>
      <w:pPr>
        <w:ind w:left="900" w:right="200" w:hanging="325"/>
        <w:spacing w:after="0" w:line="277" w:lineRule="auto"/>
        <w:tabs>
          <w:tab w:leader="none" w:pos="9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Medical, dental, vision, and pharmaceutical coverage is provided at no charge to the employee and available to immediate family members at a discounted fee.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Life insurance is paid at one time (1x) the employee’s annual salary to a maximum of $50K; additional coverage is available at a fee.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Short term and long term disability insurance is Company paid for the employee.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 Authorization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new employees are required to complete the Immigration and Naturalization Form (I-9) within the first three (3) days of employment with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documents verify your identity and right to work in the United States.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 Will Employment</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Your employment with Wave is considered at-will employment. At-will employment means that the employer or employee may terminate the employment relationship, at any time with a two-week advance notice, with or without cause. </w:t>
      </w:r>
      <w:r>
        <w:rPr>
          <w:rFonts w:ascii="Arial" w:cs="Arial" w:eastAsia="Arial" w:hAnsi="Arial"/>
          <w:sz w:val="18"/>
          <w:szCs w:val="18"/>
          <w:b w:val="1"/>
          <w:bCs w:val="1"/>
          <w:i w:val="1"/>
          <w:iCs w:val="1"/>
          <w:color w:val="auto"/>
        </w:rPr>
        <w:t>This offer letter does not constitute an employment contract nor guarantee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permanent employment. The Company reserves the right, at its sole discretion, to modify your compensation, benefits, and other terms or conditions of employment, at any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Confidentiality/Non-Disclosure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a condition of employment, you are required to execute the Company’s Confidentiality Agreement that will be provided to you at New Hire Orientation.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This letter and the above referenced Confidentiality Agreement contain all of the terms of your employment with Wave Life Sciences, and supersede any prior understandings or agreements, whether oral or in writing. This letter and the Confidentiality Agreement can only be modified in writing and with express agreement by the Company.</w:t>
      </w:r>
    </w:p>
    <w:p>
      <w:pPr>
        <w:sectPr>
          <w:pgSz w:w="11900" w:h="16838" w:orient="portrait"/>
          <w:cols w:equalWidth="0" w:num="1">
            <w:col w:w="11420"/>
          </w:cols>
          <w:pgMar w:left="240" w:top="270" w:right="239" w:bottom="1440" w:gutter="0" w:footer="0" w:header="0"/>
        </w:sectPr>
      </w:pPr>
    </w:p>
    <w:bookmarkStart w:id="496" w:name="page497"/>
    <w:bookmarkEnd w:id="4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WaVe Life Sciences,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92250" cy="12261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492250" cy="122618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419 Western Ave Boston, MA 02135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Tel: 617 206 4830 Fax 617 206 4831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80"/>
        <w:spacing w:after="0" w:line="501" w:lineRule="auto"/>
        <w:rPr>
          <w:sz w:val="20"/>
          <w:szCs w:val="20"/>
          <w:color w:val="auto"/>
        </w:rPr>
      </w:pPr>
      <w:r>
        <w:rPr>
          <w:rFonts w:ascii="Arial" w:cs="Arial" w:eastAsia="Arial" w:hAnsi="Arial"/>
          <w:sz w:val="18"/>
          <w:szCs w:val="18"/>
          <w:color w:val="auto"/>
        </w:rPr>
        <w:t>We appreciate your interest in Wave and look forward to a rewarding working relationship. Please contact me with any questions. Sincerely,</w:t>
      </w:r>
    </w:p>
    <w:p>
      <w:pPr>
        <w:spacing w:after="0"/>
        <w:rPr>
          <w:sz w:val="20"/>
          <w:szCs w:val="20"/>
          <w:color w:val="auto"/>
        </w:rPr>
      </w:pPr>
      <w:r>
        <w:rPr>
          <w:rFonts w:ascii="Arial" w:cs="Arial" w:eastAsia="Arial" w:hAnsi="Arial"/>
          <w:sz w:val="18"/>
          <w:szCs w:val="18"/>
          <w:color w:val="auto"/>
        </w:rPr>
        <w:t>/s/ Paul Bolno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Paul Bolno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 Wave Life Sciences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have read and understand the information stated above and accept this offer of employment.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Francis</w:t>
            </w:r>
          </w:p>
        </w:tc>
        <w:tc>
          <w:tcPr>
            <w:tcW w:w="24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20th, 2014</w:t>
            </w: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Name: Christopher Francis</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i w:val="1"/>
                <w:iCs w:val="1"/>
                <w:color w:val="auto"/>
              </w:rPr>
              <w:t>Date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Upon acceptance of this employment offer, fax a signed copy of this letter to Dr. Paul Bolno.</w:t>
      </w:r>
    </w:p>
    <w:p>
      <w:pPr>
        <w:sectPr>
          <w:pgSz w:w="11900" w:h="16838" w:orient="portrait"/>
          <w:cols w:equalWidth="0" w:num="1">
            <w:col w:w="11420"/>
          </w:cols>
          <w:pgMar w:left="240" w:top="269" w:right="239" w:bottom="1440" w:gutter="0" w:footer="0" w:header="0"/>
        </w:sectPr>
      </w:pPr>
    </w:p>
    <w:bookmarkStart w:id="497" w:name="page498"/>
    <w:bookmarkEnd w:id="497"/>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ONTORII,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This Consulting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effective as of the 1</w:t>
      </w:r>
      <w:r>
        <w:rPr>
          <w:rFonts w:ascii="Arial" w:cs="Arial" w:eastAsia="Arial" w:hAnsi="Arial"/>
          <w:sz w:val="13"/>
          <w:szCs w:val="13"/>
          <w:color w:val="auto"/>
        </w:rPr>
        <w:t>st</w:t>
      </w:r>
      <w:r>
        <w:rPr>
          <w:rFonts w:ascii="Arial" w:cs="Arial" w:eastAsia="Arial" w:hAnsi="Arial"/>
          <w:sz w:val="16"/>
          <w:szCs w:val="16"/>
          <w:color w:val="auto"/>
        </w:rPr>
        <w:t xml:space="preserve"> of April, 2012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and between Ontorii, Inc., a Delaware corporation with its principal place of business at 419 Western Avenue, Boston, Mass. 02135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Greg Verdine an individual with his principal place of business at [Address]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(each herein referred to individually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or collectively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w:t>
      </w:r>
    </w:p>
    <w:p>
      <w:pPr>
        <w:spacing w:after="0" w:line="14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268" w:lineRule="exact"/>
        <w:rPr>
          <w:sz w:val="20"/>
          <w:szCs w:val="20"/>
          <w:color w:val="auto"/>
        </w:rPr>
      </w:pPr>
    </w:p>
    <w:p>
      <w:pPr>
        <w:ind w:left="900" w:hanging="446"/>
        <w:spacing w:after="0"/>
        <w:tabs>
          <w:tab w:leader="none" w:pos="90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Services and Compensation</w:t>
      </w:r>
    </w:p>
    <w:p>
      <w:pPr>
        <w:spacing w:after="0" w:line="117"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 xml:space="preserve">Consultant shall perform the services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for the Company (or its designee), and the Company agrees to pay Consultant the compensation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for Consultant’s performance of the Services.</w:t>
      </w:r>
    </w:p>
    <w:p>
      <w:pPr>
        <w:spacing w:after="0" w:line="310" w:lineRule="exact"/>
        <w:rPr>
          <w:sz w:val="20"/>
          <w:szCs w:val="20"/>
          <w:color w:val="auto"/>
        </w:rPr>
      </w:pPr>
    </w:p>
    <w:p>
      <w:pPr>
        <w:ind w:left="900" w:hanging="446"/>
        <w:spacing w:after="0"/>
        <w:tabs>
          <w:tab w:leader="none" w:pos="90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Applicability to Past Activities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Consultant agrees that if and to the extent that Consultant provided any services or made efforts on behalf of or for the benefit of Company, or related to the current or prospective business of Company in anticipation of Consultant’s involvement with the Company, that would have been “Services” if performed during the term of this Agreement (the “</w:t>
      </w:r>
      <w:r>
        <w:rPr>
          <w:rFonts w:ascii="Arial" w:cs="Arial" w:eastAsia="Arial" w:hAnsi="Arial"/>
          <w:sz w:val="16"/>
          <w:szCs w:val="16"/>
          <w:b w:val="1"/>
          <w:bCs w:val="1"/>
          <w:i w:val="1"/>
          <w:iCs w:val="1"/>
          <w:color w:val="auto"/>
        </w:rPr>
        <w:t>Prior Consulting Period</w:t>
      </w:r>
      <w:r>
        <w:rPr>
          <w:rFonts w:ascii="Arial" w:cs="Arial" w:eastAsia="Arial" w:hAnsi="Arial"/>
          <w:sz w:val="16"/>
          <w:szCs w:val="16"/>
          <w:color w:val="auto"/>
        </w:rPr>
        <w:t>”) and to the extent that during the Prior Consulting Period: (i) Consultant received access to any information from or on behalf of Company that would have been “Confidential Information” (as defined below) if Consultant received access to such information during the term of this Agreement; or (ii) Consultant conceived, created, authored, invented, developed or reduced to practice any item (including any intellectual property rights with respect thereto) on behalf of or for the benefit of Company, or related to the current or prospective business of Company in anticipation of Consultant’s involvement with Company, that would have been an “Invention” (as defined below) if conceived, created, authored, invented, developed or reduced to practice during the term of this Agreement; then any such information shall be deemed “Confidential Information” hereunder and any such item shall be deemed an “Invention” hereunder, and this Agreement shall apply to such activities, information or item as if disclosed, conceived, created, authored, invented, developed or reduced to practice during the term of this Agreement. Consultant further acknowledges that Consultant has been fully compensated for all Services provided during any such Prior Consulting Period.</w:t>
      </w:r>
    </w:p>
    <w:p>
      <w:pPr>
        <w:spacing w:after="0" w:line="317" w:lineRule="exact"/>
        <w:rPr>
          <w:sz w:val="20"/>
          <w:szCs w:val="20"/>
          <w:color w:val="auto"/>
        </w:rPr>
      </w:pPr>
    </w:p>
    <w:p>
      <w:pPr>
        <w:ind w:left="900" w:hanging="446"/>
        <w:spacing w:after="0"/>
        <w:tabs>
          <w:tab w:leader="none" w:pos="90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right="40" w:firstLine="913"/>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Definition of Confidential Information.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means any non-public information that relates to the actual or identified to Consultant as reasonably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processes, formulas,</w:t>
      </w:r>
    </w:p>
    <w:p>
      <w:pPr>
        <w:sectPr>
          <w:pgSz w:w="11900" w:h="16838" w:orient="portrait"/>
          <w:cols w:equalWidth="0" w:num="1">
            <w:col w:w="11420"/>
          </w:cols>
          <w:pgMar w:left="240" w:top="120" w:right="239" w:bottom="1440" w:gutter="0" w:footer="0" w:header="0"/>
        </w:sectPr>
      </w:pPr>
    </w:p>
    <w:bookmarkStart w:id="498" w:name="page499"/>
    <w:bookmarkEnd w:id="498"/>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technology, designs, drawings, engineering, hardware configuration information, marketing, finances, and other business information disclosed to Consultant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(iii) is in the rightful possession of Consultant, without violation of Consultant’s confidentiality obligations under this Agreement, at the time of disclosure as shown by Consultant’s then-contemporaneous written records; (iv) becomes available to Consultant on a nonconfidential basis; or (v) was independently developed by Consultant without reference to the information provided to Consultant a by Company, its affiliates and subsidiaries. In addition, Confidential Information shall not include information directly or indirectly generated by Consultant unless the information (i) is generated as a direct result of the performance of Services by Consultant and (ii) is not directly or indirectly generated in the course of Consultant’s activities for Harvard University or for Third Rock Ventures, LLC.</w:t>
      </w:r>
    </w:p>
    <w:p>
      <w:pPr>
        <w:spacing w:after="0" w:line="169"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Nonuse and Nondisclosure.</w:t>
      </w:r>
      <w:r>
        <w:rPr>
          <w:rFonts w:ascii="Arial" w:cs="Arial" w:eastAsia="Arial" w:hAnsi="Arial"/>
          <w:sz w:val="16"/>
          <w:szCs w:val="16"/>
          <w:color w:val="auto"/>
        </w:rPr>
        <w:t xml:space="preserve"> During and after the term of this Agreement, Consultant will hold in the strictest confidence, and take all reasonable precautions to prevent any unauthorized use or disclosure of Confidential Information by Consultant, and Consultant will not (i) use the Confidential Information for any purpose whatsoever other than as necessary for the performance of the Services on behalf of the Company, or (ii) disclose the Confidential Information to any third party without the prior writt</w:t>
      </w:r>
      <w:r>
        <w:rPr>
          <w:rFonts w:ascii="Arial" w:cs="Arial" w:eastAsia="Arial" w:hAnsi="Arial"/>
          <w:sz w:val="16"/>
          <w:szCs w:val="16"/>
          <w:i w:val="1"/>
          <w:iCs w:val="1"/>
          <w:color w:val="auto"/>
        </w:rPr>
        <w:t>en consent of an</w:t>
      </w:r>
      <w:r>
        <w:rPr>
          <w:rFonts w:ascii="Arial" w:cs="Arial" w:eastAsia="Arial" w:hAnsi="Arial"/>
          <w:sz w:val="16"/>
          <w:szCs w:val="16"/>
          <w:color w:val="auto"/>
        </w:rPr>
        <w:t xml:space="preserve"> authorized representative of Company. Consultant may disclose Confidential Information to the extent compelled by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prior to such disclosure, Consultant shall provide prior written notice to Company and, at Company’s sole expense, reasonably assist Company to seek a protective order or such similar confidential protection as may be available under applicable law. Consultant agrees that no ownership of Confidential Information is conveyed to the Consultant. Without limiting the foregoing, Consultant shall not use or disclose any Confidential Information to invent, author, make, develop, design, or otherwise enable others to invent, author, make, develop, or design identical or substantially similar designs as those developed under this Agreement for any third party. Consultant agrees that Consultant’s obligations under this Section 3.B shall continue for three (3) years after the termination of this Agreement.</w:t>
      </w:r>
    </w:p>
    <w:p>
      <w:pPr>
        <w:spacing w:after="0" w:line="169"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Other Client Confidential Information.</w:t>
      </w:r>
      <w:r>
        <w:rPr>
          <w:rFonts w:ascii="Arial" w:cs="Arial" w:eastAsia="Arial" w:hAnsi="Arial"/>
          <w:sz w:val="18"/>
          <w:szCs w:val="18"/>
          <w:color w:val="auto"/>
        </w:rPr>
        <w:t xml:space="preserve"> Consultant agrees that Consultant will not improperly use, disclose, or induce the Company to use any proprietary information or trade secrets of any former or concurrent employer of Consultant or other person or entity with which Consultant has an obligation to keep in confidence. Consultant also agrees that Consultant will use good faith efforts to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8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i w:val="1"/>
          <w:iCs w:val="1"/>
          <w:color w:val="auto"/>
        </w:rPr>
        <w:t>Third Party Confidential Information.</w:t>
      </w:r>
      <w:r>
        <w:rPr>
          <w:rFonts w:ascii="Arial" w:cs="Arial" w:eastAsia="Arial" w:hAnsi="Arial"/>
          <w:sz w:val="17"/>
          <w:szCs w:val="17"/>
          <w:color w:val="auto"/>
        </w:rPr>
        <w:t xml:space="preserve"> Provided that third party Confidential Information is specifically identified to Consultant in writing as constituting third party Confidential Information prior to or contemporaneous with its disclosure to Consultant,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at all times during the term of this Agreement and for three (3) years thereafter, Consultant owes the Company and such third parties a duty to hold all such third party Confidential Information in the strictest confidence and not to use it or disclose it to any person, firm, corporation, or other third party except as necessary in carrying out the Services for the Company consistent with the Company’s agreement with such third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99" w:name="page500"/>
    <w:bookmarkEnd w:id="499"/>
    <w:p>
      <w:pPr>
        <w:ind w:left="880" w:hanging="446"/>
        <w:spacing w:after="0"/>
        <w:tabs>
          <w:tab w:leader="none" w:pos="88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Ownership</w:t>
      </w:r>
    </w:p>
    <w:p>
      <w:pPr>
        <w:spacing w:after="0" w:line="121" w:lineRule="exact"/>
        <w:rPr>
          <w:rFonts w:ascii="Arial" w:cs="Arial" w:eastAsia="Arial" w:hAnsi="Arial"/>
          <w:sz w:val="18"/>
          <w:szCs w:val="18"/>
          <w:b w:val="1"/>
          <w:bCs w:val="1"/>
          <w:color w:val="auto"/>
        </w:rPr>
      </w:pPr>
    </w:p>
    <w:p>
      <w:pPr>
        <w:ind w:left="-20" w:right="60" w:firstLine="921"/>
        <w:spacing w:after="0" w:line="271" w:lineRule="auto"/>
        <w:tabs>
          <w:tab w:leader="none" w:pos="1113" w:val="left"/>
        </w:tabs>
        <w:numPr>
          <w:ilvl w:val="1"/>
          <w:numId w:val="4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Assignment of Inventions. </w:t>
      </w:r>
      <w:r>
        <w:rPr>
          <w:rFonts w:ascii="Arial" w:cs="Arial" w:eastAsia="Arial" w:hAnsi="Arial"/>
          <w:sz w:val="17"/>
          <w:szCs w:val="17"/>
          <w:color w:val="auto"/>
        </w:rPr>
        <w:t>Consultant agrees that all right, title, and interest in and to any copyrightable material, notes, records, drawings,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designs, inventions, improvements, developments, discoveries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7"/>
          <w:szCs w:val="17"/>
          <w:b w:val="1"/>
          <w:bCs w:val="1"/>
          <w:i w:val="1"/>
          <w:iCs w:val="1"/>
          <w:color w:val="auto"/>
        </w:rPr>
        <w:t>Inventions</w:t>
      </w:r>
      <w:r>
        <w:rPr>
          <w:rFonts w:ascii="Arial" w:cs="Arial" w:eastAsia="Arial" w:hAnsi="Arial"/>
          <w:sz w:val="17"/>
          <w:szCs w:val="17"/>
          <w:color w:val="auto"/>
        </w:rPr>
        <w:t>”), are the sole property of the Company. However, the term Inventions excludes such materials, ideas and knowledge generated in the course of Consultant’s activities for Harvard University and for Third Rock Ventures, LLC. Consultant also agrees to use good faith efforts to promptly make full written disclosure to the Company of any Inventions and to deliver and assign (or assist in assigning) and hereby irrevocably assigns fully to the Company all right, title and interest in and to the Inventions.</w:t>
      </w:r>
    </w:p>
    <w:p>
      <w:pPr>
        <w:spacing w:after="0" w:line="178" w:lineRule="exact"/>
        <w:rPr>
          <w:rFonts w:ascii="Arial" w:cs="Arial" w:eastAsia="Arial" w:hAnsi="Arial"/>
          <w:sz w:val="17"/>
          <w:szCs w:val="17"/>
          <w:color w:val="auto"/>
        </w:rPr>
      </w:pPr>
    </w:p>
    <w:p>
      <w:pPr>
        <w:ind w:left="-20" w:firstLine="921"/>
        <w:spacing w:after="0" w:line="289" w:lineRule="auto"/>
        <w:tabs>
          <w:tab w:leader="none" w:pos="1103" w:val="left"/>
        </w:tabs>
        <w:numPr>
          <w:ilvl w:val="1"/>
          <w:numId w:val="4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Pre-Existing Materials. </w:t>
      </w:r>
      <w:r>
        <w:rPr>
          <w:rFonts w:ascii="Arial" w:cs="Arial" w:eastAsia="Arial" w:hAnsi="Arial"/>
          <w:sz w:val="16"/>
          <w:szCs w:val="16"/>
          <w:color w:val="auto"/>
        </w:rPr>
        <w:t>Subject to Section 4.A, Consultant agrees that if, in the course of performing the Services, Consultant incorporates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any Invention or utilizes in the performance of the Services any pre-existing invention, discovery, original works of authorship, development, improvements, trade secret, concept, or other proprietary information or intellectual property right owned by Consultant or in which Consultant has an interest (“</w:t>
      </w:r>
      <w:r>
        <w:rPr>
          <w:rFonts w:ascii="Arial" w:cs="Arial" w:eastAsia="Arial" w:hAnsi="Arial"/>
          <w:sz w:val="16"/>
          <w:szCs w:val="16"/>
          <w:b w:val="1"/>
          <w:bCs w:val="1"/>
          <w:i w:val="1"/>
          <w:iCs w:val="1"/>
          <w:color w:val="auto"/>
        </w:rPr>
        <w:t>Prior Inventions</w:t>
      </w:r>
      <w:r>
        <w:rPr>
          <w:rFonts w:ascii="Arial" w:cs="Arial" w:eastAsia="Arial" w:hAnsi="Arial"/>
          <w:sz w:val="16"/>
          <w:szCs w:val="16"/>
          <w:color w:val="auto"/>
        </w:rPr>
        <w:t>”), (i) Consultant will provide the Company with prior written notice and (ii)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Inventions, and to practice any method related thereto. Consultant will not incorporate any invention, improvement, development, concept, discovery, work of authorship or other proprietary information which is known to Consultant to be owned by any third party into any Invention without Company’s prior written permission, including without limitation any free software or open source software.</w:t>
      </w:r>
    </w:p>
    <w:p>
      <w:pPr>
        <w:spacing w:after="0" w:line="166" w:lineRule="exact"/>
        <w:rPr>
          <w:rFonts w:ascii="Arial" w:cs="Arial" w:eastAsia="Arial" w:hAnsi="Arial"/>
          <w:sz w:val="16"/>
          <w:szCs w:val="16"/>
          <w:color w:val="auto"/>
        </w:rPr>
      </w:pPr>
    </w:p>
    <w:p>
      <w:pPr>
        <w:jc w:val="both"/>
        <w:ind w:left="-20" w:right="140" w:firstLine="921"/>
        <w:spacing w:after="0" w:line="302" w:lineRule="auto"/>
        <w:tabs>
          <w:tab w:leader="none" w:pos="1103" w:val="left"/>
        </w:tabs>
        <w:numPr>
          <w:ilvl w:val="1"/>
          <w:numId w:val="4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Moral Rights. </w:t>
      </w:r>
      <w:r>
        <w:rPr>
          <w:rFonts w:ascii="Arial" w:cs="Arial" w:eastAsia="Arial" w:hAnsi="Arial"/>
          <w:sz w:val="16"/>
          <w:szCs w:val="16"/>
          <w:color w:val="auto"/>
        </w:rPr>
        <w:t>Any assignment to the Company of Inventions includes all rights of attribution, paternity, integrity, modification,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withdrawal, and any other rights throughout the world that may be known as or referred to as “moral rights,” “artist’s rights,” “droit moral,” or the like (collectively, “</w:t>
      </w:r>
      <w:r>
        <w:rPr>
          <w:rFonts w:ascii="Arial" w:cs="Arial" w:eastAsia="Arial" w:hAnsi="Arial"/>
          <w:sz w:val="16"/>
          <w:szCs w:val="16"/>
          <w:b w:val="1"/>
          <w:bCs w:val="1"/>
          <w:i w:val="1"/>
          <w:iCs w:val="1"/>
          <w:color w:val="auto"/>
        </w:rPr>
        <w:t>Moral Rights</w:t>
      </w:r>
      <w:r>
        <w:rPr>
          <w:rFonts w:ascii="Arial" w:cs="Arial" w:eastAsia="Arial" w:hAnsi="Arial"/>
          <w:sz w:val="16"/>
          <w:szCs w:val="16"/>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54" w:lineRule="exact"/>
        <w:rPr>
          <w:rFonts w:ascii="Arial" w:cs="Arial" w:eastAsia="Arial" w:hAnsi="Arial"/>
          <w:sz w:val="16"/>
          <w:szCs w:val="16"/>
          <w:color w:val="auto"/>
        </w:rPr>
      </w:pPr>
    </w:p>
    <w:p>
      <w:pPr>
        <w:ind w:left="-20" w:right="200" w:firstLine="921"/>
        <w:spacing w:after="0" w:line="257" w:lineRule="auto"/>
        <w:tabs>
          <w:tab w:leader="none" w:pos="1113" w:val="left"/>
        </w:tabs>
        <w:numPr>
          <w:ilvl w:val="1"/>
          <w:numId w:val="4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of Records. </w:t>
      </w:r>
      <w:r>
        <w:rPr>
          <w:rFonts w:ascii="Arial" w:cs="Arial" w:eastAsia="Arial" w:hAnsi="Arial"/>
          <w:sz w:val="18"/>
          <w:szCs w:val="18"/>
          <w:color w:val="auto"/>
        </w:rPr>
        <w:t>Consultant agrees to use good faith efforts to keep and maintain adequate, current, accurate, and authentic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 of all Inventions made by Consultant (solely or jointly with others) during the term of the Agreement, and for a period of three (3) years thereafter. The records will be in the form of notes, sketches, drawings, electronic files, reports, or any other format that is customary in the industry and/or otherwise reasonably specified by the Company. Such records are and remain the sole property of the Company at all times and upon Company’s request, Consultant shall deliver (or cause to be delivered) the same.</w:t>
      </w:r>
    </w:p>
    <w:p>
      <w:pPr>
        <w:spacing w:after="0" w:line="188" w:lineRule="exact"/>
        <w:rPr>
          <w:rFonts w:ascii="Arial" w:cs="Arial" w:eastAsia="Arial" w:hAnsi="Arial"/>
          <w:sz w:val="18"/>
          <w:szCs w:val="18"/>
          <w:color w:val="auto"/>
        </w:rPr>
      </w:pPr>
    </w:p>
    <w:p>
      <w:pPr>
        <w:ind w:left="-20" w:right="260" w:firstLine="921"/>
        <w:spacing w:after="0" w:line="259" w:lineRule="auto"/>
        <w:tabs>
          <w:tab w:leader="none" w:pos="1093" w:val="left"/>
        </w:tabs>
        <w:numPr>
          <w:ilvl w:val="1"/>
          <w:numId w:val="4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Further Assurances. </w:t>
      </w:r>
      <w:r>
        <w:rPr>
          <w:rFonts w:ascii="Arial" w:cs="Arial" w:eastAsia="Arial" w:hAnsi="Arial"/>
          <w:sz w:val="18"/>
          <w:szCs w:val="18"/>
          <w:color w:val="auto"/>
        </w:rPr>
        <w:t>Consultant agrees to assist Company, or its designee, at the Company’s expense, in every proper way to secure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0" w:right="239" w:bottom="1440" w:gutter="0" w:footer="0" w:header="0"/>
        </w:sectPr>
      </w:pPr>
    </w:p>
    <w:bookmarkStart w:id="500" w:name="page501"/>
    <w:bookmarkEnd w:id="500"/>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4.E shall continue after the termination of this Agreement.</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b w:val="1"/>
          <w:bCs w:val="1"/>
          <w:i w:val="1"/>
          <w:iCs w:val="1"/>
          <w:color w:val="auto"/>
        </w:rPr>
        <w:t>Attorney-in-Fact.</w:t>
      </w:r>
      <w:r>
        <w:rPr>
          <w:rFonts w:ascii="Arial" w:cs="Arial" w:eastAsia="Arial" w:hAnsi="Arial"/>
          <w:sz w:val="17"/>
          <w:szCs w:val="17"/>
          <w:color w:val="auto"/>
        </w:rPr>
        <w:t xml:space="preserve"> 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applications for any United States or foreign patents or mask work or copyright registrations covering the Inventions assigned to the Company in Section 4.A,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pacing w:after="0" w:line="322" w:lineRule="exact"/>
        <w:rPr>
          <w:sz w:val="20"/>
          <w:szCs w:val="20"/>
          <w:color w:val="auto"/>
        </w:rPr>
      </w:pPr>
    </w:p>
    <w:p>
      <w:pPr>
        <w:ind w:left="900" w:hanging="446"/>
        <w:spacing w:after="0"/>
        <w:tabs>
          <w:tab w:leader="none" w:pos="90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Obligations</w:t>
      </w:r>
    </w:p>
    <w:p>
      <w:pPr>
        <w:spacing w:after="0" w:line="121" w:lineRule="exact"/>
        <w:rPr>
          <w:rFonts w:ascii="Arial" w:cs="Arial" w:eastAsia="Arial" w:hAnsi="Arial"/>
          <w:sz w:val="18"/>
          <w:szCs w:val="18"/>
          <w:b w:val="1"/>
          <w:bCs w:val="1"/>
          <w:color w:val="auto"/>
        </w:rPr>
      </w:pPr>
    </w:p>
    <w:p>
      <w:pPr>
        <w:ind w:right="360" w:firstLine="921"/>
        <w:spacing w:after="0" w:line="286" w:lineRule="auto"/>
        <w:tabs>
          <w:tab w:leader="none" w:pos="1133" w:val="left"/>
        </w:tabs>
        <w:numPr>
          <w:ilvl w:val="1"/>
          <w:numId w:val="417"/>
        </w:numPr>
        <w:rPr>
          <w:rFonts w:ascii="Arial" w:cs="Arial" w:eastAsia="Arial" w:hAnsi="Arial"/>
          <w:sz w:val="17"/>
          <w:szCs w:val="17"/>
          <w:color w:val="auto"/>
        </w:rPr>
      </w:pPr>
      <w:r>
        <w:rPr>
          <w:rFonts w:ascii="Arial" w:cs="Arial" w:eastAsia="Arial" w:hAnsi="Arial"/>
          <w:sz w:val="17"/>
          <w:szCs w:val="17"/>
          <w:color w:val="auto"/>
        </w:rPr>
        <w:t>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65" w:lineRule="exact"/>
        <w:rPr>
          <w:rFonts w:ascii="Arial" w:cs="Arial" w:eastAsia="Arial" w:hAnsi="Arial"/>
          <w:sz w:val="17"/>
          <w:szCs w:val="17"/>
          <w:color w:val="auto"/>
        </w:rPr>
      </w:pPr>
    </w:p>
    <w:p>
      <w:pPr>
        <w:ind w:firstLine="921"/>
        <w:spacing w:after="0" w:line="259" w:lineRule="auto"/>
        <w:tabs>
          <w:tab w:leader="none" w:pos="1123"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 light of the unique and specialized nature of Consultant’s services, Consultant shall not have the right to subcontract the performance of any Services other than to an entity which at the relevant time Consultant substantially owns or controls including, without limitation, Verdyne Corporation, a Verdine family trust, or an LLC so long as Greg Verdine directly and personally renders all of the Services and Greg Verdine remains liable for all obligations of Consultant.</w:t>
      </w:r>
    </w:p>
    <w:p>
      <w:pPr>
        <w:spacing w:after="0" w:line="331" w:lineRule="exact"/>
        <w:rPr>
          <w:rFonts w:ascii="Arial" w:cs="Arial" w:eastAsia="Arial" w:hAnsi="Arial"/>
          <w:sz w:val="18"/>
          <w:szCs w:val="18"/>
          <w:color w:val="auto"/>
        </w:rPr>
      </w:pPr>
    </w:p>
    <w:p>
      <w:pPr>
        <w:ind w:left="900" w:hanging="446"/>
        <w:spacing w:after="0"/>
        <w:tabs>
          <w:tab w:leader="none" w:pos="90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Materials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Upon the termination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4.D and any reproductions of any of the foregoing items that Consultant may have in Consultant’s possession or control.</w:t>
      </w:r>
    </w:p>
    <w:p>
      <w:pPr>
        <w:spacing w:after="0" w:line="333" w:lineRule="exact"/>
        <w:rPr>
          <w:sz w:val="20"/>
          <w:szCs w:val="20"/>
          <w:color w:val="auto"/>
        </w:rPr>
      </w:pPr>
    </w:p>
    <w:p>
      <w:pPr>
        <w:ind w:left="900" w:hanging="446"/>
        <w:spacing w:after="0"/>
        <w:tabs>
          <w:tab w:leader="none" w:pos="90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Consultant agrees that Consultant will periodically keep the Company advised as to Consultant’s progress in performing the Services under this Agreement. Consultant further agrees that Consultant will, as requested by the Company, prepare written reports with respect to such progress. The Company and Consultant agree that the reasonable time expended in preparing such written reports will be considered time devoted to the performance of the Services.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501" w:name="page502"/>
    <w:bookmarkEnd w:id="501"/>
    <w:p>
      <w:pPr>
        <w:ind w:left="900" w:hanging="446"/>
        <w:spacing w:after="0"/>
        <w:tabs>
          <w:tab w:leader="none" w:pos="90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and Termination</w:t>
      </w:r>
    </w:p>
    <w:p>
      <w:pPr>
        <w:spacing w:after="0" w:line="121" w:lineRule="exact"/>
        <w:rPr>
          <w:rFonts w:ascii="Arial" w:cs="Arial" w:eastAsia="Arial" w:hAnsi="Arial"/>
          <w:sz w:val="18"/>
          <w:szCs w:val="18"/>
          <w:b w:val="1"/>
          <w:bCs w:val="1"/>
          <w:color w:val="auto"/>
        </w:rPr>
      </w:pPr>
    </w:p>
    <w:p>
      <w:pPr>
        <w:ind w:right="40" w:firstLine="921"/>
        <w:spacing w:after="0" w:line="277" w:lineRule="auto"/>
        <w:tabs>
          <w:tab w:leader="none" w:pos="1133" w:val="left"/>
        </w:tabs>
        <w:numPr>
          <w:ilvl w:val="1"/>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The term of this Agreement will begin on the Effective Date of this Agreement and will continue until the earlier of (i) final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Services or (ii) termination as provided in Section 8.B.</w:t>
      </w:r>
    </w:p>
    <w:p>
      <w:pPr>
        <w:spacing w:after="0" w:line="170" w:lineRule="exact"/>
        <w:rPr>
          <w:rFonts w:ascii="Arial" w:cs="Arial" w:eastAsia="Arial" w:hAnsi="Arial"/>
          <w:sz w:val="18"/>
          <w:szCs w:val="18"/>
          <w:color w:val="auto"/>
        </w:rPr>
      </w:pPr>
    </w:p>
    <w:p>
      <w:pPr>
        <w:ind w:firstLine="921"/>
        <w:spacing w:after="0" w:line="277" w:lineRule="auto"/>
        <w:tabs>
          <w:tab w:leader="none" w:pos="1123" w:val="left"/>
        </w:tabs>
        <w:numPr>
          <w:ilvl w:val="1"/>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The Company or Consultant may terminate this Agreement upon giving the other Party fourteen (14) days prior written notice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termination pursuant to Section 14.G of this Agreement.</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1"/>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Survival. </w:t>
      </w:r>
      <w:r>
        <w:rPr>
          <w:rFonts w:ascii="Arial" w:cs="Arial" w:eastAsia="Arial" w:hAnsi="Arial"/>
          <w:sz w:val="18"/>
          <w:szCs w:val="18"/>
          <w:color w:val="auto"/>
        </w:rPr>
        <w:t>Upon any termination, all rights and duties of the Company and Consultant toward each other shall cease except:</w:t>
      </w:r>
    </w:p>
    <w:p>
      <w:pPr>
        <w:spacing w:after="0" w:line="225" w:lineRule="exact"/>
        <w:rPr>
          <w:rFonts w:ascii="Arial" w:cs="Arial" w:eastAsia="Arial" w:hAnsi="Arial"/>
          <w:sz w:val="18"/>
          <w:szCs w:val="18"/>
          <w:color w:val="auto"/>
        </w:rPr>
      </w:pPr>
    </w:p>
    <w:p>
      <w:pPr>
        <w:ind w:right="200" w:firstLine="1492"/>
        <w:spacing w:after="0" w:line="264" w:lineRule="auto"/>
        <w:tabs>
          <w:tab w:leader="none" w:pos="1738" w:val="left"/>
        </w:tabs>
        <w:numPr>
          <w:ilvl w:val="2"/>
          <w:numId w:val="419"/>
        </w:numPr>
        <w:rPr>
          <w:rFonts w:ascii="Arial" w:cs="Arial" w:eastAsia="Arial" w:hAnsi="Arial"/>
          <w:sz w:val="18"/>
          <w:szCs w:val="18"/>
          <w:color w:val="auto"/>
        </w:rPr>
      </w:pPr>
      <w:r>
        <w:rPr>
          <w:rFonts w:ascii="Arial" w:cs="Arial" w:eastAsia="Arial" w:hAnsi="Arial"/>
          <w:sz w:val="18"/>
          <w:szCs w:val="18"/>
          <w:color w:val="auto"/>
        </w:rPr>
        <w:t>The Company will pay, within thirty (30) days after the effective date of termination, all amounts owing to Consultant for Services provided by Consultant through the termination date and related reimbursable expenses, if any, submitted in accordance with the Company’s policies and in accordance with the provisions of Article 1 of this Agreement; and</w:t>
      </w:r>
    </w:p>
    <w:p>
      <w:pPr>
        <w:spacing w:after="0" w:line="181" w:lineRule="exact"/>
        <w:rPr>
          <w:rFonts w:ascii="Arial" w:cs="Arial" w:eastAsia="Arial" w:hAnsi="Arial"/>
          <w:sz w:val="18"/>
          <w:szCs w:val="18"/>
          <w:color w:val="auto"/>
        </w:rPr>
      </w:pPr>
    </w:p>
    <w:p>
      <w:pPr>
        <w:ind w:right="120" w:firstLine="1492"/>
        <w:spacing w:after="0" w:line="259" w:lineRule="auto"/>
        <w:tabs>
          <w:tab w:leader="none" w:pos="1738" w:val="left"/>
        </w:tabs>
        <w:numPr>
          <w:ilvl w:val="2"/>
          <w:numId w:val="419"/>
        </w:numPr>
        <w:rPr>
          <w:rFonts w:ascii="Arial" w:cs="Arial" w:eastAsia="Arial" w:hAnsi="Arial"/>
          <w:sz w:val="18"/>
          <w:szCs w:val="18"/>
          <w:color w:val="auto"/>
        </w:rPr>
      </w:pPr>
      <w:r>
        <w:rPr>
          <w:rFonts w:ascii="Arial" w:cs="Arial" w:eastAsia="Arial" w:hAnsi="Arial"/>
          <w:sz w:val="18"/>
          <w:szCs w:val="18"/>
          <w:color w:val="auto"/>
        </w:rPr>
        <w:t>Article 3 (Confidentiality), Article 4 (Ownership), Section 5.B (Conflicting Obligations), Article 6 (Return of Company Materials), Article 8 (Term and Termination), Article 9 (Independent Contractor; Benefits), Article 10 (Indemnification), Article 11 (Nonsolicitation), Article 12 (Public Statements), Article 13 (Arbitration and Equitable Relief), and Article 14 (Miscellaneous) will survive termination or expiration of this Agreement in accordance with their terms.</w:t>
      </w:r>
    </w:p>
    <w:p>
      <w:pPr>
        <w:spacing w:after="0" w:line="331" w:lineRule="exact"/>
        <w:rPr>
          <w:rFonts w:ascii="Arial" w:cs="Arial" w:eastAsia="Arial" w:hAnsi="Arial"/>
          <w:sz w:val="18"/>
          <w:szCs w:val="18"/>
          <w:color w:val="auto"/>
        </w:rPr>
      </w:pPr>
    </w:p>
    <w:p>
      <w:pPr>
        <w:ind w:left="900" w:hanging="446"/>
        <w:spacing w:after="0"/>
        <w:tabs>
          <w:tab w:leader="none" w:pos="90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Benefits</w:t>
      </w:r>
    </w:p>
    <w:p>
      <w:pPr>
        <w:spacing w:after="0" w:line="121" w:lineRule="exact"/>
        <w:rPr>
          <w:rFonts w:ascii="Arial" w:cs="Arial" w:eastAsia="Arial" w:hAnsi="Arial"/>
          <w:sz w:val="18"/>
          <w:szCs w:val="18"/>
          <w:b w:val="1"/>
          <w:bCs w:val="1"/>
          <w:color w:val="auto"/>
        </w:rPr>
      </w:pPr>
    </w:p>
    <w:p>
      <w:pPr>
        <w:ind w:right="20" w:firstLine="921"/>
        <w:spacing w:after="0" w:line="255" w:lineRule="auto"/>
        <w:tabs>
          <w:tab w:leader="none" w:pos="1133" w:val="left"/>
        </w:tabs>
        <w:numPr>
          <w:ilvl w:val="1"/>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Contractor. </w:t>
      </w:r>
      <w:r>
        <w:rPr>
          <w:rFonts w:ascii="Arial" w:cs="Arial" w:eastAsia="Arial" w:hAnsi="Arial"/>
          <w:sz w:val="18"/>
          <w:szCs w:val="18"/>
          <w:color w:val="auto"/>
        </w:rPr>
        <w:t>It is the express intention of the Company and Consultant that Consultant perform the Services as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all tools and materials necessary to accomplish this Agreement and shall incur all expenses associated with performance, except as expressly provided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89" w:lineRule="exact"/>
        <w:rPr>
          <w:rFonts w:ascii="Arial" w:cs="Arial" w:eastAsia="Arial" w:hAnsi="Arial"/>
          <w:sz w:val="18"/>
          <w:szCs w:val="18"/>
          <w:color w:val="auto"/>
        </w:rPr>
      </w:pPr>
    </w:p>
    <w:p>
      <w:pPr>
        <w:jc w:val="both"/>
        <w:ind w:right="60" w:firstLine="921"/>
        <w:spacing w:after="0" w:line="257" w:lineRule="auto"/>
        <w:tabs>
          <w:tab w:leader="none" w:pos="1123" w:val="left"/>
        </w:tabs>
        <w:numPr>
          <w:ilvl w:val="1"/>
          <w:numId w:val="4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Benefits. </w:t>
      </w:r>
      <w:r>
        <w:rPr>
          <w:rFonts w:ascii="Arial" w:cs="Arial" w:eastAsia="Arial" w:hAnsi="Arial"/>
          <w:sz w:val="18"/>
          <w:szCs w:val="18"/>
          <w:color w:val="auto"/>
        </w:rPr>
        <w:t>The Company and Consultant agree that Consultant will receive no Company-sponsored benefits from the Company where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332" w:lineRule="exact"/>
        <w:rPr>
          <w:rFonts w:ascii="Arial" w:cs="Arial" w:eastAsia="Arial" w:hAnsi="Arial"/>
          <w:sz w:val="18"/>
          <w:szCs w:val="18"/>
          <w:color w:val="auto"/>
        </w:rPr>
      </w:pPr>
    </w:p>
    <w:p>
      <w:pPr>
        <w:ind w:left="900" w:hanging="446"/>
        <w:spacing w:after="0"/>
        <w:tabs>
          <w:tab w:leader="none" w:pos="90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Consultant agrees to indemnify and hold harmless the Company and its affiliates and their directors, officers and employees from and against all taxes, losses, damages, liabilities, costs and expenses, including reasonable attorneys’ fees and other legal expenses (but excluding attorneys’ fees and other legal and accounting expenses regarding (ii) in this Article), arising directly or indirectly from or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9" w:right="239" w:bottom="1440" w:gutter="0" w:footer="0" w:header="0"/>
        </w:sectPr>
      </w:pPr>
    </w:p>
    <w:bookmarkStart w:id="502" w:name="page503"/>
    <w:bookmarkEnd w:id="50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(i) any negligent, reckless or intentionally wrongful act of Consultant or Consultant’s assistants, employees, contractors or agents, (ii) a determination by a court or agency that the Consultant is not an independent contractor, (iii) any breach by the Consultant or Consultant’s assistants, employees, contractors or agents of any of the covenants contained in this Agreement and corresponding Confidential Information and Invention Assignment Agreement, (iv) any failure of Consultant to perform the Services in accordance with all applicable laws, rules and regulations, or (v) any violation or claimed violation of a third party’s rights resulting in whole or in part from the Company’s use of the Inventions or other deliverables of Consultant under this Agreement.</w:t>
      </w:r>
    </w:p>
    <w:p>
      <w:pPr>
        <w:spacing w:after="0" w:line="338" w:lineRule="exact"/>
        <w:rPr>
          <w:sz w:val="20"/>
          <w:szCs w:val="20"/>
          <w:color w:val="auto"/>
        </w:rPr>
      </w:pPr>
    </w:p>
    <w:p>
      <w:pPr>
        <w:ind w:left="900" w:hanging="446"/>
        <w:spacing w:after="0"/>
        <w:tabs>
          <w:tab w:leader="none" w:pos="90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To the fullest extent permitted under applicable law, from the date of this Agreement until twelve (12) months after the termination of this Agreement for any reason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Article 11 shall affect Consultant’s continuing obligations under this Agreement during and after this twelve (12) month period, including, without limitation, Consultant’s obligations under Article 3.</w:t>
      </w:r>
    </w:p>
    <w:p>
      <w:pPr>
        <w:spacing w:after="0" w:line="333" w:lineRule="exact"/>
        <w:rPr>
          <w:sz w:val="20"/>
          <w:szCs w:val="20"/>
          <w:color w:val="auto"/>
        </w:rPr>
      </w:pPr>
    </w:p>
    <w:p>
      <w:pPr>
        <w:ind w:left="900" w:hanging="446"/>
        <w:spacing w:after="0"/>
        <w:tabs>
          <w:tab w:leader="none" w:pos="90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Public Statements</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Company agrees that it will not make any public statement which specifically refers to Consultant unless the proposed statement has been provided to Consultant for his review and approval at least forty-eight (48) hours before publication and Company receives Consultant’s approval.</w:t>
      </w:r>
    </w:p>
    <w:p>
      <w:pPr>
        <w:spacing w:after="0" w:line="291" w:lineRule="exact"/>
        <w:rPr>
          <w:sz w:val="20"/>
          <w:szCs w:val="20"/>
          <w:color w:val="auto"/>
        </w:rPr>
      </w:pPr>
    </w:p>
    <w:p>
      <w:pPr>
        <w:ind w:left="900" w:hanging="446"/>
        <w:spacing w:after="0"/>
        <w:tabs>
          <w:tab w:leader="none" w:pos="90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and Equitable Relief</w:t>
      </w:r>
    </w:p>
    <w:p>
      <w:pPr>
        <w:spacing w:after="0" w:line="121" w:lineRule="exact"/>
        <w:rPr>
          <w:rFonts w:ascii="Arial" w:cs="Arial" w:eastAsia="Arial" w:hAnsi="Arial"/>
          <w:sz w:val="18"/>
          <w:szCs w:val="18"/>
          <w:b w:val="1"/>
          <w:bCs w:val="1"/>
          <w:color w:val="auto"/>
        </w:rPr>
      </w:pPr>
    </w:p>
    <w:p>
      <w:pPr>
        <w:ind w:firstLine="913"/>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Arbitration.</w:t>
      </w:r>
      <w:r>
        <w:rPr>
          <w:rFonts w:ascii="Arial" w:cs="Arial" w:eastAsia="Arial" w:hAnsi="Arial"/>
          <w:sz w:val="17"/>
          <w:szCs w:val="17"/>
          <w:color w:val="auto"/>
        </w:rPr>
        <w:t xml:space="preserve"> IN CONSIDERATION OF CONSULTANT’S CONSULTING RELATIONSHIP WITH COMPANY, ITS PROMISE TO ARBITRATE ALL DISPUTES RELATED TO CONSULTANT’S CONSULTING RELATIONSHIP WITH THE COMPANY AND CONSULTANT’S RECEIPT OF THE COMPENSATION AND OTHER BENEFITS PAID TO CONSULTANT BY COMPANY, AT PRESENT AND IN THE FUTURE, CONSULTANT AGREES THAT ANY AND ALL CONTROVERSIES, CLAIMS, OR DISPUTES WITH ANYONE (INCLUDING COMPANY AND ANY EMPLOYEE, OFFICER, DIRECTOR, SHAREHOLDER OR BENEFIT PLAN OF THE COMPANY IN THEIR CAPACITY AS SUCH OR OTHERWISE), WHETHER BROUGHT ON AN INDIVIDUAL, GROUP, OR CLASS BASIS, ARISING OUT OF, RELATING TO, OR RESULTING FROM CONSULTANT’S CONSULTING RELATIONSHIP WITH THE COMPANY OR THE TERMINATION OF CONSULTANT’S CONSULTING RELATIONSHIP WITH THE COMPANY, INCLUDING ANY BREACH OF THIS AGREEMENT, SHALL BE SUBJECT TO BINDING ARBITRATION UNDER THE ARBITRATION RULES SET FORTH IN THE GENERAL LAWS OF MASSACHUSETTS, CHAPTER 251 (THE “</w:t>
      </w:r>
      <w:r>
        <w:rPr>
          <w:rFonts w:ascii="Arial" w:cs="Arial" w:eastAsia="Arial" w:hAnsi="Arial"/>
          <w:sz w:val="17"/>
          <w:szCs w:val="17"/>
          <w:b w:val="1"/>
          <w:bCs w:val="1"/>
          <w:i w:val="1"/>
          <w:iCs w:val="1"/>
          <w:color w:val="auto"/>
        </w:rPr>
        <w:t>RULES</w:t>
      </w:r>
      <w:r>
        <w:rPr>
          <w:rFonts w:ascii="Arial" w:cs="Arial" w:eastAsia="Arial" w:hAnsi="Arial"/>
          <w:sz w:val="17"/>
          <w:szCs w:val="17"/>
          <w:color w:val="auto"/>
        </w:rPr>
        <w:t xml:space="preserve">”) AND PURSUANT TO MASSACHUSETTS LAW. THE FEDERAL ARBITRATION ACT SHALL CONTINUE TO APPLY WITH FULL FORCE AND EFFECT NOTWITHSTANDING THE APPLICATION OF PROCEDURAL RULES SET FORTH IN THE ACT. </w:t>
      </w:r>
      <w:r>
        <w:rPr>
          <w:rFonts w:ascii="Arial" w:cs="Arial" w:eastAsia="Arial" w:hAnsi="Arial"/>
          <w:sz w:val="17"/>
          <w:szCs w:val="17"/>
          <w:b w:val="1"/>
          <w:bCs w:val="1"/>
          <w:color w:val="auto"/>
        </w:rPr>
        <w:t>DISPUTES WHICH CONSULTANT AGREES</w:t>
      </w:r>
    </w:p>
    <w:p>
      <w:pPr>
        <w:spacing w:after="0" w:line="8" w:lineRule="exact"/>
        <w:rPr>
          <w:rFonts w:ascii="Arial" w:cs="Arial" w:eastAsia="Arial" w:hAnsi="Arial"/>
          <w:sz w:val="18"/>
          <w:szCs w:val="18"/>
          <w:b w:val="1"/>
          <w:bCs w:val="1"/>
          <w:color w:val="auto"/>
        </w:rPr>
      </w:pPr>
    </w:p>
    <w:p>
      <w:pPr>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TO ARBITRATE, AND THEREBY AGREES TO WAIVE ANY RIGHT TO A TRIAL BY JURY, INCLUDE ANY STATUTORY CLAIMS UNDER LOCAL, STATE, OR FEDERAL LAW, INCLUDING, BUT NOT LIMITED TO, CLAIMS UNDER TITLE VII OF THE CIVIL RIGHTS ACT OF 1964, THE CIVIL RIGHTS ACT OF 1991, THE AMERICANS WITH DISABILITIES ACT OF 1990, THE AGE DISCRIMINATION IN EMPLOYMENT ACT OF 1967, THE OLDER WORKERS BENEFIT PROTECTION ACT, THE SARBANES-OXLEY ACT, THE WORKER ADJUSTMENT AND RETRAINING NOTIFICATION ACT, THE FAIR CREDIT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03" w:name="page504"/>
    <w:bookmarkEnd w:id="503"/>
    <w:p>
      <w:pPr>
        <w:ind w:right="50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ACT, THE EMPLOYEE RETIREMENT INCOME SECURITY ACT OF 1974, THE FAMILY AND MEDICAL LEAVE ACT, THE MASSACHUSETTS FAIR EMPLOYMENT PRACTICES ACT, THE MASSACHUSETTS CIVIL RIGHTS ACT, THE MASSACHUSETTS EQUAL PAY ACT, THE MASSACHUSETTS EQUAL RIGHTS ACT, THE GENERAL LAWS OF MASSACHUSETTS, CLAIMS OF HARASSMENT, DISCRIMINATION OR WRONGFUL TERMINATION AND ANY STATUTORY CLAIMS. </w:t>
      </w:r>
      <w:r>
        <w:rPr>
          <w:rFonts w:ascii="Arial" w:cs="Arial" w:eastAsia="Arial" w:hAnsi="Arial"/>
          <w:sz w:val="18"/>
          <w:szCs w:val="18"/>
          <w:color w:val="auto"/>
        </w:rPr>
        <w:t>CONSULTANT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UNDERSTANDS THAT THIS AGREEMENT TO ARBITRATE ALSO APPLIES TO ANY DISPUTES THAT THE COMPANY MAY HAVE WITH CONSULTANT.</w:t>
      </w:r>
    </w:p>
    <w:p>
      <w:pPr>
        <w:spacing w:after="0" w:line="19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i w:val="1"/>
          <w:iCs w:val="1"/>
          <w:color w:val="auto"/>
        </w:rPr>
        <w:t>Procedure.</w:t>
      </w:r>
      <w:r>
        <w:rPr>
          <w:rFonts w:ascii="Arial" w:cs="Arial" w:eastAsia="Arial" w:hAnsi="Arial"/>
          <w:sz w:val="17"/>
          <w:szCs w:val="17"/>
          <w:color w:val="auto"/>
        </w:rPr>
        <w:t xml:space="preserve"> CONSULTANT AGREES THAT ANY ARBITRATION WILL BE ADMINISTERED BY JUDICIAL ARBITRATION &amp; MEDIATION SERVICES,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COMMERCIAL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CONSULTANT AGREES THAT THE ARBITRATOR SHALL HAVE THE POWER TO DECIDE ANY MOTIONS BROUGHT BY ANY PARTY TO THE ARBITRATION, INCLUDING MOTIONS FOR SUMMARY JUDGMENT AND/OR ADJUDICATION AND MOTIONS TO DISMISS AND DEMURRERS, PRIOR TO ANY ARBITRATION HEARING. CONSULTANT AGREES THAT THE ARBITRATOR SHALL ISSUE A WRITTEN DECISION ON THE MERITS. CONSULTANT ALSO AGREES THAT THE ARBITRATOR SHALL HAVE THE POWER TO AWARD ANY REMEDIES AVAILABLE UNDER APPLICABLE LAW, AND THAT THE ARBITRATOR SHALL AWARD ATTORNEYS’ FEES AND COSTS TO THE PREVAILING PARTY, EXCEPT AS PROHIBITED BY LAW. CONSULTANT AGREES THAT THE DECREE OR AWARD RENDERED BY THE ARBITRATOR MAY BE ENTERED AS A FINAL AND BINDING JUDGMENT IN ANY COURT HAVING JURISDICTION THEREOF. CONSULTANT AGREES THAT THE ARBITRATOR SHALL ADMINISTER AND CONDUCT ANY ARBITRATION IN ACCORDANCE WITH MASSACHUSETTS LAW AND THAT THE ARBITRATOR SHALL APPLY SUBSTANTIVE AND PROCEDURAL MASSACHUSETTS LAW TO ANY DISPUTE OR CLAIM, WITHOUT REFERENCE TO RULES OF CONFLICT OF LAW. TO THE EXTENT THAT THE JAMS RULES CONFLICT WITH MASSACHUSETTS LAW, MASSACHUSETTS LAW SHALL TAKE PRECEDENCE. CONSULTANT AND COMPANY BOTH AGREE THAT ANY ARBITRATION UNDER THIS AGREEMENT SHALL BE CONDUCTED IN MASSACHUSETTS.</w:t>
      </w:r>
    </w:p>
    <w:p>
      <w:pPr>
        <w:spacing w:after="0" w:line="18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Remedy.</w:t>
      </w:r>
      <w:r>
        <w:rPr>
          <w:rFonts w:ascii="Arial" w:cs="Arial" w:eastAsia="Arial" w:hAnsi="Arial"/>
          <w:sz w:val="18"/>
          <w:szCs w:val="18"/>
          <w:color w:val="auto"/>
        </w:rPr>
        <w:t xml:space="preserve"> EXCEPT AS PROVIDED BY THE ACT AND THIS AGREEMENT, ARBITRATION SHALL BE THE SOLE, EXCLUSIVE, AND FINAL REMEDY FOR ANY DISPUTE BETWEEN CONSULTANT AND THE COMPANY. ACCORDINGLY, EXCEPT AS PROVIDED FOR BY THE ACT AND THIS AGREEMENT, NEITHER CONSULTANT NOR THE COMPANY WILL BE PERMITTED TO PURSUE COURT ACTION REGARDING CLAIMS THAT ARE SUBJECT TO ARBITRATION.</w:t>
      </w:r>
    </w:p>
    <w:p>
      <w:pPr>
        <w:spacing w:after="0" w:line="18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i w:val="1"/>
          <w:iCs w:val="1"/>
          <w:color w:val="auto"/>
        </w:rPr>
        <w:t>Availability of Injunctive Relief.</w:t>
      </w:r>
      <w:r>
        <w:rPr>
          <w:rFonts w:ascii="Arial" w:cs="Arial" w:eastAsia="Arial" w:hAnsi="Arial"/>
          <w:sz w:val="17"/>
          <w:szCs w:val="17"/>
          <w:color w:val="auto"/>
        </w:rPr>
        <w:t xml:space="preserve"> BOTH PARTIES AGREE THAT ANY PARTY MAY ALSO PETITION THE COURT FOR INJUNCTIVE RELIEF WHERE EITHER PARTY ALLEGES OR CLAIMS A VIOLATION OF ANY AGREEMENT REGARDING INTELLECTUAL PROPERTY, CONFIDENTIAL INFORMATION OR NONINTERFERENCE. IN THE EVENT EITHER PARTY SEEKS INJUNCTIVE RELIEF, THE PREVAILING PARTY SHALL BE ENTITLED TO RECOVER REASONABLE COSTS AND ATTORNEYS’ FEES. THE “PREVAILING PARTY” MEANS THE PARTY DETERMINED TO HAVE MOST NEARLY PREVAILED, EVEN IF SUCH PARTY DID NOT PREVAIL IN ALL MATTERS, AND NOT NECESSARILY THE ONE IN WHOSE FAVOR AN AWARD, JUDGMENT OR FINAL ORDER IS RENDERED OR ISSUED.</w:t>
      </w:r>
    </w:p>
    <w:p>
      <w:pPr>
        <w:spacing w:after="0" w:line="178"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i w:val="1"/>
          <w:iCs w:val="1"/>
          <w:color w:val="auto"/>
        </w:rPr>
        <w:t>Administrative Relief.</w:t>
      </w:r>
      <w:r>
        <w:rPr>
          <w:rFonts w:ascii="Arial" w:cs="Arial" w:eastAsia="Arial" w:hAnsi="Arial"/>
          <w:sz w:val="17"/>
          <w:szCs w:val="17"/>
          <w:color w:val="auto"/>
        </w:rPr>
        <w:t xml:space="preserve"> CONSULTANT UNDERSTANDS THAT THIS AGREEMENT DOES NOT PROHIBIT CONSULTANT FROM PURSUING AN ADMINISTRATIVE CLAIM WITH A LOCAL, STATE OR FEDERAL ADMINISTRATIVE BODY OR GOVERNMENT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504" w:name="page505"/>
    <w:bookmarkEnd w:id="50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AGENCY SUCH AS THE DEPARTMENT OF FAIR EMPLOYMENT AND HOUSING, THE EQUAL EMPLOYMENT OPPORTUNITY COMMISSION, THE NATIONAL LABOR RELATIONS BOARD, OR THE WORKERS’ COMPENSATION BOARD. THIS AGREEMENT DOES, HOWEVER, PRECLUDE CONSULTANT FROM PURSUING COURT ACTION REGARDING ANY SUCH CLAIM, EXCEPT AS PERMITTED BY LAW.</w:t>
      </w:r>
    </w:p>
    <w:p>
      <w:pPr>
        <w:spacing w:after="0" w:line="166"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Voluntary Nature of Agreement.</w:t>
      </w:r>
      <w:r>
        <w:rPr>
          <w:rFonts w:ascii="Arial" w:cs="Arial" w:eastAsia="Arial" w:hAnsi="Arial"/>
          <w:sz w:val="18"/>
          <w:szCs w:val="18"/>
          <w:color w:val="auto"/>
        </w:rPr>
        <w:t xml:space="preserve"> CONSULTANT ACKNOWLEDGES AND AGREES THAT IT IS EXECUTING THIS AGREEMENT VOLUNTARILY AND WITHOUT ANY DURESS OR UNDUE INFLUENCE BY THE COMPANY OR ANYONE ELSE. CONSULTANT FURTHER ACKNOWLEDGES AND AGREES THAT IT HAS CAREFULLY READ THIS AGREEMENT AND THAT CONSULTANT HAS ASKED ANY QUESTIONS NEEDED FOR CONSULTANT TO UNDERSTAND THE TERMS, CONSEQUENCES AND BINDING EFFECT OF THIS AGREEMENT AND FULLY UNDERSTAND IT, INCLUDING THAT </w:t>
      </w:r>
      <w:r>
        <w:rPr>
          <w:rFonts w:ascii="Arial" w:cs="Arial" w:eastAsia="Arial" w:hAnsi="Arial"/>
          <w:sz w:val="18"/>
          <w:szCs w:val="18"/>
          <w:b w:val="1"/>
          <w:bCs w:val="1"/>
          <w:i w:val="1"/>
          <w:iCs w:val="1"/>
          <w:color w:val="auto"/>
        </w:rPr>
        <w:t>CONSULTANT IS WAIVING ITS RIGHT TO A JURY TRIAL</w:t>
      </w:r>
      <w:r>
        <w:rPr>
          <w:rFonts w:ascii="Arial" w:cs="Arial" w:eastAsia="Arial" w:hAnsi="Arial"/>
          <w:sz w:val="18"/>
          <w:szCs w:val="18"/>
          <w:color w:val="auto"/>
        </w:rPr>
        <w:t>. FINALLY, CONSULTANT AGREES THAT IT HAS BEEN PROVIDED AN OPPORTUNITY TO SEEK THE ADVICE OF AN ATTORNEY OF CONSULTANT’S CHOICE BEFORE SIGNING THIS AGREEMENT.</w:t>
      </w:r>
    </w:p>
    <w:p>
      <w:pPr>
        <w:spacing w:after="0" w:line="334" w:lineRule="exact"/>
        <w:rPr>
          <w:sz w:val="20"/>
          <w:szCs w:val="20"/>
          <w:color w:val="auto"/>
        </w:rPr>
      </w:pPr>
    </w:p>
    <w:p>
      <w:pPr>
        <w:ind w:left="900" w:hanging="446"/>
        <w:spacing w:after="0"/>
        <w:tabs>
          <w:tab w:leader="none" w:pos="90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jc w:val="both"/>
        <w:ind w:right="340" w:firstLine="921"/>
        <w:spacing w:after="0" w:line="286" w:lineRule="auto"/>
        <w:tabs>
          <w:tab w:leader="none" w:pos="1133" w:val="left"/>
        </w:tabs>
        <w:numPr>
          <w:ilvl w:val="1"/>
          <w:numId w:val="4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Governing Law; Consent to Personal Jurisdiction. </w:t>
      </w:r>
      <w:r>
        <w:rPr>
          <w:rFonts w:ascii="Arial" w:cs="Arial" w:eastAsia="Arial" w:hAnsi="Arial"/>
          <w:sz w:val="17"/>
          <w:szCs w:val="17"/>
          <w:color w:val="auto"/>
        </w:rPr>
        <w:t>This Agreement shall be governed by the laws of the State of Massachusetts,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 to the conflicts of law provisions of any jurisdiction. To the extent that any lawsuit is permitted under this Agreement, the Parties hereby expressly consent to the personal and exclusive jurisdiction and venue of the state and federal courts located in Massachusetts.</w:t>
      </w:r>
    </w:p>
    <w:p>
      <w:pPr>
        <w:spacing w:after="0" w:line="165" w:lineRule="exact"/>
        <w:rPr>
          <w:rFonts w:ascii="Arial" w:cs="Arial" w:eastAsia="Arial" w:hAnsi="Arial"/>
          <w:sz w:val="17"/>
          <w:szCs w:val="17"/>
          <w:color w:val="auto"/>
        </w:rPr>
      </w:pPr>
    </w:p>
    <w:p>
      <w:pPr>
        <w:ind w:firstLine="921"/>
        <w:spacing w:after="0" w:line="271" w:lineRule="auto"/>
        <w:tabs>
          <w:tab w:leader="none" w:pos="1123" w:val="left"/>
        </w:tabs>
        <w:numPr>
          <w:ilvl w:val="1"/>
          <w:numId w:val="4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Assignability. </w:t>
      </w:r>
      <w:r>
        <w:rPr>
          <w:rFonts w:ascii="Arial" w:cs="Arial" w:eastAsia="Arial" w:hAnsi="Arial"/>
          <w:sz w:val="17"/>
          <w:szCs w:val="17"/>
          <w:color w:val="auto"/>
        </w:rPr>
        <w:t>Consultant may assign any or all of his obligations and any or all of his rights under this Agreement to any entity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 may at the relevant time substantially own or control including, without limitation, Verdyne Corporation, a Verdine family trust, or an LLC so long as Greg Verdine directly and personally renders all of the Services and Greg Verdine remains liable for all obligations of Consultant. This Agreement will be binding upon Consultant’s heirs, 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or otherwise.</w:t>
      </w:r>
    </w:p>
    <w:p>
      <w:pPr>
        <w:spacing w:after="0" w:line="178" w:lineRule="exact"/>
        <w:rPr>
          <w:rFonts w:ascii="Arial" w:cs="Arial" w:eastAsia="Arial" w:hAnsi="Arial"/>
          <w:sz w:val="17"/>
          <w:szCs w:val="17"/>
          <w:color w:val="auto"/>
        </w:rPr>
      </w:pPr>
    </w:p>
    <w:p>
      <w:pPr>
        <w:jc w:val="both"/>
        <w:ind w:right="100" w:firstLine="921"/>
        <w:spacing w:after="0" w:line="264" w:lineRule="auto"/>
        <w:tabs>
          <w:tab w:leader="none" w:pos="1123" w:val="left"/>
        </w:tabs>
        <w:numPr>
          <w:ilvl w:val="1"/>
          <w:numId w:val="4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Entire Agreement. </w:t>
      </w:r>
      <w:r>
        <w:rPr>
          <w:rFonts w:ascii="Arial" w:cs="Arial" w:eastAsia="Arial" w:hAnsi="Arial"/>
          <w:sz w:val="18"/>
          <w:szCs w:val="18"/>
          <w:color w:val="auto"/>
        </w:rPr>
        <w:t>This Agreement constitutes the entire agreement and understanding between the Parties with respect to the subject matter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 and supersedes all prior written and oral agreements, discussions, or representations between the Parties. Consultant represents and warrants that he is not relying on any statement or representation not contained in this Agreement.</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1"/>
          <w:numId w:val="4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Headings. </w:t>
      </w:r>
      <w:r>
        <w:rPr>
          <w:rFonts w:ascii="Arial" w:cs="Arial" w:eastAsia="Arial" w:hAnsi="Arial"/>
          <w:sz w:val="17"/>
          <w:szCs w:val="17"/>
          <w:color w:val="auto"/>
        </w:rPr>
        <w:t>Headings are used in this Agreement for reference only and shall not be considered when interpreting this Agreement.</w:t>
      </w:r>
    </w:p>
    <w:p>
      <w:pPr>
        <w:spacing w:after="0" w:line="236" w:lineRule="exact"/>
        <w:rPr>
          <w:rFonts w:ascii="Arial" w:cs="Arial" w:eastAsia="Arial" w:hAnsi="Arial"/>
          <w:sz w:val="17"/>
          <w:szCs w:val="17"/>
          <w:color w:val="auto"/>
        </w:rPr>
      </w:pPr>
    </w:p>
    <w:p>
      <w:pPr>
        <w:ind w:right="20" w:firstLine="921"/>
        <w:spacing w:after="0" w:line="264" w:lineRule="auto"/>
        <w:tabs>
          <w:tab w:leader="none" w:pos="1113" w:val="left"/>
        </w:tabs>
        <w:numPr>
          <w:ilvl w:val="1"/>
          <w:numId w:val="4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If a court or other body of competent jurisdiction finds, or the Parties mutually believe, any provision of this Agreement,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thereof, to be invalid or unenforceable, such provision will be enforced to the maximum extent permissible so as to effect the intent of the Parties, and the remainder of this Agreement will continue in full force and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505" w:name="page506"/>
    <w:bookmarkEnd w:id="505"/>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 </w:t>
      </w:r>
      <w:r>
        <w:rPr>
          <w:rFonts w:ascii="Arial" w:cs="Arial" w:eastAsia="Arial" w:hAnsi="Arial"/>
          <w:sz w:val="18"/>
          <w:szCs w:val="18"/>
          <w:b w:val="1"/>
          <w:bCs w:val="1"/>
          <w:i w:val="1"/>
          <w:iCs w:val="1"/>
          <w:color w:val="auto"/>
        </w:rPr>
        <w:t>Modification, Waiver.</w:t>
      </w:r>
      <w:r>
        <w:rPr>
          <w:rFonts w:ascii="Arial" w:cs="Arial" w:eastAsia="Arial" w:hAnsi="Arial"/>
          <w:sz w:val="18"/>
          <w:szCs w:val="18"/>
          <w:color w:val="auto"/>
        </w:rPr>
        <w:t xml:space="preserve"> No modification of or amendment to this Agreement, nor any waiver of any rights under this Agreement, will be effective unless in a writing signed by the Parties. Waiver by either Party of a breach of any provision of this Agreement will not operate as a waiver of any other or subsequent breach.</w:t>
      </w:r>
    </w:p>
    <w:p>
      <w:pPr>
        <w:spacing w:after="0" w:line="181"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i w:val="1"/>
          <w:iCs w:val="1"/>
          <w:color w:val="auto"/>
        </w:rPr>
        <w:t>Notices.</w:t>
      </w:r>
      <w:r>
        <w:rPr>
          <w:rFonts w:ascii="Arial" w:cs="Arial" w:eastAsia="Arial" w:hAnsi="Arial"/>
          <w:sz w:val="16"/>
          <w:szCs w:val="16"/>
          <w:color w:val="auto"/>
        </w:rPr>
        <w:t xml:space="preserve"> Any notice or other communication required or permitted by this Agreement to be given to a Party shall be in writing and 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(3) business days after mailing in accordance with this Section 14.G.</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 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419 Western Avenue ,Boston, Mass. 02135</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Ken Takanashi</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If to Consultant, to the address for notice on the signature page to this Agreement or, if no such address is provided by Consultant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i w:val="1"/>
          <w:iCs w:val="1"/>
          <w:color w:val="auto"/>
        </w:rPr>
        <w:t>Attorneys’ Fees.</w:t>
      </w:r>
      <w:r>
        <w:rPr>
          <w:rFonts w:ascii="Arial" w:cs="Arial" w:eastAsia="Arial" w:hAnsi="Arial"/>
          <w:sz w:val="18"/>
          <w:szCs w:val="18"/>
          <w:color w:val="auto"/>
        </w:rPr>
        <w:t xml:space="preserve">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 The “prevailing Party” means the Party determined to have most nearly prevailed, even if such Party did not prevail in all matters, and not necessarily the one in whose favor an award, judgment or final order is rendered or issued.</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i w:val="1"/>
          <w:iCs w:val="1"/>
          <w:color w:val="auto"/>
        </w:rPr>
        <w:t>Signatures.</w:t>
      </w:r>
      <w:r>
        <w:rPr>
          <w:rFonts w:ascii="Arial" w:cs="Arial" w:eastAsia="Arial" w:hAnsi="Arial"/>
          <w:sz w:val="18"/>
          <w:szCs w:val="18"/>
          <w:color w:val="auto"/>
        </w:rPr>
        <w:t xml:space="preserve"> This Agreement may be signed in two (2) counterparts, each of which shall be deemed an original, and both of which together shall constitute one (1) document.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73" w:right="399" w:bottom="1440" w:gutter="0" w:footer="0" w:header="0"/>
        </w:sectPr>
      </w:pPr>
    </w:p>
    <w:bookmarkStart w:id="506" w:name="page507"/>
    <w:bookmarkEnd w:id="5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Consulting Agreement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CONSULTANT</w:t>
            </w:r>
          </w:p>
        </w:tc>
        <w:tc>
          <w:tcPr>
            <w:tcW w:w="5920" w:type="dxa"/>
            <w:vAlign w:val="bottom"/>
            <w:gridSpan w:val="2"/>
          </w:tcPr>
          <w:p>
            <w:pPr>
              <w:ind w:left="120"/>
              <w:spacing w:after="0"/>
              <w:rPr>
                <w:sz w:val="20"/>
                <w:szCs w:val="20"/>
                <w:color w:val="auto"/>
              </w:rPr>
            </w:pPr>
            <w:r>
              <w:rPr>
                <w:rFonts w:ascii="Arial" w:cs="Arial" w:eastAsia="Arial" w:hAnsi="Arial"/>
                <w:sz w:val="18"/>
                <w:szCs w:val="18"/>
                <w:b w:val="1"/>
                <w:bCs w:val="1"/>
                <w:color w:val="auto"/>
              </w:rPr>
              <w:t>ONTORII,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L. Verdine</w:t>
            </w:r>
          </w:p>
        </w:tc>
        <w:tc>
          <w:tcPr>
            <w:tcW w:w="780" w:type="dxa"/>
            <w:vAlign w:val="bottom"/>
          </w:tcPr>
          <w:p>
            <w:pPr>
              <w:ind w:left="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 Takanashi</w:t>
            </w:r>
          </w:p>
        </w:tc>
      </w:tr>
      <w:tr>
        <w:trPr>
          <w:trHeight w:val="439"/>
        </w:trPr>
        <w:tc>
          <w:tcPr>
            <w:tcW w:w="5500" w:type="dxa"/>
            <w:vAlign w:val="bottom"/>
            <w:gridSpan w:val="3"/>
          </w:tcPr>
          <w:p>
            <w:pPr>
              <w:spacing w:after="0"/>
              <w:rPr>
                <w:sz w:val="20"/>
                <w:szCs w:val="20"/>
                <w:color w:val="auto"/>
              </w:rPr>
            </w:pPr>
            <w:r>
              <w:rPr>
                <w:rFonts w:ascii="Arial" w:cs="Arial" w:eastAsia="Arial" w:hAnsi="Arial"/>
                <w:sz w:val="18"/>
                <w:szCs w:val="18"/>
                <w:color w:val="auto"/>
              </w:rPr>
              <w:t>Name: Gregory L. Verdine</w:t>
            </w:r>
          </w:p>
        </w:tc>
        <w:tc>
          <w:tcPr>
            <w:tcW w:w="780" w:type="dxa"/>
            <w:vAlign w:val="bottom"/>
          </w:tcPr>
          <w:p>
            <w:pPr>
              <w:ind w:left="12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Ken Takanashi</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4"/>
                <w:szCs w:val="24"/>
                <w:color w:val="auto"/>
              </w:rPr>
            </w:pPr>
          </w:p>
        </w:tc>
        <w:tc>
          <w:tcPr>
            <w:tcW w:w="4880" w:type="dxa"/>
            <w:vAlign w:val="bottom"/>
            <w:tcBorders>
              <w:top w:val="single" w:sz="8" w:color="auto"/>
              <w:bottom w:val="single" w:sz="8" w:color="auto"/>
            </w:tcBorders>
          </w:tcPr>
          <w:p>
            <w:pPr>
              <w:spacing w:after="0"/>
              <w:rPr>
                <w:sz w:val="24"/>
                <w:szCs w:val="24"/>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rPr>
              <w:t>Title:</w:t>
            </w:r>
          </w:p>
        </w:tc>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9"/>
        </w:trPr>
        <w:tc>
          <w:tcPr>
            <w:tcW w:w="5500" w:type="dxa"/>
            <w:vAlign w:val="bottom"/>
            <w:gridSpan w:val="3"/>
          </w:tcPr>
          <w:p>
            <w:pPr>
              <w:spacing w:after="0"/>
              <w:rPr>
                <w:sz w:val="20"/>
                <w:szCs w:val="20"/>
                <w:color w:val="auto"/>
              </w:rPr>
            </w:pPr>
            <w:r>
              <w:rPr>
                <w:rFonts w:ascii="Arial" w:cs="Arial" w:eastAsia="Arial" w:hAnsi="Arial"/>
                <w:sz w:val="18"/>
                <w:szCs w:val="18"/>
                <w:color w:val="auto"/>
              </w:rPr>
              <w:t>Address for Notice:</w:t>
            </w:r>
          </w:p>
        </w:tc>
        <w:tc>
          <w:tcPr>
            <w:tcW w:w="7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78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07" w:name="page508"/>
    <w:bookmarkEnd w:id="5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AND COMPENSATION</w:t>
      </w:r>
    </w:p>
    <w:p>
      <w:pPr>
        <w:spacing w:after="0" w:line="256" w:lineRule="exact"/>
        <w:rPr>
          <w:sz w:val="20"/>
          <w:szCs w:val="20"/>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Contact. </w:t>
      </w:r>
      <w:r>
        <w:rPr>
          <w:rFonts w:ascii="Arial" w:cs="Arial" w:eastAsia="Arial" w:hAnsi="Arial"/>
          <w:sz w:val="18"/>
          <w:szCs w:val="18"/>
          <w:color w:val="auto"/>
        </w:rPr>
        <w:t>Consultant’s principal Company contact:</w:t>
      </w:r>
    </w:p>
    <w:p>
      <w:pPr>
        <w:spacing w:after="0" w:line="252"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Ken Takanashi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553148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24"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 /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553148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553148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553148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81" w:lineRule="exact"/>
        <w:rPr>
          <w:sz w:val="20"/>
          <w:szCs w:val="20"/>
          <w:color w:val="auto"/>
        </w:rPr>
      </w:pPr>
    </w:p>
    <w:p>
      <w:pPr>
        <w:ind w:left="900" w:hanging="446"/>
        <w:spacing w:after="0"/>
        <w:tabs>
          <w:tab w:leader="none" w:pos="900" w:val="left"/>
        </w:tabs>
        <w:numPr>
          <w:ilvl w:val="0"/>
          <w:numId w:val="4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Services. </w:t>
      </w:r>
      <w:r>
        <w:rPr>
          <w:rFonts w:ascii="Arial" w:cs="Arial" w:eastAsia="Arial" w:hAnsi="Arial"/>
          <w:sz w:val="18"/>
          <w:szCs w:val="18"/>
          <w:color w:val="auto"/>
        </w:rPr>
        <w:t>The Services will be the following:</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Consultant shall provide research and development advice relating to the use of oligonucleotides and modified versions thereof as drugs, and Consultant shall serve as Co-Chair of the Company’s Scientific Advisory Board. Consultant shall provide approximately one (1) day, which is defined to be a maximum of eight (8) hours, per week of Services to the Company during the term of this Agreement.</w:t>
      </w:r>
    </w:p>
    <w:p>
      <w:pPr>
        <w:spacing w:after="0" w:line="330" w:lineRule="exact"/>
        <w:rPr>
          <w:sz w:val="20"/>
          <w:szCs w:val="20"/>
          <w:color w:val="auto"/>
        </w:rPr>
      </w:pPr>
    </w:p>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p>
    <w:p>
      <w:pPr>
        <w:spacing w:after="0" w:line="117" w:lineRule="exact"/>
        <w:rPr>
          <w:rFonts w:ascii="Arial" w:cs="Arial" w:eastAsia="Arial" w:hAnsi="Arial"/>
          <w:sz w:val="18"/>
          <w:szCs w:val="18"/>
          <w:color w:val="auto"/>
        </w:rPr>
      </w:pPr>
    </w:p>
    <w:p>
      <w:pPr>
        <w:ind w:right="200" w:firstLine="921"/>
        <w:spacing w:after="0" w:line="259" w:lineRule="auto"/>
        <w:tabs>
          <w:tab w:leader="none" w:pos="1133"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Company will pay Consultant $12,500 per month, or any part of a calendar month, for the Services provided hereunder until this Agreement terminates. This payment will be made automatically, in arrears, on a monthly basis, with no invoicing. The accumulated fees due for the period between April 1, 2012 and the signing date of this agreement will be paid immediately upon signing, in one lump sum, in recognition of the Consultant’s having provided services during that period.</w:t>
      </w:r>
    </w:p>
    <w:p>
      <w:pPr>
        <w:spacing w:after="0" w:line="186" w:lineRule="exact"/>
        <w:rPr>
          <w:rFonts w:ascii="Arial" w:cs="Arial" w:eastAsia="Arial" w:hAnsi="Arial"/>
          <w:sz w:val="18"/>
          <w:szCs w:val="18"/>
          <w:color w:val="auto"/>
        </w:rPr>
      </w:pPr>
    </w:p>
    <w:p>
      <w:pPr>
        <w:ind w:right="480" w:firstLine="921"/>
        <w:spacing w:after="0" w:line="264" w:lineRule="auto"/>
        <w:tabs>
          <w:tab w:leader="none" w:pos="1123"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Company will reimburse Consultant, in accordance with Company policy, for all reasonable expenses incurred by Consultant in performing the Services pursuant to this Agreement, if Consultant receives written consent from an authorized agent of the Company for incurring such expenses and submits receipts for such expenses to the Company in accordance with Company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accepted and agreed upon as of 1</w:t>
      </w:r>
      <w:r>
        <w:rPr>
          <w:rFonts w:ascii="Arial" w:cs="Arial" w:eastAsia="Arial" w:hAnsi="Arial"/>
          <w:sz w:val="15"/>
          <w:szCs w:val="15"/>
          <w:color w:val="auto"/>
        </w:rPr>
        <w:t>st</w:t>
      </w:r>
      <w:r>
        <w:rPr>
          <w:rFonts w:ascii="Arial" w:cs="Arial" w:eastAsia="Arial" w:hAnsi="Arial"/>
          <w:sz w:val="18"/>
          <w:szCs w:val="18"/>
          <w:color w:val="auto"/>
        </w:rPr>
        <w:t xml:space="preserve"> April 2012.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ONTORII,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L. Verdine</w:t>
            </w:r>
          </w:p>
        </w:tc>
        <w:tc>
          <w:tcPr>
            <w:tcW w:w="780" w:type="dxa"/>
            <w:vAlign w:val="bottom"/>
          </w:tcPr>
          <w:p>
            <w:pPr>
              <w:ind w:left="1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 Takanashi</w:t>
            </w:r>
          </w:p>
        </w:tc>
      </w:tr>
      <w:tr>
        <w:trPr>
          <w:trHeight w:val="439"/>
        </w:trPr>
        <w:tc>
          <w:tcPr>
            <w:tcW w:w="5740" w:type="dxa"/>
            <w:vAlign w:val="bottom"/>
            <w:gridSpan w:val="2"/>
          </w:tcPr>
          <w:p>
            <w:pPr>
              <w:spacing w:after="0"/>
              <w:rPr>
                <w:sz w:val="20"/>
                <w:szCs w:val="20"/>
                <w:color w:val="auto"/>
              </w:rPr>
            </w:pPr>
            <w:r>
              <w:rPr>
                <w:rFonts w:ascii="Arial" w:cs="Arial" w:eastAsia="Arial" w:hAnsi="Arial"/>
                <w:sz w:val="18"/>
                <w:szCs w:val="18"/>
                <w:color w:val="auto"/>
              </w:rPr>
              <w:t>Name: Gregory L. Verdine</w:t>
            </w:r>
          </w:p>
        </w:tc>
        <w:tc>
          <w:tcPr>
            <w:tcW w:w="780" w:type="dxa"/>
            <w:vAlign w:val="bottom"/>
          </w:tcPr>
          <w:p>
            <w:pPr>
              <w:ind w:left="10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Ken Takanashi</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top w:val="single" w:sz="8" w:color="auto"/>
              <w:bottom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Title:</w:t>
            </w:r>
          </w:p>
        </w:tc>
        <w:tc>
          <w:tcPr>
            <w:tcW w:w="4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1420"/>
          </w:cols>
          <w:pgMar w:left="240" w:top="269" w:right="239" w:bottom="1440" w:gutter="0" w:footer="0" w:header="0"/>
        </w:sectPr>
      </w:pPr>
    </w:p>
    <w:bookmarkStart w:id="508" w:name="page509"/>
    <w:bookmarkEnd w:id="508"/>
    <w:p>
      <w:pPr>
        <w:jc w:val="right"/>
        <w:spacing w:after="0"/>
        <w:rPr>
          <w:sz w:val="20"/>
          <w:szCs w:val="20"/>
          <w:color w:val="auto"/>
        </w:rPr>
      </w:pPr>
      <w:r>
        <w:rPr>
          <w:rFonts w:ascii="Arial" w:cs="Arial" w:eastAsia="Arial" w:hAnsi="Arial"/>
          <w:sz w:val="18"/>
          <w:szCs w:val="18"/>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251575" cy="60007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2515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23 October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Ken Takanashi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Cross Street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PWC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048424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Nominee Director Fee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quote you our nominee director’s fee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Nominee director’s fee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040"/>
        <w:spacing w:after="0"/>
        <w:rPr>
          <w:sz w:val="20"/>
          <w:szCs w:val="20"/>
          <w:color w:val="auto"/>
        </w:rPr>
      </w:pPr>
      <w:r>
        <w:rPr>
          <w:rFonts w:ascii="Arial" w:cs="Arial" w:eastAsia="Arial" w:hAnsi="Arial"/>
          <w:sz w:val="16"/>
          <w:szCs w:val="16"/>
          <w:color w:val="auto"/>
        </w:rPr>
        <w:t>: S$3,000 per year</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Monthly bill</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(as requested)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S$250 per month</w:t>
      </w:r>
    </w:p>
    <w:p>
      <w:pPr>
        <w:spacing w:after="0" w:line="418"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5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Mr Koji Miura will act as a nominee director for your company. The nominee director’s fee of S$3,000/- is for a period of one year. We will render the bill to your company on a monthly basis as per your request. The fee is payable upon the presentation of our bill to you. The resignation of the nominee director may be requested in writing by either party. The director’s fee will be payable until the month of the director’s resignation. If you agree to the above fees, please sign on the enclosed copy of this letter and return it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Koji Miura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Koji Miura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6414770" cy="23177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414770" cy="2317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09" w:name="page510"/>
    <w:bookmarkEnd w:id="5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6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694690"/>
                    </a:xfrm>
                    <a:prstGeom prst="rect">
                      <a:avLst/>
                    </a:prstGeom>
                    <a:noFill/>
                  </pic:spPr>
                </pic:pic>
              </a:graphicData>
            </a:graphic>
          </wp:anchor>
        </w:drawing>
        <w:t>23 October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Ken Takanashi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Cross Street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PWC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048424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Nominee Director Fee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quote you our nominee director’s fee as follows:</w:t>
      </w:r>
    </w:p>
    <w:p>
      <w:pPr>
        <w:sectPr>
          <w:pgSz w:w="11900" w:h="16838" w:orient="portrait"/>
          <w:cols w:equalWidth="0" w:num="1">
            <w:col w:w="11280"/>
          </w:cols>
          <w:pgMar w:left="240" w:top="1435" w:right="37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Nominee director’s fee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 S$3,000 per year</w:t>
      </w:r>
    </w:p>
    <w:p>
      <w:pPr>
        <w:spacing w:after="0" w:line="200" w:lineRule="exact"/>
        <w:rPr>
          <w:sz w:val="20"/>
          <w:szCs w:val="20"/>
          <w:color w:val="auto"/>
        </w:rPr>
      </w:pPr>
    </w:p>
    <w:p>
      <w:pPr>
        <w:sectPr>
          <w:pgSz w:w="11900" w:h="16838" w:orient="portrait"/>
          <w:cols w:equalWidth="0" w:num="2">
            <w:col w:w="5340" w:space="720"/>
            <w:col w:w="5220"/>
          </w:cols>
          <w:pgMar w:left="240" w:top="1435" w:right="3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Monthly bill</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(as requested)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S$250 per month</w:t>
      </w:r>
    </w:p>
    <w:p>
      <w:pPr>
        <w:spacing w:after="0" w:line="418" w:lineRule="exact"/>
        <w:rPr>
          <w:sz w:val="20"/>
          <w:szCs w:val="20"/>
          <w:color w:val="auto"/>
        </w:rPr>
      </w:pPr>
    </w:p>
    <w:p>
      <w:pPr>
        <w:sectPr>
          <w:pgSz w:w="11900" w:h="16838" w:orient="portrait"/>
          <w:cols w:equalWidth="0" w:num="2">
            <w:col w:w="5340" w:space="720"/>
            <w:col w:w="5220"/>
          </w:cols>
          <w:pgMar w:left="240" w:top="1435" w:right="379" w:bottom="1440" w:gutter="0" w:footer="0" w:header="0"/>
          <w:type w:val="continuous"/>
        </w:sectPr>
      </w:pP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Mr Koji Miura will act as a nominee director for your company. The nominee director’s fee of S$3,000/- is for a period of one year. We will render the bill to your company on a monthly basis as per your request. The fee is payable upon the presentation of our bill to you. The resignation of the nominee director may be requested in writing by either party. The director’s fee will be payable until the month of the director’s resignation. If you agree to the above fees, please sign on the enclosed copy of this letter and return it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Koji Miura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Koji Miura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above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Signature/Name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414770" cy="2317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414770" cy="231775"/>
                    </a:xfrm>
                    <a:prstGeom prst="rect">
                      <a:avLst/>
                    </a:prstGeom>
                    <a:noFill/>
                  </pic:spPr>
                </pic:pic>
              </a:graphicData>
            </a:graphic>
          </wp:anchor>
        </w:drawing>
      </w:r>
    </w:p>
    <w:p>
      <w:pPr>
        <w:sectPr>
          <w:pgSz w:w="11900" w:h="16838" w:orient="portrait"/>
          <w:cols w:equalWidth="0" w:num="1">
            <w:col w:w="11280"/>
          </w:cols>
          <w:pgMar w:left="240" w:top="1435" w:right="379" w:bottom="1440" w:gutter="0" w:footer="0" w:header="0"/>
          <w:type w:val="continuous"/>
        </w:sectPr>
      </w:pPr>
    </w:p>
    <w:bookmarkStart w:id="510" w:name="page511"/>
    <w:bookmarkEnd w:id="510"/>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140" w:type="dxa"/>
            <w:vAlign w:val="bottom"/>
            <w:gridSpan w:val="3"/>
          </w:tcPr>
          <w:p>
            <w:pPr>
              <w:jc w:val="right"/>
              <w:ind w:right="4320"/>
              <w:spacing w:after="0"/>
              <w:rPr>
                <w:sz w:val="20"/>
                <w:szCs w:val="20"/>
                <w:color w:val="auto"/>
              </w:rPr>
            </w:pPr>
            <w:r>
              <w:rPr>
                <w:rFonts w:ascii="Arial" w:cs="Arial" w:eastAsia="Arial" w:hAnsi="Arial"/>
                <w:sz w:val="18"/>
                <w:szCs w:val="18"/>
                <w:b w:val="1"/>
                <w:bCs w:val="1"/>
                <w:color w:val="auto"/>
              </w:rPr>
              <w:t>WAVE LIFE SCIENCES PTE. LTD.</w:t>
            </w:r>
          </w:p>
        </w:tc>
        <w:tc>
          <w:tcPr>
            <w:tcW w:w="0" w:type="dxa"/>
            <w:vAlign w:val="bottom"/>
          </w:tcPr>
          <w:p>
            <w:pPr>
              <w:spacing w:after="0"/>
              <w:rPr>
                <w:sz w:val="1"/>
                <w:szCs w:val="1"/>
                <w:color w:val="auto"/>
              </w:rPr>
            </w:pPr>
          </w:p>
        </w:tc>
      </w:tr>
      <w:tr>
        <w:trPr>
          <w:trHeight w:val="392"/>
        </w:trPr>
        <w:tc>
          <w:tcPr>
            <w:tcW w:w="680" w:type="dxa"/>
            <w:vAlign w:val="bottom"/>
          </w:tcPr>
          <w:p>
            <w:pPr>
              <w:spacing w:after="0"/>
              <w:rPr>
                <w:sz w:val="20"/>
                <w:szCs w:val="20"/>
                <w:color w:val="auto"/>
              </w:rPr>
            </w:pPr>
            <w:r>
              <w:rPr>
                <w:rFonts w:ascii="Arial" w:cs="Arial" w:eastAsia="Arial" w:hAnsi="Arial"/>
                <w:sz w:val="14"/>
                <w:szCs w:val="14"/>
                <w:b w:val="1"/>
                <w:bCs w:val="1"/>
                <w:color w:val="auto"/>
                <w:w w:val="92"/>
              </w:rPr>
              <w:t>Subsidiary</w:t>
            </w:r>
          </w:p>
        </w:tc>
        <w:tc>
          <w:tcPr>
            <w:tcW w:w="2620" w:type="dxa"/>
            <w:vAlign w:val="bottom"/>
          </w:tcPr>
          <w:p>
            <w:pPr>
              <w:spacing w:after="0"/>
              <w:rPr>
                <w:sz w:val="24"/>
                <w:szCs w:val="24"/>
                <w:color w:val="auto"/>
              </w:rPr>
            </w:pPr>
          </w:p>
        </w:tc>
        <w:tc>
          <w:tcPr>
            <w:tcW w:w="8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Jurisdiction</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00" w:type="dxa"/>
            <w:vAlign w:val="bottom"/>
            <w:gridSpan w:val="2"/>
          </w:tcPr>
          <w:p>
            <w:pPr>
              <w:spacing w:after="0" w:line="195" w:lineRule="exact"/>
              <w:rPr>
                <w:sz w:val="20"/>
                <w:szCs w:val="20"/>
                <w:color w:val="auto"/>
              </w:rPr>
            </w:pPr>
            <w:r>
              <w:rPr>
                <w:rFonts w:ascii="Arial" w:cs="Arial" w:eastAsia="Arial" w:hAnsi="Arial"/>
                <w:sz w:val="18"/>
                <w:szCs w:val="18"/>
                <w:color w:val="auto"/>
              </w:rPr>
              <w:t>WAVE Life Sciences USA, Inc.</w:t>
            </w:r>
          </w:p>
        </w:tc>
        <w:tc>
          <w:tcPr>
            <w:tcW w:w="7400" w:type="dxa"/>
            <w:vAlign w:val="bottom"/>
            <w:vMerge w:val="continue"/>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w w:val="92"/>
              </w:rPr>
              <w:t>Delaware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WAVE Life Sciences (Japan)</w:t>
            </w:r>
          </w:p>
        </w:tc>
        <w:tc>
          <w:tcPr>
            <w:tcW w:w="7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106A57"/>
    <w:multiLevelType w:val="hybridMultilevel"/>
    <w:lvl w:ilvl="0">
      <w:lvlJc w:val="left"/>
      <w:lvlText w:val="(%1)"/>
      <w:numFmt w:val="decimal"/>
      <w:start w:val="1"/>
    </w:lvl>
    <w:lvl w:ilvl="1">
      <w:lvlJc w:val="left"/>
      <w:lvlText w:val="(%2)"/>
      <w:numFmt w:val="decimal"/>
      <w:start w:val="2"/>
    </w:lvl>
  </w:abstractNum>
  <w:abstractNum w:abstractNumId="1">
    <w:nsid w:val="684EED59"/>
    <w:multiLevelType w:val="hybridMultilevel"/>
    <w:lvl w:ilvl="0">
      <w:lvlJc w:val="left"/>
      <w:lvlText w:val="(%1)"/>
      <w:numFmt w:val="decimal"/>
      <w:start w:val="1"/>
    </w:lvl>
  </w:abstractNum>
  <w:abstractNum w:abstractNumId="2">
    <w:nsid w:val="545EE5D3"/>
    <w:multiLevelType w:val="hybridMultilevel"/>
    <w:lvl w:ilvl="0">
      <w:lvlJc w:val="left"/>
      <w:lvlText w:val="n"/>
      <w:numFmt w:val="bullet"/>
      <w:start w:val="1"/>
    </w:lvl>
  </w:abstractNum>
  <w:abstractNum w:abstractNumId="3">
    <w:nsid w:val="4A66051"/>
    <w:multiLevelType w:val="hybridMultilevel"/>
    <w:lvl w:ilvl="0">
      <w:lvlJc w:val="left"/>
      <w:lvlText w:val="n"/>
      <w:numFmt w:val="bullet"/>
      <w:start w:val="1"/>
    </w:lvl>
  </w:abstractNum>
  <w:abstractNum w:abstractNumId="4">
    <w:nsid w:val="20F4BDAD"/>
    <w:multiLevelType w:val="hybridMultilevel"/>
    <w:lvl w:ilvl="0">
      <w:lvlJc w:val="left"/>
      <w:lvlText w:val="n"/>
      <w:numFmt w:val="bullet"/>
      <w:start w:val="1"/>
    </w:lvl>
  </w:abstractNum>
  <w:abstractNum w:abstractNumId="5">
    <w:nsid w:val="639DEFAC"/>
    <w:multiLevelType w:val="hybridMultilevel"/>
    <w:lvl w:ilvl="0">
      <w:lvlJc w:val="left"/>
      <w:lvlText w:val="n"/>
      <w:numFmt w:val="bullet"/>
      <w:start w:val="1"/>
    </w:lvl>
  </w:abstractNum>
  <w:abstractNum w:abstractNumId="6">
    <w:nsid w:val="501F9786"/>
    <w:multiLevelType w:val="hybridMultilevel"/>
    <w:lvl w:ilvl="0">
      <w:lvlJc w:val="left"/>
      <w:lvlText w:val="n"/>
      <w:numFmt w:val="bullet"/>
      <w:start w:val="1"/>
    </w:lvl>
  </w:abstractNum>
  <w:abstractNum w:abstractNumId="7">
    <w:nsid w:val="6B057295"/>
    <w:multiLevelType w:val="hybridMultilevel"/>
    <w:lvl w:ilvl="0">
      <w:lvlJc w:val="left"/>
      <w:lvlText w:val="n"/>
      <w:numFmt w:val="bullet"/>
      <w:start w:val="1"/>
    </w:lvl>
  </w:abstractNum>
  <w:abstractNum w:abstractNumId="8">
    <w:nsid w:val="2771AC80"/>
    <w:multiLevelType w:val="hybridMultilevel"/>
    <w:lvl w:ilvl="0">
      <w:lvlJc w:val="left"/>
      <w:lvlText w:val="(%1)"/>
      <w:numFmt w:val="decimal"/>
      <w:start w:val="1"/>
    </w:lvl>
  </w:abstractNum>
  <w:abstractNum w:abstractNumId="9">
    <w:nsid w:val="1C4A08EC"/>
    <w:multiLevelType w:val="hybridMultilevel"/>
    <w:lvl w:ilvl="0">
      <w:lvlJc w:val="left"/>
      <w:lvlText w:val="(%1)"/>
      <w:numFmt w:val="decimal"/>
      <w:start w:val="1"/>
    </w:lvl>
  </w:abstractNum>
  <w:abstractNum w:abstractNumId="10">
    <w:nsid w:val="1958BD17"/>
    <w:multiLevelType w:val="hybridMultilevel"/>
    <w:lvl w:ilvl="0">
      <w:lvlJc w:val="left"/>
      <w:lvlText w:val="n"/>
      <w:numFmt w:val="bullet"/>
      <w:start w:val="1"/>
    </w:lvl>
  </w:abstractNum>
  <w:abstractNum w:abstractNumId="11">
    <w:nsid w:val="4E647FE4"/>
    <w:multiLevelType w:val="hybridMultilevel"/>
    <w:lvl w:ilvl="0">
      <w:lvlJc w:val="left"/>
      <w:lvlText w:val="n"/>
      <w:numFmt w:val="bullet"/>
      <w:start w:val="1"/>
    </w:lvl>
  </w:abstractNum>
  <w:abstractNum w:abstractNumId="12">
    <w:nsid w:val="E0BB885"/>
    <w:multiLevelType w:val="hybridMultilevel"/>
    <w:lvl w:ilvl="0">
      <w:lvlJc w:val="left"/>
      <w:lvlText w:val="n"/>
      <w:numFmt w:val="bullet"/>
      <w:start w:val="1"/>
    </w:lvl>
  </w:abstractNum>
  <w:abstractNum w:abstractNumId="13">
    <w:nsid w:val="565976F1"/>
    <w:multiLevelType w:val="hybridMultilevel"/>
    <w:lvl w:ilvl="0">
      <w:lvlJc w:val="left"/>
      <w:lvlText w:val="n"/>
      <w:numFmt w:val="bullet"/>
      <w:start w:val="1"/>
    </w:lvl>
  </w:abstractNum>
  <w:abstractNum w:abstractNumId="14">
    <w:nsid w:val="64212B8C"/>
    <w:multiLevelType w:val="hybridMultilevel"/>
    <w:lvl w:ilvl="0">
      <w:lvlJc w:val="left"/>
      <w:lvlText w:val="n"/>
      <w:numFmt w:val="bullet"/>
      <w:start w:val="1"/>
    </w:lvl>
  </w:abstractNum>
  <w:abstractNum w:abstractNumId="15">
    <w:nsid w:val="5C17530C"/>
    <w:multiLevelType w:val="hybridMultilevel"/>
    <w:lvl w:ilvl="0">
      <w:lvlJc w:val="left"/>
      <w:lvlText w:val="n"/>
      <w:numFmt w:val="bullet"/>
      <w:start w:val="1"/>
    </w:lvl>
  </w:abstractNum>
  <w:abstractNum w:abstractNumId="16">
    <w:nsid w:val="19A52566"/>
    <w:multiLevelType w:val="hybridMultilevel"/>
    <w:lvl w:ilvl="0">
      <w:lvlJc w:val="left"/>
      <w:lvlText w:val="n"/>
      <w:numFmt w:val="bullet"/>
      <w:start w:val="1"/>
    </w:lvl>
  </w:abstractNum>
  <w:abstractNum w:abstractNumId="17">
    <w:nsid w:val="335A1DF1"/>
    <w:multiLevelType w:val="hybridMultilevel"/>
    <w:lvl w:ilvl="0">
      <w:lvlJc w:val="left"/>
      <w:lvlText w:val="n"/>
      <w:numFmt w:val="bullet"/>
      <w:start w:val="1"/>
    </w:lvl>
  </w:abstractNum>
  <w:abstractNum w:abstractNumId="18">
    <w:nsid w:val="28677B7C"/>
    <w:multiLevelType w:val="hybridMultilevel"/>
    <w:lvl w:ilvl="0">
      <w:lvlJc w:val="left"/>
      <w:lvlText w:val="n"/>
      <w:numFmt w:val="bullet"/>
      <w:start w:val="1"/>
    </w:lvl>
  </w:abstractNum>
  <w:abstractNum w:abstractNumId="19">
    <w:nsid w:val="378D97C0"/>
    <w:multiLevelType w:val="hybridMultilevel"/>
    <w:lvl w:ilvl="0">
      <w:lvlJc w:val="left"/>
      <w:lvlText w:val="n"/>
      <w:numFmt w:val="bullet"/>
      <w:start w:val="1"/>
    </w:lvl>
  </w:abstractNum>
  <w:abstractNum w:abstractNumId="20">
    <w:nsid w:val="1D91467C"/>
    <w:multiLevelType w:val="hybridMultilevel"/>
    <w:lvl w:ilvl="0">
      <w:lvlJc w:val="left"/>
      <w:lvlText w:val="n"/>
      <w:numFmt w:val="bullet"/>
      <w:start w:val="1"/>
    </w:lvl>
  </w:abstractNum>
  <w:abstractNum w:abstractNumId="21">
    <w:nsid w:val="316032BB"/>
    <w:multiLevelType w:val="hybridMultilevel"/>
    <w:lvl w:ilvl="0">
      <w:lvlJc w:val="left"/>
      <w:lvlText w:val="n"/>
      <w:numFmt w:val="bullet"/>
      <w:start w:val="1"/>
    </w:lvl>
  </w:abstractNum>
  <w:abstractNum w:abstractNumId="22">
    <w:nsid w:val="44344C22"/>
    <w:multiLevelType w:val="hybridMultilevel"/>
    <w:lvl w:ilvl="0">
      <w:lvlJc w:val="left"/>
      <w:lvlText w:val="n"/>
      <w:numFmt w:val="bullet"/>
      <w:start w:val="1"/>
    </w:lvl>
  </w:abstractNum>
  <w:abstractNum w:abstractNumId="23">
    <w:nsid w:val="13CDFCFC"/>
    <w:multiLevelType w:val="hybridMultilevel"/>
    <w:lvl w:ilvl="0">
      <w:lvlJc w:val="left"/>
      <w:lvlText w:val="n"/>
      <w:numFmt w:val="bullet"/>
      <w:start w:val="1"/>
    </w:lvl>
  </w:abstractNum>
  <w:abstractNum w:abstractNumId="24">
    <w:nsid w:val="471745E4"/>
    <w:multiLevelType w:val="hybridMultilevel"/>
    <w:lvl w:ilvl="0">
      <w:lvlJc w:val="left"/>
      <w:lvlText w:val="n"/>
      <w:numFmt w:val="bullet"/>
      <w:start w:val="1"/>
    </w:lvl>
  </w:abstractNum>
  <w:abstractNum w:abstractNumId="25">
    <w:nsid w:val="1DDBC66"/>
    <w:multiLevelType w:val="hybridMultilevel"/>
    <w:lvl w:ilvl="0">
      <w:lvlJc w:val="left"/>
      <w:lvlText w:val="n"/>
      <w:numFmt w:val="bullet"/>
      <w:start w:val="1"/>
    </w:lvl>
  </w:abstractNum>
  <w:abstractNum w:abstractNumId="26">
    <w:nsid w:val="30AADFDA"/>
    <w:multiLevelType w:val="hybridMultilevel"/>
    <w:lvl w:ilvl="0">
      <w:lvlJc w:val="left"/>
      <w:lvlText w:val="n"/>
      <w:numFmt w:val="bullet"/>
      <w:start w:val="1"/>
    </w:lvl>
  </w:abstractNum>
  <w:abstractNum w:abstractNumId="27">
    <w:nsid w:val="30EADA61"/>
    <w:multiLevelType w:val="hybridMultilevel"/>
    <w:lvl w:ilvl="0">
      <w:lvlJc w:val="left"/>
      <w:lvlText w:val="n"/>
      <w:numFmt w:val="bullet"/>
      <w:start w:val="1"/>
    </w:lvl>
  </w:abstractNum>
  <w:abstractNum w:abstractNumId="28">
    <w:nsid w:val="27179C0B"/>
    <w:multiLevelType w:val="hybridMultilevel"/>
    <w:lvl w:ilvl="0">
      <w:lvlJc w:val="left"/>
      <w:lvlText w:val="n"/>
      <w:numFmt w:val="bullet"/>
      <w:start w:val="1"/>
    </w:lvl>
  </w:abstractNum>
  <w:abstractNum w:abstractNumId="29">
    <w:nsid w:val="5E636063"/>
    <w:multiLevelType w:val="hybridMultilevel"/>
    <w:lvl w:ilvl="0">
      <w:lvlJc w:val="left"/>
      <w:lvlText w:val="$"/>
      <w:numFmt w:val="bullet"/>
      <w:start w:val="1"/>
    </w:lvl>
  </w:abstractNum>
  <w:abstractNum w:abstractNumId="30">
    <w:nsid w:val="215641AF"/>
    <w:multiLevelType w:val="hybridMultilevel"/>
    <w:lvl w:ilvl="0">
      <w:lvlJc w:val="left"/>
      <w:lvlText w:val="n"/>
      <w:numFmt w:val="bullet"/>
      <w:start w:val="1"/>
    </w:lvl>
  </w:abstractNum>
  <w:abstractNum w:abstractNumId="31">
    <w:nsid w:val="53280662"/>
    <w:multiLevelType w:val="hybridMultilevel"/>
    <w:lvl w:ilvl="0">
      <w:lvlJc w:val="left"/>
      <w:lvlText w:val="n"/>
      <w:numFmt w:val="bullet"/>
      <w:start w:val="1"/>
    </w:lvl>
  </w:abstractNum>
  <w:abstractNum w:abstractNumId="32">
    <w:nsid w:val="46B24DBC"/>
    <w:multiLevelType w:val="hybridMultilevel"/>
    <w:lvl w:ilvl="0">
      <w:lvlJc w:val="left"/>
      <w:lvlText w:val="n"/>
      <w:numFmt w:val="bullet"/>
      <w:start w:val="1"/>
    </w:lvl>
  </w:abstractNum>
  <w:abstractNum w:abstractNumId="33">
    <w:nsid w:val="75B52783"/>
    <w:multiLevelType w:val="hybridMultilevel"/>
    <w:lvl w:ilvl="0">
      <w:lvlJc w:val="left"/>
      <w:lvlText w:val="n"/>
      <w:numFmt w:val="bullet"/>
      <w:start w:val="1"/>
    </w:lvl>
  </w:abstractNum>
  <w:abstractNum w:abstractNumId="34">
    <w:nsid w:val="57CE66B4"/>
    <w:multiLevelType w:val="hybridMultilevel"/>
    <w:lvl w:ilvl="0">
      <w:lvlJc w:val="left"/>
      <w:lvlText w:val="(%1)"/>
      <w:numFmt w:val="decimal"/>
      <w:start w:val="1"/>
    </w:lvl>
  </w:abstractNum>
  <w:abstractNum w:abstractNumId="35">
    <w:nsid w:val="67A70B69"/>
    <w:multiLevelType w:val="hybridMultilevel"/>
    <w:lvl w:ilvl="0">
      <w:lvlJc w:val="left"/>
      <w:lvlText w:val="n"/>
      <w:numFmt w:val="bullet"/>
      <w:start w:val="1"/>
    </w:lvl>
  </w:abstractNum>
  <w:abstractNum w:abstractNumId="36">
    <w:nsid w:val="5953172F"/>
    <w:multiLevelType w:val="hybridMultilevel"/>
    <w:lvl w:ilvl="0">
      <w:lvlJc w:val="left"/>
      <w:lvlText w:val="(%1)"/>
      <w:numFmt w:val="decimal"/>
      <w:start w:val="1"/>
    </w:lvl>
  </w:abstractNum>
  <w:abstractNum w:abstractNumId="37">
    <w:nsid w:val="27EDFE3A"/>
    <w:multiLevelType w:val="hybridMultilevel"/>
    <w:lvl w:ilvl="0">
      <w:lvlJc w:val="left"/>
      <w:lvlText w:val="(%1)"/>
      <w:numFmt w:val="decimal"/>
      <w:start w:val="1"/>
    </w:lvl>
  </w:abstractNum>
  <w:abstractNum w:abstractNumId="38">
    <w:nsid w:val="52AC7DFF"/>
    <w:multiLevelType w:val="hybridMultilevel"/>
    <w:lvl w:ilvl="0">
      <w:lvlJc w:val="left"/>
      <w:lvlText w:val="n"/>
      <w:numFmt w:val="bullet"/>
      <w:start w:val="1"/>
    </w:lvl>
  </w:abstractNum>
  <w:abstractNum w:abstractNumId="39">
    <w:nsid w:val="C4C3AF"/>
    <w:multiLevelType w:val="hybridMultilevel"/>
    <w:lvl w:ilvl="0">
      <w:lvlJc w:val="left"/>
      <w:lvlText w:val="(%1)"/>
      <w:numFmt w:val="decimal"/>
      <w:start w:val="1"/>
    </w:lvl>
  </w:abstractNum>
  <w:abstractNum w:abstractNumId="40">
    <w:nsid w:val="44380727"/>
    <w:multiLevelType w:val="hybridMultilevel"/>
    <w:lvl w:ilvl="0">
      <w:lvlJc w:val="left"/>
      <w:lvlText w:val="n"/>
      <w:numFmt w:val="bullet"/>
      <w:start w:val="1"/>
    </w:lvl>
  </w:abstractNum>
  <w:abstractNum w:abstractNumId="41">
    <w:nsid w:val="6C053B16"/>
    <w:multiLevelType w:val="hybridMultilevel"/>
    <w:lvl w:ilvl="0">
      <w:lvlJc w:val="left"/>
      <w:lvlText w:val="n"/>
      <w:numFmt w:val="bullet"/>
      <w:start w:val="1"/>
    </w:lvl>
  </w:abstractNum>
  <w:abstractNum w:abstractNumId="42">
    <w:nsid w:val="4F294393"/>
    <w:multiLevelType w:val="hybridMultilevel"/>
    <w:lvl w:ilvl="0">
      <w:lvlJc w:val="left"/>
      <w:lvlText w:val="(%1)"/>
      <w:numFmt w:val="decimal"/>
      <w:start w:val="1"/>
    </w:lvl>
    <w:lvl w:ilvl="1">
      <w:lvlJc w:val="left"/>
      <w:lvlText w:val="(%2)"/>
      <w:numFmt w:val="decimal"/>
      <w:start w:val="2"/>
    </w:lvl>
  </w:abstractNum>
  <w:abstractNum w:abstractNumId="43">
    <w:nsid w:val="5243BFAC"/>
    <w:multiLevelType w:val="hybridMultilevel"/>
    <w:lvl w:ilvl="0">
      <w:lvlJc w:val="left"/>
      <w:lvlText w:val="n"/>
      <w:numFmt w:val="bullet"/>
      <w:start w:val="1"/>
    </w:lvl>
  </w:abstractNum>
  <w:abstractNum w:abstractNumId="44">
    <w:nsid w:val="425EB207"/>
    <w:multiLevelType w:val="hybridMultilevel"/>
    <w:lvl w:ilvl="0">
      <w:lvlJc w:val="left"/>
      <w:lvlText w:val="n"/>
      <w:numFmt w:val="bullet"/>
      <w:start w:val="1"/>
    </w:lvl>
  </w:abstractNum>
  <w:abstractNum w:abstractNumId="45">
    <w:nsid w:val="334A6F1F"/>
    <w:multiLevelType w:val="hybridMultilevel"/>
    <w:lvl w:ilvl="0">
      <w:lvlJc w:val="left"/>
      <w:lvlText w:val="n"/>
      <w:numFmt w:val="bullet"/>
      <w:start w:val="1"/>
    </w:lvl>
  </w:abstractNum>
  <w:abstractNum w:abstractNumId="46">
    <w:nsid w:val="2E5B12B8"/>
    <w:multiLevelType w:val="hybridMultilevel"/>
    <w:lvl w:ilvl="0">
      <w:lvlJc w:val="left"/>
      <w:lvlText w:val="(%1)"/>
      <w:numFmt w:val="decimal"/>
      <w:start w:val="1"/>
    </w:lvl>
  </w:abstractNum>
  <w:abstractNum w:abstractNumId="47">
    <w:nsid w:val="5C03D76D"/>
    <w:multiLevelType w:val="hybridMultilevel"/>
    <w:lvl w:ilvl="0">
      <w:lvlJc w:val="left"/>
      <w:lvlText w:val="n"/>
      <w:numFmt w:val="bullet"/>
      <w:start w:val="1"/>
    </w:lvl>
  </w:abstractNum>
  <w:abstractNum w:abstractNumId="48">
    <w:nsid w:val="66A48D11"/>
    <w:multiLevelType w:val="hybridMultilevel"/>
    <w:lvl w:ilvl="0">
      <w:lvlJc w:val="left"/>
      <w:lvlText w:val="n"/>
      <w:numFmt w:val="bullet"/>
      <w:start w:val="1"/>
    </w:lvl>
  </w:abstractNum>
  <w:abstractNum w:abstractNumId="49">
    <w:nsid w:val="56C28E34"/>
    <w:multiLevelType w:val="hybridMultilevel"/>
    <w:lvl w:ilvl="0">
      <w:lvlJc w:val="left"/>
      <w:lvlText w:val="n"/>
      <w:numFmt w:val="bullet"/>
      <w:start w:val="1"/>
    </w:lvl>
  </w:abstractNum>
  <w:abstractNum w:abstractNumId="50">
    <w:nsid w:val="13916F2D"/>
    <w:multiLevelType w:val="hybridMultilevel"/>
    <w:lvl w:ilvl="0">
      <w:lvlJc w:val="left"/>
      <w:lvlText w:val="n"/>
      <w:numFmt w:val="bullet"/>
      <w:start w:val="1"/>
    </w:lvl>
  </w:abstractNum>
  <w:abstractNum w:abstractNumId="51">
    <w:nsid w:val="435D38D"/>
    <w:multiLevelType w:val="hybridMultilevel"/>
    <w:lvl w:ilvl="0">
      <w:lvlJc w:val="left"/>
      <w:lvlText w:val="n"/>
      <w:numFmt w:val="bullet"/>
      <w:start w:val="1"/>
    </w:lvl>
  </w:abstractNum>
  <w:abstractNum w:abstractNumId="52">
    <w:nsid w:val="822C0EF"/>
    <w:multiLevelType w:val="hybridMultilevel"/>
    <w:lvl w:ilvl="0">
      <w:lvlJc w:val="left"/>
      <w:lvlText w:val="n"/>
      <w:numFmt w:val="bullet"/>
      <w:start w:val="1"/>
    </w:lvl>
  </w:abstractNum>
  <w:abstractNum w:abstractNumId="53">
    <w:nsid w:val="57C5BB4F"/>
    <w:multiLevelType w:val="hybridMultilevel"/>
    <w:lvl w:ilvl="0">
      <w:lvlJc w:val="left"/>
      <w:lvlText w:val="(%1)"/>
      <w:numFmt w:val="lowerRoman"/>
      <w:start w:val="3"/>
    </w:lvl>
  </w:abstractNum>
  <w:abstractNum w:abstractNumId="54">
    <w:nsid w:val="1803D089"/>
    <w:multiLevelType w:val="hybridMultilevel"/>
    <w:lvl w:ilvl="0">
      <w:lvlJc w:val="left"/>
      <w:lvlText w:val="%1"/>
      <w:numFmt w:val="decimal"/>
      <w:start w:val="1"/>
    </w:lvl>
    <w:lvl w:ilvl="1">
      <w:lvlJc w:val="left"/>
      <w:lvlText w:val="(%2)"/>
      <w:numFmt w:val="decimal"/>
      <w:start w:val="1"/>
    </w:lvl>
  </w:abstractNum>
  <w:abstractNum w:abstractNumId="55">
    <w:nsid w:val="4F3A06D4"/>
    <w:multiLevelType w:val="hybridMultilevel"/>
    <w:lvl w:ilvl="0">
      <w:lvlJc w:val="left"/>
      <w:lvlText w:val="(%1)"/>
      <w:numFmt w:val="decimal"/>
      <w:start w:val="2"/>
    </w:lvl>
    <w:lvl w:ilvl="1">
      <w:lvlJc w:val="left"/>
      <w:lvlText w:val="%2"/>
      <w:numFmt w:val="decimal"/>
      <w:start w:val="1"/>
    </w:lvl>
  </w:abstractNum>
  <w:abstractNum w:abstractNumId="56">
    <w:nsid w:val="59A377B6"/>
    <w:multiLevelType w:val="hybridMultilevel"/>
    <w:lvl w:ilvl="0">
      <w:lvlJc w:val="left"/>
      <w:lvlText w:val="(%1)"/>
      <w:numFmt w:val="decimal"/>
      <w:start w:val="1"/>
    </w:lvl>
  </w:abstractNum>
  <w:abstractNum w:abstractNumId="57">
    <w:nsid w:val="48AEB063"/>
    <w:multiLevelType w:val="hybridMultilevel"/>
    <w:lvl w:ilvl="0">
      <w:lvlJc w:val="left"/>
      <w:lvlText w:val="n"/>
      <w:numFmt w:val="bullet"/>
      <w:start w:val="1"/>
    </w:lvl>
  </w:abstractNum>
  <w:abstractNum w:abstractNumId="58">
    <w:nsid w:val="24E135"/>
    <w:multiLevelType w:val="hybridMultilevel"/>
    <w:lvl w:ilvl="0">
      <w:lvlJc w:val="left"/>
      <w:lvlText w:val="(%1)"/>
      <w:numFmt w:val="decimal"/>
      <w:start w:val="1"/>
    </w:lvl>
  </w:abstractNum>
  <w:abstractNum w:abstractNumId="59">
    <w:nsid w:val="BB13C1"/>
    <w:multiLevelType w:val="hybridMultilevel"/>
    <w:lvl w:ilvl="0">
      <w:lvlJc w:val="left"/>
      <w:lvlText w:val="n"/>
      <w:numFmt w:val="bullet"/>
      <w:start w:val="1"/>
    </w:lvl>
  </w:abstractNum>
  <w:abstractNum w:abstractNumId="60">
    <w:nsid w:val="271210C7"/>
    <w:multiLevelType w:val="hybridMultilevel"/>
    <w:lvl w:ilvl="0">
      <w:lvlJc w:val="left"/>
      <w:lvlText w:val="n"/>
      <w:numFmt w:val="bullet"/>
      <w:start w:val="1"/>
    </w:lvl>
  </w:abstractNum>
  <w:abstractNum w:abstractNumId="61">
    <w:nsid w:val="217B22E4"/>
    <w:multiLevelType w:val="hybridMultilevel"/>
    <w:lvl w:ilvl="0">
      <w:lvlJc w:val="left"/>
      <w:lvlText w:val="(%1)"/>
      <w:numFmt w:val="decimal"/>
      <w:start w:val="1"/>
    </w:lvl>
  </w:abstractNum>
  <w:abstractNum w:abstractNumId="62">
    <w:nsid w:val="53E31A24"/>
    <w:multiLevelType w:val="hybridMultilevel"/>
    <w:lvl w:ilvl="0">
      <w:lvlJc w:val="left"/>
      <w:lvlText w:val="(%1)"/>
      <w:numFmt w:val="decimal"/>
      <w:start w:val="1"/>
    </w:lvl>
  </w:abstractNum>
  <w:abstractNum w:abstractNumId="63">
    <w:nsid w:val="6DC45E83"/>
    <w:multiLevelType w:val="hybridMultilevel"/>
    <w:lvl w:ilvl="0">
      <w:lvlJc w:val="left"/>
      <w:lvlText w:val="n"/>
      <w:numFmt w:val="bullet"/>
      <w:start w:val="1"/>
    </w:lvl>
  </w:abstractNum>
  <w:abstractNum w:abstractNumId="64">
    <w:nsid w:val="17304A67"/>
    <w:multiLevelType w:val="hybridMultilevel"/>
    <w:lvl w:ilvl="0">
      <w:lvlJc w:val="left"/>
      <w:lvlText w:val="(%1)"/>
      <w:numFmt w:val="decimal"/>
    </w:lvl>
    <w:lvl w:ilvl="1">
      <w:lvlJc w:val="left"/>
      <w:lvlText w:val="**"/>
      <w:numFmt w:val="bullet"/>
      <w:start w:val="1"/>
    </w:lvl>
  </w:abstractNum>
  <w:abstractNum w:abstractNumId="65">
    <w:nsid w:val="2BB180D8"/>
    <w:multiLevelType w:val="hybridMultilevel"/>
    <w:lvl w:ilvl="0">
      <w:lvlJc w:val="left"/>
      <w:lvlText w:val="(%1)"/>
      <w:numFmt w:val="decimal"/>
      <w:start w:val="6"/>
    </w:lvl>
  </w:abstractNum>
  <w:abstractNum w:abstractNumId="66">
    <w:nsid w:val="556B69ED"/>
    <w:multiLevelType w:val="hybridMultilevel"/>
    <w:lvl w:ilvl="0">
      <w:lvlJc w:val="left"/>
      <w:lvlText w:val="(%1)"/>
      <w:numFmt w:val="decimal"/>
      <w:start w:val="10"/>
    </w:lvl>
  </w:abstractNum>
  <w:abstractNum w:abstractNumId="67">
    <w:nsid w:val="70836196"/>
    <w:multiLevelType w:val="hybridMultilevel"/>
    <w:lvl w:ilvl="0">
      <w:lvlJc w:val="left"/>
      <w:lvlText w:val="n"/>
      <w:numFmt w:val="bullet"/>
      <w:start w:val="1"/>
    </w:lvl>
  </w:abstractNum>
  <w:abstractNum w:abstractNumId="68">
    <w:nsid w:val="539F7F12"/>
    <w:multiLevelType w:val="hybridMultilevel"/>
    <w:lvl w:ilvl="0">
      <w:lvlJc w:val="left"/>
      <w:lvlText w:val="n"/>
      <w:numFmt w:val="bullet"/>
      <w:start w:val="1"/>
    </w:lvl>
  </w:abstractNum>
  <w:abstractNum w:abstractNumId="69">
    <w:nsid w:val="2817E7EC"/>
    <w:multiLevelType w:val="hybridMultilevel"/>
    <w:lvl w:ilvl="0">
      <w:lvlJc w:val="left"/>
      <w:lvlText w:val="n"/>
      <w:numFmt w:val="bullet"/>
      <w:start w:val="1"/>
    </w:lvl>
  </w:abstractNum>
  <w:abstractNum w:abstractNumId="70">
    <w:nsid w:val="71482545"/>
    <w:multiLevelType w:val="hybridMultilevel"/>
    <w:lvl w:ilvl="0">
      <w:lvlJc w:val="left"/>
      <w:lvlText w:val="n"/>
      <w:numFmt w:val="bullet"/>
      <w:start w:val="1"/>
    </w:lvl>
  </w:abstractNum>
  <w:abstractNum w:abstractNumId="71">
    <w:nsid w:val="17D78639"/>
    <w:multiLevelType w:val="hybridMultilevel"/>
    <w:lvl w:ilvl="0">
      <w:lvlJc w:val="left"/>
      <w:lvlText w:val="n"/>
      <w:numFmt w:val="bullet"/>
      <w:start w:val="1"/>
    </w:lvl>
  </w:abstractNum>
  <w:abstractNum w:abstractNumId="72">
    <w:nsid w:val="141D2302"/>
    <w:multiLevelType w:val="hybridMultilevel"/>
    <w:lvl w:ilvl="0">
      <w:lvlJc w:val="left"/>
      <w:lvlText w:val="n"/>
      <w:numFmt w:val="bullet"/>
      <w:start w:val="1"/>
    </w:lvl>
  </w:abstractNum>
  <w:abstractNum w:abstractNumId="73">
    <w:nsid w:val="407168D8"/>
    <w:multiLevelType w:val="hybridMultilevel"/>
    <w:lvl w:ilvl="0">
      <w:lvlJc w:val="left"/>
      <w:lvlText w:val="n"/>
      <w:numFmt w:val="bullet"/>
      <w:start w:val="1"/>
    </w:lvl>
  </w:abstractNum>
  <w:abstractNum w:abstractNumId="74">
    <w:nsid w:val="6A1B45E5"/>
    <w:multiLevelType w:val="hybridMultilevel"/>
    <w:lvl w:ilvl="0">
      <w:lvlJc w:val="left"/>
      <w:lvlText w:val="(%1)"/>
      <w:numFmt w:val="lowerRoman"/>
      <w:start w:val="2"/>
    </w:lvl>
  </w:abstractNum>
  <w:abstractNum w:abstractNumId="75">
    <w:nsid w:val="567BD50A"/>
    <w:multiLevelType w:val="hybridMultilevel"/>
    <w:lvl w:ilvl="0">
      <w:lvlJc w:val="left"/>
      <w:lvlText w:val="(%1)"/>
      <w:numFmt w:val="lowerRoman"/>
      <w:start w:val="1"/>
    </w:lvl>
  </w:abstractNum>
  <w:abstractNum w:abstractNumId="76">
    <w:nsid w:val="73BBD7F8"/>
    <w:multiLevelType w:val="hybridMultilevel"/>
    <w:lvl w:ilvl="0">
      <w:lvlJc w:val="left"/>
      <w:lvlText w:val="n"/>
      <w:numFmt w:val="bullet"/>
      <w:start w:val="1"/>
    </w:lvl>
  </w:abstractNum>
  <w:abstractNum w:abstractNumId="77">
    <w:nsid w:val="1876589D"/>
    <w:multiLevelType w:val="hybridMultilevel"/>
    <w:lvl w:ilvl="0">
      <w:lvlJc w:val="left"/>
      <w:lvlText w:val="n"/>
      <w:numFmt w:val="bullet"/>
      <w:start w:val="1"/>
    </w:lvl>
  </w:abstractNum>
  <w:abstractNum w:abstractNumId="78">
    <w:nsid w:val="327FAC77"/>
    <w:multiLevelType w:val="hybridMultilevel"/>
    <w:lvl w:ilvl="0">
      <w:lvlJc w:val="left"/>
      <w:lvlText w:val="n"/>
      <w:numFmt w:val="bullet"/>
      <w:start w:val="1"/>
    </w:lvl>
  </w:abstractNum>
  <w:abstractNum w:abstractNumId="79">
    <w:nsid w:val="5A606509"/>
    <w:multiLevelType w:val="hybridMultilevel"/>
    <w:lvl w:ilvl="0">
      <w:lvlJc w:val="left"/>
      <w:lvlText w:val="(%1)"/>
      <w:numFmt w:val="lowerLetter"/>
      <w:start w:val="1"/>
    </w:lvl>
  </w:abstractNum>
  <w:abstractNum w:abstractNumId="80">
    <w:nsid w:val="6F38E6D1"/>
    <w:multiLevelType w:val="hybridMultilevel"/>
    <w:lvl w:ilvl="0">
      <w:lvlJc w:val="left"/>
      <w:lvlText w:val="n"/>
      <w:numFmt w:val="bullet"/>
      <w:start w:val="1"/>
    </w:lvl>
  </w:abstractNum>
  <w:abstractNum w:abstractNumId="81">
    <w:nsid w:val="46111BA5"/>
    <w:multiLevelType w:val="hybridMultilevel"/>
    <w:lvl w:ilvl="0">
      <w:lvlJc w:val="left"/>
      <w:lvlText w:val="(%1)"/>
      <w:numFmt w:val="lowerRoman"/>
      <w:start w:val="1"/>
    </w:lvl>
  </w:abstractNum>
  <w:abstractNum w:abstractNumId="82">
    <w:nsid w:val="5E963896"/>
    <w:multiLevelType w:val="hybridMultilevel"/>
    <w:lvl w:ilvl="0">
      <w:lvlJc w:val="left"/>
      <w:lvlText w:val="n"/>
      <w:numFmt w:val="bullet"/>
      <w:start w:val="1"/>
    </w:lvl>
  </w:abstractNum>
  <w:abstractNum w:abstractNumId="83">
    <w:nsid w:val="775BA7C1"/>
    <w:multiLevelType w:val="hybridMultilevel"/>
    <w:lvl w:ilvl="0">
      <w:lvlJc w:val="left"/>
      <w:lvlText w:val="n"/>
      <w:numFmt w:val="bullet"/>
      <w:start w:val="1"/>
    </w:lvl>
  </w:abstractNum>
  <w:abstractNum w:abstractNumId="84">
    <w:nsid w:val="1DD6D6F4"/>
    <w:multiLevelType w:val="hybridMultilevel"/>
    <w:lvl w:ilvl="0">
      <w:lvlJc w:val="left"/>
      <w:lvlText w:val="(%1)"/>
      <w:numFmt w:val="lowerRoman"/>
      <w:start w:val="2"/>
    </w:lvl>
  </w:abstractNum>
  <w:abstractNum w:abstractNumId="85">
    <w:nsid w:val="769A091F"/>
    <w:multiLevelType w:val="hybridMultilevel"/>
    <w:lvl w:ilvl="0">
      <w:lvlJc w:val="left"/>
      <w:lvlText w:val="n"/>
      <w:numFmt w:val="bullet"/>
      <w:start w:val="1"/>
    </w:lvl>
  </w:abstractNum>
  <w:abstractNum w:abstractNumId="86">
    <w:nsid w:val="4695AE95"/>
    <w:multiLevelType w:val="hybridMultilevel"/>
    <w:lvl w:ilvl="0">
      <w:lvlJc w:val="left"/>
      <w:lvlText w:val="n"/>
      <w:numFmt w:val="bullet"/>
      <w:start w:val="1"/>
    </w:lvl>
  </w:abstractNum>
  <w:abstractNum w:abstractNumId="87">
    <w:nsid w:val="777A4EAA"/>
    <w:multiLevelType w:val="hybridMultilevel"/>
    <w:lvl w:ilvl="0">
      <w:lvlJc w:val="left"/>
      <w:lvlText w:val="n"/>
      <w:numFmt w:val="bullet"/>
      <w:start w:val="1"/>
    </w:lvl>
  </w:abstractNum>
  <w:abstractNum w:abstractNumId="88">
    <w:nsid w:val="3F48B982"/>
    <w:multiLevelType w:val="hybridMultilevel"/>
    <w:lvl w:ilvl="0">
      <w:lvlJc w:val="left"/>
      <w:lvlText w:val="(%1)"/>
      <w:numFmt w:val="lowerRoman"/>
      <w:start w:val="1"/>
    </w:lvl>
  </w:abstractNum>
  <w:abstractNum w:abstractNumId="89">
    <w:nsid w:val="46BA8FCA"/>
    <w:multiLevelType w:val="hybridMultilevel"/>
    <w:lvl w:ilvl="0">
      <w:lvlJc w:val="left"/>
      <w:lvlText w:val="n"/>
      <w:numFmt w:val="bullet"/>
      <w:start w:val="1"/>
    </w:lvl>
  </w:abstractNum>
  <w:abstractNum w:abstractNumId="90">
    <w:nsid w:val="7835626C"/>
    <w:multiLevelType w:val="hybridMultilevel"/>
    <w:lvl w:ilvl="0">
      <w:lvlJc w:val="left"/>
      <w:lvlText w:val="n"/>
      <w:numFmt w:val="bullet"/>
      <w:start w:val="1"/>
    </w:lvl>
  </w:abstractNum>
  <w:abstractNum w:abstractNumId="91">
    <w:nsid w:val="665ACA49"/>
    <w:multiLevelType w:val="hybridMultilevel"/>
    <w:lvl w:ilvl="0">
      <w:lvlJc w:val="left"/>
      <w:lvlText w:val="n"/>
      <w:numFmt w:val="bullet"/>
      <w:start w:val="1"/>
    </w:lvl>
  </w:abstractNum>
  <w:abstractNum w:abstractNumId="92">
    <w:nsid w:val="6835B2AE"/>
    <w:multiLevelType w:val="hybridMultilevel"/>
    <w:lvl w:ilvl="0">
      <w:lvlJc w:val="left"/>
      <w:lvlText w:val="n"/>
      <w:numFmt w:val="bullet"/>
      <w:start w:val="1"/>
    </w:lvl>
  </w:abstractNum>
  <w:abstractNum w:abstractNumId="93">
    <w:nsid w:val="4C187C90"/>
    <w:multiLevelType w:val="hybridMultilevel"/>
    <w:lvl w:ilvl="0">
      <w:lvlJc w:val="left"/>
      <w:lvlText w:val="n"/>
      <w:numFmt w:val="bullet"/>
      <w:start w:val="1"/>
    </w:lvl>
  </w:abstractNum>
  <w:abstractNum w:abstractNumId="94">
    <w:nsid w:val="541F28CD"/>
    <w:multiLevelType w:val="hybridMultilevel"/>
    <w:lvl w:ilvl="0">
      <w:lvlJc w:val="left"/>
      <w:lvlText w:val="n"/>
      <w:numFmt w:val="bullet"/>
      <w:start w:val="1"/>
    </w:lvl>
  </w:abstractNum>
  <w:abstractNum w:abstractNumId="95">
    <w:nsid w:val="7F65FD16"/>
    <w:multiLevelType w:val="hybridMultilevel"/>
    <w:lvl w:ilvl="0">
      <w:lvlJc w:val="left"/>
      <w:lvlText w:val="n"/>
      <w:numFmt w:val="bullet"/>
      <w:start w:val="1"/>
    </w:lvl>
  </w:abstractNum>
  <w:abstractNum w:abstractNumId="96">
    <w:nsid w:val="77C9FD68"/>
    <w:multiLevelType w:val="hybridMultilevel"/>
    <w:lvl w:ilvl="0">
      <w:lvlJc w:val="left"/>
      <w:lvlText w:val="n"/>
      <w:numFmt w:val="bullet"/>
      <w:start w:val="1"/>
    </w:lvl>
  </w:abstractNum>
  <w:abstractNum w:abstractNumId="97">
    <w:nsid w:val="298A92BA"/>
    <w:multiLevelType w:val="hybridMultilevel"/>
    <w:lvl w:ilvl="0">
      <w:lvlJc w:val="left"/>
      <w:lvlText w:val="n"/>
      <w:numFmt w:val="bullet"/>
      <w:start w:val="1"/>
    </w:lvl>
  </w:abstractNum>
  <w:abstractNum w:abstractNumId="98">
    <w:nsid w:val="6FE95EAC"/>
    <w:multiLevelType w:val="hybridMultilevel"/>
    <w:lvl w:ilvl="0">
      <w:lvlJc w:val="left"/>
      <w:lvlText w:val="n"/>
      <w:numFmt w:val="bullet"/>
      <w:start w:val="1"/>
    </w:lvl>
  </w:abstractNum>
  <w:abstractNum w:abstractNumId="99">
    <w:nsid w:val="4B697C7A"/>
    <w:multiLevelType w:val="hybridMultilevel"/>
    <w:lvl w:ilvl="0">
      <w:lvlJc w:val="left"/>
      <w:lvlText w:val="n"/>
      <w:numFmt w:val="bullet"/>
      <w:start w:val="1"/>
    </w:lvl>
  </w:abstractNum>
  <w:abstractNum w:abstractNumId="100">
    <w:nsid w:val="51A27AA6"/>
    <w:multiLevelType w:val="hybridMultilevel"/>
    <w:lvl w:ilvl="0">
      <w:lvlJc w:val="left"/>
      <w:lvlText w:val="n"/>
      <w:numFmt w:val="bullet"/>
      <w:start w:val="1"/>
    </w:lvl>
  </w:abstractNum>
  <w:abstractNum w:abstractNumId="101">
    <w:nsid w:val="613183F2"/>
    <w:multiLevelType w:val="hybridMultilevel"/>
    <w:lvl w:ilvl="0">
      <w:lvlJc w:val="left"/>
      <w:lvlText w:val="%1."/>
      <w:numFmt w:val="decimal"/>
      <w:start w:val="2"/>
    </w:lvl>
  </w:abstractNum>
  <w:abstractNum w:abstractNumId="102">
    <w:nsid w:val="634102B4"/>
    <w:multiLevelType w:val="hybridMultilevel"/>
    <w:lvl w:ilvl="0">
      <w:lvlJc w:val="left"/>
      <w:lvlText w:val="(%1)"/>
      <w:numFmt w:val="lowerRoman"/>
      <w:start w:val="1"/>
    </w:lvl>
  </w:abstractNum>
  <w:abstractNum w:abstractNumId="103">
    <w:nsid w:val="65BF9DA8"/>
    <w:multiLevelType w:val="hybridMultilevel"/>
    <w:lvl w:ilvl="0">
      <w:lvlJc w:val="left"/>
      <w:lvlText w:val="%1."/>
      <w:numFmt w:val="decimal"/>
      <w:start w:val="6"/>
    </w:lvl>
  </w:abstractNum>
  <w:abstractNum w:abstractNumId="104">
    <w:nsid w:val="21A2ECCA"/>
    <w:multiLevelType w:val="hybridMultilevel"/>
    <w:lvl w:ilvl="0">
      <w:lvlJc w:val="left"/>
      <w:lvlText w:val="n"/>
      <w:numFmt w:val="bullet"/>
      <w:start w:val="1"/>
    </w:lvl>
  </w:abstractNum>
  <w:abstractNum w:abstractNumId="105">
    <w:nsid w:val="4D5C4899"/>
    <w:multiLevelType w:val="hybridMultilevel"/>
    <w:lvl w:ilvl="0">
      <w:lvlJc w:val="left"/>
      <w:lvlText w:val="n"/>
      <w:numFmt w:val="bullet"/>
      <w:start w:val="1"/>
    </w:lvl>
  </w:abstractNum>
  <w:abstractNum w:abstractNumId="106">
    <w:nsid w:val="3C3B72B2"/>
    <w:multiLevelType w:val="hybridMultilevel"/>
    <w:lvl w:ilvl="0">
      <w:lvlJc w:val="left"/>
      <w:lvlText w:val="(%1)"/>
      <w:numFmt w:val="lowerRoman"/>
      <w:start w:val="1"/>
    </w:lvl>
  </w:abstractNum>
  <w:abstractNum w:abstractNumId="107">
    <w:nsid w:val="155EC4C2"/>
    <w:multiLevelType w:val="hybridMultilevel"/>
    <w:lvl w:ilvl="0">
      <w:lvlJc w:val="left"/>
      <w:lvlText w:val="n"/>
      <w:numFmt w:val="bullet"/>
      <w:start w:val="1"/>
    </w:lvl>
  </w:abstractNum>
  <w:abstractNum w:abstractNumId="108">
    <w:nsid w:val="65D2A137"/>
    <w:multiLevelType w:val="hybridMultilevel"/>
    <w:lvl w:ilvl="0">
      <w:lvlJc w:val="left"/>
      <w:lvlText w:val="n"/>
      <w:numFmt w:val="bullet"/>
      <w:start w:val="1"/>
    </w:lvl>
  </w:abstractNum>
  <w:abstractNum w:abstractNumId="109">
    <w:nsid w:val="6EBB1F2A"/>
    <w:multiLevelType w:val="hybridMultilevel"/>
    <w:lvl w:ilvl="0">
      <w:lvlJc w:val="left"/>
      <w:lvlText w:val="¡"/>
      <w:numFmt w:val="bullet"/>
      <w:start w:val="1"/>
    </w:lvl>
  </w:abstractNum>
  <w:abstractNum w:abstractNumId="110">
    <w:nsid w:val="6FBF29CB"/>
    <w:multiLevelType w:val="hybridMultilevel"/>
    <w:lvl w:ilvl="0">
      <w:lvlJc w:val="left"/>
      <w:lvlText w:val="%1"/>
      <w:numFmt w:val="decimal"/>
      <w:start w:val="1"/>
    </w:lvl>
    <w:lvl w:ilvl="1">
      <w:lvlJc w:val="left"/>
      <w:lvlText w:val="(%2)"/>
      <w:numFmt w:val="decimal"/>
      <w:start w:val="1"/>
    </w:lvl>
  </w:abstractNum>
  <w:abstractNum w:abstractNumId="111">
    <w:nsid w:val="550B8808"/>
    <w:multiLevelType w:val="hybridMultilevel"/>
    <w:lvl w:ilvl="0">
      <w:lvlJc w:val="left"/>
      <w:lvlText w:val="(%1)"/>
      <w:numFmt w:val="decimal"/>
      <w:start w:val="2"/>
    </w:lvl>
    <w:lvl w:ilvl="1">
      <w:lvlJc w:val="left"/>
      <w:lvlText w:val="%2"/>
      <w:numFmt w:val="decimal"/>
      <w:start w:val="1"/>
    </w:lvl>
  </w:abstractNum>
  <w:abstractNum w:abstractNumId="112">
    <w:nsid w:val="34CC3ACF"/>
    <w:multiLevelType w:val="hybridMultilevel"/>
    <w:lvl w:ilvl="0">
      <w:lvlJc w:val="left"/>
      <w:lvlText w:val="%1."/>
      <w:numFmt w:val="decimal"/>
      <w:start w:val="9"/>
    </w:lvl>
  </w:abstractNum>
  <w:abstractNum w:abstractNumId="113">
    <w:nsid w:val="4E556261"/>
    <w:multiLevelType w:val="hybridMultilevel"/>
    <w:lvl w:ilvl="0">
      <w:lvlJc w:val="left"/>
      <w:lvlText w:val="%1."/>
      <w:numFmt w:val="decimal"/>
      <w:start w:val="13"/>
    </w:lvl>
    <w:lvl w:ilvl="1">
      <w:lvlJc w:val="left"/>
      <w:lvlText w:val="n"/>
      <w:numFmt w:val="bullet"/>
      <w:start w:val="1"/>
    </w:lvl>
  </w:abstractNum>
  <w:abstractNum w:abstractNumId="114">
    <w:nsid w:val="4C672FC9"/>
    <w:multiLevelType w:val="hybridMultilevel"/>
    <w:lvl w:ilvl="0">
      <w:lvlJc w:val="left"/>
      <w:lvlText w:val="(%1)"/>
      <w:numFmt w:val="lowerLetter"/>
      <w:start w:val="1"/>
    </w:lvl>
  </w:abstractNum>
  <w:abstractNum w:abstractNumId="115">
    <w:nsid w:val="52A311C3"/>
    <w:multiLevelType w:val="hybridMultilevel"/>
    <w:lvl w:ilvl="0">
      <w:lvlJc w:val="left"/>
      <w:lvlText w:val="n"/>
      <w:numFmt w:val="bullet"/>
      <w:start w:val="1"/>
    </w:lvl>
  </w:abstractNum>
  <w:abstractNum w:abstractNumId="116">
    <w:nsid w:val="44EF6B80"/>
    <w:multiLevelType w:val="hybridMultilevel"/>
    <w:lvl w:ilvl="0">
      <w:lvlJc w:val="left"/>
      <w:lvlText w:val="n"/>
      <w:numFmt w:val="bullet"/>
      <w:start w:val="1"/>
    </w:lvl>
  </w:abstractNum>
  <w:abstractNum w:abstractNumId="117">
    <w:nsid w:val="12FCDE5E"/>
    <w:multiLevelType w:val="hybridMultilevel"/>
    <w:lvl w:ilvl="0">
      <w:lvlJc w:val="left"/>
      <w:lvlText w:val="(%1)"/>
      <w:numFmt w:val="lowerRoman"/>
      <w:start w:val="1"/>
    </w:lvl>
  </w:abstractNum>
  <w:abstractNum w:abstractNumId="118">
    <w:nsid w:val="4A1D606E"/>
    <w:multiLevelType w:val="hybridMultilevel"/>
    <w:lvl w:ilvl="0">
      <w:lvlJc w:val="left"/>
      <w:lvlText w:val="†"/>
      <w:numFmt w:val="bullet"/>
      <w:start w:val="1"/>
    </w:lvl>
  </w:abstractNum>
  <w:abstractNum w:abstractNumId="119">
    <w:nsid w:val="4382503"/>
    <w:multiLevelType w:val="hybridMultilevel"/>
    <w:lvl w:ilvl="0">
      <w:lvlJc w:val="left"/>
      <w:lvlText w:val="%1."/>
      <w:numFmt w:val="decimal"/>
      <w:start w:val="1"/>
    </w:lvl>
  </w:abstractNum>
  <w:abstractNum w:abstractNumId="120">
    <w:nsid w:val="59B76E28"/>
    <w:multiLevelType w:val="hybridMultilevel"/>
    <w:lvl w:ilvl="0">
      <w:lvlJc w:val="left"/>
      <w:lvlText w:val="(%1)"/>
      <w:numFmt w:val="lowerRoman"/>
      <w:start w:val="1"/>
    </w:lvl>
  </w:abstractNum>
  <w:abstractNum w:abstractNumId="121">
    <w:nsid w:val="4252C2DA"/>
    <w:multiLevelType w:val="hybridMultilevel"/>
    <w:lvl w:ilvl="0">
      <w:lvlJc w:val="left"/>
      <w:lvlText w:val="%1."/>
      <w:numFmt w:val="decimal"/>
      <w:start w:val="2"/>
    </w:lvl>
    <w:lvl w:ilvl="1">
      <w:lvlJc w:val="left"/>
      <w:lvlText w:val="(%2)"/>
      <w:numFmt w:val="lowerLetter"/>
      <w:start w:val="1"/>
    </w:lvl>
  </w:abstractNum>
  <w:abstractNum w:abstractNumId="122">
    <w:nsid w:val="6A92EF4C"/>
    <w:multiLevelType w:val="hybridMultilevel"/>
    <w:lvl w:ilvl="0">
      <w:lvlJc w:val="left"/>
      <w:lvlText w:val="%1"/>
      <w:numFmt w:val="lowerLetter"/>
      <w:start w:val="1"/>
    </w:lvl>
    <w:lvl w:ilvl="1">
      <w:lvlJc w:val="left"/>
      <w:lvlText w:val="(%2)"/>
      <w:numFmt w:val="lowerLetter"/>
      <w:start w:val="2"/>
    </w:lvl>
  </w:abstractNum>
  <w:abstractNum w:abstractNumId="123">
    <w:nsid w:val="41ED20D7"/>
    <w:multiLevelType w:val="hybridMultilevel"/>
    <w:lvl w:ilvl="0">
      <w:lvlJc w:val="left"/>
      <w:lvlText w:val="(%1)"/>
      <w:numFmt w:val="lowerLetter"/>
      <w:start w:val="9"/>
    </w:lvl>
    <w:lvl w:ilvl="1">
      <w:lvlJc w:val="left"/>
      <w:lvlText w:val="(%2)"/>
      <w:numFmt w:val="lowerLetter"/>
      <w:start w:val="3"/>
    </w:lvl>
  </w:abstractNum>
  <w:abstractNum w:abstractNumId="124">
    <w:nsid w:val="E6B3F6A"/>
    <w:multiLevelType w:val="hybridMultilevel"/>
    <w:lvl w:ilvl="0">
      <w:lvlJc w:val="left"/>
      <w:lvlText w:val="%1"/>
      <w:numFmt w:val="decimal"/>
      <w:start w:val="1"/>
    </w:lvl>
    <w:lvl w:ilvl="1">
      <w:lvlJc w:val="left"/>
      <w:lvlText w:val="(%2)"/>
      <w:numFmt w:val="lowerLetter"/>
      <w:start w:val="1"/>
    </w:lvl>
  </w:abstractNum>
  <w:abstractNum w:abstractNumId="125">
    <w:nsid w:val="3EB21819"/>
    <w:multiLevelType w:val="hybridMultilevel"/>
    <w:lvl w:ilvl="0">
      <w:lvlJc w:val="left"/>
      <w:lvlText w:val="(%1)"/>
      <w:numFmt w:val="decimal"/>
      <w:start w:val="100"/>
    </w:lvl>
    <w:lvl w:ilvl="1">
      <w:lvlJc w:val="left"/>
      <w:lvlText w:val="(%2)"/>
      <w:numFmt w:val="lowerLetter"/>
      <w:start w:val="2"/>
    </w:lvl>
  </w:abstractNum>
  <w:abstractNum w:abstractNumId="126">
    <w:nsid w:val="41531DED"/>
    <w:multiLevelType w:val="hybridMultilevel"/>
    <w:lvl w:ilvl="0">
      <w:lvlJc w:val="left"/>
      <w:lvlText w:val="(%1)"/>
      <w:numFmt w:val="lowerLetter"/>
      <w:start w:val="1"/>
    </w:lvl>
  </w:abstractNum>
  <w:abstractNum w:abstractNumId="127">
    <w:nsid w:val="6353CD2"/>
    <w:multiLevelType w:val="hybridMultilevel"/>
    <w:lvl w:ilvl="0">
      <w:lvlJc w:val="left"/>
      <w:lvlText w:val="(%1)"/>
      <w:numFmt w:val="lowerLetter"/>
      <w:start w:val="3"/>
    </w:lvl>
  </w:abstractNum>
  <w:abstractNum w:abstractNumId="128">
    <w:nsid w:val="683CAAD3"/>
    <w:multiLevelType w:val="hybridMultilevel"/>
    <w:lvl w:ilvl="0">
      <w:lvlJc w:val="left"/>
      <w:lvlText w:val="(%1)"/>
      <w:numFmt w:val="lowerLetter"/>
      <w:start w:val="1"/>
    </w:lvl>
  </w:abstractNum>
  <w:abstractNum w:abstractNumId="129">
    <w:nsid w:val="313C7C99"/>
    <w:multiLevelType w:val="hybridMultilevel"/>
    <w:lvl w:ilvl="0">
      <w:lvlJc w:val="left"/>
      <w:lvlText w:val="(%1)"/>
      <w:numFmt w:val="lowerLetter"/>
      <w:start w:val="2"/>
    </w:lvl>
  </w:abstractNum>
  <w:abstractNum w:abstractNumId="130">
    <w:nsid w:val="519EB94C"/>
    <w:multiLevelType w:val="hybridMultilevel"/>
    <w:lvl w:ilvl="0">
      <w:lvlJc w:val="left"/>
      <w:lvlText w:val="%1"/>
      <w:numFmt w:val="lowerLetter"/>
      <w:start w:val="1"/>
    </w:lvl>
    <w:lvl w:ilvl="1">
      <w:lvlJc w:val="left"/>
      <w:lvlText w:val="(%2)"/>
      <w:numFmt w:val="lowerLetter"/>
      <w:start w:val="4"/>
    </w:lvl>
  </w:abstractNum>
  <w:abstractNum w:abstractNumId="131">
    <w:nsid w:val="39DF2579"/>
    <w:multiLevelType w:val="hybridMultilevel"/>
    <w:lvl w:ilvl="0">
      <w:lvlJc w:val="left"/>
      <w:lvlText w:val="(%1)"/>
      <w:numFmt w:val="lowerLetter"/>
      <w:start w:val="35"/>
    </w:lvl>
    <w:lvl w:ilvl="1">
      <w:lvlJc w:val="left"/>
      <w:lvlText w:val="(%2)"/>
      <w:numFmt w:val="lowerLetter"/>
      <w:start w:val="5"/>
    </w:lvl>
  </w:abstractNum>
  <w:abstractNum w:abstractNumId="132">
    <w:nsid w:val="126E008B"/>
    <w:multiLevelType w:val="hybridMultilevel"/>
    <w:lvl w:ilvl="0">
      <w:lvlJc w:val="left"/>
      <w:lvlText w:val="(%1)"/>
      <w:numFmt w:val="lowerLetter"/>
      <w:start w:val="1"/>
    </w:lvl>
  </w:abstractNum>
  <w:abstractNum w:abstractNumId="133">
    <w:nsid w:val="34DFBC00"/>
    <w:multiLevelType w:val="hybridMultilevel"/>
    <w:lvl w:ilvl="0">
      <w:lvlJc w:val="left"/>
      <w:lvlText w:val="(%1)"/>
      <w:numFmt w:val="lowerLetter"/>
      <w:start w:val="1"/>
    </w:lvl>
  </w:abstractNum>
  <w:abstractNum w:abstractNumId="134">
    <w:nsid w:val="1F9EC322"/>
    <w:multiLevelType w:val="hybridMultilevel"/>
    <w:lvl w:ilvl="0">
      <w:lvlJc w:val="left"/>
      <w:lvlText w:val="(%1)"/>
      <w:numFmt w:val="lowerLetter"/>
      <w:start w:val="3"/>
    </w:lvl>
  </w:abstractNum>
  <w:abstractNum w:abstractNumId="135">
    <w:nsid w:val="3410ED56"/>
    <w:multiLevelType w:val="hybridMultilevel"/>
    <w:lvl w:ilvl="0">
      <w:lvlJc w:val="left"/>
      <w:lvlText w:val="(%1)"/>
      <w:numFmt w:val="lowerLetter"/>
      <w:start w:val="1"/>
    </w:lvl>
  </w:abstractNum>
  <w:abstractNum w:abstractNumId="136">
    <w:nsid w:val="23C049A"/>
    <w:multiLevelType w:val="hybridMultilevel"/>
    <w:lvl w:ilvl="0">
      <w:lvlJc w:val="left"/>
      <w:lvlText w:val="%1"/>
      <w:numFmt w:val="decimal"/>
      <w:start w:val="1"/>
    </w:lvl>
    <w:lvl w:ilvl="1">
      <w:lvlJc w:val="left"/>
      <w:lvlText w:val="(%2)"/>
      <w:numFmt w:val="lowerLetter"/>
      <w:start w:val="3"/>
    </w:lvl>
  </w:abstractNum>
  <w:abstractNum w:abstractNumId="137">
    <w:nsid w:val="5BDA35D4"/>
    <w:multiLevelType w:val="hybridMultilevel"/>
    <w:lvl w:ilvl="0">
      <w:lvlJc w:val="left"/>
      <w:lvlText w:val="%1."/>
      <w:numFmt w:val="decimal"/>
      <w:start w:val="3"/>
    </w:lvl>
    <w:lvl w:ilvl="1">
      <w:lvlJc w:val="left"/>
      <w:lvlText w:val="%2"/>
      <w:numFmt w:val="lowerLetter"/>
      <w:start w:val="1"/>
    </w:lvl>
  </w:abstractNum>
  <w:abstractNum w:abstractNumId="138">
    <w:nsid w:val="496FB218"/>
    <w:multiLevelType w:val="hybridMultilevel"/>
    <w:lvl w:ilvl="0">
      <w:lvlJc w:val="left"/>
      <w:lvlText w:val="(%1)"/>
      <w:numFmt w:val="lowerLetter"/>
      <w:start w:val="1"/>
    </w:lvl>
  </w:abstractNum>
  <w:abstractNum w:abstractNumId="139">
    <w:nsid w:val="680EA5D1"/>
    <w:multiLevelType w:val="hybridMultilevel"/>
    <w:lvl w:ilvl="0">
      <w:lvlJc w:val="left"/>
      <w:lvlText w:val="%1."/>
      <w:numFmt w:val="decimal"/>
      <w:start w:val="4"/>
    </w:lvl>
  </w:abstractNum>
  <w:abstractNum w:abstractNumId="140">
    <w:nsid w:val="4A9554FE"/>
    <w:multiLevelType w:val="hybridMultilevel"/>
    <w:lvl w:ilvl="0">
      <w:lvlJc w:val="left"/>
      <w:lvlText w:val="(%1)"/>
      <w:numFmt w:val="lowerLetter"/>
      <w:start w:val="24"/>
    </w:lvl>
    <w:lvl w:ilvl="1">
      <w:lvlJc w:val="left"/>
      <w:lvlText w:val="(%2)"/>
      <w:numFmt w:val="lowerLetter"/>
      <w:start w:val="1"/>
    </w:lvl>
  </w:abstractNum>
  <w:abstractNum w:abstractNumId="141">
    <w:nsid w:val="392EDBE4"/>
    <w:multiLevelType w:val="hybridMultilevel"/>
    <w:lvl w:ilvl="0">
      <w:lvlJc w:val="left"/>
      <w:lvlText w:val="%1"/>
      <w:numFmt w:val="lowerLetter"/>
      <w:start w:val="1"/>
    </w:lvl>
    <w:lvl w:ilvl="1">
      <w:lvlJc w:val="left"/>
      <w:lvlText w:val="(%2)"/>
      <w:numFmt w:val="lowerLetter"/>
      <w:start w:val="3"/>
    </w:lvl>
  </w:abstractNum>
  <w:abstractNum w:abstractNumId="142">
    <w:nsid w:val="3D1A2DD9"/>
    <w:multiLevelType w:val="hybridMultilevel"/>
    <w:lvl w:ilvl="0">
      <w:lvlJc w:val="left"/>
      <w:lvlText w:val="(%1)"/>
      <w:numFmt w:val="lowerLetter"/>
      <w:start w:val="4"/>
    </w:lvl>
    <w:lvl w:ilvl="1">
      <w:lvlJc w:val="left"/>
      <w:lvlText w:val="%2"/>
      <w:numFmt w:val="lowerLetter"/>
      <w:start w:val="1"/>
    </w:lvl>
  </w:abstractNum>
  <w:abstractNum w:abstractNumId="143">
    <w:nsid w:val="7F618FCD"/>
    <w:multiLevelType w:val="hybridMultilevel"/>
    <w:lvl w:ilvl="0">
      <w:lvlJc w:val="left"/>
      <w:lvlText w:val="%1."/>
      <w:numFmt w:val="decimal"/>
      <w:start w:val="5"/>
    </w:lvl>
  </w:abstractNum>
  <w:abstractNum w:abstractNumId="144">
    <w:nsid w:val="7843E45"/>
    <w:multiLevelType w:val="hybridMultilevel"/>
    <w:lvl w:ilvl="0">
      <w:lvlJc w:val="left"/>
      <w:lvlText w:val="(%1)"/>
      <w:numFmt w:val="decimal"/>
      <w:start w:val="90"/>
    </w:lvl>
  </w:abstractNum>
  <w:abstractNum w:abstractNumId="145">
    <w:nsid w:val="9815DA3"/>
    <w:multiLevelType w:val="hybridMultilevel"/>
    <w:lvl w:ilvl="0">
      <w:lvlJc w:val="left"/>
      <w:lvlText w:val="%1."/>
      <w:numFmt w:val="decimal"/>
      <w:start w:val="6"/>
    </w:lvl>
  </w:abstractNum>
  <w:abstractNum w:abstractNumId="146">
    <w:nsid w:val="5204A191"/>
    <w:multiLevelType w:val="hybridMultilevel"/>
    <w:lvl w:ilvl="0">
      <w:lvlJc w:val="left"/>
      <w:lvlText w:val="%1."/>
      <w:numFmt w:val="decimal"/>
      <w:start w:val="1"/>
    </w:lvl>
  </w:abstractNum>
  <w:abstractNum w:abstractNumId="147">
    <w:nsid w:val="4C73A9C6"/>
    <w:multiLevelType w:val="hybridMultilevel"/>
    <w:lvl w:ilvl="0">
      <w:lvlJc w:val="left"/>
      <w:lvlText w:val="(%1)"/>
      <w:numFmt w:val="lowerRoman"/>
      <w:start w:val="1"/>
    </w:lvl>
  </w:abstractNum>
  <w:abstractNum w:abstractNumId="148">
    <w:nsid w:val="1C7E3C01"/>
    <w:multiLevelType w:val="hybridMultilevel"/>
    <w:lvl w:ilvl="0">
      <w:lvlJc w:val="left"/>
      <w:lvlText w:val="%1."/>
      <w:numFmt w:val="decimal"/>
      <w:start w:val="2"/>
    </w:lvl>
  </w:abstractNum>
  <w:abstractNum w:abstractNumId="149">
    <w:nsid w:val="1C2201FF"/>
    <w:multiLevelType w:val="hybridMultilevel"/>
    <w:lvl w:ilvl="0">
      <w:lvlJc w:val="left"/>
      <w:lvlText w:val="%1."/>
      <w:numFmt w:val="decimal"/>
      <w:start w:val="3"/>
    </w:lvl>
  </w:abstractNum>
  <w:abstractNum w:abstractNumId="150">
    <w:nsid w:val="50ABCEC9"/>
    <w:multiLevelType w:val="hybridMultilevel"/>
    <w:lvl w:ilvl="0">
      <w:lvlJc w:val="left"/>
      <w:lvlText w:val="(%1)"/>
      <w:numFmt w:val="lowerLetter"/>
      <w:start w:val="1"/>
    </w:lvl>
  </w:abstractNum>
  <w:abstractNum w:abstractNumId="151">
    <w:nsid w:val="7635AA2A"/>
    <w:multiLevelType w:val="hybridMultilevel"/>
    <w:lvl w:ilvl="0">
      <w:lvlJc w:val="left"/>
      <w:lvlText w:val="%1."/>
      <w:numFmt w:val="decimal"/>
      <w:start w:val="4"/>
    </w:lvl>
  </w:abstractNum>
  <w:abstractNum w:abstractNumId="152">
    <w:nsid w:val="5E74C4D9"/>
    <w:multiLevelType w:val="hybridMultilevel"/>
    <w:lvl w:ilvl="0">
      <w:lvlJc w:val="left"/>
      <w:lvlText w:val="%1."/>
      <w:numFmt w:val="decimal"/>
      <w:start w:val="5"/>
    </w:lvl>
  </w:abstractNum>
  <w:abstractNum w:abstractNumId="153">
    <w:nsid w:val="3B3EBE15"/>
    <w:multiLevelType w:val="hybridMultilevel"/>
    <w:lvl w:ilvl="0">
      <w:lvlJc w:val="left"/>
      <w:lvlText w:val="%1."/>
      <w:numFmt w:val="decimal"/>
      <w:start w:val="6"/>
    </w:lvl>
  </w:abstractNum>
  <w:abstractNum w:abstractNumId="154">
    <w:nsid w:val="3822CB01"/>
    <w:multiLevelType w:val="hybridMultilevel"/>
    <w:lvl w:ilvl="0">
      <w:lvlJc w:val="left"/>
      <w:lvlText w:val="(%1)"/>
      <w:numFmt w:val="lowerLetter"/>
      <w:start w:val="2"/>
    </w:lvl>
  </w:abstractNum>
  <w:abstractNum w:abstractNumId="155">
    <w:nsid w:val="6CE00443"/>
    <w:multiLevelType w:val="hybridMultilevel"/>
    <w:lvl w:ilvl="0">
      <w:lvlJc w:val="left"/>
      <w:lvlText w:val="%1."/>
      <w:numFmt w:val="decimal"/>
      <w:start w:val="7"/>
    </w:lvl>
    <w:lvl w:ilvl="1">
      <w:lvlJc w:val="left"/>
      <w:lvlText w:val="(%2)"/>
      <w:numFmt w:val="lowerLetter"/>
      <w:start w:val="1"/>
    </w:lvl>
  </w:abstractNum>
  <w:abstractNum w:abstractNumId="156">
    <w:nsid w:val="79F0D62F"/>
    <w:multiLevelType w:val="hybridMultilevel"/>
    <w:lvl w:ilvl="0">
      <w:lvlJc w:val="left"/>
      <w:lvlText w:val="(%1)"/>
      <w:numFmt w:val="lowerLetter"/>
      <w:start w:val="5"/>
    </w:lvl>
  </w:abstractNum>
  <w:abstractNum w:abstractNumId="157">
    <w:nsid w:val="7975E8EE"/>
    <w:multiLevelType w:val="hybridMultilevel"/>
    <w:lvl w:ilvl="0">
      <w:lvlJc w:val="left"/>
      <w:lvlText w:val="(%1)"/>
      <w:numFmt w:val="lowerLetter"/>
      <w:start w:val="2"/>
    </w:lvl>
    <w:lvl w:ilvl="1">
      <w:lvlJc w:val="left"/>
      <w:lvlText w:val="(%2)"/>
      <w:numFmt w:val="lowerRoman"/>
      <w:start w:val="1"/>
    </w:lvl>
  </w:abstractNum>
  <w:abstractNum w:abstractNumId="158">
    <w:nsid w:val="73154115"/>
    <w:multiLevelType w:val="hybridMultilevel"/>
    <w:lvl w:ilvl="0">
      <w:lvlJc w:val="left"/>
      <w:lvlText w:val="%1"/>
      <w:numFmt w:val="lowerLetter"/>
      <w:start w:val="1"/>
    </w:lvl>
    <w:lvl w:ilvl="1">
      <w:lvlJc w:val="left"/>
      <w:lvlText w:val="(%2)"/>
      <w:numFmt w:val="lowerLetter"/>
      <w:start w:val="35"/>
    </w:lvl>
  </w:abstractNum>
  <w:abstractNum w:abstractNumId="159">
    <w:nsid w:val="622D8102"/>
    <w:multiLevelType w:val="hybridMultilevel"/>
    <w:lvl w:ilvl="0">
      <w:lvlJc w:val="left"/>
      <w:lvlText w:val="(%1)"/>
      <w:numFmt w:val="lowerLetter"/>
      <w:start w:val="3"/>
    </w:lvl>
    <w:lvl w:ilvl="1">
      <w:lvlJc w:val="left"/>
      <w:lvlText w:val="(%2)"/>
      <w:numFmt w:val="lowerLetter"/>
      <w:start w:val="9"/>
    </w:lvl>
  </w:abstractNum>
  <w:abstractNum w:abstractNumId="160">
    <w:nsid w:val="2AB26587"/>
    <w:multiLevelType w:val="hybridMultilevel"/>
    <w:lvl w:ilvl="0">
      <w:lvlJc w:val="left"/>
      <w:lvlText w:val="(%1)"/>
      <w:numFmt w:val="lowerRoman"/>
      <w:start w:val="2"/>
    </w:lvl>
  </w:abstractNum>
  <w:abstractNum w:abstractNumId="161">
    <w:nsid w:val="44B3FA61"/>
    <w:multiLevelType w:val="hybridMultilevel"/>
    <w:lvl w:ilvl="0">
      <w:lvlJc w:val="left"/>
      <w:lvlText w:val="(%1)"/>
      <w:numFmt w:val="lowerLetter"/>
      <w:start w:val="4"/>
    </w:lvl>
  </w:abstractNum>
  <w:abstractNum w:abstractNumId="162">
    <w:nsid w:val="1C0CA67C"/>
    <w:multiLevelType w:val="hybridMultilevel"/>
    <w:lvl w:ilvl="0">
      <w:lvlJc w:val="left"/>
      <w:lvlText w:val="%1"/>
      <w:numFmt w:val="decimal"/>
      <w:start w:val="1"/>
    </w:lvl>
    <w:lvl w:ilvl="1">
      <w:lvlJc w:val="left"/>
      <w:lvlText w:val="(%2)"/>
      <w:numFmt w:val="lowerLetter"/>
      <w:start w:val="5"/>
    </w:lvl>
  </w:abstractNum>
  <w:abstractNum w:abstractNumId="163">
    <w:nsid w:val="3D206613"/>
    <w:multiLevelType w:val="hybridMultilevel"/>
    <w:lvl w:ilvl="0">
      <w:lvlJc w:val="left"/>
      <w:lvlText w:val="%1."/>
      <w:numFmt w:val="decimal"/>
      <w:start w:val="8"/>
    </w:lvl>
    <w:lvl w:ilvl="1">
      <w:lvlJc w:val="left"/>
      <w:lvlText w:val="%2"/>
      <w:numFmt w:val="lowerLetter"/>
      <w:start w:val="1"/>
    </w:lvl>
  </w:abstractNum>
  <w:abstractNum w:abstractNumId="164">
    <w:nsid w:val="7993B662"/>
    <w:multiLevelType w:val="hybridMultilevel"/>
    <w:lvl w:ilvl="0">
      <w:lvlJc w:val="left"/>
      <w:lvlText w:val="%1."/>
      <w:numFmt w:val="decimal"/>
      <w:start w:val="11"/>
    </w:lvl>
  </w:abstractNum>
  <w:abstractNum w:abstractNumId="165">
    <w:nsid w:val="3BAB699E"/>
    <w:multiLevelType w:val="hybridMultilevel"/>
    <w:lvl w:ilvl="0">
      <w:lvlJc w:val="left"/>
      <w:lvlText w:val="%1."/>
      <w:numFmt w:val="decimal"/>
      <w:start w:val="12"/>
    </w:lvl>
  </w:abstractNum>
  <w:abstractNum w:abstractNumId="166">
    <w:nsid w:val="71315369"/>
    <w:multiLevelType w:val="hybridMultilevel"/>
    <w:lvl w:ilvl="0">
      <w:lvlJc w:val="left"/>
      <w:lvlText w:val="%1."/>
      <w:numFmt w:val="decimal"/>
      <w:start w:val="13"/>
    </w:lvl>
  </w:abstractNum>
  <w:abstractNum w:abstractNumId="167">
    <w:nsid w:val="7BCFBAFC"/>
    <w:multiLevelType w:val="hybridMultilevel"/>
    <w:lvl w:ilvl="0">
      <w:lvlJc w:val="left"/>
      <w:lvlText w:val="%1."/>
      <w:numFmt w:val="decimal"/>
      <w:start w:val="14"/>
    </w:lvl>
  </w:abstractNum>
  <w:abstractNum w:abstractNumId="168">
    <w:nsid w:val="17859F72"/>
    <w:multiLevelType w:val="hybridMultilevel"/>
    <w:lvl w:ilvl="0">
      <w:lvlJc w:val="left"/>
      <w:lvlText w:val="%1."/>
      <w:numFmt w:val="decimal"/>
      <w:start w:val="15"/>
    </w:lvl>
  </w:abstractNum>
  <w:abstractNum w:abstractNumId="169">
    <w:nsid w:val="3AA10581"/>
    <w:multiLevelType w:val="hybridMultilevel"/>
    <w:lvl w:ilvl="0">
      <w:lvlJc w:val="left"/>
      <w:lvlText w:val="(%1)"/>
      <w:numFmt w:val="lowerRoman"/>
      <w:start w:val="6"/>
    </w:lvl>
  </w:abstractNum>
  <w:abstractNum w:abstractNumId="170">
    <w:nsid w:val="63DE60CD"/>
    <w:multiLevelType w:val="hybridMultilevel"/>
    <w:lvl w:ilvl="0">
      <w:lvlJc w:val="left"/>
      <w:lvlText w:val="(%1)"/>
      <w:numFmt w:val="decimal"/>
      <w:start w:val="30"/>
    </w:lvl>
  </w:abstractNum>
  <w:abstractNum w:abstractNumId="171">
    <w:nsid w:val="621AF471"/>
    <w:multiLevelType w:val="hybridMultilevel"/>
    <w:lvl w:ilvl="0">
      <w:lvlJc w:val="left"/>
      <w:lvlText w:val="(%1)"/>
      <w:numFmt w:val="lowerRoman"/>
      <w:start w:val="7"/>
    </w:lvl>
  </w:abstractNum>
  <w:abstractNum w:abstractNumId="172">
    <w:nsid w:val="73CFE165"/>
    <w:multiLevelType w:val="hybridMultilevel"/>
    <w:lvl w:ilvl="0">
      <w:lvlJc w:val="left"/>
      <w:lvlText w:val="(%1)"/>
      <w:numFmt w:val="decimal"/>
      <w:start w:val="1"/>
    </w:lvl>
  </w:abstractNum>
  <w:abstractNum w:abstractNumId="173">
    <w:nsid w:val="20F88EA6"/>
    <w:multiLevelType w:val="hybridMultilevel"/>
    <w:lvl w:ilvl="0">
      <w:lvlJc w:val="left"/>
      <w:lvlText w:val="(%1)"/>
      <w:numFmt w:val="decimal"/>
      <w:start w:val="7"/>
    </w:lvl>
  </w:abstractNum>
  <w:abstractNum w:abstractNumId="174">
    <w:nsid w:val="617C843E"/>
    <w:multiLevelType w:val="hybridMultilevel"/>
    <w:lvl w:ilvl="0">
      <w:lvlJc w:val="left"/>
      <w:lvlText w:val="(%1)"/>
      <w:numFmt w:val="decimal"/>
      <w:start w:val="18"/>
    </w:lvl>
  </w:abstractNum>
  <w:abstractNum w:abstractNumId="175">
    <w:nsid w:val="7B541FAB"/>
    <w:multiLevelType w:val="hybridMultilevel"/>
    <w:lvl w:ilvl="0">
      <w:lvlJc w:val="left"/>
      <w:lvlText w:val="(%1)"/>
      <w:numFmt w:val="lowerLetter"/>
      <w:start w:val="1"/>
    </w:lvl>
  </w:abstractNum>
  <w:abstractNum w:abstractNumId="176">
    <w:nsid w:val="2A79EC49"/>
    <w:multiLevelType w:val="hybridMultilevel"/>
    <w:lvl w:ilvl="0">
      <w:lvlJc w:val="left"/>
      <w:lvlText w:val="%1"/>
      <w:numFmt w:val="lowerLetter"/>
      <w:start w:val="1"/>
    </w:lvl>
    <w:lvl w:ilvl="1">
      <w:lvlJc w:val="left"/>
      <w:lvlText w:val="(%2)"/>
      <w:numFmt w:val="lowerLetter"/>
      <w:start w:val="2"/>
    </w:lvl>
  </w:abstractNum>
  <w:abstractNum w:abstractNumId="177">
    <w:nsid w:val="338125CF"/>
    <w:multiLevelType w:val="hybridMultilevel"/>
    <w:lvl w:ilvl="0">
      <w:lvlJc w:val="left"/>
      <w:lvlText w:val="(%1)"/>
      <w:numFmt w:val="lowerLetter"/>
      <w:start w:val="35"/>
    </w:lvl>
    <w:lvl w:ilvl="1">
      <w:lvlJc w:val="left"/>
      <w:lvlText w:val="%2"/>
      <w:numFmt w:val="lowerLetter"/>
      <w:start w:val="1"/>
    </w:lvl>
  </w:abstractNum>
  <w:abstractNum w:abstractNumId="178">
    <w:nsid w:val="47C7C971"/>
    <w:multiLevelType w:val="hybridMultilevel"/>
    <w:lvl w:ilvl="0">
      <w:lvlJc w:val="left"/>
      <w:lvlText w:val="(%1)"/>
      <w:numFmt w:val="lowerLetter"/>
      <w:start w:val="1"/>
    </w:lvl>
  </w:abstractNum>
  <w:abstractNum w:abstractNumId="179">
    <w:nsid w:val="46F8284B"/>
    <w:multiLevelType w:val="hybridMultilevel"/>
    <w:lvl w:ilvl="0">
      <w:lvlJc w:val="left"/>
      <w:lvlText w:val="(%1)"/>
      <w:numFmt w:val="lowerLetter"/>
      <w:start w:val="3"/>
    </w:lvl>
    <w:lvl w:ilvl="1">
      <w:lvlJc w:val="left"/>
      <w:lvlText w:val="(%2)"/>
      <w:numFmt w:val="lowerLetter"/>
      <w:start w:val="1"/>
    </w:lvl>
  </w:abstractNum>
  <w:abstractNum w:abstractNumId="180">
    <w:nsid w:val="4FA327CE"/>
    <w:multiLevelType w:val="hybridMultilevel"/>
    <w:lvl w:ilvl="0">
      <w:lvlJc w:val="left"/>
      <w:lvlText w:val="%1"/>
      <w:numFmt w:val="decimal"/>
      <w:start w:val="1"/>
    </w:lvl>
    <w:lvl w:ilvl="1">
      <w:lvlJc w:val="left"/>
      <w:lvlText w:val="(%2)"/>
      <w:numFmt w:val="lowerLetter"/>
      <w:start w:val="3"/>
    </w:lvl>
  </w:abstractNum>
  <w:abstractNum w:abstractNumId="181">
    <w:nsid w:val="1873983A"/>
    <w:multiLevelType w:val="hybridMultilevel"/>
    <w:lvl w:ilvl="0">
      <w:lvlJc w:val="left"/>
      <w:lvlText w:val="(%1)"/>
      <w:numFmt w:val="decimal"/>
      <w:start w:val="3"/>
    </w:lvl>
    <w:lvl w:ilvl="1">
      <w:lvlJc w:val="left"/>
      <w:lvlText w:val="%2"/>
      <w:numFmt w:val="lowerLetter"/>
      <w:start w:val="1"/>
    </w:lvl>
  </w:abstractNum>
  <w:abstractNum w:abstractNumId="182">
    <w:nsid w:val="3D2DD275"/>
    <w:multiLevelType w:val="hybridMultilevel"/>
    <w:lvl w:ilvl="0">
      <w:lvlJc w:val="left"/>
      <w:lvlText w:val="(%1)"/>
      <w:numFmt w:val="lowerLetter"/>
      <w:start w:val="1"/>
    </w:lvl>
  </w:abstractNum>
  <w:abstractNum w:abstractNumId="183">
    <w:nsid w:val="2E17ECA7"/>
    <w:multiLevelType w:val="hybridMultilevel"/>
    <w:lvl w:ilvl="0">
      <w:lvlJc w:val="left"/>
      <w:lvlText w:val="(%1)"/>
      <w:numFmt w:val="lowerRoman"/>
      <w:start w:val="3"/>
    </w:lvl>
  </w:abstractNum>
  <w:abstractNum w:abstractNumId="184">
    <w:nsid w:val="53B2564F"/>
    <w:multiLevelType w:val="hybridMultilevel"/>
    <w:lvl w:ilvl="0">
      <w:lvlJc w:val="left"/>
      <w:lvlText w:val="(%1)"/>
      <w:numFmt w:val="lowerLetter"/>
      <w:start w:val="1"/>
    </w:lvl>
  </w:abstractNum>
  <w:abstractNum w:abstractNumId="185">
    <w:nsid w:val="75509D7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86">
    <w:nsid w:val="1AF7F0E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87">
    <w:nsid w:val="4DA32C7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88">
    <w:nsid w:val="6EC68664"/>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1"/>
    </w:lvl>
  </w:abstractNum>
  <w:abstractNum w:abstractNumId="189">
    <w:nsid w:val="E0D31FF"/>
    <w:multiLevelType w:val="hybridMultilevel"/>
    <w:lvl w:ilvl="0">
      <w:lvlJc w:val="left"/>
      <w:lvlText w:val="(%1)"/>
      <w:numFmt w:val="lowerRoman"/>
      <w:start w:val="4"/>
    </w:lvl>
  </w:abstractNum>
  <w:abstractNum w:abstractNumId="190">
    <w:nsid w:val="2FD0AD81"/>
    <w:multiLevelType w:val="hybridMultilevel"/>
    <w:lvl w:ilvl="0">
      <w:lvlJc w:val="left"/>
      <w:lvlText w:val="(%1)"/>
      <w:numFmt w:val="decimal"/>
      <w:start w:val="3"/>
    </w:lvl>
  </w:abstractNum>
  <w:abstractNum w:abstractNumId="191">
    <w:nsid w:val="1978EBEB"/>
    <w:multiLevelType w:val="hybridMultilevel"/>
    <w:lvl w:ilvl="0">
      <w:lvlJc w:val="left"/>
      <w:lvlText w:val="(%1)"/>
      <w:numFmt w:val="decimal"/>
      <w:start w:val="30"/>
    </w:lvl>
  </w:abstractNum>
  <w:abstractNum w:abstractNumId="192">
    <w:nsid w:val="52C12C61"/>
    <w:multiLevelType w:val="hybridMultilevel"/>
    <w:lvl w:ilvl="0">
      <w:lvlJc w:val="left"/>
      <w:lvlText w:val="(%1)"/>
      <w:numFmt w:val="lowerLetter"/>
      <w:start w:val="1"/>
    </w:lvl>
  </w:abstractNum>
  <w:abstractNum w:abstractNumId="193">
    <w:nsid w:val="4BDD53FD"/>
    <w:multiLevelType w:val="hybridMultilevel"/>
    <w:lvl w:ilvl="0">
      <w:lvlJc w:val="left"/>
      <w:lvlText w:val="(%1)"/>
      <w:numFmt w:val="lowerRoman"/>
      <w:start w:val="1"/>
    </w:lvl>
  </w:abstractNum>
  <w:abstractNum w:abstractNumId="194">
    <w:nsid w:val="569951FE"/>
    <w:multiLevelType w:val="hybridMultilevel"/>
    <w:lvl w:ilvl="0">
      <w:lvlJc w:val="left"/>
      <w:lvlText w:val="(%1)"/>
      <w:numFmt w:val="lowerLetter"/>
      <w:start w:val="1"/>
    </w:lvl>
  </w:abstractNum>
  <w:abstractNum w:abstractNumId="195">
    <w:nsid w:val="4C54E2C3"/>
    <w:multiLevelType w:val="hybridMultilevel"/>
    <w:lvl w:ilvl="0">
      <w:lvlJc w:val="left"/>
      <w:lvlText w:val="(%1)"/>
      <w:numFmt w:val="lowerLetter"/>
      <w:start w:val="5"/>
    </w:lvl>
  </w:abstractNum>
  <w:abstractNum w:abstractNumId="196">
    <w:nsid w:val="788BD9B"/>
    <w:multiLevelType w:val="hybridMultilevel"/>
    <w:lvl w:ilvl="0">
      <w:lvlJc w:val="left"/>
      <w:lvlText w:val="%1."/>
      <w:numFmt w:val="decimal"/>
      <w:start w:val="1"/>
    </w:lvl>
  </w:abstractNum>
  <w:abstractNum w:abstractNumId="197">
    <w:nsid w:val="47CAA567"/>
    <w:multiLevelType w:val="hybridMultilevel"/>
    <w:lvl w:ilvl="0">
      <w:lvlJc w:val="left"/>
      <w:lvlText w:val="%1."/>
      <w:numFmt w:val="decimal"/>
      <w:start w:val="5"/>
    </w:lvl>
  </w:abstractNum>
  <w:abstractNum w:abstractNumId="198">
    <w:nsid w:val="48249DBF"/>
    <w:multiLevelType w:val="hybridMultilevel"/>
    <w:lvl w:ilvl="0">
      <w:lvlJc w:val="left"/>
      <w:lvlText w:val="%1."/>
      <w:numFmt w:val="decimal"/>
      <w:start w:val="16"/>
    </w:lvl>
  </w:abstractNum>
  <w:abstractNum w:abstractNumId="199">
    <w:nsid w:val="1F0E5D0D"/>
    <w:multiLevelType w:val="hybridMultilevel"/>
    <w:lvl w:ilvl="0">
      <w:lvlJc w:val="left"/>
      <w:lvlText w:val="(%1)"/>
      <w:numFmt w:val="decimal"/>
      <w:start w:val="10"/>
    </w:lvl>
  </w:abstractNum>
  <w:abstractNum w:abstractNumId="200">
    <w:nsid w:val="26BAAE9"/>
    <w:multiLevelType w:val="hybridMultilevel"/>
    <w:lvl w:ilvl="0">
      <w:lvlJc w:val="left"/>
      <w:lvlText w:val="(%1)"/>
      <w:numFmt w:val="decimal"/>
      <w:start w:val="5"/>
    </w:lvl>
  </w:abstractNum>
  <w:abstractNum w:abstractNumId="201">
    <w:nsid w:val="2C02FE8C"/>
    <w:multiLevelType w:val="hybridMultilevel"/>
    <w:lvl w:ilvl="0">
      <w:lvlJc w:val="left"/>
      <w:lvlText w:val="(%1)"/>
      <w:numFmt w:val="lowerRoman"/>
      <w:start w:val="1"/>
    </w:lvl>
  </w:abstractNum>
  <w:abstractNum w:abstractNumId="202">
    <w:nsid w:val="129517E"/>
    <w:multiLevelType w:val="hybridMultilevel"/>
    <w:lvl w:ilvl="0">
      <w:lvlJc w:val="left"/>
      <w:lvlText w:val="(%1)"/>
      <w:numFmt w:val="lowerLetter"/>
      <w:start w:val="1"/>
    </w:lvl>
  </w:abstractNum>
  <w:abstractNum w:abstractNumId="203">
    <w:nsid w:val="763B8C4E"/>
    <w:multiLevelType w:val="hybridMultilevel"/>
    <w:lvl w:ilvl="0">
      <w:lvlJc w:val="left"/>
      <w:lvlText w:val="%1."/>
      <w:numFmt w:val="decimal"/>
      <w:start w:val="1"/>
    </w:lvl>
  </w:abstractNum>
  <w:abstractNum w:abstractNumId="204">
    <w:nsid w:val="4CFB8D32"/>
    <w:multiLevelType w:val="hybridMultilevel"/>
    <w:lvl w:ilvl="0">
      <w:lvlJc w:val="left"/>
      <w:lvlText w:val="(%1)"/>
      <w:numFmt w:val="upperLetter"/>
      <w:start w:val="1"/>
    </w:lvl>
  </w:abstractNum>
  <w:abstractNum w:abstractNumId="205">
    <w:nsid w:val="62A5D5BD"/>
    <w:multiLevelType w:val="hybridMultilevel"/>
    <w:lvl w:ilvl="0">
      <w:lvlJc w:val="left"/>
      <w:lvlText w:val="%1."/>
      <w:numFmt w:val="decimal"/>
      <w:start w:val="1"/>
    </w:lvl>
  </w:abstractNum>
  <w:abstractNum w:abstractNumId="206">
    <w:nsid w:val="718FABF9"/>
    <w:multiLevelType w:val="hybridMultilevel"/>
    <w:lvl w:ilvl="0">
      <w:lvlJc w:val="left"/>
      <w:lvlText w:val="(%1)"/>
      <w:numFmt w:val="lowerRoman"/>
      <w:start w:val="4"/>
    </w:lvl>
  </w:abstractNum>
  <w:abstractNum w:abstractNumId="207">
    <w:nsid w:val="7775797C"/>
    <w:multiLevelType w:val="hybridMultilevel"/>
    <w:lvl w:ilvl="0">
      <w:lvlJc w:val="left"/>
      <w:lvlText w:val="%1"/>
      <w:numFmt w:val="decimal"/>
      <w:start w:val="1"/>
    </w:lvl>
    <w:lvl w:ilvl="1">
      <w:lvlJc w:val="left"/>
      <w:lvlText w:val="(%2)"/>
      <w:numFmt w:val="lowerLetter"/>
      <w:start w:val="2"/>
    </w:lvl>
  </w:abstractNum>
  <w:abstractNum w:abstractNumId="208">
    <w:nsid w:val="1626FB8C"/>
    <w:multiLevelType w:val="hybridMultilevel"/>
    <w:lvl w:ilvl="0">
      <w:lvlJc w:val="left"/>
      <w:lvlText w:val="%1."/>
      <w:numFmt w:val="decimal"/>
      <w:start w:val="4"/>
    </w:lvl>
    <w:lvl w:ilvl="1">
      <w:lvlJc w:val="left"/>
      <w:lvlText w:val="%2"/>
      <w:numFmt w:val="lowerLetter"/>
      <w:start w:val="1"/>
    </w:lvl>
  </w:abstractNum>
  <w:abstractNum w:abstractNumId="209">
    <w:nsid w:val="3957756A"/>
    <w:multiLevelType w:val="hybridMultilevel"/>
    <w:lvl w:ilvl="0">
      <w:lvlJc w:val="left"/>
      <w:lvlText w:val="%1."/>
      <w:numFmt w:val="decimal"/>
      <w:start w:val="5"/>
    </w:lvl>
  </w:abstractNum>
  <w:abstractNum w:abstractNumId="210">
    <w:nsid w:val="3E6DA1C7"/>
    <w:multiLevelType w:val="hybridMultilevel"/>
    <w:lvl w:ilvl="0">
      <w:lvlJc w:val="left"/>
      <w:lvlText w:val="%1."/>
      <w:numFmt w:val="decimal"/>
      <w:start w:val="1"/>
    </w:lvl>
  </w:abstractNum>
  <w:abstractNum w:abstractNumId="211">
    <w:nsid w:val="65CA235B"/>
    <w:multiLevelType w:val="hybridMultilevel"/>
    <w:lvl w:ilvl="0">
      <w:lvlJc w:val="left"/>
      <w:lvlText w:val="%1."/>
      <w:numFmt w:val="decimal"/>
      <w:start w:val="2"/>
    </w:lvl>
  </w:abstractNum>
  <w:abstractNum w:abstractNumId="212">
    <w:nsid w:val="51CB0DA4"/>
    <w:multiLevelType w:val="hybridMultilevel"/>
    <w:lvl w:ilvl="0">
      <w:lvlJc w:val="left"/>
      <w:lvlText w:val="%1."/>
      <w:numFmt w:val="decimal"/>
      <w:start w:val="3"/>
    </w:lvl>
  </w:abstractNum>
  <w:abstractNum w:abstractNumId="213">
    <w:nsid w:val="7B9B743C"/>
    <w:multiLevelType w:val="hybridMultilevel"/>
    <w:lvl w:ilvl="0">
      <w:lvlJc w:val="left"/>
      <w:lvlText w:val="%1."/>
      <w:numFmt w:val="decimal"/>
      <w:start w:val="4"/>
    </w:lvl>
  </w:abstractNum>
  <w:abstractNum w:abstractNumId="214">
    <w:nsid w:val="13E21002"/>
    <w:multiLevelType w:val="hybridMultilevel"/>
    <w:lvl w:ilvl="0">
      <w:lvlJc w:val="left"/>
      <w:lvlText w:val="%1."/>
      <w:numFmt w:val="decimal"/>
      <w:start w:val="5"/>
    </w:lvl>
  </w:abstractNum>
  <w:abstractNum w:abstractNumId="215">
    <w:nsid w:val="257D63F4"/>
    <w:multiLevelType w:val="hybridMultilevel"/>
    <w:lvl w:ilvl="0">
      <w:lvlJc w:val="left"/>
      <w:lvlText w:val="%1."/>
      <w:numFmt w:val="decimal"/>
      <w:start w:val="6"/>
    </w:lvl>
  </w:abstractNum>
  <w:abstractNum w:abstractNumId="216">
    <w:nsid w:val="70EC11B2"/>
    <w:multiLevelType w:val="hybridMultilevel"/>
    <w:lvl w:ilvl="0">
      <w:lvlJc w:val="left"/>
      <w:lvlText w:val="%1."/>
      <w:numFmt w:val="decimal"/>
      <w:start w:val="7"/>
    </w:lvl>
  </w:abstractNum>
  <w:abstractNum w:abstractNumId="217">
    <w:nsid w:val="2EDA00ED"/>
    <w:multiLevelType w:val="hybridMultilevel"/>
    <w:lvl w:ilvl="0">
      <w:lvlJc w:val="left"/>
      <w:lvlText w:val="%1."/>
      <w:numFmt w:val="decimal"/>
      <w:start w:val="8"/>
    </w:lvl>
  </w:abstractNum>
  <w:abstractNum w:abstractNumId="218">
    <w:nsid w:val="73209072"/>
    <w:multiLevelType w:val="hybridMultilevel"/>
    <w:lvl w:ilvl="0">
      <w:lvlJc w:val="left"/>
      <w:lvlText w:val="%1."/>
      <w:numFmt w:val="decimal"/>
      <w:start w:val="9"/>
    </w:lvl>
  </w:abstractNum>
  <w:abstractNum w:abstractNumId="219">
    <w:nsid w:val="5FB29816"/>
    <w:multiLevelType w:val="hybridMultilevel"/>
    <w:lvl w:ilvl="0">
      <w:lvlJc w:val="left"/>
      <w:lvlText w:val="%1."/>
      <w:numFmt w:val="decimal"/>
      <w:start w:val="10"/>
    </w:lvl>
  </w:abstractNum>
  <w:abstractNum w:abstractNumId="220">
    <w:nsid w:val="3CE732EC"/>
    <w:multiLevelType w:val="hybridMultilevel"/>
    <w:lvl w:ilvl="0">
      <w:lvlJc w:val="left"/>
      <w:lvlText w:val="%1."/>
      <w:numFmt w:val="decimal"/>
      <w:start w:val="11"/>
    </w:lvl>
  </w:abstractNum>
  <w:abstractNum w:abstractNumId="221">
    <w:nsid w:val="22F13DF3"/>
    <w:multiLevelType w:val="hybridMultilevel"/>
    <w:lvl w:ilvl="0">
      <w:lvlJc w:val="left"/>
      <w:lvlText w:val="%1."/>
      <w:numFmt w:val="decimal"/>
      <w:start w:val="12"/>
    </w:lvl>
  </w:abstractNum>
  <w:abstractNum w:abstractNumId="222">
    <w:nsid w:val="792B8401"/>
    <w:multiLevelType w:val="hybridMultilevel"/>
    <w:lvl w:ilvl="0">
      <w:lvlJc w:val="left"/>
      <w:lvlText w:val="%1."/>
      <w:numFmt w:val="decimal"/>
      <w:start w:val="13"/>
    </w:lvl>
  </w:abstractNum>
  <w:abstractNum w:abstractNumId="223">
    <w:nsid w:val="FA85F4D"/>
    <w:multiLevelType w:val="hybridMultilevel"/>
    <w:lvl w:ilvl="0">
      <w:lvlJc w:val="left"/>
      <w:lvlText w:val="%1."/>
      <w:numFmt w:val="decimal"/>
      <w:start w:val="14"/>
    </w:lvl>
  </w:abstractNum>
  <w:abstractNum w:abstractNumId="224">
    <w:nsid w:val="6ECE91F0"/>
    <w:multiLevelType w:val="hybridMultilevel"/>
    <w:lvl w:ilvl="0">
      <w:lvlJc w:val="left"/>
      <w:lvlText w:val="%1."/>
      <w:numFmt w:val="decimal"/>
      <w:start w:val="15"/>
    </w:lvl>
  </w:abstractNum>
  <w:abstractNum w:abstractNumId="225">
    <w:nsid w:val="4FC4D600"/>
    <w:multiLevelType w:val="hybridMultilevel"/>
    <w:lvl w:ilvl="0">
      <w:lvlJc w:val="left"/>
      <w:lvlText w:val="(%1)"/>
      <w:numFmt w:val="decimal"/>
      <w:start w:val="15"/>
    </w:lvl>
  </w:abstractNum>
  <w:abstractNum w:abstractNumId="226">
    <w:nsid w:val="5BFD4210"/>
    <w:multiLevelType w:val="hybridMultilevel"/>
    <w:lvl w:ilvl="0">
      <w:lvlJc w:val="left"/>
      <w:lvlText w:val="%1."/>
      <w:numFmt w:val="decimal"/>
      <w:start w:val="16"/>
    </w:lvl>
  </w:abstractNum>
  <w:abstractNum w:abstractNumId="227">
    <w:nsid w:val="76574F8B"/>
    <w:multiLevelType w:val="hybridMultilevel"/>
    <w:lvl w:ilvl="0">
      <w:lvlJc w:val="left"/>
      <w:lvlText w:val="%1."/>
      <w:numFmt w:val="decimal"/>
      <w:start w:val="17"/>
    </w:lvl>
  </w:abstractNum>
  <w:abstractNum w:abstractNumId="228">
    <w:nsid w:val="178F7B67"/>
    <w:multiLevelType w:val="hybridMultilevel"/>
    <w:lvl w:ilvl="0">
      <w:lvlJc w:val="left"/>
      <w:lvlText w:val="%1."/>
      <w:numFmt w:val="decimal"/>
      <w:start w:val="18"/>
    </w:lvl>
  </w:abstractNum>
  <w:abstractNum w:abstractNumId="229">
    <w:nsid w:val="2421DFCF"/>
    <w:multiLevelType w:val="hybridMultilevel"/>
    <w:lvl w:ilvl="0">
      <w:lvlJc w:val="left"/>
      <w:lvlText w:val="%1."/>
      <w:numFmt w:val="decimal"/>
      <w:start w:val="19"/>
    </w:lvl>
  </w:abstractNum>
  <w:abstractNum w:abstractNumId="230">
    <w:nsid w:val="1565AC99"/>
    <w:multiLevelType w:val="hybridMultilevel"/>
    <w:lvl w:ilvl="0">
      <w:lvlJc w:val="left"/>
      <w:lvlText w:val="%1."/>
      <w:numFmt w:val="decimal"/>
      <w:start w:val="21"/>
    </w:lvl>
  </w:abstractNum>
  <w:abstractNum w:abstractNumId="231">
    <w:nsid w:val="19FB2650"/>
    <w:multiLevelType w:val="hybridMultilevel"/>
    <w:lvl w:ilvl="0">
      <w:lvlJc w:val="left"/>
      <w:lvlText w:val="%1."/>
      <w:numFmt w:val="decimal"/>
      <w:start w:val="22"/>
    </w:lvl>
  </w:abstractNum>
  <w:abstractNum w:abstractNumId="232">
    <w:nsid w:val="5024DE5B"/>
    <w:multiLevelType w:val="hybridMultilevel"/>
    <w:lvl w:ilvl="0">
      <w:lvlJc w:val="left"/>
      <w:lvlText w:val="%1."/>
      <w:numFmt w:val="decimal"/>
      <w:start w:val="23"/>
    </w:lvl>
  </w:abstractNum>
  <w:abstractNum w:abstractNumId="233">
    <w:nsid w:val="168EFE17"/>
    <w:multiLevelType w:val="hybridMultilevel"/>
    <w:lvl w:ilvl="0">
      <w:lvlJc w:val="left"/>
      <w:lvlText w:val="%1."/>
      <w:numFmt w:val="decimal"/>
      <w:start w:val="24"/>
    </w:lvl>
  </w:abstractNum>
  <w:abstractNum w:abstractNumId="234">
    <w:nsid w:val="1036B29F"/>
    <w:multiLevelType w:val="hybridMultilevel"/>
    <w:lvl w:ilvl="0">
      <w:lvlJc w:val="left"/>
      <w:lvlText w:val="%1."/>
      <w:numFmt w:val="decimal"/>
      <w:start w:val="25"/>
    </w:lvl>
  </w:abstractNum>
  <w:abstractNum w:abstractNumId="235">
    <w:nsid w:val="1D206B8E"/>
    <w:multiLevelType w:val="hybridMultilevel"/>
    <w:lvl w:ilvl="0">
      <w:lvlJc w:val="left"/>
      <w:lvlText w:val="%1."/>
      <w:numFmt w:val="decimal"/>
      <w:start w:val="26"/>
    </w:lvl>
  </w:abstractNum>
  <w:abstractNum w:abstractNumId="236">
    <w:nsid w:val="7934D3D4"/>
    <w:multiLevelType w:val="hybridMultilevel"/>
    <w:lvl w:ilvl="0">
      <w:lvlJc w:val="left"/>
      <w:lvlText w:val="%1."/>
      <w:numFmt w:val="decimal"/>
      <w:start w:val="27"/>
    </w:lvl>
  </w:abstractNum>
  <w:abstractNum w:abstractNumId="237">
    <w:nsid w:val="1C65E98"/>
    <w:multiLevelType w:val="hybridMultilevel"/>
    <w:lvl w:ilvl="0">
      <w:lvlJc w:val="left"/>
      <w:lvlText w:val="%1."/>
      <w:numFmt w:val="decimal"/>
      <w:start w:val="28"/>
    </w:lvl>
  </w:abstractNum>
  <w:abstractNum w:abstractNumId="238">
    <w:nsid w:val="1495E50A"/>
    <w:multiLevelType w:val="hybridMultilevel"/>
    <w:lvl w:ilvl="0">
      <w:lvlJc w:val="left"/>
      <w:lvlText w:val="%1."/>
      <w:numFmt w:val="decimal"/>
      <w:start w:val="29"/>
    </w:lvl>
  </w:abstractNum>
  <w:abstractNum w:abstractNumId="239">
    <w:nsid w:val="F5BCF61"/>
    <w:multiLevelType w:val="hybridMultilevel"/>
    <w:lvl w:ilvl="0">
      <w:lvlJc w:val="left"/>
      <w:lvlText w:val="%1."/>
      <w:numFmt w:val="decimal"/>
      <w:start w:val="1"/>
    </w:lvl>
  </w:abstractNum>
  <w:abstractNum w:abstractNumId="240">
    <w:nsid w:val="3B1DD403"/>
    <w:multiLevelType w:val="hybridMultilevel"/>
    <w:lvl w:ilvl="0">
      <w:lvlJc w:val="left"/>
      <w:lvlText w:val="%1."/>
      <w:numFmt w:val="decimal"/>
      <w:start w:val="2"/>
    </w:lvl>
  </w:abstractNum>
  <w:abstractNum w:abstractNumId="241">
    <w:nsid w:val="530386D1"/>
    <w:multiLevelType w:val="hybridMultilevel"/>
    <w:lvl w:ilvl="0">
      <w:lvlJc w:val="left"/>
      <w:lvlText w:val="%1."/>
      <w:numFmt w:val="decimal"/>
      <w:start w:val="3"/>
    </w:lvl>
  </w:abstractNum>
  <w:abstractNum w:abstractNumId="242">
    <w:nsid w:val="7525F2BC"/>
    <w:multiLevelType w:val="hybridMultilevel"/>
    <w:lvl w:ilvl="0">
      <w:lvlJc w:val="left"/>
      <w:lvlText w:val="1"/>
      <w:numFmt w:val="bullet"/>
      <w:start w:val="1"/>
    </w:lvl>
  </w:abstractNum>
  <w:abstractNum w:abstractNumId="243">
    <w:nsid w:val="CE8E1A7"/>
    <w:multiLevelType w:val="hybridMultilevel"/>
    <w:lvl w:ilvl="0">
      <w:lvlJc w:val="left"/>
      <w:lvlText w:val="(%1)"/>
      <w:numFmt w:val="lowerLetter"/>
      <w:start w:val="1"/>
    </w:lvl>
  </w:abstractNum>
  <w:abstractNum w:abstractNumId="244">
    <w:nsid w:val="4E9EFB0D"/>
    <w:multiLevelType w:val="hybridMultilevel"/>
    <w:lvl w:ilvl="0">
      <w:lvlJc w:val="left"/>
      <w:lvlText w:val="%1"/>
      <w:numFmt w:val="decimal"/>
      <w:start w:val="1"/>
    </w:lvl>
    <w:lvl w:ilvl="1">
      <w:lvlJc w:val="left"/>
      <w:lvlText w:val="(%2)"/>
      <w:numFmt w:val="lowerLetter"/>
      <w:start w:val="3"/>
    </w:lvl>
  </w:abstractNum>
  <w:abstractNum w:abstractNumId="245">
    <w:nsid w:val="90802BE"/>
    <w:multiLevelType w:val="hybridMultilevel"/>
    <w:lvl w:ilvl="0">
      <w:lvlJc w:val="left"/>
      <w:lvlText w:val="(%1)"/>
      <w:numFmt w:val="decimal"/>
      <w:start w:val="10"/>
    </w:lvl>
    <w:lvl w:ilvl="1">
      <w:lvlJc w:val="left"/>
      <w:lvlText w:val="%2"/>
      <w:numFmt w:val="lowerLetter"/>
      <w:start w:val="1"/>
    </w:lvl>
  </w:abstractNum>
  <w:abstractNum w:abstractNumId="246">
    <w:nsid w:val="3266459B"/>
    <w:multiLevelType w:val="hybridMultilevel"/>
    <w:lvl w:ilvl="0">
      <w:lvlJc w:val="left"/>
      <w:lvlText w:val="%1"/>
      <w:numFmt w:val="lowerLetter"/>
      <w:start w:val="1"/>
    </w:lvl>
    <w:lvl w:ilvl="1">
      <w:lvlJc w:val="left"/>
      <w:lvlText w:val="(%2)"/>
      <w:numFmt w:val="lowerLetter"/>
      <w:start w:val="1"/>
    </w:lvl>
  </w:abstractNum>
  <w:abstractNum w:abstractNumId="247">
    <w:nsid w:val="3F8B0CBF"/>
    <w:multiLevelType w:val="hybridMultilevel"/>
    <w:lvl w:ilvl="0">
      <w:lvlJc w:val="left"/>
      <w:lvlText w:val="(%1)"/>
      <w:numFmt w:val="lowerLetter"/>
      <w:start w:val="35"/>
    </w:lvl>
    <w:lvl w:ilvl="1">
      <w:lvlJc w:val="left"/>
      <w:lvlText w:val="(%2)"/>
      <w:numFmt w:val="lowerLetter"/>
      <w:start w:val="2"/>
    </w:lvl>
  </w:abstractNum>
  <w:abstractNum w:abstractNumId="248">
    <w:nsid w:val="37E203AB"/>
    <w:multiLevelType w:val="hybridMultilevel"/>
    <w:lvl w:ilvl="0">
      <w:lvlJc w:val="left"/>
      <w:lvlText w:val="(%1)"/>
      <w:numFmt w:val="lowerLetter"/>
      <w:start w:val="1"/>
    </w:lvl>
  </w:abstractNum>
  <w:abstractNum w:abstractNumId="249">
    <w:nsid w:val="2586D60E"/>
    <w:multiLevelType w:val="hybridMultilevel"/>
    <w:lvl w:ilvl="0">
      <w:lvlJc w:val="left"/>
      <w:lvlText w:val="(%1)"/>
      <w:numFmt w:val="lowerLetter"/>
      <w:start w:val="2"/>
    </w:lvl>
  </w:abstractNum>
  <w:abstractNum w:abstractNumId="250">
    <w:nsid w:val="1F3DA4D5"/>
    <w:multiLevelType w:val="hybridMultilevel"/>
    <w:lvl w:ilvl="0">
      <w:lvlJc w:val="left"/>
      <w:lvlText w:val="(%1)"/>
      <w:numFmt w:val="lowerRoman"/>
      <w:start w:val="1"/>
    </w:lvl>
  </w:abstractNum>
  <w:abstractNum w:abstractNumId="251">
    <w:nsid w:val="74C93698"/>
    <w:multiLevelType w:val="hybridMultilevel"/>
    <w:lvl w:ilvl="0">
      <w:lvlJc w:val="left"/>
      <w:lvlText w:val="(%1)"/>
      <w:numFmt w:val="lowerLetter"/>
      <w:start w:val="1"/>
    </w:lvl>
  </w:abstractNum>
  <w:abstractNum w:abstractNumId="252">
    <w:nsid w:val="48781401"/>
    <w:multiLevelType w:val="hybridMultilevel"/>
    <w:lvl w:ilvl="0">
      <w:lvlJc w:val="left"/>
      <w:lvlText w:val="(%1)"/>
      <w:numFmt w:val="lowerLetter"/>
      <w:start w:val="1"/>
    </w:lvl>
  </w:abstractNum>
  <w:abstractNum w:abstractNumId="253">
    <w:nsid w:val="186928D6"/>
    <w:multiLevelType w:val="hybridMultilevel"/>
    <w:lvl w:ilvl="0">
      <w:lvlJc w:val="left"/>
      <w:lvlText w:val="(%1)"/>
      <w:numFmt w:val="lowerLetter"/>
      <w:start w:val="2"/>
    </w:lvl>
    <w:lvl w:ilvl="1">
      <w:lvlJc w:val="left"/>
      <w:lvlText w:val="(%2)"/>
      <w:numFmt w:val="lowerRoman"/>
      <w:start w:val="1"/>
    </w:lvl>
  </w:abstractNum>
  <w:abstractNum w:abstractNumId="254">
    <w:nsid w:val="47195E5"/>
    <w:multiLevelType w:val="hybridMultilevel"/>
    <w:lvl w:ilvl="0">
      <w:lvlJc w:val="left"/>
      <w:lvlText w:val="%1"/>
      <w:numFmt w:val="lowerLetter"/>
      <w:start w:val="1"/>
    </w:lvl>
    <w:lvl w:ilvl="1">
      <w:lvlJc w:val="left"/>
      <w:lvlText w:val="(%2)"/>
      <w:numFmt w:val="lowerLetter"/>
      <w:start w:val="61"/>
    </w:lvl>
  </w:abstractNum>
  <w:abstractNum w:abstractNumId="255">
    <w:nsid w:val="3746A5F2"/>
    <w:multiLevelType w:val="hybridMultilevel"/>
    <w:lvl w:ilvl="0">
      <w:lvlJc w:val="left"/>
      <w:lvlText w:val="(%1)"/>
      <w:numFmt w:val="lowerLetter"/>
      <w:start w:val="3"/>
    </w:lvl>
    <w:lvl w:ilvl="1">
      <w:lvlJc w:val="left"/>
      <w:lvlText w:val="%2"/>
      <w:numFmt w:val="lowerLetter"/>
      <w:start w:val="1"/>
    </w:lvl>
  </w:abstractNum>
  <w:abstractNum w:abstractNumId="256">
    <w:nsid w:val="682DFE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7">
    <w:nsid w:val="606ED7F6"/>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3"/>
    </w:lvl>
  </w:abstractNum>
  <w:abstractNum w:abstractNumId="258">
    <w:nsid w:val="2D9DF57D"/>
    <w:multiLevelType w:val="hybridMultilevel"/>
    <w:lvl w:ilvl="0">
      <w:lvlJc w:val="left"/>
      <w:lvlText w:val="(%1)"/>
      <w:numFmt w:val="decimal"/>
      <w:start w:val="1"/>
    </w:lvl>
  </w:abstractNum>
  <w:abstractNum w:abstractNumId="259">
    <w:nsid w:val="7FBD7A3E"/>
    <w:multiLevelType w:val="hybridMultilevel"/>
    <w:lvl w:ilvl="0">
      <w:lvlJc w:val="left"/>
      <w:lvlText w:val="(%1)"/>
      <w:numFmt w:val="lowerLetter"/>
      <w:start w:val="1"/>
    </w:lvl>
  </w:abstractNum>
  <w:abstractNum w:abstractNumId="260">
    <w:nsid w:val="490B7C5"/>
    <w:multiLevelType w:val="hybridMultilevel"/>
    <w:lvl w:ilvl="0">
      <w:lvlJc w:val="left"/>
      <w:lvlText w:val="(%1)"/>
      <w:numFmt w:val="lowerLetter"/>
      <w:start w:val="1"/>
    </w:lvl>
  </w:abstractNum>
  <w:abstractNum w:abstractNumId="261">
    <w:nsid w:val="4303A216"/>
    <w:multiLevelType w:val="hybridMultilevel"/>
    <w:lvl w:ilvl="0">
      <w:lvlJc w:val="left"/>
      <w:lvlText w:val="(%1)"/>
      <w:numFmt w:val="lowerLetter"/>
      <w:start w:val="2"/>
    </w:lvl>
  </w:abstractNum>
  <w:abstractNum w:abstractNumId="262">
    <w:nsid w:val="19B8A08E"/>
    <w:multiLevelType w:val="hybridMultilevel"/>
    <w:lvl w:ilvl="0">
      <w:lvlJc w:val="left"/>
      <w:lvlText w:val="(%1)"/>
      <w:numFmt w:val="lowerLetter"/>
      <w:start w:val="1"/>
    </w:lvl>
  </w:abstractNum>
  <w:abstractNum w:abstractNumId="263">
    <w:nsid w:val="54B59621"/>
    <w:multiLevelType w:val="hybridMultilevel"/>
    <w:lvl w:ilvl="0">
      <w:lvlJc w:val="left"/>
      <w:lvlText w:val="(%1)"/>
      <w:numFmt w:val="lowerLetter"/>
      <w:start w:val="2"/>
    </w:lvl>
  </w:abstractNum>
  <w:abstractNum w:abstractNumId="264">
    <w:nsid w:val="5992A02E"/>
    <w:multiLevelType w:val="hybridMultilevel"/>
    <w:lvl w:ilvl="0">
      <w:lvlJc w:val="left"/>
      <w:lvlText w:val="(%1)"/>
      <w:numFmt w:val="lowerLetter"/>
      <w:start w:val="3"/>
    </w:lvl>
  </w:abstractNum>
  <w:abstractNum w:abstractNumId="265">
    <w:nsid w:val="29EF532D"/>
    <w:multiLevelType w:val="hybridMultilevel"/>
    <w:lvl w:ilvl="0">
      <w:lvlJc w:val="left"/>
      <w:lvlText w:val="(%1)"/>
      <w:numFmt w:val="lowerLetter"/>
      <w:start w:val="5"/>
    </w:lvl>
  </w:abstractNum>
  <w:abstractNum w:abstractNumId="266">
    <w:nsid w:val="71D601AF"/>
    <w:multiLevelType w:val="hybridMultilevel"/>
    <w:lvl w:ilvl="0">
      <w:lvlJc w:val="left"/>
      <w:lvlText w:val="%1."/>
      <w:numFmt w:val="decimal"/>
      <w:start w:val="1"/>
    </w:lvl>
  </w:abstractNum>
  <w:abstractNum w:abstractNumId="267">
    <w:nsid w:val="52C77402"/>
    <w:multiLevelType w:val="hybridMultilevel"/>
    <w:lvl w:ilvl="0">
      <w:lvlJc w:val="left"/>
      <w:lvlText w:val="(%1)"/>
      <w:numFmt w:val="lowerLetter"/>
      <w:start w:val="8"/>
    </w:lvl>
  </w:abstractNum>
  <w:abstractNum w:abstractNumId="268">
    <w:nsid w:val="2BB5B1C6"/>
    <w:multiLevelType w:val="hybridMultilevel"/>
    <w:lvl w:ilvl="0">
      <w:lvlJc w:val="left"/>
      <w:lvlText w:val="(%1)"/>
      <w:numFmt w:val="lowerLetter"/>
      <w:start w:val="1"/>
    </w:lvl>
  </w:abstractNum>
  <w:abstractNum w:abstractNumId="269">
    <w:nsid w:val="66BE6B9"/>
    <w:multiLevelType w:val="hybridMultilevel"/>
    <w:lvl w:ilvl="0">
      <w:lvlJc w:val="left"/>
      <w:lvlText w:val="(%1)"/>
      <w:numFmt w:val="lowerLetter"/>
      <w:start w:val="2"/>
    </w:lvl>
  </w:abstractNum>
  <w:abstractNum w:abstractNumId="270">
    <w:nsid w:val="62234363"/>
    <w:multiLevelType w:val="hybridMultilevel"/>
    <w:lvl w:ilvl="0">
      <w:lvlJc w:val="left"/>
      <w:lvlText w:val="(%1)"/>
      <w:numFmt w:val="lowerLetter"/>
      <w:start w:val="4"/>
    </w:lvl>
    <w:lvl w:ilvl="1">
      <w:lvlJc w:val="left"/>
      <w:lvlText w:val="(%2)"/>
      <w:numFmt w:val="lowerRoman"/>
      <w:start w:val="1"/>
    </w:lvl>
  </w:abstractNum>
  <w:abstractNum w:abstractNumId="271">
    <w:nsid w:val="66D385C9"/>
    <w:multiLevelType w:val="hybridMultilevel"/>
    <w:lvl w:ilvl="0">
      <w:lvlJc w:val="left"/>
      <w:lvlText w:val="%1"/>
      <w:numFmt w:val="lowerLetter"/>
      <w:start w:val="1"/>
    </w:lvl>
    <w:lvl w:ilvl="1">
      <w:lvlJc w:val="left"/>
      <w:lvlText w:val="(%2)"/>
      <w:numFmt w:val="lowerLetter"/>
      <w:start w:val="61"/>
    </w:lvl>
  </w:abstractNum>
  <w:abstractNum w:abstractNumId="272">
    <w:nsid w:val="596F6D8A"/>
    <w:multiLevelType w:val="hybridMultilevel"/>
    <w:lvl w:ilvl="0">
      <w:lvlJc w:val="left"/>
      <w:lvlText w:val="(%1)"/>
      <w:numFmt w:val="lowerLetter"/>
      <w:start w:val="6"/>
    </w:lvl>
    <w:lvl w:ilvl="1">
      <w:lvlJc w:val="left"/>
      <w:lvlText w:val="%2"/>
      <w:numFmt w:val="lowerLetter"/>
      <w:start w:val="1"/>
    </w:lvl>
  </w:abstractNum>
  <w:abstractNum w:abstractNumId="273">
    <w:nsid w:val="5749361F"/>
    <w:multiLevelType w:val="hybridMultilevel"/>
    <w:lvl w:ilvl="0">
      <w:lvlJc w:val="left"/>
      <w:lvlText w:val="(%1)"/>
      <w:numFmt w:val="lowerLetter"/>
      <w:start w:val="1"/>
    </w:lvl>
  </w:abstractNum>
  <w:abstractNum w:abstractNumId="274">
    <w:nsid w:val="73BC6770"/>
    <w:multiLevelType w:val="hybridMultilevel"/>
    <w:lvl w:ilvl="0">
      <w:lvlJc w:val="left"/>
      <w:lvlText w:val="%1."/>
      <w:numFmt w:val="decimal"/>
      <w:start w:val="6"/>
    </w:lvl>
  </w:abstractNum>
  <w:abstractNum w:abstractNumId="275">
    <w:nsid w:val="280E6897"/>
    <w:multiLevelType w:val="hybridMultilevel"/>
    <w:lvl w:ilvl="0">
      <w:lvlJc w:val="left"/>
      <w:lvlText w:val="%1"/>
      <w:numFmt w:val="lowerRoman"/>
      <w:start w:val="1"/>
    </w:lvl>
    <w:lvl w:ilvl="1">
      <w:lvlJc w:val="left"/>
      <w:lvlText w:val="(%2)"/>
      <w:numFmt w:val="lowerLetter"/>
      <w:start w:val="1"/>
    </w:lvl>
  </w:abstractNum>
  <w:abstractNum w:abstractNumId="276">
    <w:nsid w:val="605138DE"/>
    <w:multiLevelType w:val="hybridMultilevel"/>
    <w:lvl w:ilvl="0">
      <w:lvlJc w:val="left"/>
      <w:lvlText w:val="(%1)"/>
      <w:numFmt w:val="lowerRoman"/>
      <w:start w:val="1"/>
    </w:lvl>
    <w:lvl w:ilvl="1">
      <w:lvlJc w:val="left"/>
      <w:lvlText w:val="%2"/>
      <w:numFmt w:val="lowerLetter"/>
      <w:start w:val="1"/>
    </w:lvl>
  </w:abstractNum>
  <w:abstractNum w:abstractNumId="277">
    <w:nsid w:val="2622AD0C"/>
    <w:multiLevelType w:val="hybridMultilevel"/>
    <w:lvl w:ilvl="0">
      <w:lvlJc w:val="left"/>
      <w:lvlText w:val="(%1)"/>
      <w:numFmt w:val="lowerRoman"/>
      <w:start w:val="3"/>
    </w:lvl>
    <w:lvl w:ilvl="1">
      <w:lvlJc w:val="left"/>
      <w:lvlText w:val="(%2)"/>
      <w:numFmt w:val="lowerLetter"/>
      <w:start w:val="3"/>
    </w:lvl>
  </w:abstractNum>
  <w:abstractNum w:abstractNumId="278">
    <w:nsid w:val="67997556"/>
    <w:multiLevelType w:val="hybridMultilevel"/>
    <w:lvl w:ilvl="0">
      <w:lvlJc w:val="left"/>
      <w:lvlText w:val="(%1)"/>
      <w:numFmt w:val="lowerLetter"/>
      <w:start w:val="1"/>
    </w:lvl>
  </w:abstractNum>
  <w:abstractNum w:abstractNumId="279">
    <w:nsid w:val="18333C89"/>
    <w:multiLevelType w:val="hybridMultilevel"/>
    <w:lvl w:ilvl="0">
      <w:lvlJc w:val="left"/>
      <w:lvlText w:val="(%1)"/>
      <w:numFmt w:val="lowerRoman"/>
      <w:start w:val="1"/>
    </w:lvl>
  </w:abstractNum>
  <w:abstractNum w:abstractNumId="280">
    <w:nsid w:val="4BA9831A"/>
    <w:multiLevelType w:val="hybridMultilevel"/>
    <w:lvl w:ilvl="0">
      <w:lvlJc w:val="left"/>
      <w:lvlText w:val="(%1)"/>
      <w:numFmt w:val="lowerRoman"/>
      <w:start w:val="4"/>
    </w:lvl>
  </w:abstractNum>
  <w:abstractNum w:abstractNumId="281">
    <w:nsid w:val="6D71A2B"/>
    <w:multiLevelType w:val="hybridMultilevel"/>
    <w:lvl w:ilvl="0">
      <w:lvlJc w:val="left"/>
      <w:lvlText w:val="%1"/>
      <w:numFmt w:val="decimal"/>
      <w:start w:val="1"/>
    </w:lvl>
    <w:lvl w:ilvl="1">
      <w:lvlJc w:val="left"/>
      <w:lvlText w:val="(%2)"/>
      <w:numFmt w:val="lowerLetter"/>
      <w:start w:val="1"/>
    </w:lvl>
  </w:abstractNum>
  <w:abstractNum w:abstractNumId="282">
    <w:nsid w:val="CFC7321"/>
    <w:multiLevelType w:val="hybridMultilevel"/>
    <w:lvl w:ilvl="0">
      <w:lvlJc w:val="left"/>
      <w:lvlText w:val="(%1)"/>
      <w:numFmt w:val="decimal"/>
      <w:start w:val="12"/>
    </w:lvl>
    <w:lvl w:ilvl="1">
      <w:lvlJc w:val="left"/>
      <w:lvlText w:val="(%2)"/>
      <w:numFmt w:val="lowerLetter"/>
      <w:start w:val="2"/>
    </w:lvl>
  </w:abstractNum>
  <w:abstractNum w:abstractNumId="283">
    <w:nsid w:val="1421971B"/>
    <w:multiLevelType w:val="hybridMultilevel"/>
    <w:lvl w:ilvl="0">
      <w:lvlJc w:val="left"/>
      <w:lvlText w:val="(%1)"/>
      <w:numFmt w:val="lowerLetter"/>
      <w:start w:val="3"/>
    </w:lvl>
  </w:abstractNum>
  <w:abstractNum w:abstractNumId="284">
    <w:nsid w:val="1F404301"/>
    <w:multiLevelType w:val="hybridMultilevel"/>
    <w:lvl w:ilvl="0">
      <w:lvlJc w:val="left"/>
      <w:lvlText w:val="(%1)"/>
      <w:numFmt w:val="lowerRoman"/>
      <w:start w:val="1"/>
    </w:lvl>
  </w:abstractNum>
  <w:abstractNum w:abstractNumId="285">
    <w:nsid w:val="116E0907"/>
    <w:multiLevelType w:val="hybridMultilevel"/>
    <w:lvl w:ilvl="0">
      <w:lvlJc w:val="left"/>
      <w:lvlText w:val="%1"/>
      <w:numFmt w:val="lowerLetter"/>
      <w:start w:val="1"/>
    </w:lvl>
    <w:lvl w:ilvl="1">
      <w:lvlJc w:val="left"/>
      <w:lvlText w:val="(%2)"/>
      <w:numFmt w:val="lowerLetter"/>
      <w:start w:val="1"/>
    </w:lvl>
  </w:abstractNum>
  <w:abstractNum w:abstractNumId="286">
    <w:nsid w:val="4B683D0D"/>
    <w:multiLevelType w:val="hybridMultilevel"/>
    <w:lvl w:ilvl="0">
      <w:lvlJc w:val="left"/>
      <w:lvlText w:val="(%1)"/>
      <w:numFmt w:val="lowerLetter"/>
      <w:start w:val="26"/>
    </w:lvl>
    <w:lvl w:ilvl="1">
      <w:lvlJc w:val="left"/>
      <w:lvlText w:val="%2"/>
      <w:numFmt w:val="lowerLetter"/>
      <w:start w:val="1"/>
    </w:lvl>
  </w:abstractNum>
  <w:abstractNum w:abstractNumId="287">
    <w:nsid w:val="76E41D8"/>
    <w:multiLevelType w:val="hybridMultilevel"/>
    <w:lvl w:ilvl="0">
      <w:lvlJc w:val="left"/>
      <w:lvlText w:val="%1"/>
      <w:numFmt w:val="lowerLetter"/>
      <w:start w:val="1"/>
    </w:lvl>
    <w:lvl w:ilvl="1">
      <w:lvlJc w:val="left"/>
      <w:lvlText w:val="(%2)"/>
      <w:numFmt w:val="lowerLetter"/>
      <w:start w:val="2"/>
    </w:lvl>
  </w:abstractNum>
  <w:abstractNum w:abstractNumId="288">
    <w:nsid w:val="71DCE0FD"/>
    <w:multiLevelType w:val="hybridMultilevel"/>
    <w:lvl w:ilvl="0">
      <w:lvlJc w:val="left"/>
      <w:lvlText w:val="(%1)"/>
      <w:numFmt w:val="lowerLetter"/>
      <w:start w:val="35"/>
    </w:lvl>
    <w:lvl w:ilvl="1">
      <w:lvlJc w:val="left"/>
      <w:lvlText w:val="%2"/>
      <w:numFmt w:val="lowerLetter"/>
      <w:start w:val="1"/>
    </w:lvl>
  </w:abstractNum>
  <w:abstractNum w:abstractNumId="289">
    <w:nsid w:val="7906328B"/>
    <w:multiLevelType w:val="hybridMultilevel"/>
    <w:lvl w:ilvl="0">
      <w:lvlJc w:val="left"/>
      <w:lvlText w:val="(%1)"/>
      <w:numFmt w:val="decimal"/>
      <w:start w:val="10"/>
    </w:lvl>
  </w:abstractNum>
  <w:abstractNum w:abstractNumId="290">
    <w:nsid w:val="72BBC16"/>
    <w:multiLevelType w:val="hybridMultilevel"/>
    <w:lvl w:ilvl="0">
      <w:lvlJc w:val="left"/>
      <w:lvlText w:val="(%1)"/>
      <w:numFmt w:val="lowerLetter"/>
      <w:start w:val="2"/>
    </w:lvl>
  </w:abstractNum>
  <w:abstractNum w:abstractNumId="291">
    <w:nsid w:val="766D98C2"/>
    <w:multiLevelType w:val="hybridMultilevel"/>
    <w:lvl w:ilvl="0">
      <w:lvlJc w:val="left"/>
      <w:lvlText w:val="%1."/>
      <w:numFmt w:val="decimal"/>
      <w:start w:val="14"/>
    </w:lvl>
    <w:lvl w:ilvl="1">
      <w:lvlJc w:val="left"/>
      <w:lvlText w:val="(%2)"/>
      <w:numFmt w:val="lowerLetter"/>
      <w:start w:val="1"/>
    </w:lvl>
  </w:abstractNum>
  <w:abstractNum w:abstractNumId="292">
    <w:nsid w:val="3C09D4A1"/>
    <w:multiLevelType w:val="hybridMultilevel"/>
    <w:lvl w:ilvl="0">
      <w:lvlJc w:val="left"/>
      <w:lvlText w:val="(%1)"/>
      <w:numFmt w:val="lowerLetter"/>
      <w:start w:val="5"/>
    </w:lvl>
  </w:abstractNum>
  <w:abstractNum w:abstractNumId="293">
    <w:nsid w:val="20E45CA4"/>
    <w:multiLevelType w:val="hybridMultilevel"/>
    <w:lvl w:ilvl="0">
      <w:lvlJc w:val="left"/>
      <w:lvlText w:val="(%1)"/>
      <w:numFmt w:val="lowerLetter"/>
      <w:start w:val="1"/>
    </w:lvl>
  </w:abstractNum>
  <w:abstractNum w:abstractNumId="294">
    <w:nsid w:val="4B232EE3"/>
    <w:multiLevelType w:val="hybridMultilevel"/>
    <w:lvl w:ilvl="0">
      <w:lvlJc w:val="left"/>
      <w:lvlText w:val="(%1)"/>
      <w:numFmt w:val="lowerLetter"/>
      <w:start w:val="1"/>
    </w:lvl>
    <w:lvl w:ilvl="1">
      <w:lvlJc w:val="left"/>
      <w:lvlText w:val="(%2)"/>
      <w:numFmt w:val="lowerRoman"/>
      <w:start w:val="1"/>
    </w:lvl>
  </w:abstractNum>
  <w:abstractNum w:abstractNumId="295">
    <w:nsid w:val="159C74CF"/>
    <w:multiLevelType w:val="hybridMultilevel"/>
    <w:lvl w:ilvl="0">
      <w:lvlJc w:val="left"/>
      <w:lvlText w:val="(%1)"/>
      <w:numFmt w:val="lowerLetter"/>
      <w:start w:val="3"/>
    </w:lvl>
  </w:abstractNum>
  <w:abstractNum w:abstractNumId="296">
    <w:nsid w:val="4AD3AFD2"/>
    <w:multiLevelType w:val="hybridMultilevel"/>
    <w:lvl w:ilvl="0">
      <w:lvlJc w:val="left"/>
      <w:lvlText w:val="%1"/>
      <w:numFmt w:val="lowerLetter"/>
      <w:start w:val="1"/>
    </w:lvl>
    <w:lvl w:ilvl="1">
      <w:lvlJc w:val="left"/>
      <w:lvlText w:val="(%2)"/>
      <w:numFmt w:val="lowerLetter"/>
      <w:start w:val="1"/>
    </w:lvl>
  </w:abstractNum>
  <w:abstractNum w:abstractNumId="297">
    <w:nsid w:val="3CF93092"/>
    <w:multiLevelType w:val="hybridMultilevel"/>
    <w:lvl w:ilvl="0">
      <w:lvlJc w:val="left"/>
      <w:lvlText w:val="(%1)"/>
      <w:numFmt w:val="lowerLetter"/>
      <w:start w:val="35"/>
    </w:lvl>
    <w:lvl w:ilvl="1">
      <w:lvlJc w:val="left"/>
      <w:lvlText w:val="(%2)"/>
      <w:numFmt w:val="lowerLetter"/>
      <w:start w:val="2"/>
    </w:lvl>
  </w:abstractNum>
  <w:abstractNum w:abstractNumId="298">
    <w:nsid w:val="6863E8D2"/>
    <w:multiLevelType w:val="hybridMultilevel"/>
    <w:lvl w:ilvl="0">
      <w:lvlJc w:val="left"/>
      <w:lvlText w:val="(%1)"/>
      <w:numFmt w:val="lowerLetter"/>
      <w:start w:val="3"/>
    </w:lvl>
    <w:lvl w:ilvl="1">
      <w:lvlJc w:val="left"/>
      <w:lvlText w:val="(%2)"/>
      <w:numFmt w:val="lowerRoman"/>
      <w:start w:val="1"/>
    </w:lvl>
  </w:abstractNum>
  <w:abstractNum w:abstractNumId="299">
    <w:nsid w:val="76896198"/>
    <w:multiLevelType w:val="hybridMultilevel"/>
    <w:lvl w:ilvl="0">
      <w:lvlJc w:val="left"/>
      <w:lvlText w:val="%1"/>
      <w:numFmt w:val="decimal"/>
      <w:start w:val="1"/>
    </w:lvl>
    <w:lvl w:ilvl="1">
      <w:lvlJc w:val="left"/>
      <w:lvlText w:val="(%2)"/>
      <w:numFmt w:val="lowerLetter"/>
      <w:start w:val="1"/>
    </w:lvl>
  </w:abstractNum>
  <w:abstractNum w:abstractNumId="300">
    <w:nsid w:val="4365174B"/>
    <w:multiLevelType w:val="hybridMultilevel"/>
    <w:lvl w:ilvl="0">
      <w:lvlJc w:val="left"/>
      <w:lvlText w:val="(%1)"/>
      <w:numFmt w:val="decimal"/>
      <w:start w:val="10"/>
    </w:lvl>
    <w:lvl w:ilvl="1">
      <w:lvlJc w:val="left"/>
      <w:lvlText w:val="%2"/>
      <w:numFmt w:val="lowerLetter"/>
      <w:start w:val="1"/>
    </w:lvl>
  </w:abstractNum>
  <w:abstractNum w:abstractNumId="301">
    <w:nsid w:val="4A872C35"/>
    <w:multiLevelType w:val="hybridMultilevel"/>
    <w:lvl w:ilvl="0">
      <w:lvlJc w:val="left"/>
      <w:lvlText w:val="%1"/>
      <w:numFmt w:val="decimal"/>
      <w:start w:val="1"/>
    </w:lvl>
    <w:lvl w:ilvl="1">
      <w:lvlJc w:val="left"/>
      <w:lvlText w:val="(%2)"/>
      <w:numFmt w:val="lowerLetter"/>
      <w:start w:val="3"/>
    </w:lvl>
  </w:abstractNum>
  <w:abstractNum w:abstractNumId="302">
    <w:nsid w:val="5D5CE761"/>
    <w:multiLevelType w:val="hybridMultilevel"/>
    <w:lvl w:ilvl="0">
      <w:lvlJc w:val="left"/>
      <w:lvlText w:val="%1."/>
      <w:numFmt w:val="decimal"/>
      <w:start w:val="18"/>
    </w:lvl>
    <w:lvl w:ilvl="1">
      <w:lvlJc w:val="left"/>
      <w:lvlText w:val="%2"/>
      <w:numFmt w:val="lowerLetter"/>
      <w:start w:val="1"/>
    </w:lvl>
  </w:abstractNum>
  <w:abstractNum w:abstractNumId="303">
    <w:nsid w:val="1CD484D5"/>
    <w:multiLevelType w:val="hybridMultilevel"/>
    <w:lvl w:ilvl="0">
      <w:lvlJc w:val="left"/>
      <w:lvlText w:val="%1."/>
      <w:numFmt w:val="decimal"/>
      <w:start w:val="19"/>
    </w:lvl>
  </w:abstractNum>
  <w:abstractNum w:abstractNumId="304">
    <w:nsid w:val="21D06255"/>
    <w:multiLevelType w:val="hybridMultilevel"/>
    <w:lvl w:ilvl="0">
      <w:lvlJc w:val="left"/>
      <w:lvlText w:val="(%1)"/>
      <w:numFmt w:val="lowerLetter"/>
      <w:start w:val="1"/>
    </w:lvl>
  </w:abstractNum>
  <w:abstractNum w:abstractNumId="305">
    <w:nsid w:val="51194ED1"/>
    <w:multiLevelType w:val="hybridMultilevel"/>
    <w:lvl w:ilvl="0">
      <w:lvlJc w:val="left"/>
      <w:lvlText w:val="(%1)"/>
      <w:numFmt w:val="lowerLetter"/>
      <w:start w:val="2"/>
    </w:lvl>
  </w:abstractNum>
  <w:abstractNum w:abstractNumId="306">
    <w:nsid w:val="44E2ED6C"/>
    <w:multiLevelType w:val="hybridMultilevel"/>
    <w:lvl w:ilvl="0">
      <w:lvlJc w:val="left"/>
      <w:lvlText w:val="%1"/>
      <w:numFmt w:val="lowerLetter"/>
      <w:start w:val="1"/>
    </w:lvl>
    <w:lvl w:ilvl="1">
      <w:lvlJc w:val="left"/>
      <w:lvlText w:val="(%2)"/>
      <w:numFmt w:val="lowerLetter"/>
      <w:start w:val="1"/>
    </w:lvl>
  </w:abstractNum>
  <w:abstractNum w:abstractNumId="307">
    <w:nsid w:val="2219B33"/>
    <w:multiLevelType w:val="hybridMultilevel"/>
    <w:lvl w:ilvl="0">
      <w:lvlJc w:val="left"/>
      <w:lvlText w:val="(%1)"/>
      <w:numFmt w:val="lowerLetter"/>
      <w:start w:val="35"/>
    </w:lvl>
    <w:lvl w:ilvl="1">
      <w:lvlJc w:val="left"/>
      <w:lvlText w:val="(%2)"/>
      <w:numFmt w:val="lowerLetter"/>
      <w:start w:val="2"/>
    </w:lvl>
  </w:abstractNum>
  <w:abstractNum w:abstractNumId="308">
    <w:nsid w:val="773BFBDD"/>
    <w:multiLevelType w:val="hybridMultilevel"/>
    <w:lvl w:ilvl="0">
      <w:lvlJc w:val="left"/>
      <w:lvlText w:val="(%1)"/>
      <w:numFmt w:val="lowerLetter"/>
      <w:start w:val="9"/>
    </w:lvl>
  </w:abstractNum>
  <w:abstractNum w:abstractNumId="309">
    <w:nsid w:val="2C7C62C2"/>
    <w:multiLevelType w:val="hybridMultilevel"/>
    <w:lvl w:ilvl="0">
      <w:lvlJc w:val="left"/>
      <w:lvlText w:val="(%1)"/>
      <w:numFmt w:val="decimal"/>
      <w:start w:val="1"/>
    </w:lvl>
  </w:abstractNum>
  <w:abstractNum w:abstractNumId="310">
    <w:nsid w:val="1A54D7BC"/>
    <w:multiLevelType w:val="hybridMultilevel"/>
    <w:lvl w:ilvl="0">
      <w:lvlJc w:val="left"/>
      <w:lvlText w:val="(%1)"/>
      <w:numFmt w:val="lowerLetter"/>
      <w:start w:val="13"/>
    </w:lvl>
  </w:abstractNum>
  <w:abstractNum w:abstractNumId="311">
    <w:nsid w:val="42E57EF7"/>
    <w:multiLevelType w:val="hybridMultilevel"/>
    <w:lvl w:ilvl="0">
      <w:lvlJc w:val="left"/>
      <w:lvlText w:val="(%1)"/>
      <w:numFmt w:val="lowerLetter"/>
      <w:start w:val="1"/>
    </w:lvl>
    <w:lvl w:ilvl="1">
      <w:lvlJc w:val="left"/>
      <w:lvlText w:val="(%2)"/>
      <w:numFmt w:val="lowerLetter"/>
      <w:start w:val="9"/>
    </w:lvl>
  </w:abstractNum>
  <w:abstractNum w:abstractNumId="312">
    <w:nsid w:val="33537CED"/>
    <w:multiLevelType w:val="hybridMultilevel"/>
    <w:lvl w:ilvl="0">
      <w:lvlJc w:val="left"/>
      <w:lvlText w:val="%1"/>
      <w:numFmt w:val="lowerLetter"/>
      <w:start w:val="1"/>
    </w:lvl>
    <w:lvl w:ilvl="1">
      <w:lvlJc w:val="left"/>
      <w:lvlText w:val="(%2)"/>
      <w:numFmt w:val="lowerLetter"/>
      <w:start w:val="35"/>
    </w:lvl>
  </w:abstractNum>
  <w:abstractNum w:abstractNumId="313">
    <w:nsid w:val="27514ADE"/>
    <w:multiLevelType w:val="hybridMultilevel"/>
    <w:lvl w:ilvl="0">
      <w:lvlJc w:val="left"/>
      <w:lvlText w:val="(%1)"/>
      <w:numFmt w:val="lowerLetter"/>
      <w:start w:val="2"/>
    </w:lvl>
    <w:lvl w:ilvl="1">
      <w:lvlJc w:val="left"/>
      <w:lvlText w:val="%2"/>
      <w:numFmt w:val="lowerLetter"/>
      <w:start w:val="1"/>
    </w:lvl>
  </w:abstractNum>
  <w:abstractNum w:abstractNumId="314">
    <w:nsid w:val="57071613"/>
    <w:multiLevelType w:val="hybridMultilevel"/>
    <w:lvl w:ilvl="0">
      <w:lvlJc w:val="left"/>
      <w:lvlText w:val="%1"/>
      <w:numFmt w:val="lowerLetter"/>
      <w:start w:val="1"/>
    </w:lvl>
    <w:lvl w:ilvl="1">
      <w:lvlJc w:val="left"/>
      <w:lvlText w:val="%2."/>
      <w:numFmt w:val="decimal"/>
      <w:start w:val="21"/>
    </w:lvl>
    <w:lvl w:ilvl="2">
      <w:lvlJc w:val="left"/>
      <w:lvlText w:val="(%3)"/>
      <w:numFmt w:val="lowerLetter"/>
      <w:start w:val="1"/>
    </w:lvl>
  </w:abstractNum>
  <w:abstractNum w:abstractNumId="315">
    <w:nsid w:val="5293BFE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16">
    <w:nsid w:val="38BF53E5"/>
    <w:multiLevelType w:val="hybridMultilevel"/>
    <w:lvl w:ilvl="0">
      <w:lvlJc w:val="left"/>
      <w:lvlText w:val="(%1)"/>
      <w:numFmt w:val="lowerLetter"/>
      <w:start w:val="9"/>
    </w:lvl>
    <w:lvl w:ilvl="1">
      <w:lvlJc w:val="left"/>
      <w:lvlText w:val="(%2)"/>
      <w:numFmt w:val="lowerLetter"/>
      <w:start w:val="3"/>
    </w:lvl>
  </w:abstractNum>
  <w:abstractNum w:abstractNumId="317">
    <w:nsid w:val="226F5320"/>
    <w:multiLevelType w:val="hybridMultilevel"/>
    <w:lvl w:ilvl="0">
      <w:lvlJc w:val="left"/>
      <w:lvlText w:val="(%1)"/>
      <w:numFmt w:val="lowerLetter"/>
      <w:start w:val="4"/>
    </w:lvl>
  </w:abstractNum>
  <w:abstractNum w:abstractNumId="318">
    <w:nsid w:val="5A0201C7"/>
    <w:multiLevelType w:val="hybridMultilevel"/>
    <w:lvl w:ilvl="0">
      <w:lvlJc w:val="left"/>
      <w:lvlText w:val="(%1)"/>
      <w:numFmt w:val="lowerLetter"/>
      <w:start w:val="1"/>
    </w:lvl>
  </w:abstractNum>
  <w:abstractNum w:abstractNumId="319">
    <w:nsid w:val="2A9C34E2"/>
    <w:multiLevelType w:val="hybridMultilevel"/>
    <w:lvl w:ilvl="0">
      <w:lvlJc w:val="left"/>
      <w:lvlText w:val="(%1)"/>
      <w:numFmt w:val="lowerLetter"/>
      <w:start w:val="2"/>
    </w:lvl>
  </w:abstractNum>
  <w:abstractNum w:abstractNumId="320">
    <w:nsid w:val="1B7585AB"/>
    <w:multiLevelType w:val="hybridMultilevel"/>
    <w:lvl w:ilvl="0">
      <w:lvlJc w:val="left"/>
      <w:lvlText w:val="(%1)"/>
      <w:numFmt w:val="lowerLetter"/>
      <w:start w:val="1"/>
    </w:lvl>
  </w:abstractNum>
  <w:abstractNum w:abstractNumId="321">
    <w:nsid w:val="612DBDDD"/>
    <w:multiLevelType w:val="hybridMultilevel"/>
    <w:lvl w:ilvl="0">
      <w:lvlJc w:val="left"/>
      <w:lvlText w:val="%1."/>
      <w:numFmt w:val="decimal"/>
      <w:start w:val="1"/>
    </w:lvl>
  </w:abstractNum>
  <w:abstractNum w:abstractNumId="322">
    <w:nsid w:val="2109CDA4"/>
    <w:multiLevelType w:val="hybridMultilevel"/>
    <w:lvl w:ilvl="0">
      <w:lvlJc w:val="left"/>
      <w:lvlText w:val="%1."/>
      <w:numFmt w:val="decimal"/>
      <w:start w:val="5"/>
    </w:lvl>
  </w:abstractNum>
  <w:abstractNum w:abstractNumId="323">
    <w:nsid w:val="577F5A4D"/>
    <w:multiLevelType w:val="hybridMultilevel"/>
    <w:lvl w:ilvl="0">
      <w:lvlJc w:val="left"/>
      <w:lvlText w:val="%1"/>
      <w:numFmt w:val="decimal"/>
      <w:start w:val="1"/>
    </w:lvl>
    <w:lvl w:ilvl="1">
      <w:lvlJc w:val="left"/>
      <w:lvlText w:val="(%2)"/>
      <w:numFmt w:val="lowerLetter"/>
      <w:start w:val="1"/>
    </w:lvl>
  </w:abstractNum>
  <w:abstractNum w:abstractNumId="324">
    <w:nsid w:val="2121A81"/>
    <w:multiLevelType w:val="hybridMultilevel"/>
    <w:lvl w:ilvl="0">
      <w:lvlJc w:val="left"/>
      <w:lvlText w:val="(%1)"/>
      <w:numFmt w:val="decimal"/>
      <w:start w:val="5"/>
    </w:lvl>
    <w:lvl w:ilvl="1">
      <w:lvlJc w:val="left"/>
      <w:lvlText w:val="(%2)"/>
      <w:numFmt w:val="lowerLetter"/>
      <w:start w:val="3"/>
    </w:lvl>
  </w:abstractNum>
  <w:abstractNum w:abstractNumId="325">
    <w:nsid w:val="6C2CFC88"/>
    <w:multiLevelType w:val="hybridMultilevel"/>
    <w:lvl w:ilvl="0">
      <w:lvlJc w:val="left"/>
      <w:lvlText w:val="%1."/>
      <w:numFmt w:val="decimal"/>
      <w:start w:val="8"/>
    </w:lvl>
  </w:abstractNum>
  <w:abstractNum w:abstractNumId="326">
    <w:nsid w:val="6D1BCF1C"/>
    <w:multiLevelType w:val="hybridMultilevel"/>
    <w:lvl w:ilvl="0">
      <w:lvlJc w:val="left"/>
      <w:lvlText w:val="(%1)"/>
      <w:numFmt w:val="decimal"/>
      <w:start w:val="10"/>
    </w:lvl>
  </w:abstractNum>
  <w:abstractNum w:abstractNumId="327">
    <w:nsid w:val="4CE5CA53"/>
    <w:multiLevelType w:val="hybridMultilevel"/>
    <w:lvl w:ilvl="0">
      <w:lvlJc w:val="left"/>
      <w:lvlText w:val="•"/>
      <w:numFmt w:val="bullet"/>
      <w:start w:val="1"/>
    </w:lvl>
  </w:abstractNum>
  <w:abstractNum w:abstractNumId="328">
    <w:nsid w:val="29262D1A"/>
    <w:multiLevelType w:val="hybridMultilevel"/>
    <w:lvl w:ilvl="0">
      <w:lvlJc w:val="left"/>
      <w:lvlText w:val="(%1)"/>
      <w:numFmt w:val="decimal"/>
      <w:start w:val="1"/>
    </w:lvl>
  </w:abstractNum>
  <w:abstractNum w:abstractNumId="329">
    <w:nsid w:val="557FB7EE"/>
    <w:multiLevelType w:val="hybridMultilevel"/>
    <w:lvl w:ilvl="0">
      <w:lvlJc w:val="left"/>
      <w:lvlText w:val="•"/>
      <w:numFmt w:val="bullet"/>
      <w:start w:val="1"/>
    </w:lvl>
  </w:abstractNum>
  <w:abstractNum w:abstractNumId="330">
    <w:nsid w:val="436F2BEB"/>
    <w:multiLevelType w:val="hybridMultilevel"/>
    <w:lvl w:ilvl="0">
      <w:lvlJc w:val="left"/>
      <w:lvlText w:val="%1."/>
      <w:numFmt w:val="upperLetter"/>
      <w:start w:val="2"/>
    </w:lvl>
    <w:lvl w:ilvl="1">
      <w:lvlJc w:val="left"/>
      <w:lvlText w:val="%2."/>
      <w:numFmt w:val="decimal"/>
      <w:start w:val="1"/>
    </w:lvl>
  </w:abstractNum>
  <w:abstractNum w:abstractNumId="331">
    <w:nsid w:val="6C8B4466"/>
    <w:multiLevelType w:val="hybridMultilevel"/>
    <w:lvl w:ilvl="0">
      <w:lvlJc w:val="left"/>
      <w:lvlText w:val="%1."/>
      <w:numFmt w:val="decimal"/>
      <w:start w:val="3"/>
    </w:lvl>
  </w:abstractNum>
  <w:abstractNum w:abstractNumId="332">
    <w:nsid w:val="2006E424"/>
    <w:multiLevelType w:val="hybridMultilevel"/>
    <w:lvl w:ilvl="0">
      <w:lvlJc w:val="left"/>
      <w:lvlText w:val="%1."/>
      <w:numFmt w:val="decimal"/>
      <w:start w:val="6"/>
    </w:lvl>
  </w:abstractNum>
  <w:abstractNum w:abstractNumId="333">
    <w:nsid w:val="20CC134C"/>
    <w:multiLevelType w:val="hybridMultilevel"/>
    <w:lvl w:ilvl="0">
      <w:lvlJc w:val="left"/>
      <w:lvlText w:val="%1."/>
      <w:numFmt w:val="decimal"/>
      <w:start w:val="8"/>
    </w:lvl>
  </w:abstractNum>
  <w:abstractNum w:abstractNumId="334">
    <w:nsid w:val="95FC93B"/>
    <w:multiLevelType w:val="hybridMultilevel"/>
    <w:lvl w:ilvl="0">
      <w:lvlJc w:val="left"/>
      <w:lvlText w:val="%1."/>
      <w:numFmt w:val="upperLetter"/>
      <w:start w:val="3"/>
    </w:lvl>
  </w:abstractNum>
  <w:abstractNum w:abstractNumId="335">
    <w:nsid w:val="41D74679"/>
    <w:multiLevelType w:val="hybridMultilevel"/>
    <w:lvl w:ilvl="0">
      <w:lvlJc w:val="left"/>
      <w:lvlText w:val="%1."/>
      <w:numFmt w:val="decimal"/>
      <w:start w:val="1"/>
    </w:lvl>
  </w:abstractNum>
  <w:abstractNum w:abstractNumId="336">
    <w:nsid w:val="71E5621E"/>
    <w:multiLevelType w:val="hybridMultilevel"/>
    <w:lvl w:ilvl="0">
      <w:lvlJc w:val="left"/>
      <w:lvlText w:val="%1"/>
      <w:numFmt w:val="decimal"/>
      <w:start w:val="1"/>
    </w:lvl>
    <w:lvl w:ilvl="1">
      <w:lvlJc w:val="left"/>
      <w:lvlText w:val="(%2)"/>
      <w:numFmt w:val="lowerRoman"/>
      <w:start w:val="3"/>
    </w:lvl>
  </w:abstractNum>
  <w:abstractNum w:abstractNumId="337">
    <w:nsid w:val="4E42B6A8"/>
    <w:multiLevelType w:val="hybridMultilevel"/>
    <w:lvl w:ilvl="0">
      <w:lvlJc w:val="left"/>
      <w:lvlText w:val="%1."/>
      <w:numFmt w:val="decimal"/>
      <w:start w:val="3"/>
    </w:lvl>
    <w:lvl w:ilvl="1">
      <w:lvlJc w:val="left"/>
      <w:lvlText w:val="%2"/>
      <w:numFmt w:val="lowerRoman"/>
      <w:start w:val="1"/>
    </w:lvl>
  </w:abstractNum>
  <w:abstractNum w:abstractNumId="338">
    <w:nsid w:val="43F8E1AC"/>
    <w:multiLevelType w:val="hybridMultilevel"/>
    <w:lvl w:ilvl="0">
      <w:lvlJc w:val="left"/>
      <w:lvlText w:val="%1."/>
      <w:numFmt w:val="decimal"/>
      <w:start w:val="6"/>
    </w:lvl>
  </w:abstractNum>
  <w:abstractNum w:abstractNumId="339">
    <w:nsid w:val="69215DFB"/>
    <w:multiLevelType w:val="hybridMultilevel"/>
    <w:lvl w:ilvl="0">
      <w:lvlJc w:val="left"/>
      <w:lvlText w:val="%1."/>
      <w:numFmt w:val="decimal"/>
      <w:start w:val="8"/>
    </w:lvl>
  </w:abstractNum>
  <w:abstractNum w:abstractNumId="340">
    <w:nsid w:val="7ABF196A"/>
    <w:multiLevelType w:val="hybridMultilevel"/>
    <w:lvl w:ilvl="0">
      <w:lvlJc w:val="left"/>
      <w:lvlText w:val="%1."/>
      <w:numFmt w:val="decimal"/>
      <w:start w:val="11"/>
    </w:lvl>
  </w:abstractNum>
  <w:abstractNum w:abstractNumId="341">
    <w:nsid w:val="5E4DB968"/>
    <w:multiLevelType w:val="hybridMultilevel"/>
    <w:lvl w:ilvl="0">
      <w:lvlJc w:val="left"/>
      <w:lvlText w:val="%1."/>
      <w:numFmt w:val="decimal"/>
      <w:start w:val="13"/>
    </w:lvl>
  </w:abstractNum>
  <w:abstractNum w:abstractNumId="342">
    <w:nsid w:val="2C06DCF3"/>
    <w:multiLevelType w:val="hybridMultilevel"/>
    <w:lvl w:ilvl="0">
      <w:lvlJc w:val="left"/>
      <w:lvlText w:val="%1."/>
      <w:numFmt w:val="upperLetter"/>
      <w:start w:val="1"/>
    </w:lvl>
    <w:lvl w:ilvl="1">
      <w:lvlJc w:val="left"/>
      <w:lvlText w:val="%2."/>
      <w:numFmt w:val="decimal"/>
      <w:start w:val="1"/>
    </w:lvl>
  </w:abstractNum>
  <w:abstractNum w:abstractNumId="343">
    <w:nsid w:val="2E129658"/>
    <w:multiLevelType w:val="hybridMultilevel"/>
    <w:lvl w:ilvl="0">
      <w:lvlJc w:val="left"/>
      <w:lvlText w:val="%1."/>
      <w:numFmt w:val="decimal"/>
      <w:start w:val="12"/>
    </w:lvl>
  </w:abstractNum>
  <w:abstractNum w:abstractNumId="344">
    <w:nsid w:val="59F0446"/>
    <w:multiLevelType w:val="hybridMultilevel"/>
    <w:lvl w:ilvl="0">
      <w:lvlJc w:val="left"/>
      <w:lvlText w:val="%1"/>
      <w:numFmt w:val="upperLetter"/>
      <w:start w:val="1"/>
    </w:lvl>
    <w:lvl w:ilvl="1">
      <w:lvlJc w:val="left"/>
      <w:lvlText w:val="%2."/>
      <w:numFmt w:val="decimal"/>
      <w:start w:val="21"/>
    </w:lvl>
  </w:abstractNum>
  <w:abstractNum w:abstractNumId="345">
    <w:nsid w:val="30DF306"/>
    <w:multiLevelType w:val="hybridMultilevel"/>
    <w:lvl w:ilvl="0">
      <w:lvlJc w:val="left"/>
      <w:lvlText w:val="%1."/>
      <w:numFmt w:val="upperLetter"/>
      <w:start w:val="2"/>
    </w:lvl>
    <w:lvl w:ilvl="1">
      <w:lvlJc w:val="left"/>
      <w:lvlText w:val="%2."/>
      <w:numFmt w:val="decimal"/>
      <w:start w:val="1"/>
    </w:lvl>
  </w:abstractNum>
  <w:abstractNum w:abstractNumId="346">
    <w:nsid w:val="A65647"/>
    <w:multiLevelType w:val="hybridMultilevel"/>
    <w:lvl w:ilvl="0">
      <w:lvlJc w:val="left"/>
      <w:lvlText w:val="%1."/>
      <w:numFmt w:val="upperLetter"/>
      <w:start w:val="3"/>
    </w:lvl>
    <w:lvl w:ilvl="1">
      <w:lvlJc w:val="left"/>
      <w:lvlText w:val="%2."/>
      <w:numFmt w:val="decimal"/>
      <w:start w:val="1"/>
    </w:lvl>
  </w:abstractNum>
  <w:abstractNum w:abstractNumId="347">
    <w:nsid w:val="3E5E582B"/>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348">
    <w:nsid w:val="257D4626"/>
    <w:multiLevelType w:val="hybridMultilevel"/>
    <w:lvl w:ilvl="0">
      <w:lvlJc w:val="left"/>
      <w:lvlText w:val="%1."/>
      <w:numFmt w:val="upperLetter"/>
      <w:start w:val="4"/>
    </w:lvl>
    <w:lvl w:ilvl="1">
      <w:lvlJc w:val="left"/>
      <w:lvlText w:val="%2"/>
      <w:numFmt w:val="decimal"/>
      <w:start w:val="1"/>
    </w:lvl>
    <w:lvl w:ilvl="2">
      <w:lvlJc w:val="left"/>
      <w:lvlText w:val="%3."/>
      <w:numFmt w:val="decimal"/>
      <w:start w:val="1"/>
    </w:lvl>
  </w:abstractNum>
  <w:abstractNum w:abstractNumId="349">
    <w:nsid w:val="5AA8580E"/>
    <w:multiLevelType w:val="hybridMultilevel"/>
    <w:lvl w:ilvl="0">
      <w:lvlJc w:val="left"/>
      <w:lvlText w:val="(%1)"/>
      <w:numFmt w:val="decimal"/>
      <w:start w:val="1"/>
    </w:lvl>
  </w:abstractNum>
  <w:abstractNum w:abstractNumId="350">
    <w:nsid w:val="68FA8D0D"/>
    <w:multiLevelType w:val="hybridMultilevel"/>
    <w:lvl w:ilvl="0">
      <w:lvlJc w:val="left"/>
      <w:lvlText w:val="(%1)"/>
      <w:numFmt w:val="decimal"/>
      <w:start w:val="3"/>
    </w:lvl>
  </w:abstractNum>
  <w:abstractNum w:abstractNumId="351">
    <w:nsid w:val="40F2CBD2"/>
    <w:multiLevelType w:val="hybridMultilevel"/>
    <w:lvl w:ilvl="0">
      <w:lvlJc w:val="left"/>
      <w:lvlText w:val="%1."/>
      <w:numFmt w:val="decimal"/>
      <w:start w:val="1"/>
    </w:lvl>
    <w:lvl w:ilvl="1">
      <w:lvlJc w:val="left"/>
      <w:lvlText w:val="(%2)"/>
      <w:numFmt w:val="lowerLetter"/>
      <w:start w:val="1"/>
    </w:lvl>
  </w:abstractNum>
  <w:abstractNum w:abstractNumId="352">
    <w:nsid w:val="3BD615EB"/>
    <w:multiLevelType w:val="hybridMultilevel"/>
    <w:lvl w:ilvl="0">
      <w:lvlJc w:val="left"/>
      <w:lvlText w:val="%1"/>
      <w:numFmt w:val="lowerLetter"/>
      <w:start w:val="1"/>
    </w:lvl>
    <w:lvl w:ilvl="1">
      <w:lvlJc w:val="left"/>
      <w:lvlText w:val="%2."/>
      <w:numFmt w:val="decimal"/>
      <w:start w:val="5"/>
    </w:lvl>
  </w:abstractNum>
  <w:abstractNum w:abstractNumId="353">
    <w:nsid w:val="A045AB2"/>
    <w:multiLevelType w:val="hybridMultilevel"/>
    <w:lvl w:ilvl="0">
      <w:lvlJc w:val="left"/>
      <w:lvlText w:val="(%1)"/>
      <w:numFmt w:val="lowerLetter"/>
      <w:start w:val="1"/>
    </w:lvl>
    <w:lvl w:ilvl="1">
      <w:lvlJc w:val="left"/>
      <w:lvlText w:val="%2"/>
      <w:numFmt w:val="decimal"/>
      <w:start w:val="1"/>
    </w:lvl>
  </w:abstractNum>
  <w:abstractNum w:abstractNumId="354">
    <w:nsid w:val="1872261F"/>
    <w:multiLevelType w:val="hybridMultilevel"/>
    <w:lvl w:ilvl="0">
      <w:lvlJc w:val="left"/>
      <w:lvlText w:val="(%1)"/>
      <w:numFmt w:val="lowerRoman"/>
      <w:start w:val="1"/>
    </w:lvl>
  </w:abstractNum>
  <w:abstractNum w:abstractNumId="355">
    <w:nsid w:val="3DE8306C"/>
    <w:multiLevelType w:val="hybridMultilevel"/>
    <w:lvl w:ilvl="0">
      <w:lvlJc w:val="left"/>
      <w:lvlText w:val="%1."/>
      <w:numFmt w:val="decimal"/>
      <w:start w:val="6"/>
    </w:lvl>
  </w:abstractNum>
  <w:abstractNum w:abstractNumId="356">
    <w:nsid w:val="7631573A"/>
    <w:multiLevelType w:val="hybridMultilevel"/>
    <w:lvl w:ilvl="0">
      <w:lvlJc w:val="left"/>
      <w:lvlText w:val="(%1)"/>
      <w:numFmt w:val="decimal"/>
      <w:start w:val="1"/>
    </w:lvl>
  </w:abstractNum>
  <w:abstractNum w:abstractNumId="357">
    <w:nsid w:val="58DF53B"/>
    <w:multiLevelType w:val="hybridMultilevel"/>
    <w:lvl w:ilvl="0">
      <w:lvlJc w:val="left"/>
      <w:lvlText w:val="(%1)"/>
      <w:numFmt w:val="decimal"/>
      <w:start w:val="2"/>
    </w:lvl>
  </w:abstractNum>
  <w:abstractNum w:abstractNumId="358">
    <w:nsid w:val="ACDFAC0"/>
    <w:multiLevelType w:val="hybridMultilevel"/>
    <w:lvl w:ilvl="0">
      <w:lvlJc w:val="left"/>
      <w:lvlText w:val="%1."/>
      <w:numFmt w:val="upperLetter"/>
      <w:start w:val="1"/>
    </w:lvl>
  </w:abstractNum>
  <w:abstractNum w:abstractNumId="359">
    <w:nsid w:val="1F578454"/>
    <w:multiLevelType w:val="hybridMultilevel"/>
    <w:lvl w:ilvl="0">
      <w:lvlJc w:val="left"/>
      <w:lvlText w:val="%1."/>
      <w:numFmt w:val="decimal"/>
      <w:start w:val="1"/>
    </w:lvl>
  </w:abstractNum>
  <w:abstractNum w:abstractNumId="360">
    <w:nsid w:val="5B0DAD2A"/>
    <w:multiLevelType w:val="hybridMultilevel"/>
    <w:lvl w:ilvl="0">
      <w:lvlJc w:val="left"/>
      <w:lvlText w:val="%1."/>
      <w:numFmt w:val="decimal"/>
      <w:start w:val="3"/>
    </w:lvl>
  </w:abstractNum>
  <w:abstractNum w:abstractNumId="361">
    <w:nsid w:val="4E3D26AB"/>
    <w:multiLevelType w:val="hybridMultilevel"/>
    <w:lvl w:ilvl="0">
      <w:lvlJc w:val="left"/>
      <w:lvlText w:val="%1."/>
      <w:numFmt w:val="decimal"/>
      <w:start w:val="8"/>
    </w:lvl>
    <w:lvl w:ilvl="1">
      <w:lvlJc w:val="left"/>
      <w:lvlText w:val="(%2)"/>
      <w:numFmt w:val="lowerLetter"/>
      <w:start w:val="1"/>
    </w:lvl>
  </w:abstractNum>
  <w:abstractNum w:abstractNumId="362">
    <w:nsid w:val="BE2C8BA"/>
    <w:multiLevelType w:val="hybridMultilevel"/>
    <w:lvl w:ilvl="0">
      <w:lvlJc w:val="left"/>
      <w:lvlText w:val="%1."/>
      <w:numFmt w:val="decimal"/>
      <w:start w:val="11"/>
    </w:lvl>
    <w:lvl w:ilvl="1">
      <w:lvlJc w:val="left"/>
      <w:lvlText w:val="(%2)"/>
      <w:numFmt w:val="lowerLetter"/>
      <w:start w:val="1"/>
    </w:lvl>
  </w:abstractNum>
  <w:abstractNum w:abstractNumId="363">
    <w:nsid w:val="7B14914E"/>
    <w:multiLevelType w:val="hybridMultilevel"/>
    <w:lvl w:ilvl="0">
      <w:lvlJc w:val="left"/>
      <w:lvlText w:val="%1"/>
      <w:numFmt w:val="decimal"/>
      <w:start w:val="1"/>
    </w:lvl>
    <w:lvl w:ilvl="1">
      <w:lvlJc w:val="left"/>
      <w:lvlText w:val="(%2)"/>
      <w:numFmt w:val="lowerLetter"/>
      <w:start w:val="5"/>
    </w:lvl>
  </w:abstractNum>
  <w:abstractNum w:abstractNumId="364">
    <w:nsid w:val="6F0939F8"/>
    <w:multiLevelType w:val="hybridMultilevel"/>
    <w:lvl w:ilvl="0">
      <w:lvlJc w:val="left"/>
      <w:lvlText w:val="%1."/>
      <w:numFmt w:val="decimal"/>
      <w:start w:val="12"/>
    </w:lvl>
    <w:lvl w:ilvl="1">
      <w:lvlJc w:val="left"/>
      <w:lvlText w:val="(%2)"/>
      <w:numFmt w:val="lowerLetter"/>
      <w:start w:val="9"/>
    </w:lvl>
  </w:abstractNum>
  <w:abstractNum w:abstractNumId="365">
    <w:nsid w:val="154291F6"/>
    <w:multiLevelType w:val="hybridMultilevel"/>
    <w:lvl w:ilvl="0">
      <w:lvlJc w:val="left"/>
      <w:lvlText w:val="(%1)"/>
      <w:numFmt w:val="lowerLetter"/>
      <w:start w:val="1"/>
    </w:lvl>
  </w:abstractNum>
  <w:abstractNum w:abstractNumId="366">
    <w:nsid w:val="3CEBD7C7"/>
    <w:multiLevelType w:val="hybridMultilevel"/>
    <w:lvl w:ilvl="0">
      <w:lvlJc w:val="left"/>
      <w:lvlText w:val="%1."/>
      <w:numFmt w:val="decimal"/>
      <w:start w:val="13"/>
    </w:lvl>
  </w:abstractNum>
  <w:abstractNum w:abstractNumId="367">
    <w:nsid w:val="60EE9C16"/>
    <w:multiLevelType w:val="hybridMultilevel"/>
    <w:lvl w:ilvl="0">
      <w:lvlJc w:val="left"/>
      <w:lvlText w:val="%1."/>
      <w:numFmt w:val="decimal"/>
      <w:start w:val="17"/>
    </w:lvl>
    <w:lvl w:ilvl="1">
      <w:lvlJc w:val="left"/>
      <w:lvlText w:val="(%2)"/>
      <w:numFmt w:val="lowerLetter"/>
      <w:start w:val="1"/>
    </w:lvl>
  </w:abstractNum>
  <w:abstractNum w:abstractNumId="368">
    <w:nsid w:val="6385489E"/>
    <w:multiLevelType w:val="hybridMultilevel"/>
    <w:lvl w:ilvl="0">
      <w:lvlJc w:val="left"/>
      <w:lvlText w:val="%1."/>
      <w:numFmt w:val="decimal"/>
      <w:start w:val="20"/>
    </w:lvl>
  </w:abstractNum>
  <w:abstractNum w:abstractNumId="369">
    <w:nsid w:val="E4B973"/>
    <w:multiLevelType w:val="hybridMultilevel"/>
    <w:lvl w:ilvl="0">
      <w:lvlJc w:val="left"/>
      <w:lvlText w:val="%1."/>
      <w:numFmt w:val="decimal"/>
      <w:start w:val="25"/>
    </w:lvl>
  </w:abstractNum>
  <w:abstractNum w:abstractNumId="370">
    <w:nsid w:val="4A0FFA11"/>
    <w:multiLevelType w:val="hybridMultilevel"/>
    <w:lvl w:ilvl="0">
      <w:lvlJc w:val="left"/>
      <w:lvlText w:val="(%1)"/>
      <w:numFmt w:val="lowerLetter"/>
      <w:start w:val="1"/>
    </w:lvl>
  </w:abstractNum>
  <w:abstractNum w:abstractNumId="371">
    <w:nsid w:val="5E446208"/>
    <w:multiLevelType w:val="hybridMultilevel"/>
    <w:lvl w:ilvl="0">
      <w:lvlJc w:val="left"/>
      <w:lvlText w:val="(%1)"/>
      <w:numFmt w:val="lowerRoman"/>
      <w:start w:val="1"/>
    </w:lvl>
    <w:lvl w:ilvl="1">
      <w:lvlJc w:val="left"/>
      <w:lvlText w:val="-"/>
      <w:numFmt w:val="bullet"/>
      <w:start w:val="1"/>
    </w:lvl>
  </w:abstractNum>
  <w:abstractNum w:abstractNumId="372">
    <w:nsid w:val="5F3272DB"/>
    <w:multiLevelType w:val="hybridMultilevel"/>
    <w:lvl w:ilvl="0">
      <w:lvlJc w:val="left"/>
      <w:lvlText w:val="(%1)"/>
      <w:numFmt w:val="lowerRoman"/>
      <w:start w:val="4"/>
    </w:lvl>
  </w:abstractNum>
  <w:abstractNum w:abstractNumId="373">
    <w:nsid w:val="7616D704"/>
    <w:multiLevelType w:val="hybridMultilevel"/>
    <w:lvl w:ilvl="0">
      <w:lvlJc w:val="left"/>
      <w:lvlText w:val="(%1)"/>
      <w:numFmt w:val="lowerRoman"/>
      <w:start w:val="1"/>
    </w:lvl>
  </w:abstractNum>
  <w:abstractNum w:abstractNumId="374">
    <w:nsid w:val="C56F860"/>
    <w:multiLevelType w:val="hybridMultilevel"/>
    <w:lvl w:ilvl="0">
      <w:lvlJc w:val="left"/>
      <w:lvlText w:val="%1"/>
      <w:numFmt w:val="upperLetter"/>
      <w:start w:val="53"/>
    </w:lvl>
    <w:lvl w:ilvl="1">
      <w:lvlJc w:val="left"/>
      <w:lvlText w:val="-"/>
      <w:numFmt w:val="bullet"/>
      <w:start w:val="1"/>
    </w:lvl>
  </w:abstractNum>
  <w:abstractNum w:abstractNumId="375">
    <w:nsid w:val="64D17722"/>
    <w:multiLevelType w:val="hybridMultilevel"/>
    <w:lvl w:ilvl="0">
      <w:lvlJc w:val="left"/>
      <w:lvlText w:val="(%1)"/>
      <w:numFmt w:val="lowerRoman"/>
      <w:start w:val="1"/>
    </w:lvl>
    <w:lvl w:ilvl="1">
      <w:lvlJc w:val="left"/>
      <w:lvlText w:val="-"/>
      <w:numFmt w:val="bullet"/>
      <w:start w:val="1"/>
    </w:lvl>
  </w:abstractNum>
  <w:abstractNum w:abstractNumId="376">
    <w:nsid w:val="7924CA0A"/>
    <w:multiLevelType w:val="hybridMultilevel"/>
    <w:lvl w:ilvl="0">
      <w:lvlJc w:val="left"/>
      <w:lvlText w:val="%1."/>
      <w:numFmt w:val="decimal"/>
      <w:start w:val="1"/>
    </w:lvl>
  </w:abstractNum>
  <w:abstractNum w:abstractNumId="377">
    <w:nsid w:val="CFD4EA7"/>
    <w:multiLevelType w:val="hybridMultilevel"/>
    <w:lvl w:ilvl="0">
      <w:lvlJc w:val="left"/>
      <w:lvlText w:val="%1."/>
      <w:numFmt w:val="decimal"/>
      <w:start w:val="1"/>
    </w:lvl>
  </w:abstractNum>
  <w:abstractNum w:abstractNumId="378">
    <w:nsid w:val="232FCF4D"/>
    <w:multiLevelType w:val="hybridMultilevel"/>
    <w:lvl w:ilvl="0">
      <w:lvlJc w:val="left"/>
      <w:lvlText w:val="%1."/>
      <w:numFmt w:val="decimal"/>
      <w:start w:val="2"/>
    </w:lvl>
  </w:abstractNum>
  <w:abstractNum w:abstractNumId="379">
    <w:nsid w:val="1EA21031"/>
    <w:multiLevelType w:val="hybridMultilevel"/>
    <w:lvl w:ilvl="0">
      <w:lvlJc w:val="left"/>
      <w:lvlText w:val="(%1)"/>
      <w:numFmt w:val="lowerLetter"/>
      <w:start w:val="1"/>
    </w:lvl>
    <w:lvl w:ilvl="1">
      <w:lvlJc w:val="left"/>
      <w:lvlText w:val="(%2)"/>
      <w:numFmt w:val="lowerRoman"/>
      <w:start w:val="1"/>
    </w:lvl>
  </w:abstractNum>
  <w:abstractNum w:abstractNumId="380">
    <w:nsid w:val="67A5A6B5"/>
    <w:multiLevelType w:val="hybridMultilevel"/>
    <w:lvl w:ilvl="0">
      <w:lvlJc w:val="left"/>
      <w:lvlText w:val="%1"/>
      <w:numFmt w:val="decimal"/>
      <w:start w:val="1"/>
    </w:lvl>
    <w:lvl w:ilvl="1">
      <w:lvlJc w:val="left"/>
      <w:lvlText w:val="(%2)"/>
      <w:numFmt w:val="lowerRoman"/>
      <w:start w:val="2"/>
    </w:lvl>
  </w:abstractNum>
  <w:abstractNum w:abstractNumId="381">
    <w:nsid w:val="C2A5C5B"/>
    <w:multiLevelType w:val="hybridMultilevel"/>
    <w:lvl w:ilvl="0">
      <w:lvlJc w:val="left"/>
      <w:lvlText w:val="%1."/>
      <w:numFmt w:val="decimal"/>
      <w:start w:val="3"/>
    </w:lvl>
    <w:lvl w:ilvl="1">
      <w:lvlJc w:val="left"/>
      <w:lvlText w:val="%2"/>
      <w:numFmt w:val="lowerRoman"/>
      <w:start w:val="1"/>
    </w:lvl>
  </w:abstractNum>
  <w:abstractNum w:abstractNumId="382">
    <w:nsid w:val="5F94DC03"/>
    <w:multiLevelType w:val="hybridMultilevel"/>
    <w:lvl w:ilvl="0">
      <w:lvlJc w:val="left"/>
      <w:lvlText w:val="(%1)"/>
      <w:numFmt w:val="lowerLetter"/>
      <w:start w:val="1"/>
    </w:lvl>
  </w:abstractNum>
  <w:abstractNum w:abstractNumId="383">
    <w:nsid w:val="237BBCA0"/>
    <w:multiLevelType w:val="hybridMultilevel"/>
    <w:lvl w:ilvl="0">
      <w:lvlJc w:val="left"/>
      <w:lvlText w:val="(%1)"/>
      <w:numFmt w:val="lowerLetter"/>
      <w:start w:val="3"/>
    </w:lvl>
  </w:abstractNum>
  <w:abstractNum w:abstractNumId="384">
    <w:nsid w:val="162EB70D"/>
    <w:multiLevelType w:val="hybridMultilevel"/>
    <w:lvl w:ilvl="0">
      <w:lvlJc w:val="left"/>
      <w:lvlText w:val="(%1)"/>
      <w:numFmt w:val="lowerLetter"/>
      <w:start w:val="7"/>
    </w:lvl>
  </w:abstractNum>
  <w:abstractNum w:abstractNumId="385">
    <w:nsid w:val="78070222"/>
    <w:multiLevelType w:val="hybridMultilevel"/>
    <w:lvl w:ilvl="0">
      <w:lvlJc w:val="left"/>
      <w:lvlText w:val="%1."/>
      <w:numFmt w:val="decimal"/>
      <w:start w:val="4"/>
    </w:lvl>
  </w:abstractNum>
  <w:abstractNum w:abstractNumId="386">
    <w:nsid w:val="6163ED0D"/>
    <w:multiLevelType w:val="hybridMultilevel"/>
    <w:lvl w:ilvl="0">
      <w:lvlJc w:val="left"/>
      <w:lvlText w:val="(%1)"/>
      <w:numFmt w:val="lowerLetter"/>
      <w:start w:val="1"/>
    </w:lvl>
    <w:lvl w:ilvl="1">
      <w:lvlJc w:val="left"/>
      <w:lvlText w:val="(%2)"/>
      <w:numFmt w:val="lowerRoman"/>
      <w:start w:val="1"/>
    </w:lvl>
  </w:abstractNum>
  <w:abstractNum w:abstractNumId="387">
    <w:nsid w:val="C600E47"/>
    <w:multiLevelType w:val="hybridMultilevel"/>
    <w:lvl w:ilvl="0">
      <w:lvlJc w:val="left"/>
      <w:lvlText w:val="(%1)"/>
      <w:numFmt w:val="lowerLetter"/>
      <w:start w:val="3"/>
    </w:lvl>
  </w:abstractNum>
  <w:abstractNum w:abstractNumId="388">
    <w:nsid w:val="7D94F75D"/>
    <w:multiLevelType w:val="hybridMultilevel"/>
    <w:lvl w:ilvl="0">
      <w:lvlJc w:val="left"/>
      <w:lvlText w:val="(%1)"/>
      <w:numFmt w:val="lowerLetter"/>
      <w:start w:val="6"/>
    </w:lvl>
  </w:abstractNum>
  <w:abstractNum w:abstractNumId="389">
    <w:nsid w:val="6C31E7CD"/>
    <w:multiLevelType w:val="hybridMultilevel"/>
    <w:lvl w:ilvl="0">
      <w:lvlJc w:val="left"/>
      <w:lvlText w:val="%1."/>
      <w:numFmt w:val="decimal"/>
      <w:start w:val="5"/>
    </w:lvl>
  </w:abstractNum>
  <w:abstractNum w:abstractNumId="390">
    <w:nsid w:val="2BB7929B"/>
    <w:multiLevelType w:val="hybridMultilevel"/>
    <w:lvl w:ilvl="0">
      <w:lvlJc w:val="left"/>
      <w:lvlText w:val="(%1)"/>
      <w:numFmt w:val="lowerLetter"/>
      <w:start w:val="1"/>
    </w:lvl>
  </w:abstractNum>
  <w:abstractNum w:abstractNumId="391">
    <w:nsid w:val="58A2A487"/>
    <w:multiLevelType w:val="hybridMultilevel"/>
    <w:lvl w:ilvl="0">
      <w:lvlJc w:val="left"/>
      <w:lvlText w:val="(%1)"/>
      <w:numFmt w:val="lowerLetter"/>
      <w:start w:val="2"/>
    </w:lvl>
    <w:lvl w:ilvl="1">
      <w:lvlJc w:val="left"/>
      <w:lvlText w:val="(%2)"/>
      <w:numFmt w:val="lowerLetter"/>
      <w:start w:val="9"/>
    </w:lvl>
  </w:abstractNum>
  <w:abstractNum w:abstractNumId="392">
    <w:nsid w:val="3A6F0E7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93">
    <w:nsid w:val="379A5B56"/>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394">
    <w:nsid w:val="53B735D5"/>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395">
    <w:nsid w:val="29784870"/>
    <w:multiLevelType w:val="hybridMultilevel"/>
    <w:lvl w:ilvl="0">
      <w:lvlJc w:val="left"/>
      <w:lvlText w:val="(%1)"/>
      <w:numFmt w:val="lowerLetter"/>
      <w:start w:val="8"/>
    </w:lvl>
  </w:abstractNum>
  <w:abstractNum w:abstractNumId="396">
    <w:nsid w:val="4CDCED4C"/>
    <w:multiLevelType w:val="hybridMultilevel"/>
    <w:lvl w:ilvl="0">
      <w:lvlJc w:val="left"/>
      <w:lvlText w:val="%1."/>
      <w:numFmt w:val="decimal"/>
      <w:start w:val="6"/>
    </w:lvl>
  </w:abstractNum>
  <w:abstractNum w:abstractNumId="397">
    <w:nsid w:val="10A30D9C"/>
    <w:multiLevelType w:val="hybridMultilevel"/>
    <w:lvl w:ilvl="0">
      <w:lvlJc w:val="left"/>
      <w:lvlText w:val="(%1)"/>
      <w:numFmt w:val="lowerLetter"/>
      <w:start w:val="1"/>
    </w:lvl>
  </w:abstractNum>
  <w:abstractNum w:abstractNumId="398">
    <w:nsid w:val="A66E486"/>
    <w:multiLevelType w:val="hybridMultilevel"/>
    <w:lvl w:ilvl="0">
      <w:lvlJc w:val="left"/>
      <w:lvlText w:val="%1."/>
      <w:numFmt w:val="decimal"/>
      <w:start w:val="7"/>
    </w:lvl>
  </w:abstractNum>
  <w:abstractNum w:abstractNumId="399">
    <w:nsid w:val="306235EA"/>
    <w:multiLevelType w:val="hybridMultilevel"/>
    <w:lvl w:ilvl="0">
      <w:lvlJc w:val="left"/>
      <w:lvlText w:val="(%1)"/>
      <w:numFmt w:val="lowerLetter"/>
      <w:start w:val="1"/>
    </w:lvl>
  </w:abstractNum>
  <w:abstractNum w:abstractNumId="400">
    <w:nsid w:val="1187C70F"/>
    <w:multiLevelType w:val="hybridMultilevel"/>
    <w:lvl w:ilvl="0">
      <w:lvlJc w:val="left"/>
      <w:lvlText w:val="(%1)"/>
      <w:numFmt w:val="lowerLetter"/>
      <w:start w:val="7"/>
    </w:lvl>
  </w:abstractNum>
  <w:abstractNum w:abstractNumId="401">
    <w:nsid w:val="5476DE98"/>
    <w:multiLevelType w:val="hybridMultilevel"/>
    <w:lvl w:ilvl="0">
      <w:lvlJc w:val="left"/>
      <w:lvlText w:val="%1."/>
      <w:numFmt w:val="decimal"/>
      <w:start w:val="8"/>
    </w:lvl>
  </w:abstractNum>
  <w:abstractNum w:abstractNumId="402">
    <w:nsid w:val="EA697F2"/>
    <w:multiLevelType w:val="hybridMultilevel"/>
    <w:lvl w:ilvl="0">
      <w:lvlJc w:val="left"/>
      <w:lvlText w:val="(%1)"/>
      <w:numFmt w:val="lowerLetter"/>
      <w:start w:val="1"/>
    </w:lvl>
    <w:lvl w:ilvl="1">
      <w:lvlJc w:val="left"/>
      <w:lvlText w:val="(%2)"/>
      <w:numFmt w:val="lowerRoman"/>
      <w:start w:val="1"/>
    </w:lvl>
  </w:abstractNum>
  <w:abstractNum w:abstractNumId="403">
    <w:nsid w:val="70BA39EB"/>
    <w:multiLevelType w:val="hybridMultilevel"/>
    <w:lvl w:ilvl="0">
      <w:lvlJc w:val="left"/>
      <w:lvlText w:val="(%1)"/>
      <w:numFmt w:val="lowerLetter"/>
      <w:start w:val="3"/>
    </w:lvl>
  </w:abstractNum>
  <w:abstractNum w:abstractNumId="404">
    <w:nsid w:val="4A8DB59C"/>
    <w:multiLevelType w:val="hybridMultilevel"/>
    <w:lvl w:ilvl="0">
      <w:lvlJc w:val="left"/>
      <w:lvlText w:val="%1."/>
      <w:numFmt w:val="decimal"/>
      <w:start w:val="9"/>
    </w:lvl>
  </w:abstractNum>
  <w:abstractNum w:abstractNumId="405">
    <w:nsid w:val="1AFD9053"/>
    <w:multiLevelType w:val="hybridMultilevel"/>
    <w:lvl w:ilvl="0">
      <w:lvlJc w:val="left"/>
      <w:lvlText w:val="(%1)"/>
      <w:numFmt w:val="lowerLetter"/>
      <w:start w:val="1"/>
    </w:lvl>
  </w:abstractNum>
  <w:abstractNum w:abstractNumId="406">
    <w:nsid w:val="558BB10D"/>
    <w:multiLevelType w:val="hybridMultilevel"/>
    <w:lvl w:ilvl="0">
      <w:lvlJc w:val="left"/>
      <w:lvlText w:val="(%1)"/>
      <w:numFmt w:val="lowerLetter"/>
      <w:start w:val="2"/>
    </w:lvl>
  </w:abstractNum>
  <w:abstractNum w:abstractNumId="407">
    <w:nsid w:val="43B27FA7"/>
    <w:multiLevelType w:val="hybridMultilevel"/>
    <w:lvl w:ilvl="0">
      <w:lvlJc w:val="left"/>
      <w:lvlText w:val="(%1)"/>
      <w:numFmt w:val="lowerLetter"/>
      <w:start w:val="4"/>
    </w:lvl>
  </w:abstractNum>
  <w:abstractNum w:abstractNumId="408">
    <w:nsid w:val="27FADEFA"/>
    <w:multiLevelType w:val="hybridMultilevel"/>
    <w:lvl w:ilvl="0">
      <w:lvlJc w:val="left"/>
      <w:lvlText w:val="(%1)"/>
      <w:numFmt w:val="lowerLetter"/>
      <w:start w:val="7"/>
    </w:lvl>
  </w:abstractNum>
  <w:abstractNum w:abstractNumId="409">
    <w:nsid w:val="78BB805A"/>
    <w:multiLevelType w:val="hybridMultilevel"/>
    <w:lvl w:ilvl="0">
      <w:lvlJc w:val="left"/>
      <w:lvlText w:val="(%1)"/>
      <w:numFmt w:val="lowerLetter"/>
      <w:start w:val="9"/>
    </w:lvl>
  </w:abstractNum>
  <w:abstractNum w:abstractNumId="410">
    <w:nsid w:val="62548FD8"/>
    <w:multiLevelType w:val="hybridMultilevel"/>
    <w:lvl w:ilvl="0">
      <w:lvlJc w:val="left"/>
      <w:lvlText w:val="•"/>
      <w:numFmt w:val="bullet"/>
      <w:start w:val="1"/>
    </w:lvl>
  </w:abstractNum>
  <w:abstractNum w:abstractNumId="411">
    <w:nsid w:val="FA085B0"/>
    <w:multiLevelType w:val="hybridMultilevel"/>
    <w:lvl w:ilvl="0">
      <w:lvlJc w:val="left"/>
      <w:lvlText w:val="•"/>
      <w:numFmt w:val="bullet"/>
      <w:start w:val="1"/>
    </w:lvl>
  </w:abstractNum>
  <w:abstractNum w:abstractNumId="412">
    <w:nsid w:val="4E5DCB5"/>
    <w:multiLevelType w:val="hybridMultilevel"/>
    <w:lvl w:ilvl="0">
      <w:lvlJc w:val="left"/>
      <w:lvlText w:val="%1."/>
      <w:numFmt w:val="decimal"/>
      <w:start w:val="1"/>
    </w:lvl>
  </w:abstractNum>
  <w:abstractNum w:abstractNumId="413">
    <w:nsid w:val="41E96BDB"/>
    <w:multiLevelType w:val="hybridMultilevel"/>
    <w:lvl w:ilvl="0">
      <w:lvlJc w:val="left"/>
      <w:lvlText w:val="%1."/>
      <w:numFmt w:val="decimal"/>
      <w:start w:val="2"/>
    </w:lvl>
  </w:abstractNum>
  <w:abstractNum w:abstractNumId="414">
    <w:nsid w:val="331C4250"/>
    <w:multiLevelType w:val="hybridMultilevel"/>
    <w:lvl w:ilvl="0">
      <w:lvlJc w:val="left"/>
      <w:lvlText w:val="%1."/>
      <w:numFmt w:val="decimal"/>
      <w:start w:val="3"/>
    </w:lvl>
    <w:lvl w:ilvl="1">
      <w:lvlJc w:val="left"/>
      <w:lvlText w:val="%2"/>
      <w:numFmt w:val="upperLetter"/>
      <w:start w:val="1"/>
    </w:lvl>
  </w:abstractNum>
  <w:abstractNum w:abstractNumId="415">
    <w:nsid w:val="1B1493C2"/>
    <w:multiLevelType w:val="hybridMultilevel"/>
    <w:lvl w:ilvl="0">
      <w:lvlJc w:val="left"/>
      <w:lvlText w:val="%1."/>
      <w:numFmt w:val="decimal"/>
      <w:start w:val="4"/>
    </w:lvl>
    <w:lvl w:ilvl="1">
      <w:lvlJc w:val="left"/>
      <w:lvlText w:val="%2."/>
      <w:numFmt w:val="upperLetter"/>
      <w:start w:val="1"/>
    </w:lvl>
  </w:abstractNum>
  <w:abstractNum w:abstractNumId="416">
    <w:nsid w:val="39F06DFD"/>
    <w:multiLevelType w:val="hybridMultilevel"/>
    <w:lvl w:ilvl="0">
      <w:lvlJc w:val="left"/>
      <w:lvlText w:val="%1."/>
      <w:numFmt w:val="decimal"/>
      <w:start w:val="5"/>
    </w:lvl>
    <w:lvl w:ilvl="1">
      <w:lvlJc w:val="left"/>
      <w:lvlText w:val="%2."/>
      <w:numFmt w:val="upperLetter"/>
      <w:start w:val="1"/>
    </w:lvl>
  </w:abstractNum>
  <w:abstractNum w:abstractNumId="417">
    <w:nsid w:val="14802F5D"/>
    <w:multiLevelType w:val="hybridMultilevel"/>
    <w:lvl w:ilvl="0">
      <w:lvlJc w:val="left"/>
      <w:lvlText w:val="%1."/>
      <w:numFmt w:val="decimal"/>
      <w:start w:val="7"/>
    </w:lvl>
  </w:abstractNum>
  <w:abstractNum w:abstractNumId="418">
    <w:nsid w:val="2774A209"/>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419">
    <w:nsid w:val="3785655A"/>
    <w:multiLevelType w:val="hybridMultilevel"/>
    <w:lvl w:ilvl="0">
      <w:lvlJc w:val="left"/>
      <w:lvlText w:val="%1."/>
      <w:numFmt w:val="decimal"/>
      <w:start w:val="11"/>
    </w:lvl>
  </w:abstractNum>
  <w:abstractNum w:abstractNumId="420">
    <w:nsid w:val="B2172A"/>
    <w:multiLevelType w:val="hybridMultilevel"/>
    <w:lvl w:ilvl="0">
      <w:lvlJc w:val="left"/>
      <w:lvlText w:val="%1."/>
      <w:numFmt w:val="decimal"/>
      <w:start w:val="12"/>
    </w:lvl>
  </w:abstractNum>
  <w:abstractNum w:abstractNumId="421">
    <w:nsid w:val="532C34A5"/>
    <w:multiLevelType w:val="hybridMultilevel"/>
    <w:lvl w:ilvl="0">
      <w:lvlJc w:val="left"/>
      <w:lvlText w:val="%1."/>
      <w:numFmt w:val="decimal"/>
      <w:start w:val="13"/>
    </w:lvl>
    <w:lvl w:ilvl="1">
      <w:lvlJc w:val="left"/>
      <w:lvlText w:val="%2"/>
      <w:numFmt w:val="upperLetter"/>
      <w:start w:val="1"/>
    </w:lvl>
  </w:abstractNum>
  <w:abstractNum w:abstractNumId="422">
    <w:nsid w:val="102809E2"/>
    <w:multiLevelType w:val="hybridMultilevel"/>
    <w:lvl w:ilvl="0">
      <w:lvlJc w:val="left"/>
      <w:lvlText w:val="%1."/>
      <w:numFmt w:val="decimal"/>
      <w:start w:val="14"/>
    </w:lvl>
    <w:lvl w:ilvl="1">
      <w:lvlJc w:val="left"/>
      <w:lvlText w:val="%2."/>
      <w:numFmt w:val="upperLetter"/>
      <w:start w:val="1"/>
    </w:lvl>
  </w:abstractNum>
  <w:abstractNum w:abstractNumId="423">
    <w:nsid w:val="3B2125A3"/>
    <w:multiLevelType w:val="hybridMultilevel"/>
    <w:lvl w:ilvl="0">
      <w:lvlJc w:val="left"/>
      <w:lvlText w:val="%1."/>
      <w:numFmt w:val="decimal"/>
      <w:start w:val="1"/>
    </w:lvl>
  </w:abstractNum>
  <w:abstractNum w:abstractNumId="424">
    <w:nsid w:val="AC68FFB"/>
    <w:multiLevelType w:val="hybridMultilevel"/>
    <w:lvl w:ilvl="0">
      <w:lvlJc w:val="left"/>
      <w:lvlText w:val="%1."/>
      <w:numFmt w:val="decimal"/>
      <w:start w:val="2"/>
    </w:lvl>
  </w:abstractNum>
  <w:abstractNum w:abstractNumId="425">
    <w:nsid w:val="63DF3FB7"/>
    <w:multiLevelType w:val="hybridMultilevel"/>
    <w:lvl w:ilvl="0">
      <w:lvlJc w:val="left"/>
      <w:lvlText w:val="3"/>
      <w:numFmt w:val="bullet"/>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jpeg"/><Relationship Id="rId698" Type="http://schemas.openxmlformats.org/officeDocument/2006/relationships/image" Target="media/image691.png"/><Relationship Id="rId699" Type="http://schemas.openxmlformats.org/officeDocument/2006/relationships/image" Target="media/image692.jpe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jpeg"/><Relationship Id="rId749" Type="http://schemas.openxmlformats.org/officeDocument/2006/relationships/image" Target="media/image742.png"/><Relationship Id="rId750" Type="http://schemas.openxmlformats.org/officeDocument/2006/relationships/image" Target="media/image743.jpeg"/><Relationship Id="rId751" Type="http://schemas.openxmlformats.org/officeDocument/2006/relationships/image" Target="media/image744.png"/><Relationship Id="rId752" Type="http://schemas.openxmlformats.org/officeDocument/2006/relationships/image" Target="media/image745.jpe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jpe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2019-12-09T04:49:23Z</dcterms:created>
  <dcterms:modified xsi:type="dcterms:W3CDTF">2019-12-09T04:49:23Z</dcterms:modified>
</cp:coreProperties>
</file>