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5078dpre14a.htm"/>
        <w:bookmarkStart w:id="1" w:name="ksd45078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w:t>
            </w:r>
            <w:r>
              <w:rPr>
                <w:rFonts w:ascii="Times New Roman" w:hAnsi="Times New Roman"/>
                <w:sz w:val="20"/>
              </w:rPr>
              <w:t xml:space="preserve"> </w:t>
            </w:r>
            <w:r>
              <w:rPr>
                <w:rFonts w:ascii="Times New Roman" w:hAnsi="Times New Roman"/>
                <w:b/>
                <w:sz w:val="20"/>
              </w:rPr>
              <w:t>Use of the Commission Only</w:t>
            </w:r>
            <w:r>
              <w:rPr>
                <w:rFonts w:ascii="Times New Roman" w:hAnsi="Times New Roman"/>
                <w:sz w:val="20"/>
              </w:rPr>
              <w:t xml:space="preserve"> </w:t>
            </w:r>
            <w:r>
              <w:rPr>
                <w:rFonts w:ascii="Times New Roman" w:hAnsi="Times New Roman"/>
                <w:b/>
                <w:sz w:val="20"/>
              </w:rPr>
              <w:t>(as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Dear Shareholders of Wave Life Sciences Ltd.: </w:t>
      </w:r>
    </w:p>
    <w:p>
      <w:pPr>
        <w:pStyle w:val="TextBody"/>
        <w:bidi w:val="0"/>
        <w:spacing w:before="120" w:after="0"/>
        <w:jc w:val="left"/>
        <w:rPr>
          <w:rFonts w:ascii="Times New Roman" w:hAnsi="Times New Roman"/>
          <w:sz w:val="20"/>
        </w:rPr>
      </w:pPr>
      <w:r>
        <w:rPr>
          <w:rFonts w:ascii="Times New Roman" w:hAnsi="Times New Roman"/>
          <w:sz w:val="20"/>
        </w:rPr>
        <w:t>After a review by our board of directors and management team, we have determined that it is advisable to restructure our corporate group to cause the parent company of the group to be a Delaware corporation. We are making this proxy statement available in connection with the solicitation by the board of directors of Wave Life Sciences Ltd. (“</w:t>
      </w:r>
      <w:r>
        <w:rPr>
          <w:rFonts w:ascii="Times New Roman" w:hAnsi="Times New Roman"/>
          <w:b/>
          <w:sz w:val="20"/>
        </w:rPr>
        <w:t>Wave-Singapore</w:t>
      </w:r>
      <w:r>
        <w:rPr>
          <w:rFonts w:ascii="Times New Roman" w:hAnsi="Times New Roman"/>
          <w:sz w:val="20"/>
        </w:rPr>
        <w:t xml:space="preserve">”) of proxies to be voted at the shareholder meeting to be convened for the purposes set forth in the accompanying Notice of Special Meeting of Wave Life Sciences Ltd. Shareholders. </w:t>
      </w:r>
    </w:p>
    <w:p>
      <w:pPr>
        <w:pStyle w:val="TextBody"/>
        <w:bidi w:val="0"/>
        <w:spacing w:before="240" w:after="0"/>
        <w:jc w:val="left"/>
        <w:rPr>
          <w:rFonts w:ascii="Times New Roman" w:hAnsi="Times New Roman"/>
          <w:sz w:val="20"/>
        </w:rPr>
      </w:pPr>
      <w:r>
        <w:rPr>
          <w:rFonts w:ascii="Times New Roman" w:hAnsi="Times New Roman"/>
          <w:sz w:val="20"/>
        </w:rPr>
        <w:t>The board of directors of Wave-Singapore (the “</w:t>
      </w:r>
      <w:r>
        <w:rPr>
          <w:rFonts w:ascii="Times New Roman" w:hAnsi="Times New Roman"/>
          <w:b/>
          <w:sz w:val="20"/>
        </w:rPr>
        <w:t>Board</w:t>
      </w:r>
      <w:r>
        <w:rPr>
          <w:rFonts w:ascii="Times New Roman" w:hAnsi="Times New Roman"/>
          <w:sz w:val="20"/>
        </w:rPr>
        <w:t>” or the “</w:t>
      </w:r>
      <w:r>
        <w:rPr>
          <w:rFonts w:ascii="Times New Roman" w:hAnsi="Times New Roman"/>
          <w:b/>
          <w:sz w:val="20"/>
        </w:rPr>
        <w:t>Board of Directors</w:t>
      </w:r>
      <w:r>
        <w:rPr>
          <w:rFonts w:ascii="Times New Roman" w:hAnsi="Times New Roman"/>
          <w:sz w:val="20"/>
        </w:rPr>
        <w:t>”) has approved the entry by Wave-Singapore into an Implementation Agreement, dated as of April 15, 2026 the (“</w:t>
      </w:r>
      <w:r>
        <w:rPr>
          <w:rFonts w:ascii="Times New Roman" w:hAnsi="Times New Roman"/>
          <w:b/>
          <w:sz w:val="20"/>
        </w:rPr>
        <w:t>Implementation Agreement</w:t>
      </w:r>
      <w:r>
        <w:rPr>
          <w:rFonts w:ascii="Times New Roman" w:hAnsi="Times New Roman"/>
          <w:sz w:val="20"/>
        </w:rPr>
        <w:t>”), with a newly established Delaware corporation, Wave Life Sciences, Inc. (“</w:t>
      </w:r>
      <w:r>
        <w:rPr>
          <w:rFonts w:ascii="Times New Roman" w:hAnsi="Times New Roman"/>
          <w:b/>
          <w:sz w:val="20"/>
        </w:rPr>
        <w:t>Wave-Delaware</w:t>
      </w:r>
      <w:r>
        <w:rPr>
          <w:rFonts w:ascii="Times New Roman" w:hAnsi="Times New Roman"/>
          <w:sz w:val="20"/>
        </w:rPr>
        <w:t>”), relating to the restructuring of our corporate group. The Implementation Agreement provides for a statutory procedure known as a Scheme of Arrangement (the “</w:t>
      </w:r>
      <w:r>
        <w:rPr>
          <w:rFonts w:ascii="Times New Roman" w:hAnsi="Times New Roman"/>
          <w:b/>
          <w:sz w:val="20"/>
        </w:rPr>
        <w:t>Scheme of Arrangement</w:t>
      </w:r>
      <w:r>
        <w:rPr>
          <w:rFonts w:ascii="Times New Roman" w:hAnsi="Times New Roman"/>
          <w:sz w:val="20"/>
        </w:rPr>
        <w:t>”) to be implemented by Wave-Singapore and Wave-Delaware under Singapore law, subject to approval of the High Court of the Republic of Singapore (the “</w:t>
      </w:r>
      <w:r>
        <w:rPr>
          <w:rFonts w:ascii="Times New Roman" w:hAnsi="Times New Roman"/>
          <w:b/>
          <w:sz w:val="20"/>
        </w:rPr>
        <w:t>Singapore Court</w:t>
      </w:r>
      <w:r>
        <w:rPr>
          <w:rFonts w:ascii="Times New Roman" w:hAnsi="Times New Roman"/>
          <w:sz w:val="20"/>
        </w:rPr>
        <w:t xml:space="preserve">”). Pursuant to the Scheme of Arrangement, all issued ordinary shares in the capital of Wave-Singapore as of immediately prior to the effective time of the Scheme of Arrangement will be exchanged on a one-for-one basis for newly issued shares of common stock of Wave-Delaware, and Wave-Singapore will become a subsidiary of Wave-Delaware. </w:t>
      </w:r>
    </w:p>
    <w:p>
      <w:pPr>
        <w:pStyle w:val="TextBody"/>
        <w:bidi w:val="0"/>
        <w:spacing w:before="240" w:after="0"/>
        <w:jc w:val="left"/>
        <w:rPr>
          <w:rFonts w:ascii="Times New Roman" w:hAnsi="Times New Roman"/>
          <w:sz w:val="20"/>
        </w:rPr>
      </w:pPr>
      <w:r>
        <w:rPr>
          <w:rFonts w:ascii="Times New Roman" w:hAnsi="Times New Roman"/>
          <w:sz w:val="20"/>
        </w:rPr>
        <w:t>There are compelling reasons to redomicile the parent company of our group in the United States. After considering various factors, the Board unanimously determined that restructuring our corporate group to cause the parent company of our group to be an entity incorporated in Delaware is in the best interests of our company and its shareholders and will best help us accomplish our strategic objectives. We believe that redomiciling our parent company to the United States will, among other benefits, simplify and streamline the organizational, statutory and regulatory structure of the Wave group of companies, resulting in administrative efficiencies and reducing dual financial reporting, regulatory, legal and other compliance costs, for the benefit of shareholders and align the legal framework governing the Wave group of companies with our operational footprint. Through our listing on the Nasdaq Global Market (“</w:t>
      </w:r>
      <w:r>
        <w:rPr>
          <w:rFonts w:ascii="Times New Roman" w:hAnsi="Times New Roman"/>
          <w:b/>
          <w:sz w:val="20"/>
        </w:rPr>
        <w:t>Nasdaq</w:t>
      </w:r>
      <w:r>
        <w:rPr>
          <w:rFonts w:ascii="Times New Roman" w:hAnsi="Times New Roman"/>
          <w:sz w:val="20"/>
        </w:rPr>
        <w:t xml:space="preserve">”), the majority of our operations, our corporate headquarters, the majority of our operating assets, including our manufacturing and research and development facilities, along with the majority of our employees, management team and board of directors being in the United States, we already have a substantial presence in the United States. The reasons for the transaction are discussed in further detail in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For you, our shareholders, much will remain the same following the time the Scheme of Arrangement comes into effect. If the Scheme of Arrangement takes effect, your rights with respect to the Wave-Delaware capital stock will be substantially the same as those currently in effect with respect to your Wave-Singapore shares. Upon the Scheme of Arrangement becoming effective, holders of Wave-Delaware capital stock will have the same proportionate interest in the profits, net assets and dividends of the Wave group of companies as they had immediately prior to the effective date of the Scheme of Arrangement as a holder of Wave-Singapore shares. However, there will be some differences in your shareholder rights, given the differences in the laws between Singapore and Delaware. In addition, there are differences between Wave-Singapore’s constitution and Wave-Delaware’s amended and restated certificate of incorporation and amended and restated bylaws as they will be in effect upon the completion of the Scheme of Arrangement. We have included a detailed chart outlining these differences in the attached proxy statement in the section titled “</w:t>
      </w:r>
      <w:r>
        <w:rPr>
          <w:rFonts w:ascii="Times New Roman" w:hAnsi="Times New Roman"/>
          <w:i/>
          <w:sz w:val="20"/>
        </w:rPr>
        <w:t>Comparison of Rights of Singapore Shareholders and Delaware Shareholders</w:t>
      </w:r>
      <w:r>
        <w:rPr>
          <w:rFonts w:ascii="Times New Roman" w:hAnsi="Times New Roman"/>
          <w:sz w:val="20"/>
        </w:rPr>
        <w:t xml:space="preserve">,” which begins on page [ ]. </w:t>
      </w:r>
    </w:p>
    <w:p>
      <w:pPr>
        <w:pStyle w:val="TextBody"/>
        <w:bidi w:val="0"/>
        <w:spacing w:before="240" w:after="0"/>
        <w:jc w:val="left"/>
        <w:rPr>
          <w:rFonts w:ascii="Times New Roman" w:hAnsi="Times New Roman"/>
          <w:sz w:val="20"/>
        </w:rPr>
      </w:pPr>
      <w:r>
        <w:rPr>
          <w:rFonts w:ascii="Times New Roman" w:hAnsi="Times New Roman"/>
          <w:sz w:val="20"/>
        </w:rPr>
        <w:t>Just as is the case today with our ordinary shares, upon completion of the transaction, the shares of common stock of Wave-Delaware will trade on Nasdaq, under the symbol “WVE.” We will remain subject to the reporting requirements of the U.S. Securities and Exchange Commission (the “</w:t>
      </w:r>
      <w:r>
        <w:rPr>
          <w:rFonts w:ascii="Times New Roman" w:hAnsi="Times New Roman"/>
          <w:b/>
          <w:sz w:val="20"/>
        </w:rPr>
        <w:t>SEC</w:t>
      </w:r>
      <w:r>
        <w:rPr>
          <w:rFonts w:ascii="Times New Roman" w:hAnsi="Times New Roman"/>
          <w:sz w:val="20"/>
        </w:rPr>
        <w:t>”), the mandates of the Sarbanes-Oxley Act of 2002 and the applicable corporate governance rules of Nasdaq. We will continue to report our consolidated financial results in U.S. dollars and under U.S. generally accepted accounting principles (“</w:t>
      </w:r>
      <w:r>
        <w:rPr>
          <w:rFonts w:ascii="Times New Roman" w:hAnsi="Times New Roman"/>
          <w:b/>
          <w:sz w:val="20"/>
        </w:rPr>
        <w:t>U.S. GAAP</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Subject to the discussion included herein, it is intended that holders of our ordinary shares will not recognize any gain or loss for U.S. federal income tax purposes in connection with the transaction. Holders of ordinary shares of Wave-Singapore will be asked to vote on a proposal to approve the Scheme of Arrangement attached as Annex A to this proxy statement (the “</w:t>
      </w:r>
      <w:r>
        <w:rPr>
          <w:rFonts w:ascii="Times New Roman" w:hAnsi="Times New Roman"/>
          <w:b/>
          <w:sz w:val="20"/>
        </w:rPr>
        <w:t>Wave Redomiciliation Proposal</w:t>
      </w:r>
      <w:r>
        <w:rPr>
          <w:rFonts w:ascii="Times New Roman" w:hAnsi="Times New Roman"/>
          <w:sz w:val="20"/>
        </w:rPr>
        <w:t>”) at a meeting of Wave-Singapore’s shareholders that has been directed to be convened by the Singapore Court (the “</w:t>
      </w:r>
      <w:r>
        <w:rPr>
          <w:rFonts w:ascii="Times New Roman" w:hAnsi="Times New Roman"/>
          <w:b/>
          <w:sz w:val="20"/>
        </w:rPr>
        <w:t>Special Meeting</w:t>
      </w:r>
      <w:r>
        <w:rPr>
          <w:rFonts w:ascii="Times New Roman" w:hAnsi="Times New Roman"/>
          <w:sz w:val="20"/>
        </w:rPr>
        <w:t xml:space="preserve">”) on [ ], 2026, at [ ] Eastern time. The Special Meeting will be held in person at 733 Concord Avenue, Cambridge, MA 02138. At the Special Meeting, Wave-Singapore shareholders will be asked to approve the Wave Redomiciliation Proposal. The Wave Redomiciliation Proposal will also require the approval of the Singapore Court.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provides you with detailed information regarding the transaction contemplated by the Wave Redomiciliation Proposal. We encourage you to read this entire document carefully. </w:t>
      </w:r>
      <w:r>
        <w:rPr>
          <w:rFonts w:ascii="Times New Roman" w:hAnsi="Times New Roman"/>
          <w:b/>
          <w:sz w:val="20"/>
        </w:rPr>
        <w:t xml:space="preserve">You should carefully consider </w:t>
      </w:r>
      <w:r>
        <w:rPr>
          <w:rFonts w:ascii="Times New Roman" w:hAnsi="Times New Roman"/>
          <w:sz w:val="20"/>
        </w:rPr>
        <w:t>“</w:t>
      </w:r>
      <w:r>
        <w:rPr>
          <w:rFonts w:ascii="Times New Roman" w:hAnsi="Times New Roman"/>
          <w:b/>
          <w:i/>
          <w:sz w:val="20"/>
        </w:rPr>
        <w:t>Risk Factors</w:t>
      </w:r>
      <w:r>
        <w:rPr>
          <w:rFonts w:ascii="Times New Roman" w:hAnsi="Times New Roman"/>
          <w:sz w:val="20"/>
        </w:rPr>
        <w:t xml:space="preserve">” </w:t>
      </w:r>
      <w:r>
        <w:rPr>
          <w:rFonts w:ascii="Times New Roman" w:hAnsi="Times New Roman"/>
          <w:b/>
          <w:sz w:val="20"/>
        </w:rPr>
        <w:t>beginning on page</w:t>
      </w:r>
      <w:r>
        <w:rPr>
          <w:rFonts w:ascii="Times New Roman" w:hAnsi="Times New Roman"/>
          <w:sz w:val="20"/>
        </w:rPr>
        <w:t xml:space="preserve"> </w:t>
      </w:r>
      <w:r>
        <w:rPr>
          <w:rFonts w:ascii="Times New Roman" w:hAnsi="Times New Roman"/>
          <w:b/>
          <w:sz w:val="20"/>
        </w:rPr>
        <w:t>[ ]</w:t>
      </w:r>
      <w:r>
        <w:rPr>
          <w:rFonts w:ascii="Times New Roman" w:hAnsi="Times New Roman"/>
          <w:sz w:val="20"/>
        </w:rPr>
        <w:t xml:space="preserve"> </w:t>
      </w:r>
      <w:r>
        <w:rPr>
          <w:rFonts w:ascii="Times New Roman" w:hAnsi="Times New Roman"/>
          <w:b/>
          <w:sz w:val="20"/>
        </w:rPr>
        <w:t>for</w:t>
      </w:r>
      <w:r>
        <w:rPr>
          <w:rFonts w:ascii="Times New Roman" w:hAnsi="Times New Roman"/>
          <w:sz w:val="20"/>
        </w:rPr>
        <w:t xml:space="preserve"> </w:t>
      </w:r>
      <w:r>
        <w:rPr>
          <w:rFonts w:ascii="Times New Roman" w:hAnsi="Times New Roman"/>
          <w:b/>
          <w:sz w:val="20"/>
        </w:rPr>
        <w:t>a discussion of potential risks before voting.</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has unanimously determined that the Scheme of Arrangement is advisable and in the best interests of Wave-Singapore and its shareholders and recommends that Wave-Singapore shareholders vote “FOR” the approval of the Wave Redomiciliation Proposal. </w:t>
      </w:r>
    </w:p>
    <w:p>
      <w:pPr>
        <w:pStyle w:val="TextBody"/>
        <w:bidi w:val="0"/>
        <w:spacing w:before="240" w:after="0"/>
        <w:jc w:val="left"/>
        <w:rPr>
          <w:rFonts w:ascii="Times New Roman" w:hAnsi="Times New Roman"/>
          <w:sz w:val="20"/>
        </w:rPr>
      </w:pPr>
      <w:r>
        <w:rPr>
          <w:rFonts w:ascii="Times New Roman" w:hAnsi="Times New Roman"/>
          <w:i/>
          <w:sz w:val="20"/>
        </w:rPr>
        <w:t>Please mark, date, sign and return the enclosed proxy card</w:t>
      </w:r>
      <w:r>
        <w:rPr>
          <w:rFonts w:ascii="Times New Roman" w:hAnsi="Times New Roman"/>
          <w:sz w:val="20"/>
        </w:rPr>
        <w:t xml:space="preserve"> in the enclosed, postage-paid envelope as promptly as possible, as described in the attached proxy statement, so that your shares may be represented at the Special Meeting and voted in accordance with your wishes. For detailed information regarding eligibility to vote at, and voting procedures for, the Special Meeting, please refer to “</w:t>
      </w:r>
      <w:r>
        <w:rPr>
          <w:rFonts w:ascii="Times New Roman" w:hAnsi="Times New Roman"/>
          <w:i/>
          <w:sz w:val="20"/>
        </w:rPr>
        <w:t>The Special Meeting—Record Date; Voting Rights; Votes Required for</w:t>
      </w:r>
      <w:r>
        <w:rPr>
          <w:rFonts w:ascii="Times New Roman" w:hAnsi="Times New Roman"/>
          <w:sz w:val="20"/>
        </w:rPr>
        <w:t xml:space="preserve"> </w:t>
      </w:r>
      <w:r>
        <w:rPr>
          <w:rFonts w:ascii="Times New Roman" w:hAnsi="Times New Roman"/>
          <w:i/>
          <w:sz w:val="20"/>
        </w:rPr>
        <w:t>Approval</w:t>
      </w:r>
      <w:r>
        <w:rPr>
          <w:rFonts w:ascii="Times New Roman" w:hAnsi="Times New Roman"/>
          <w:sz w:val="20"/>
        </w:rPr>
        <w:t xml:space="preserve">” starting on page [ ] of the accompanying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If you have any questions about the meeting, or if you require assistance, please call Innisfree M&amp;A Incorporated (“Innisfree”) our proxy solicitor, at (877) 750-0510 (toll free). </w:t>
      </w:r>
    </w:p>
    <w:p>
      <w:pPr>
        <w:pStyle w:val="TextBody"/>
        <w:bidi w:val="0"/>
        <w:spacing w:before="240" w:after="0"/>
        <w:jc w:val="left"/>
        <w:rPr>
          <w:rFonts w:ascii="Times New Roman" w:hAnsi="Times New Roman"/>
          <w:sz w:val="20"/>
        </w:rPr>
      </w:pPr>
      <w:r>
        <w:rPr>
          <w:rFonts w:ascii="Times New Roman" w:hAnsi="Times New Roman"/>
          <w:sz w:val="20"/>
        </w:rPr>
        <w:t xml:space="preserve">When you have finished reading the attached proxy statement, you are urged to vote in accordance with the instructions set forth in the proxy statement. We encourage you to vote by proxy so that your shares will be represented and voted at the Special Meeting, whether or not you can attend. Thank you for your continued support of Wave-Singapore.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2"/>
        <w:gridCol w:w="61"/>
        <w:gridCol w:w="3999"/>
      </w:tblGrid>
      <w:tr>
        <w:trPr/>
        <w:tc>
          <w:tcPr>
            <w:tcW w:w="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060"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999" w:type="dxa"/>
            <w:tcBorders>
              <w:bottom w:val="single" w:sz="2" w:space="0" w:color="000000"/>
            </w:tcBorders>
            <w:tcMar>
              <w:bottom w:w="28" w:type="dxa"/>
            </w:tcMar>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283"/>
              <w:jc w:val="left"/>
              <w:rPr/>
            </w:pPr>
            <w:r>
              <w:rPr/>
              <w:t>Paul B. Bolno, M.D., MBA</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283"/>
              <w:jc w:val="left"/>
              <w:rPr>
                <w:i/>
              </w:rPr>
            </w:pPr>
            <w:r>
              <w:rPr>
                <w:i/>
              </w:rPr>
              <w:t>President, Chief Executive Officer and Director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(Incorporated in the Republic of Singapore) </w:t>
      </w:r>
    </w:p>
    <w:p>
      <w:pPr>
        <w:pStyle w:val="TextBody"/>
        <w:bidi w:val="0"/>
        <w:spacing w:before="0" w:after="0"/>
        <w:jc w:val="center"/>
        <w:rPr>
          <w:rFonts w:ascii="Times New Roman" w:hAnsi="Times New Roman"/>
          <w:b/>
          <w:sz w:val="20"/>
        </w:rPr>
      </w:pPr>
      <w:r>
        <w:rPr>
          <w:rFonts w:ascii="Times New Roman" w:hAnsi="Times New Roman"/>
          <w:b/>
          <w:sz w:val="20"/>
        </w:rPr>
        <w:t xml:space="preserve">(Company Registration Number 201218209G)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WAVE LIFE SCIENCES LTD.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[ ], 2026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 THE GENERAL DIVISION OF THE HIGH COURT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 THE REPUBLIC OF SINGAPORE </w:t>
      </w:r>
    </w:p>
    <w:p>
      <w:pPr>
        <w:pStyle w:val="TextBody"/>
        <w:bidi w:val="0"/>
        <w:spacing w:before="240" w:after="0"/>
        <w:jc w:val="left"/>
        <w:rPr>
          <w:rFonts w:ascii="Times New Roman" w:hAnsi="Times New Roman"/>
          <w:sz w:val="20"/>
        </w:rPr>
      </w:pPr>
      <w:r>
        <w:rPr>
          <w:rFonts w:ascii="Times New Roman" w:hAnsi="Times New Roman"/>
          <w:sz w:val="20"/>
        </w:rPr>
        <w:t xml:space="preserve">Case No.: HC/OA [_]/2026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In the Matter of Section 210 of the</w:t>
              <w:br/>
              <w:t>Companies Act 1967</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And     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the Matter of Wave Life Sciences Ltd.</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WAVE LIFE SCIENCES LTD.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(Singapore UEN No.: 201218209G)</w:t>
            </w:r>
          </w:p>
        </w:tc>
      </w:tr>
    </w:tbl>
    <w:p>
      <w:pPr>
        <w:pStyle w:val="TextBody"/>
        <w:bidi w:val="0"/>
        <w:spacing w:before="240" w:after="0"/>
        <w:jc w:val="right"/>
        <w:rPr>
          <w:rFonts w:ascii="Times New Roman" w:hAnsi="Times New Roman"/>
          <w:sz w:val="20"/>
        </w:rPr>
      </w:pPr>
      <w:r>
        <w:rPr>
          <w:rFonts w:ascii="Times New Roman" w:hAnsi="Times New Roman"/>
          <w:sz w:val="20"/>
        </w:rPr>
        <w:t xml:space="preserve">Applicant </w:t>
      </w:r>
    </w:p>
    <w:p>
      <w:pPr>
        <w:pStyle w:val="TextBody"/>
        <w:bidi w:val="0"/>
        <w:spacing w:before="240" w:after="0"/>
        <w:jc w:val="center"/>
        <w:rPr>
          <w:rFonts w:ascii="Times New Roman" w:hAnsi="Times New Roman"/>
          <w:b/>
          <w:sz w:val="20"/>
        </w:rPr>
      </w:pPr>
      <w:r>
        <w:rPr>
          <w:rFonts w:ascii="Times New Roman" w:hAnsi="Times New Roman"/>
          <w:b/>
          <w:sz w:val="20"/>
        </w:rPr>
        <w:t xml:space="preserve">SCHEME OF ARRANGEMENT </w:t>
      </w:r>
    </w:p>
    <w:p>
      <w:pPr>
        <w:pStyle w:val="TextBody"/>
        <w:bidi w:val="0"/>
        <w:spacing w:before="240" w:after="0"/>
        <w:jc w:val="center"/>
        <w:rPr>
          <w:rFonts w:ascii="Times New Roman" w:hAnsi="Times New Roman"/>
          <w:b/>
          <w:sz w:val="20"/>
        </w:rPr>
      </w:pPr>
      <w:r>
        <w:rPr>
          <w:rFonts w:ascii="Times New Roman" w:hAnsi="Times New Roman"/>
          <w:b/>
          <w:sz w:val="20"/>
        </w:rPr>
        <w:t xml:space="preserve">under Section 210 of the Companies Act 1967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240" w:after="0"/>
        <w:jc w:val="center"/>
        <w:rPr>
          <w:rFonts w:ascii="Times New Roman" w:hAnsi="Times New Roman"/>
          <w:sz w:val="20"/>
        </w:rPr>
      </w:pPr>
      <w:r>
        <w:rPr>
          <w:rFonts w:ascii="Times New Roman" w:hAnsi="Times New Roman"/>
          <w:sz w:val="20"/>
        </w:rPr>
        <w:t>a public company limited by shares incorporated under the laws of the Republic of Singapore (“</w:t>
      </w:r>
      <w:r>
        <w:rPr>
          <w:rFonts w:ascii="Times New Roman" w:hAnsi="Times New Roman"/>
          <w:b/>
          <w:sz w:val="20"/>
        </w:rPr>
        <w:t>Wave-Singapore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Shareholders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b/>
          <w:sz w:val="20"/>
        </w:rPr>
        <w:t>Wave Life Sciences, Inc.</w:t>
      </w:r>
      <w:r>
        <w:rPr>
          <w:rFonts w:ascii="Times New Roman" w:hAnsi="Times New Roman"/>
          <w:sz w:val="20"/>
        </w:rPr>
        <w:t>, a Delaware corporation (“</w:t>
      </w:r>
      <w:r>
        <w:rPr>
          <w:rFonts w:ascii="Times New Roman" w:hAnsi="Times New Roman"/>
          <w:b/>
          <w:sz w:val="20"/>
        </w:rPr>
        <w:t>Wave-Delaware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NOTICE OF MEETING </w:t>
      </w:r>
    </w:p>
    <w:p>
      <w:pPr>
        <w:pStyle w:val="TextBody"/>
        <w:bidi w:val="0"/>
        <w:spacing w:before="240" w:after="0"/>
        <w:jc w:val="left"/>
        <w:rPr>
          <w:rFonts w:ascii="Times New Roman" w:hAnsi="Times New Roman"/>
          <w:sz w:val="20"/>
        </w:rPr>
      </w:pPr>
      <w:r>
        <w:rPr>
          <w:rFonts w:ascii="Times New Roman" w:hAnsi="Times New Roman"/>
          <w:sz w:val="20"/>
        </w:rPr>
        <w:t xml:space="preserve">To Our Shareholders: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by an Order of Court made in the above matter, the General Division of the High Court of the Republic of Singapore (the “</w:t>
      </w:r>
      <w:r>
        <w:rPr>
          <w:rFonts w:ascii="Times New Roman" w:hAnsi="Times New Roman"/>
          <w:b/>
          <w:sz w:val="20"/>
        </w:rPr>
        <w:t>Singapore Court</w:t>
      </w:r>
      <w:r>
        <w:rPr>
          <w:rFonts w:ascii="Times New Roman" w:hAnsi="Times New Roman"/>
          <w:sz w:val="20"/>
        </w:rPr>
        <w:t>”) has directed a meeting (the “</w:t>
      </w:r>
      <w:r>
        <w:rPr>
          <w:rFonts w:ascii="Times New Roman" w:hAnsi="Times New Roman"/>
          <w:b/>
          <w:sz w:val="20"/>
        </w:rPr>
        <w:t>Special</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of the shareholders of Wave-Singapore to be convened, and such Special Meeting shall be held in person at 733 Concord Avenue, Cambridge, MA 02138, on [ ], 2026 at [ ] Eastern time, for the purpose of considering and, if thought fit, approving the following resolution. All capitalized terms used in this Notice which are not defined in this Notice shall have the meanings given to them in the proxy statement of which this Notice forms a part.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THE SCHEME RESOLUTION </w:t>
      </w:r>
    </w:p>
    <w:p>
      <w:pPr>
        <w:pStyle w:val="TextBody"/>
        <w:bidi w:val="0"/>
        <w:spacing w:before="120" w:after="0"/>
        <w:jc w:val="left"/>
        <w:rPr>
          <w:rFonts w:ascii="Times New Roman" w:hAnsi="Times New Roman"/>
          <w:b/>
          <w:sz w:val="20"/>
        </w:rPr>
      </w:pPr>
      <w:r>
        <w:rPr>
          <w:rFonts w:ascii="Times New Roman" w:hAnsi="Times New Roman"/>
          <w:b/>
          <w:sz w:val="20"/>
        </w:rPr>
        <w:t xml:space="preserve">RESOLVED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of Arrangement proposed to be made pursuant to Section 210 of the Companies Act 1967 between (i) Wave-Singapore, (ii) the shareholders of Wave-Singapore and (iii) Wave-Delaware, a copy of which has been circulated with the Notice convening this Special Meeting, be and is hereby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of Wave-Singapore be and are hereby severally authorized to complete and do all such acts and things (including executing all such documents) as the directors may consider expedient or necessary or in the interests of Wave-Singapore to give effect to the Scheme of Arrangement. </w:t>
            </w:r>
          </w:p>
        </w:tc>
      </w:tr>
    </w:tbl>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Notes About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 copy of the said Scheme of Arrangement and the information required to be furnished pursuant to Section 211 of the Companies Act 1967 are incorporated in the proxy statement of which this Notice forms a part. </w:t>
      </w:r>
    </w:p>
    <w:p>
      <w:pPr>
        <w:pStyle w:val="TextBody"/>
        <w:bidi w:val="0"/>
        <w:spacing w:before="240" w:after="0"/>
        <w:jc w:val="left"/>
        <w:rPr>
          <w:rFonts w:ascii="Times New Roman" w:hAnsi="Times New Roman"/>
          <w:sz w:val="20"/>
        </w:rPr>
      </w:pPr>
      <w:r>
        <w:rPr>
          <w:rFonts w:ascii="Times New Roman" w:hAnsi="Times New Roman"/>
          <w:sz w:val="20"/>
        </w:rPr>
        <w:t>For the purposes of this Notice, the proxy statement of which this Notice forms a part and the Special Meeting, and for the purpose of determining the Wave-Singapore shareholders present and voting at the Special Meeting, “</w:t>
      </w:r>
      <w:r>
        <w:rPr>
          <w:rFonts w:ascii="Times New Roman" w:hAnsi="Times New Roman"/>
          <w:b/>
          <w:sz w:val="20"/>
        </w:rPr>
        <w:t>Scheme Shareholders</w:t>
      </w:r>
      <w:r>
        <w:rPr>
          <w:rFonts w:ascii="Times New Roman" w:hAnsi="Times New Roman"/>
          <w:sz w:val="20"/>
        </w:rPr>
        <w:t>” means (i) persons who are registered as holders of ordinary shares in the capital of Wave-Singapore in the Register of Members of Wave-Singapore, other than CEDE &amp; Co. (each, a “</w:t>
      </w:r>
      <w:r>
        <w:rPr>
          <w:rFonts w:ascii="Times New Roman" w:hAnsi="Times New Roman"/>
          <w:b/>
          <w:sz w:val="20"/>
        </w:rPr>
        <w:t>Registered Holder</w:t>
      </w:r>
      <w:r>
        <w:rPr>
          <w:rFonts w:ascii="Times New Roman" w:hAnsi="Times New Roman"/>
          <w:sz w:val="20"/>
        </w:rPr>
        <w:t>”), and (ii) persons who are registered as holders of ordinary shares in the capital of Wave-Singapore in book entry form on the register of The Depository Trust Company (“</w:t>
      </w:r>
      <w:r>
        <w:rPr>
          <w:rFonts w:ascii="Times New Roman" w:hAnsi="Times New Roman"/>
          <w:b/>
          <w:sz w:val="20"/>
        </w:rPr>
        <w:t>DTC</w:t>
      </w:r>
      <w:r>
        <w:rPr>
          <w:rFonts w:ascii="Times New Roman" w:hAnsi="Times New Roman"/>
          <w:sz w:val="20"/>
        </w:rPr>
        <w:t>”), which shares are held through CEDE &amp; Co. (“</w:t>
      </w:r>
      <w:r>
        <w:rPr>
          <w:rFonts w:ascii="Times New Roman" w:hAnsi="Times New Roman"/>
          <w:b/>
          <w:sz w:val="20"/>
        </w:rPr>
        <w:t>CEDE</w:t>
      </w:r>
      <w:r>
        <w:rPr>
          <w:rFonts w:ascii="Times New Roman" w:hAnsi="Times New Roman"/>
          <w:sz w:val="20"/>
        </w:rPr>
        <w:t>”) as the registered holder of the said Wave-Singapore ordinary shares on the Register of Members of Wave-Singapore (each, a “</w:t>
      </w:r>
      <w:r>
        <w:rPr>
          <w:rFonts w:ascii="Times New Roman" w:hAnsi="Times New Roman"/>
          <w:b/>
          <w:sz w:val="20"/>
        </w:rPr>
        <w:t>DTC Participant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Accordingly, for the purposes of determining the Wave-Singapore shareholders present and voting at the Special Meeting, CEDE, as nominee of DTC, shall be deemed </w:t>
      </w:r>
      <w:r>
        <w:rPr>
          <w:rFonts w:ascii="Times New Roman" w:hAnsi="Times New Roman"/>
          <w:sz w:val="20"/>
          <w:u w:val="single"/>
        </w:rPr>
        <w:t>not</w:t>
      </w:r>
      <w:r>
        <w:rPr>
          <w:rFonts w:ascii="Times New Roman" w:hAnsi="Times New Roman"/>
          <w:sz w:val="20"/>
        </w:rPr>
        <w:t xml:space="preserve"> to be a Scheme Shareholder, and instead, each DTC Participant shall be deemed to be a Scheme Shareholder in respect of such number of Wave-Singapore ordinary shares held in such DTC Participant’s account under CEDE. </w:t>
      </w:r>
    </w:p>
    <w:p>
      <w:pPr>
        <w:pStyle w:val="TextBody"/>
        <w:bidi w:val="0"/>
        <w:spacing w:before="240" w:after="0"/>
        <w:jc w:val="left"/>
        <w:rPr>
          <w:rFonts w:ascii="Times New Roman" w:hAnsi="Times New Roman"/>
          <w:sz w:val="20"/>
        </w:rPr>
      </w:pPr>
      <w:r>
        <w:rPr>
          <w:rFonts w:ascii="Times New Roman" w:hAnsi="Times New Roman"/>
          <w:sz w:val="20"/>
        </w:rPr>
        <w:t>A Scheme Shareholder who was a shareholder as of [ ], 2026, being the record date for the Special Meeting (the “</w:t>
      </w:r>
      <w:r>
        <w:rPr>
          <w:rFonts w:ascii="Times New Roman" w:hAnsi="Times New Roman"/>
          <w:b/>
          <w:sz w:val="20"/>
        </w:rPr>
        <w:t>Record Date</w:t>
      </w:r>
      <w:r>
        <w:rPr>
          <w:rFonts w:ascii="Times New Roman" w:hAnsi="Times New Roman"/>
          <w:sz w:val="20"/>
        </w:rPr>
        <w:t xml:space="preserve">”), may vote in person at the Special Meeting or may appoint one (and not more than one) person, whether a Scheme Shareholder or not, as his or her proxy to attend and vote in his or her stead. </w:t>
      </w:r>
    </w:p>
    <w:p>
      <w:pPr>
        <w:pStyle w:val="TextBody"/>
        <w:bidi w:val="0"/>
        <w:spacing w:before="240" w:after="0"/>
        <w:jc w:val="left"/>
        <w:rPr>
          <w:rFonts w:ascii="Times New Roman" w:hAnsi="Times New Roman"/>
          <w:sz w:val="20"/>
        </w:rPr>
      </w:pPr>
      <w:r>
        <w:rPr>
          <w:rFonts w:ascii="Times New Roman" w:hAnsi="Times New Roman"/>
          <w:sz w:val="20"/>
        </w:rPr>
        <w:t xml:space="preserve">A Scheme Shareholder who is not a DTC Participant may only cast all its votes at the Special Meeting (whether in person or by proxy) in one way, and may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its Wave-Singapore ordinary shares “</w:t>
            </w:r>
            <w:r>
              <w:rPr>
                <w:rFonts w:ascii="Times New Roman" w:hAnsi="Times New Roman"/>
                <w:b/>
                <w:sz w:val="20"/>
              </w:rPr>
              <w:t>FOR</w:t>
            </w:r>
            <w:r>
              <w:rPr>
                <w:rFonts w:ascii="Times New Roman" w:hAnsi="Times New Roman"/>
                <w:sz w:val="20"/>
              </w:rPr>
              <w:t xml:space="preserve">”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of its Wave-Singapore ordinary shares “</w:t>
            </w:r>
            <w:r>
              <w:rPr>
                <w:rFonts w:ascii="Times New Roman" w:hAnsi="Times New Roman"/>
                <w:b/>
                <w:sz w:val="20"/>
              </w:rPr>
              <w:t>AGAINST</w:t>
            </w:r>
            <w:r>
              <w:rPr>
                <w:rFonts w:ascii="Times New Roman" w:hAnsi="Times New Roman"/>
                <w:sz w:val="20"/>
              </w:rPr>
              <w:t xml:space="preserve">” the Scheme of Arrangement;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of its Wave-Singapore ordinary shares.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Scheme Shareholder who is a DTC Participant need not vote the Wave-Singapore ordinary shares registered in its name in the same way. Accordingly, a DTC Participant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FOR</w:t>
            </w:r>
            <w:r>
              <w:rPr>
                <w:rFonts w:ascii="Times New Roman" w:hAnsi="Times New Roman"/>
                <w:sz w:val="20"/>
              </w:rPr>
              <w:t xml:space="preserve">” the Scheme of Arrangement, which part shall be counted as approving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AGAINST</w:t>
            </w:r>
            <w:r>
              <w:rPr>
                <w:rFonts w:ascii="Times New Roman" w:hAnsi="Times New Roman"/>
                <w:sz w:val="20"/>
              </w:rPr>
              <w:t xml:space="preserve">” the Scheme of Arrangement, which part shall be counted as against approving the Scheme of Arrangement;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or part of its Wave-Singapore ordinary shares, which part shall not be counted in determining the Wave-Singapore ordinary shares that are present and voting on the Scheme of Arrangement.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Scheme of Arrangement is approved by a majority in number of Scheme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Wave-Singapore shall treat each proxy duly appointed by each Scheme Shareholder who is not a DTC Participant and who casts a vote in respect of its shares for or against the Scheme of Arrangement as casting one (1) vote. Where a person has been appointed as proxy of more than one (1) Scheme Shareholder to vote at the Special Meeting, the votes of such person shall be counted as the votes of the number of appointing Scheme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Scheme Shareholder who is a DTC Participant casts votes both for and against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in favor of the Scheme of Arrangement if the DTC Participant casts more votes for the Scheme of Arrangement than against the Scheme of Arrangement in aggregate, in respect of all the Wave-Singapore ordinary shares held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against the Scheme of Arrangement if the DTC Participant casts more votes against the Scheme of Arrangement than for the Scheme of Arrangement in aggregate, in respect of all the Wave-Singapore ordinary shares held by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for and one (1) vote against the Scheme of Arrangement if the DTC Participant casts equal votes for and against the Scheme of Arrangement in aggregate, in respect of all Wave-Singapore ordinary shares held by 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Scheme Shareholder represented in person or by proxy at the Special Meeting is entitled to one vote per Wave-Singapore ordinary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 form of proxy applicable for the Special Meeting is enclosed with the proxy statement of which this Notice forms a part. </w:t>
      </w:r>
    </w:p>
    <w:p>
      <w:pPr>
        <w:pStyle w:val="TextBody"/>
        <w:bidi w:val="0"/>
        <w:spacing w:before="240" w:after="0"/>
        <w:jc w:val="left"/>
        <w:rPr>
          <w:rFonts w:ascii="Times New Roman" w:hAnsi="Times New Roman"/>
          <w:sz w:val="20"/>
        </w:rPr>
      </w:pPr>
      <w:r>
        <w:rPr>
          <w:rFonts w:ascii="Times New Roman" w:hAnsi="Times New Roman"/>
          <w:sz w:val="20"/>
        </w:rPr>
        <w:t xml:space="preserve">A proxy card must be received by Vote Processing, c/o Broadridge, 51 Mercedes Way, Edgewood, NY 11717 not less than 48 hours before the time fixed for the Special Meeting or within such other time as may be required by the Singapore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If any shareholder fails to submit a proxy card (if applicable) in the manner and within the period stated therein or if the proxy card (if applicable) is incomplete, improperly completed, illegible or where the true intentions of the shareholder are not ascertainable from the instructions of the shareholder specified in the proxy card (if applicable), the shareholders and the proxy of such shareholder (if applicable) may only be admitted to the Special Meeting at the discretion of the Chairperson of the Special Meeting. Any such shareholder shall, nonetheless, be bound by the terms of the Scheme of Arrangement in the event that it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joint Scheme Shareholders, any one of such persons may vote, but if more than one of such persons are present at the Special Meeting, the person whose name stands first on the Register of Members of Wave-Singapore shall alone be entitled to vote.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Wave-Singapore shareholders as of the Record Date are invited to attend physically at the Special Meeting. There will be no option for Wave-Singapore shareholders to participate virtually. </w:t>
      </w:r>
    </w:p>
    <w:p>
      <w:pPr>
        <w:pStyle w:val="TextBody"/>
        <w:bidi w:val="0"/>
        <w:spacing w:before="240" w:after="0"/>
        <w:jc w:val="left"/>
        <w:rPr>
          <w:rFonts w:ascii="Times New Roman" w:hAnsi="Times New Roman"/>
          <w:sz w:val="20"/>
        </w:rPr>
      </w:pPr>
      <w:r>
        <w:rPr>
          <w:rFonts w:ascii="Times New Roman" w:hAnsi="Times New Roman"/>
          <w:sz w:val="20"/>
        </w:rPr>
        <w:t xml:space="preserve">By the said Order of Court, the Singapore Court has appointed Paul Bolno, or failing him, Linda Rockett (or failing her, any other director of Wave-Singapore) to act as Chairperson of the said Special Meeting and has directed the Chairperson to report the results thereof to the Singapore Court. </w:t>
      </w:r>
    </w:p>
    <w:p>
      <w:pPr>
        <w:pStyle w:val="TextBody"/>
        <w:bidi w:val="0"/>
        <w:spacing w:before="240" w:after="0"/>
        <w:jc w:val="left"/>
        <w:rPr>
          <w:rFonts w:ascii="Times New Roman" w:hAnsi="Times New Roman"/>
          <w:sz w:val="20"/>
        </w:rPr>
      </w:pPr>
      <w:r>
        <w:rPr>
          <w:rFonts w:ascii="Times New Roman" w:hAnsi="Times New Roman"/>
          <w:sz w:val="20"/>
        </w:rPr>
        <w:t xml:space="preserve">The Scheme of Arrangement will be subject, </w:t>
      </w:r>
      <w:r>
        <w:rPr>
          <w:rFonts w:ascii="Times New Roman" w:hAnsi="Times New Roman"/>
          <w:i/>
          <w:sz w:val="20"/>
        </w:rPr>
        <w:t>inter alia</w:t>
      </w:r>
      <w:r>
        <w:rPr>
          <w:rFonts w:ascii="Times New Roman" w:hAnsi="Times New Roman"/>
          <w:sz w:val="20"/>
        </w:rPr>
        <w:t xml:space="preserve">, to the subsequent approval of the Singapore Court. </w:t>
      </w:r>
    </w:p>
    <w:p>
      <w:pPr>
        <w:pStyle w:val="TextBody"/>
        <w:bidi w:val="0"/>
        <w:spacing w:before="360" w:after="0"/>
        <w:jc w:val="left"/>
        <w:rPr>
          <w:rFonts w:ascii="Times New Roman" w:hAnsi="Times New Roman"/>
          <w:sz w:val="20"/>
        </w:rPr>
      </w:pPr>
      <w:r>
        <w:rPr>
          <w:rFonts w:ascii="Times New Roman" w:hAnsi="Times New Roman"/>
          <w:sz w:val="20"/>
        </w:rPr>
        <w:t xml:space="preserve">Dated this [ ], 2026 </w:t>
      </w:r>
    </w:p>
    <w:p>
      <w:pPr>
        <w:pStyle w:val="TextBody"/>
        <w:bidi w:val="0"/>
        <w:spacing w:before="0" w:after="0"/>
        <w:jc w:val="left"/>
        <w:rPr>
          <w:rFonts w:ascii="Times New Roman" w:hAnsi="Times New Roman"/>
          <w:sz w:val="20"/>
        </w:rPr>
      </w:pPr>
      <w:r>
        <w:rPr>
          <w:rFonts w:ascii="Times New Roman" w:hAnsi="Times New Roman"/>
          <w:sz w:val="20"/>
        </w:rPr>
        <w:t xml:space="preserve">By Order of the Court </w:t>
      </w:r>
    </w:p>
    <w:p>
      <w:pPr>
        <w:pStyle w:val="TextBody"/>
        <w:bidi w:val="0"/>
        <w:spacing w:before="2000" w:after="0"/>
        <w:jc w:val="left"/>
        <w:rPr>
          <w:rFonts w:ascii="Times New Roman" w:hAnsi="Times New Roman"/>
          <w:b/>
          <w:sz w:val="20"/>
        </w:rPr>
      </w:pPr>
      <w:r>
        <w:rPr>
          <w:rFonts w:ascii="Times New Roman" w:hAnsi="Times New Roman"/>
          <w:b/>
          <w:sz w:val="20"/>
        </w:rPr>
        <w:t xml:space="preserve">Wave-Singapore </w:t>
      </w:r>
    </w:p>
    <w:p>
      <w:pPr>
        <w:pStyle w:val="TextBody"/>
        <w:bidi w:val="0"/>
        <w:spacing w:before="240" w:after="0"/>
        <w:jc w:val="left"/>
        <w:rPr>
          <w:rFonts w:ascii="Times New Roman" w:hAnsi="Times New Roman"/>
          <w:sz w:val="20"/>
        </w:rPr>
      </w:pPr>
      <w:r>
        <w:rPr>
          <w:rFonts w:ascii="Times New Roman" w:hAnsi="Times New Roman"/>
          <w:sz w:val="20"/>
        </w:rPr>
        <w:t xml:space="preserve">7 Straits View #12 00 </w:t>
      </w:r>
    </w:p>
    <w:p>
      <w:pPr>
        <w:pStyle w:val="TextBody"/>
        <w:bidi w:val="0"/>
        <w:spacing w:before="0" w:after="0"/>
        <w:jc w:val="left"/>
        <w:rPr>
          <w:rFonts w:ascii="Times New Roman" w:hAnsi="Times New Roman"/>
          <w:sz w:val="20"/>
        </w:rPr>
      </w:pPr>
      <w:r>
        <w:rPr>
          <w:rFonts w:ascii="Times New Roman" w:hAnsi="Times New Roman"/>
          <w:sz w:val="20"/>
        </w:rPr>
        <w:t xml:space="preserve">Marina One East Tower </w:t>
      </w:r>
    </w:p>
    <w:p>
      <w:pPr>
        <w:pStyle w:val="TextBody"/>
        <w:bidi w:val="0"/>
        <w:spacing w:before="0" w:after="0"/>
        <w:jc w:val="left"/>
        <w:rPr>
          <w:rFonts w:ascii="Times New Roman" w:hAnsi="Times New Roman"/>
          <w:sz w:val="20"/>
        </w:rPr>
      </w:pPr>
      <w:r>
        <w:rPr>
          <w:rFonts w:ascii="Times New Roman" w:hAnsi="Times New Roman"/>
          <w:sz w:val="20"/>
        </w:rPr>
        <w:t xml:space="preserve">Singapore 018936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95"/>
        <w:gridCol w:w="224"/>
        <w:gridCol w:w="60"/>
        <w:gridCol w:w="264"/>
        <w:gridCol w:w="62"/>
      </w:tblGrid>
      <w:tr>
        <w:trPr/>
        <w:tc>
          <w:tcPr>
            <w:tcW w:w="959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95" w:type="dxa"/>
            <w:tcBorders/>
          </w:tcPr>
          <w:p>
            <w:pPr>
              <w:pStyle w:val="TableContents"/>
              <w:bidi w:val="0"/>
              <w:spacing w:before="0" w:after="0"/>
              <w:jc w:val="left"/>
              <w:rPr/>
            </w:pPr>
            <w:hyperlink w:anchor="toc45078_1">
              <w:r>
                <w:rPr>
                  <w:rStyle w:val="InternetLink"/>
                  <w:rFonts w:ascii="Times New Roman" w:hAnsi="Times New Roman"/>
                  <w:sz w:val="20"/>
                </w:rPr>
                <w:t>CAUTIONARY NOTE REGARDING FORWARD-LOOKING STATEMENTS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
              <w:r>
                <w:rPr>
                  <w:rStyle w:val="InternetLink"/>
                  <w:rFonts w:ascii="Times New Roman" w:hAnsi="Times New Roman"/>
                  <w:sz w:val="20"/>
                </w:rPr>
                <w:t>STRUCTURE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
              <w:r>
                <w:rPr>
                  <w:rStyle w:val="InternetLink"/>
                  <w:rFonts w:ascii="Times New Roman" w:hAnsi="Times New Roman"/>
                  <w:sz w:val="20"/>
                </w:rPr>
                <w:t>QUESTIONS AND ANSWERS ABOUT THE TRANSACTION AND THE SPECIAL MEETING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
              <w:r>
                <w:rPr>
                  <w:rStyle w:val="InternetLink"/>
                  <w:rFonts w:ascii="Times New Roman" w:hAnsi="Times New Roman"/>
                  <w:sz w:val="20"/>
                </w:rPr>
                <w:t>SUMMARY</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5">
              <w:r>
                <w:rPr>
                  <w:rStyle w:val="InternetLink"/>
                  <w:rFonts w:ascii="Times New Roman" w:hAnsi="Times New Roman"/>
                  <w:sz w:val="20"/>
                </w:rPr>
                <w:t>Parties to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6">
              <w:r>
                <w:rPr>
                  <w:rStyle w:val="InternetLink"/>
                  <w:rFonts w:ascii="Times New Roman" w:hAnsi="Times New Roman"/>
                  <w:sz w:val="20"/>
                </w:rPr>
                <w:t>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7">
              <w:r>
                <w:rPr>
                  <w:rStyle w:val="InternetLink"/>
                  <w:rFonts w:ascii="Times New Roman" w:hAnsi="Times New Roman"/>
                  <w:sz w:val="20"/>
                </w:rPr>
                <w:t>Background and Reasons for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8">
              <w:r>
                <w:rPr>
                  <w:rStyle w:val="InternetLink"/>
                  <w:rFonts w:ascii="Times New Roman" w:hAnsi="Times New Roman"/>
                  <w:sz w:val="20"/>
                </w:rPr>
                <w:t>Potential Tax Consequences to the Wave Group</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9">
              <w:r>
                <w:rPr>
                  <w:rStyle w:val="InternetLink"/>
                  <w:rFonts w:ascii="Times New Roman" w:hAnsi="Times New Roman"/>
                  <w:sz w:val="20"/>
                </w:rPr>
                <w:t>Material Tax Considerations Relating to the Transaction to Holders of Wave-Singapore Ordinary Shares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0">
              <w:r>
                <w:rPr>
                  <w:rStyle w:val="InternetLink"/>
                  <w:rFonts w:ascii="Times New Roman" w:hAnsi="Times New Roman"/>
                  <w:sz w:val="20"/>
                </w:rPr>
                <w:t>Comparison of Rights of Singapore Shareholders and Delaware Stockholders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1">
              <w:r>
                <w:rPr>
                  <w:rStyle w:val="InternetLink"/>
                  <w:rFonts w:ascii="Times New Roman" w:hAnsi="Times New Roman"/>
                  <w:sz w:val="20"/>
                </w:rPr>
                <w:t>Stock Exchange Listing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2">
              <w:r>
                <w:rPr>
                  <w:rStyle w:val="InternetLink"/>
                  <w:rFonts w:ascii="Times New Roman" w:hAnsi="Times New Roman"/>
                  <w:sz w:val="20"/>
                </w:rPr>
                <w:t>Approval of the Scheme of Arrangement by the Singapore Court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3">
              <w:r>
                <w:rPr>
                  <w:rStyle w:val="InternetLink"/>
                  <w:rFonts w:ascii="Times New Roman" w:hAnsi="Times New Roman"/>
                  <w:sz w:val="20"/>
                </w:rPr>
                <w:t>Amendment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4">
              <w:r>
                <w:rPr>
                  <w:rStyle w:val="InternetLink"/>
                  <w:rFonts w:ascii="Times New Roman" w:hAnsi="Times New Roman"/>
                  <w:sz w:val="20"/>
                </w:rPr>
                <w:t>Effective Time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5">
              <w:r>
                <w:rPr>
                  <w:rStyle w:val="InternetLink"/>
                  <w:rFonts w:ascii="Times New Roman" w:hAnsi="Times New Roman"/>
                  <w:sz w:val="20"/>
                </w:rPr>
                <w:t>Pre-Funded Warrants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6">
              <w:r>
                <w:rPr>
                  <w:rStyle w:val="InternetLink"/>
                  <w:rFonts w:ascii="Times New Roman" w:hAnsi="Times New Roman"/>
                  <w:sz w:val="20"/>
                </w:rPr>
                <w:t>No Appraisal Rights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7">
              <w:r>
                <w:rPr>
                  <w:rStyle w:val="InternetLink"/>
                  <w:rFonts w:ascii="Times New Roman" w:hAnsi="Times New Roman"/>
                  <w:sz w:val="20"/>
                </w:rPr>
                <w:t>Accounting Treatment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8">
              <w:r>
                <w:rPr>
                  <w:rStyle w:val="InternetLink"/>
                  <w:rFonts w:ascii="Times New Roman" w:hAnsi="Times New Roman"/>
                  <w:sz w:val="20"/>
                </w:rPr>
                <w:t>Special Meeting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19">
              <w:r>
                <w:rPr>
                  <w:rStyle w:val="InternetLink"/>
                  <w:rFonts w:ascii="Times New Roman" w:hAnsi="Times New Roman"/>
                  <w:sz w:val="20"/>
                </w:rPr>
                <w:t>Recommendation of the Board of Directors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0">
              <w:r>
                <w:rPr>
                  <w:rStyle w:val="InternetLink"/>
                  <w:rFonts w:ascii="Times New Roman" w:hAnsi="Times New Roman"/>
                  <w:sz w:val="20"/>
                </w:rPr>
                <w:t>Quorum and Required Vote</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1">
              <w:r>
                <w:rPr>
                  <w:rStyle w:val="InternetLink"/>
                  <w:rFonts w:ascii="Times New Roman" w:hAnsi="Times New Roman"/>
                  <w:sz w:val="20"/>
                </w:rPr>
                <w:t>RISK FACTORS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2">
              <w:r>
                <w:rPr>
                  <w:rStyle w:val="InternetLink"/>
                  <w:rFonts w:ascii="Times New Roman" w:hAnsi="Times New Roman"/>
                  <w:sz w:val="20"/>
                </w:rPr>
                <w:t>THE WAVE REDOMICILIATION PROPOSAL</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3">
              <w:r>
                <w:rPr>
                  <w:rStyle w:val="InternetLink"/>
                  <w:rFonts w:ascii="Times New Roman" w:hAnsi="Times New Roman"/>
                  <w:sz w:val="20"/>
                </w:rPr>
                <w:t>Overview</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4">
              <w:r>
                <w:rPr>
                  <w:rStyle w:val="InternetLink"/>
                  <w:rFonts w:ascii="Times New Roman" w:hAnsi="Times New Roman"/>
                  <w:sz w:val="20"/>
                </w:rPr>
                <w:t>Background and Reasons for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5">
              <w:r>
                <w:rPr>
                  <w:rStyle w:val="InternetLink"/>
                  <w:rFonts w:ascii="Times New Roman" w:hAnsi="Times New Roman"/>
                  <w:sz w:val="20"/>
                </w:rPr>
                <w:t>Amendment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6">
              <w:r>
                <w:rPr>
                  <w:rStyle w:val="InternetLink"/>
                  <w:rFonts w:ascii="Times New Roman" w:hAnsi="Times New Roman"/>
                  <w:sz w:val="20"/>
                </w:rPr>
                <w:t>Conditions to Consummation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7">
              <w:r>
                <w:rPr>
                  <w:rStyle w:val="InternetLink"/>
                  <w:rFonts w:ascii="Times New Roman" w:hAnsi="Times New Roman"/>
                  <w:sz w:val="20"/>
                </w:rPr>
                <w:t>Approval of the Scheme of Arrangement by the Singapore Court</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8">
              <w:r>
                <w:rPr>
                  <w:rStyle w:val="InternetLink"/>
                  <w:rFonts w:ascii="Times New Roman" w:hAnsi="Times New Roman"/>
                  <w:sz w:val="20"/>
                </w:rPr>
                <w:t>Federal Securities Law Consequences; Resale Restrictions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29">
              <w:r>
                <w:rPr>
                  <w:rStyle w:val="InternetLink"/>
                  <w:rFonts w:ascii="Times New Roman" w:hAnsi="Times New Roman"/>
                  <w:sz w:val="20"/>
                </w:rPr>
                <w:t>Effective Date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0">
              <w:r>
                <w:rPr>
                  <w:rStyle w:val="InternetLink"/>
                  <w:rFonts w:ascii="Times New Roman" w:hAnsi="Times New Roman"/>
                  <w:sz w:val="20"/>
                </w:rPr>
                <w:t>Management of Wave-Delaware</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1">
              <w:r>
                <w:rPr>
                  <w:rStyle w:val="InternetLink"/>
                  <w:rFonts w:ascii="Times New Roman" w:hAnsi="Times New Roman"/>
                  <w:sz w:val="20"/>
                </w:rPr>
                <w:t>Indemnification Agreements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2">
              <w:r>
                <w:rPr>
                  <w:rStyle w:val="InternetLink"/>
                  <w:rFonts w:ascii="Times New Roman" w:hAnsi="Times New Roman"/>
                  <w:sz w:val="20"/>
                </w:rPr>
                <w:t>Interests of Certain Persons in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3">
              <w:r>
                <w:rPr>
                  <w:rStyle w:val="InternetLink"/>
                  <w:rFonts w:ascii="Times New Roman" w:hAnsi="Times New Roman"/>
                  <w:sz w:val="20"/>
                </w:rPr>
                <w:t>Regulatory Matters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4">
              <w:r>
                <w:rPr>
                  <w:rStyle w:val="InternetLink"/>
                  <w:rFonts w:ascii="Times New Roman" w:hAnsi="Times New Roman"/>
                  <w:sz w:val="20"/>
                </w:rPr>
                <w:t>No Appraisal Rights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5">
              <w:r>
                <w:rPr>
                  <w:rStyle w:val="InternetLink"/>
                  <w:rFonts w:ascii="Times New Roman" w:hAnsi="Times New Roman"/>
                  <w:sz w:val="20"/>
                </w:rPr>
                <w:t>Action Required to Transfer Wave-Singapore Ordinary Shares and Receive Wave-Delaware Shares of Common Stock</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6">
              <w:r>
                <w:rPr>
                  <w:rStyle w:val="InternetLink"/>
                  <w:rFonts w:ascii="Times New Roman" w:hAnsi="Times New Roman"/>
                  <w:sz w:val="20"/>
                </w:rPr>
                <w:t>Equity Plans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7">
              <w:r>
                <w:rPr>
                  <w:rStyle w:val="InternetLink"/>
                  <w:rFonts w:ascii="Times New Roman" w:hAnsi="Times New Roman"/>
                  <w:sz w:val="20"/>
                </w:rPr>
                <w:t>Stock Exchange Listing</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8">
              <w:r>
                <w:rPr>
                  <w:rStyle w:val="InternetLink"/>
                  <w:rFonts w:ascii="Times New Roman" w:hAnsi="Times New Roman"/>
                  <w:sz w:val="20"/>
                </w:rPr>
                <w:t>Accounting Treatment of the Transaction</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39">
              <w:r>
                <w:rPr>
                  <w:rStyle w:val="InternetLink"/>
                  <w:rFonts w:ascii="Times New Roman" w:hAnsi="Times New Roman"/>
                  <w:sz w:val="20"/>
                </w:rPr>
                <w:t>Pre-Funded Warrants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0">
              <w:r>
                <w:rPr>
                  <w:rStyle w:val="InternetLink"/>
                  <w:rFonts w:ascii="Times New Roman" w:hAnsi="Times New Roman"/>
                  <w:sz w:val="20"/>
                </w:rPr>
                <w:t>Effect of the Transaction on Reporting Obligations of the Wave Corporate Group</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1">
              <w:r>
                <w:rPr>
                  <w:rStyle w:val="InternetLink"/>
                  <w:rFonts w:ascii="Times New Roman" w:hAnsi="Times New Roman"/>
                  <w:sz w:val="20"/>
                </w:rPr>
                <w:t>POTENTIAL TAX CONSEQUENCES TO THE WAVE GROUP</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2">
              <w:r>
                <w:rPr>
                  <w:rStyle w:val="InternetLink"/>
                  <w:rFonts w:ascii="Times New Roman" w:hAnsi="Times New Roman"/>
                  <w:sz w:val="20"/>
                </w:rPr>
                <w:t>MATERIAL TAX CONSIDERATIONS RELATING TO THE TRANSACTION TO HOLDERS OF WAVE-SINGAPORE ORDINARY SHARES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3">
              <w:r>
                <w:rPr>
                  <w:rStyle w:val="InternetLink"/>
                  <w:rFonts w:ascii="Times New Roman" w:hAnsi="Times New Roman"/>
                  <w:sz w:val="20"/>
                </w:rPr>
                <w:t>U.S. Federal Income Tax Considerations to Holders of Wave-Singapore Ordinary Shares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4">
              <w:r>
                <w:rPr>
                  <w:rStyle w:val="InternetLink"/>
                  <w:rFonts w:ascii="Times New Roman" w:hAnsi="Times New Roman"/>
                  <w:sz w:val="20"/>
                </w:rPr>
                <w:t>Singapore Tax Considerations to Holders of Wave-Singapore Ordinary Shares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5">
              <w:r>
                <w:rPr>
                  <w:rStyle w:val="InternetLink"/>
                  <w:rFonts w:ascii="Times New Roman" w:hAnsi="Times New Roman"/>
                  <w:sz w:val="20"/>
                </w:rPr>
                <w:t>United Kingdom Tax Considerations to Holders of Wave-Singapore Ordinary Shares</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6">
              <w:r>
                <w:rPr>
                  <w:rStyle w:val="InternetLink"/>
                  <w:rFonts w:ascii="Times New Roman" w:hAnsi="Times New Roman"/>
                  <w:sz w:val="20"/>
                </w:rPr>
                <w:t>DESCRIPTION OF WAVE-DELAWARE CAPITAL STOCK</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595" w:type="dxa"/>
            <w:tcBorders/>
          </w:tcPr>
          <w:p>
            <w:pPr>
              <w:pStyle w:val="TableContents"/>
              <w:bidi w:val="0"/>
              <w:spacing w:before="0" w:after="0"/>
              <w:jc w:val="left"/>
              <w:rPr/>
            </w:pPr>
            <w:hyperlink w:anchor="toc45078_47">
              <w:r>
                <w:rPr>
                  <w:rStyle w:val="InternetLink"/>
                  <w:rFonts w:ascii="Times New Roman" w:hAnsi="Times New Roman"/>
                  <w:sz w:val="20"/>
                </w:rPr>
                <w:t>General</w:t>
              </w:r>
            </w:hyperlink>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89"/>
        <w:gridCol w:w="227"/>
        <w:gridCol w:w="60"/>
        <w:gridCol w:w="267"/>
        <w:gridCol w:w="62"/>
      </w:tblGrid>
      <w:tr>
        <w:trPr/>
        <w:tc>
          <w:tcPr>
            <w:tcW w:w="958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89" w:type="dxa"/>
            <w:tcBorders/>
          </w:tcPr>
          <w:p>
            <w:pPr>
              <w:pStyle w:val="TableContents"/>
              <w:bidi w:val="0"/>
              <w:spacing w:before="0" w:after="0"/>
              <w:jc w:val="left"/>
              <w:rPr/>
            </w:pPr>
            <w:hyperlink w:anchor="toc45078_48">
              <w:r>
                <w:rPr>
                  <w:rStyle w:val="InternetLink"/>
                  <w:rFonts w:ascii="Times New Roman" w:hAnsi="Times New Roman"/>
                  <w:sz w:val="20"/>
                </w:rPr>
                <w:t>Common Stock</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49">
              <w:r>
                <w:rPr>
                  <w:rStyle w:val="InternetLink"/>
                  <w:rFonts w:ascii="Times New Roman" w:hAnsi="Times New Roman"/>
                  <w:sz w:val="20"/>
                </w:rPr>
                <w:t>Preferred Stock</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0">
              <w:r>
                <w:rPr>
                  <w:rStyle w:val="InternetLink"/>
                  <w:rFonts w:ascii="Times New Roman" w:hAnsi="Times New Roman"/>
                  <w:sz w:val="20"/>
                </w:rPr>
                <w:t>Pre-Funded Warrants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1">
              <w:r>
                <w:rPr>
                  <w:rStyle w:val="InternetLink"/>
                  <w:rFonts w:ascii="Times New Roman" w:hAnsi="Times New Roman"/>
                  <w:sz w:val="20"/>
                </w:rPr>
                <w:t>Annual Stockholder Meetings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2">
              <w:r>
                <w:rPr>
                  <w:rStyle w:val="InternetLink"/>
                  <w:rFonts w:ascii="Times New Roman" w:hAnsi="Times New Roman"/>
                  <w:sz w:val="20"/>
                </w:rPr>
                <w:t>Anti-Takeover Effects of Provisions of the Amended and Restated Certificate of Incorporation and the Amended and Restated Bylaws of Wave-Delaware and Delaware Law</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3">
              <w:r>
                <w:rPr>
                  <w:rStyle w:val="InternetLink"/>
                  <w:rFonts w:ascii="Times New Roman" w:hAnsi="Times New Roman"/>
                  <w:sz w:val="20"/>
                </w:rPr>
                <w:t>Limitations of Liability and Indemnification Matters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4">
              <w:r>
                <w:rPr>
                  <w:rStyle w:val="InternetLink"/>
                  <w:rFonts w:ascii="Times New Roman" w:hAnsi="Times New Roman"/>
                  <w:sz w:val="20"/>
                </w:rPr>
                <w:t>Uncertificated Shares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5">
              <w:r>
                <w:rPr>
                  <w:rStyle w:val="InternetLink"/>
                  <w:rFonts w:ascii="Times New Roman" w:hAnsi="Times New Roman"/>
                  <w:sz w:val="20"/>
                </w:rPr>
                <w:t>Stock Exchange Listing</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6">
              <w:r>
                <w:rPr>
                  <w:rStyle w:val="InternetLink"/>
                  <w:rFonts w:ascii="Times New Roman" w:hAnsi="Times New Roman"/>
                  <w:sz w:val="20"/>
                </w:rPr>
                <w:t>Transfer Agent and Registrar</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7">
              <w:r>
                <w:rPr>
                  <w:rStyle w:val="InternetLink"/>
                  <w:rFonts w:ascii="Times New Roman" w:hAnsi="Times New Roman"/>
                  <w:sz w:val="20"/>
                </w:rPr>
                <w:t>Registration Rights Agreements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8">
              <w:r>
                <w:rPr>
                  <w:rStyle w:val="InternetLink"/>
                  <w:rFonts w:ascii="Times New Roman" w:hAnsi="Times New Roman"/>
                  <w:sz w:val="20"/>
                </w:rPr>
                <w:t>COMPARISON OF RIGHTS OF SINGAPORE SHAREHOLDERS AND DELAWARE STOCKHOLDERS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59">
              <w:r>
                <w:rPr>
                  <w:rStyle w:val="InternetLink"/>
                  <w:rFonts w:ascii="Times New Roman" w:hAnsi="Times New Roman"/>
                  <w:sz w:val="20"/>
                </w:rPr>
                <w:t>Authorized Capital Stock or Share Capital</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0">
              <w:r>
                <w:rPr>
                  <w:rStyle w:val="InternetLink"/>
                  <w:rFonts w:ascii="Times New Roman" w:hAnsi="Times New Roman"/>
                  <w:sz w:val="20"/>
                </w:rPr>
                <w:t>Outstanding Capital Stock or Share Capital</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1">
              <w:r>
                <w:rPr>
                  <w:rStyle w:val="InternetLink"/>
                  <w:rFonts w:ascii="Times New Roman" w:hAnsi="Times New Roman"/>
                  <w:sz w:val="20"/>
                </w:rPr>
                <w:t>Designation of Preferred Stock</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2">
              <w:r>
                <w:rPr>
                  <w:rStyle w:val="InternetLink"/>
                  <w:rFonts w:ascii="Times New Roman" w:hAnsi="Times New Roman"/>
                  <w:sz w:val="20"/>
                </w:rPr>
                <w:t>Authority to Issue Shares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3">
              <w:r>
                <w:rPr>
                  <w:rStyle w:val="InternetLink"/>
                  <w:rFonts w:ascii="Times New Roman" w:hAnsi="Times New Roman"/>
                  <w:sz w:val="20"/>
                </w:rPr>
                <w:t>Board of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4">
              <w:r>
                <w:rPr>
                  <w:rStyle w:val="InternetLink"/>
                  <w:rFonts w:ascii="Times New Roman" w:hAnsi="Times New Roman"/>
                  <w:sz w:val="20"/>
                </w:rPr>
                <w:t>Classification of Board of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5">
              <w:r>
                <w:rPr>
                  <w:rStyle w:val="InternetLink"/>
                  <w:rFonts w:ascii="Times New Roman" w:hAnsi="Times New Roman"/>
                  <w:sz w:val="20"/>
                </w:rPr>
                <w:t>Annual Election of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6">
              <w:r>
                <w:rPr>
                  <w:rStyle w:val="InternetLink"/>
                  <w:rFonts w:ascii="Times New Roman" w:hAnsi="Times New Roman"/>
                  <w:sz w:val="20"/>
                </w:rPr>
                <w:t>Removal of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7">
              <w:r>
                <w:rPr>
                  <w:rStyle w:val="InternetLink"/>
                  <w:rFonts w:ascii="Times New Roman" w:hAnsi="Times New Roman"/>
                  <w:sz w:val="20"/>
                </w:rPr>
                <w:t>Filling Vacancies on the Board of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8">
              <w:r>
                <w:rPr>
                  <w:rStyle w:val="InternetLink"/>
                  <w:rFonts w:ascii="Times New Roman" w:hAnsi="Times New Roman"/>
                  <w:sz w:val="20"/>
                </w:rPr>
                <w:t>Amendment of Governing Documents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69">
              <w:r>
                <w:rPr>
                  <w:rStyle w:val="InternetLink"/>
                  <w:rFonts w:ascii="Times New Roman" w:hAnsi="Times New Roman"/>
                  <w:sz w:val="20"/>
                </w:rPr>
                <w:t>Meetings of Stockholders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0">
              <w:r>
                <w:rPr>
                  <w:rStyle w:val="InternetLink"/>
                  <w:rFonts w:ascii="Times New Roman" w:hAnsi="Times New Roman"/>
                  <w:sz w:val="20"/>
                </w:rPr>
                <w:t>Quorum for Stockholder Meetings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1">
              <w:r>
                <w:rPr>
                  <w:rStyle w:val="InternetLink"/>
                  <w:rFonts w:ascii="Times New Roman" w:hAnsi="Times New Roman"/>
                  <w:sz w:val="20"/>
                </w:rPr>
                <w:t>Notice Requirements for Stockholder Meetings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2">
              <w:r>
                <w:rPr>
                  <w:rStyle w:val="InternetLink"/>
                  <w:rFonts w:ascii="Times New Roman" w:hAnsi="Times New Roman"/>
                  <w:sz w:val="20"/>
                </w:rPr>
                <w:t>Stockholder Proposals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3">
              <w:r>
                <w:rPr>
                  <w:rStyle w:val="InternetLink"/>
                  <w:rFonts w:ascii="Times New Roman" w:hAnsi="Times New Roman"/>
                  <w:sz w:val="20"/>
                </w:rPr>
                <w:t>Takeover</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4">
              <w:r>
                <w:rPr>
                  <w:rStyle w:val="InternetLink"/>
                  <w:rFonts w:ascii="Times New Roman" w:hAnsi="Times New Roman"/>
                  <w:sz w:val="20"/>
                </w:rPr>
                <w:t>Anti-Takeover Statute</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5">
              <w:r>
                <w:rPr>
                  <w:rStyle w:val="InternetLink"/>
                  <w:rFonts w:ascii="Times New Roman" w:hAnsi="Times New Roman"/>
                  <w:sz w:val="20"/>
                </w:rPr>
                <w:t>Stockholder Action Without A Meeting</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6">
              <w:r>
                <w:rPr>
                  <w:rStyle w:val="InternetLink"/>
                  <w:rFonts w:ascii="Times New Roman" w:hAnsi="Times New Roman"/>
                  <w:sz w:val="20"/>
                </w:rPr>
                <w:t>Stockholder Suits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7">
              <w:r>
                <w:rPr>
                  <w:rStyle w:val="InternetLink"/>
                  <w:rFonts w:ascii="Times New Roman" w:hAnsi="Times New Roman"/>
                  <w:sz w:val="20"/>
                </w:rPr>
                <w:t>Liabilities of Directors and Officers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8">
              <w:r>
                <w:rPr>
                  <w:rStyle w:val="InternetLink"/>
                  <w:rFonts w:ascii="Times New Roman" w:hAnsi="Times New Roman"/>
                  <w:sz w:val="20"/>
                </w:rPr>
                <w:t>Indemnification of Officers and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79">
              <w:r>
                <w:rPr>
                  <w:rStyle w:val="InternetLink"/>
                  <w:rFonts w:ascii="Times New Roman" w:hAnsi="Times New Roman"/>
                  <w:sz w:val="20"/>
                </w:rPr>
                <w:t>Distributions and Dividends; Repurchases and Redemptions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0">
              <w:r>
                <w:rPr>
                  <w:rStyle w:val="InternetLink"/>
                  <w:rFonts w:ascii="Times New Roman" w:hAnsi="Times New Roman"/>
                  <w:sz w:val="20"/>
                </w:rPr>
                <w:t>Transferability of Shares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1">
              <w:r>
                <w:rPr>
                  <w:rStyle w:val="InternetLink"/>
                  <w:rFonts w:ascii="Times New Roman" w:hAnsi="Times New Roman"/>
                  <w:sz w:val="20"/>
                </w:rPr>
                <w:t>Transactions with Officers or Directors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2">
              <w:r>
                <w:rPr>
                  <w:rStyle w:val="InternetLink"/>
                  <w:rFonts w:ascii="Times New Roman" w:hAnsi="Times New Roman"/>
                  <w:sz w:val="20"/>
                </w:rPr>
                <w:t>Appraisal / Dissenters’ Rights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3">
              <w:r>
                <w:rPr>
                  <w:rStyle w:val="InternetLink"/>
                  <w:rFonts w:ascii="Times New Roman" w:hAnsi="Times New Roman"/>
                  <w:sz w:val="20"/>
                </w:rPr>
                <w:t>Forum Selection; Exclusive Jurisdiction</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4">
              <w:r>
                <w:rPr>
                  <w:rStyle w:val="InternetLink"/>
                  <w:rFonts w:ascii="Times New Roman" w:hAnsi="Times New Roman"/>
                  <w:sz w:val="20"/>
                </w:rPr>
                <w:t>THE SPECIAL MEETING</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5">
              <w:r>
                <w:rPr>
                  <w:rStyle w:val="InternetLink"/>
                  <w:rFonts w:ascii="Times New Roman" w:hAnsi="Times New Roman"/>
                  <w:sz w:val="20"/>
                </w:rPr>
                <w:t>General</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6">
              <w:r>
                <w:rPr>
                  <w:rStyle w:val="InternetLink"/>
                  <w:rFonts w:ascii="Times New Roman" w:hAnsi="Times New Roman"/>
                  <w:sz w:val="20"/>
                </w:rPr>
                <w:t>Time, Place and Date</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7">
              <w:r>
                <w:rPr>
                  <w:rStyle w:val="InternetLink"/>
                  <w:rFonts w:ascii="Times New Roman" w:hAnsi="Times New Roman"/>
                  <w:sz w:val="20"/>
                </w:rPr>
                <w:t>Purpose of the Special Meeting</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8">
              <w:r>
                <w:rPr>
                  <w:rStyle w:val="InternetLink"/>
                  <w:rFonts w:ascii="Times New Roman" w:hAnsi="Times New Roman"/>
                  <w:sz w:val="20"/>
                </w:rPr>
                <w:t>Record Date; Voting Rights; Votes Required for Approval</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89">
              <w:r>
                <w:rPr>
                  <w:rStyle w:val="InternetLink"/>
                  <w:rFonts w:ascii="Times New Roman" w:hAnsi="Times New Roman"/>
                  <w:sz w:val="20"/>
                </w:rPr>
                <w:t>Proxies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0">
              <w:r>
                <w:rPr>
                  <w:rStyle w:val="InternetLink"/>
                  <w:rFonts w:ascii="Times New Roman" w:hAnsi="Times New Roman"/>
                  <w:sz w:val="20"/>
                </w:rPr>
                <w:t>How You Can Vote</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1">
              <w:r>
                <w:rPr>
                  <w:rStyle w:val="InternetLink"/>
                  <w:rFonts w:ascii="Times New Roman" w:hAnsi="Times New Roman"/>
                  <w:sz w:val="20"/>
                </w:rPr>
                <w:t>Validity</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2">
              <w:r>
                <w:rPr>
                  <w:rStyle w:val="InternetLink"/>
                  <w:rFonts w:ascii="Times New Roman" w:hAnsi="Times New Roman"/>
                  <w:sz w:val="20"/>
                </w:rPr>
                <w:t>SECURITY OWNERSHIP OF CERTAIN BENEFICIAL OWNERS AND MANAGEMENT</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3">
              <w:r>
                <w:rPr>
                  <w:rStyle w:val="InternetLink"/>
                  <w:rFonts w:ascii="Times New Roman" w:hAnsi="Times New Roman"/>
                  <w:sz w:val="20"/>
                </w:rPr>
                <w:t>SUBMISSION OF FUTURE SHAREHOLDER PROPOSALS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4">
              <w:r>
                <w:rPr>
                  <w:rStyle w:val="InternetLink"/>
                  <w:rFonts w:ascii="Times New Roman" w:hAnsi="Times New Roman"/>
                  <w:sz w:val="20"/>
                </w:rPr>
                <w:t>Wave-Singapore Shareholder Proposals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5">
              <w:r>
                <w:rPr>
                  <w:rStyle w:val="InternetLink"/>
                  <w:rFonts w:ascii="Times New Roman" w:hAnsi="Times New Roman"/>
                  <w:sz w:val="20"/>
                </w:rPr>
                <w:t>Wave-Delaware Stockholder Proposals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6">
              <w:r>
                <w:rPr>
                  <w:rStyle w:val="InternetLink"/>
                  <w:rFonts w:ascii="Times New Roman" w:hAnsi="Times New Roman"/>
                  <w:sz w:val="20"/>
                </w:rPr>
                <w:t>DELIVERY OF DOCUMENTS TO SHAREHOLDERS SHARING AN ADDRESS</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589" w:type="dxa"/>
            <w:tcBorders/>
          </w:tcPr>
          <w:p>
            <w:pPr>
              <w:pStyle w:val="TableContents"/>
              <w:bidi w:val="0"/>
              <w:spacing w:before="0" w:after="0"/>
              <w:jc w:val="left"/>
              <w:rPr/>
            </w:pPr>
            <w:hyperlink w:anchor="toc45078_97">
              <w:r>
                <w:rPr>
                  <w:rStyle w:val="InternetLink"/>
                  <w:rFonts w:ascii="Times New Roman" w:hAnsi="Times New Roman"/>
                  <w:sz w:val="20"/>
                </w:rPr>
                <w:t>WHERE YOU CAN FIND MORE INFORMATION</w:t>
              </w:r>
            </w:hyperlink>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1"/>
        <w:gridCol w:w="251"/>
        <w:gridCol w:w="60"/>
        <w:gridCol w:w="410"/>
        <w:gridCol w:w="63"/>
      </w:tblGrid>
      <w:tr>
        <w:trPr/>
        <w:tc>
          <w:tcPr>
            <w:tcW w:w="942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21" w:type="dxa"/>
            <w:tcBorders/>
          </w:tcPr>
          <w:p>
            <w:pPr>
              <w:pStyle w:val="TableContents"/>
              <w:bidi w:val="0"/>
              <w:spacing w:before="0" w:after="0"/>
              <w:jc w:val="left"/>
              <w:rPr/>
            </w:pPr>
            <w:hyperlink w:anchor="toc45078_98">
              <w:r>
                <w:rPr>
                  <w:rStyle w:val="InternetLink"/>
                  <w:rFonts w:ascii="Times New Roman" w:hAnsi="Times New Roman"/>
                  <w:sz w:val="20"/>
                </w:rPr>
                <w:t>ANNEX A</w:t>
              </w:r>
            </w:hyperlink>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421" w:type="dxa"/>
            <w:tcBorders/>
          </w:tcPr>
          <w:p>
            <w:pPr>
              <w:pStyle w:val="TableContents"/>
              <w:bidi w:val="0"/>
              <w:spacing w:before="0" w:after="0"/>
              <w:jc w:val="left"/>
              <w:rPr>
                <w:rFonts w:ascii="Times New Roman" w:hAnsi="Times New Roman"/>
                <w:sz w:val="20"/>
              </w:rPr>
            </w:pPr>
            <w:r>
              <w:rPr>
                <w:rFonts w:ascii="Times New Roman" w:hAnsi="Times New Roman"/>
                <w:sz w:val="20"/>
              </w:rPr>
              <w:t>Form of Scheme of Arrangement</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21" w:type="dxa"/>
            <w:tcBorders/>
          </w:tcPr>
          <w:p>
            <w:pPr>
              <w:pStyle w:val="TableContents"/>
              <w:bidi w:val="0"/>
              <w:spacing w:before="0" w:after="0"/>
              <w:jc w:val="left"/>
              <w:rPr/>
            </w:pPr>
            <w:hyperlink w:anchor="toc45078_99">
              <w:r>
                <w:rPr>
                  <w:rStyle w:val="InternetLink"/>
                  <w:rFonts w:ascii="Times New Roman" w:hAnsi="Times New Roman"/>
                  <w:sz w:val="20"/>
                </w:rPr>
                <w:t xml:space="preserve">ANNEX B </w:t>
              </w:r>
            </w:hyperlink>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r>
        <w:trPr/>
        <w:tc>
          <w:tcPr>
            <w:tcW w:w="9421" w:type="dxa"/>
            <w:tcBorders/>
          </w:tcPr>
          <w:p>
            <w:pPr>
              <w:pStyle w:val="TableContents"/>
              <w:bidi w:val="0"/>
              <w:spacing w:before="0" w:after="0"/>
              <w:jc w:val="left"/>
              <w:rPr>
                <w:rFonts w:ascii="Times New Roman" w:hAnsi="Times New Roman"/>
                <w:sz w:val="20"/>
              </w:rPr>
            </w:pPr>
            <w:r>
              <w:rPr>
                <w:rFonts w:ascii="Times New Roman" w:hAnsi="Times New Roman"/>
                <w:sz w:val="20"/>
              </w:rPr>
              <w:t>Implementation Agreement</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21" w:type="dxa"/>
            <w:tcBorders/>
          </w:tcPr>
          <w:p>
            <w:pPr>
              <w:pStyle w:val="TableContents"/>
              <w:bidi w:val="0"/>
              <w:spacing w:before="0" w:after="0"/>
              <w:jc w:val="left"/>
              <w:rPr/>
            </w:pPr>
            <w:hyperlink w:anchor="toc45078_100">
              <w:r>
                <w:rPr>
                  <w:rStyle w:val="InternetLink"/>
                  <w:rFonts w:ascii="Times New Roman" w:hAnsi="Times New Roman"/>
                  <w:sz w:val="20"/>
                </w:rPr>
                <w:t xml:space="preserve">ANNEX C </w:t>
              </w:r>
            </w:hyperlink>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C-1</w:t>
            </w:r>
          </w:p>
        </w:tc>
        <w:tc>
          <w:tcPr>
            <w:tcW w:w="63" w:type="dxa"/>
            <w:tcBorders/>
            <w:vAlign w:val="bottom"/>
          </w:tcPr>
          <w:p>
            <w:pPr>
              <w:pStyle w:val="TableContents"/>
              <w:bidi w:val="0"/>
              <w:spacing w:before="0" w:after="283"/>
              <w:jc w:val="left"/>
              <w:rPr/>
            </w:pPr>
            <w:r>
              <w:rPr/>
              <w:t> </w:t>
            </w:r>
          </w:p>
        </w:tc>
      </w:tr>
      <w:tr>
        <w:trPr/>
        <w:tc>
          <w:tcPr>
            <w:tcW w:w="9421" w:type="dxa"/>
            <w:tcBorders/>
          </w:tcPr>
          <w:p>
            <w:pPr>
              <w:pStyle w:val="TableContents"/>
              <w:bidi w:val="0"/>
              <w:spacing w:before="0" w:after="0"/>
              <w:jc w:val="left"/>
              <w:rPr>
                <w:rFonts w:ascii="Times New Roman" w:hAnsi="Times New Roman"/>
                <w:sz w:val="20"/>
              </w:rPr>
            </w:pPr>
            <w:r>
              <w:rPr>
                <w:rFonts w:ascii="Times New Roman" w:hAnsi="Times New Roman"/>
                <w:sz w:val="20"/>
              </w:rPr>
              <w:t>Form of Amended and Restated Certificate of Incorporation of Wave Life Sciences, Inc.</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21" w:type="dxa"/>
            <w:tcBorders/>
          </w:tcPr>
          <w:p>
            <w:pPr>
              <w:pStyle w:val="TableContents"/>
              <w:bidi w:val="0"/>
              <w:spacing w:before="0" w:after="0"/>
              <w:jc w:val="left"/>
              <w:rPr/>
            </w:pPr>
            <w:hyperlink w:anchor="toc45078_101">
              <w:r>
                <w:rPr>
                  <w:rStyle w:val="InternetLink"/>
                  <w:rFonts w:ascii="Times New Roman" w:hAnsi="Times New Roman"/>
                  <w:sz w:val="20"/>
                </w:rPr>
                <w:t xml:space="preserve">ANNEX D </w:t>
              </w:r>
            </w:hyperlink>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D-1</w:t>
            </w:r>
          </w:p>
        </w:tc>
        <w:tc>
          <w:tcPr>
            <w:tcW w:w="63" w:type="dxa"/>
            <w:tcBorders/>
            <w:vAlign w:val="bottom"/>
          </w:tcPr>
          <w:p>
            <w:pPr>
              <w:pStyle w:val="TableContents"/>
              <w:bidi w:val="0"/>
              <w:spacing w:before="0" w:after="283"/>
              <w:jc w:val="left"/>
              <w:rPr/>
            </w:pPr>
            <w:r>
              <w:rPr/>
              <w:t> </w:t>
            </w:r>
          </w:p>
        </w:tc>
      </w:tr>
      <w:tr>
        <w:trPr/>
        <w:tc>
          <w:tcPr>
            <w:tcW w:w="9421" w:type="dxa"/>
            <w:tcBorders/>
          </w:tcPr>
          <w:p>
            <w:pPr>
              <w:pStyle w:val="TableContents"/>
              <w:bidi w:val="0"/>
              <w:spacing w:before="0" w:after="0"/>
              <w:jc w:val="left"/>
              <w:rPr>
                <w:rFonts w:ascii="Times New Roman" w:hAnsi="Times New Roman"/>
                <w:sz w:val="20"/>
              </w:rPr>
            </w:pPr>
            <w:r>
              <w:rPr>
                <w:rFonts w:ascii="Times New Roman" w:hAnsi="Times New Roman"/>
                <w:sz w:val="20"/>
              </w:rPr>
              <w:t>Form of Amended and Restated Bylaws of Wave Life Sciences, Inc.</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21" w:type="dxa"/>
            <w:tcBorders/>
          </w:tcPr>
          <w:p>
            <w:pPr>
              <w:pStyle w:val="TableContents"/>
              <w:bidi w:val="0"/>
              <w:spacing w:before="0" w:after="0"/>
              <w:jc w:val="left"/>
              <w:rPr/>
            </w:pPr>
            <w:hyperlink w:anchor="toc45078_102">
              <w:r>
                <w:rPr>
                  <w:rStyle w:val="InternetLink"/>
                  <w:rFonts w:ascii="Times New Roman" w:hAnsi="Times New Roman"/>
                  <w:sz w:val="20"/>
                </w:rPr>
                <w:t xml:space="preserve">ANNEX E </w:t>
              </w:r>
            </w:hyperlink>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E-1</w:t>
            </w:r>
          </w:p>
        </w:tc>
        <w:tc>
          <w:tcPr>
            <w:tcW w:w="63" w:type="dxa"/>
            <w:tcBorders/>
            <w:vAlign w:val="bottom"/>
          </w:tcPr>
          <w:p>
            <w:pPr>
              <w:pStyle w:val="TableContents"/>
              <w:bidi w:val="0"/>
              <w:spacing w:before="0" w:after="283"/>
              <w:jc w:val="left"/>
              <w:rPr/>
            </w:pPr>
            <w:r>
              <w:rPr/>
              <w:t> </w:t>
            </w:r>
          </w:p>
        </w:tc>
      </w:tr>
      <w:tr>
        <w:trPr/>
        <w:tc>
          <w:tcPr>
            <w:tcW w:w="9421" w:type="dxa"/>
            <w:tcBorders/>
          </w:tcPr>
          <w:p>
            <w:pPr>
              <w:pStyle w:val="TableContents"/>
              <w:bidi w:val="0"/>
              <w:spacing w:before="0" w:after="0"/>
              <w:jc w:val="left"/>
              <w:rPr>
                <w:rFonts w:ascii="Times New Roman" w:hAnsi="Times New Roman"/>
                <w:sz w:val="20"/>
              </w:rPr>
            </w:pPr>
            <w:r>
              <w:rPr>
                <w:rFonts w:ascii="Times New Roman" w:hAnsi="Times New Roman"/>
                <w:sz w:val="20"/>
              </w:rPr>
              <w:t>Form of Proxy Card</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45078_1"/>
      <w:bookmarkEnd w:id="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“forward-looking statements” within the meaning of the Private Securities Litigation Reform Act of 1995, in particular, statements about our expectations regarding the change of the parent company of the group from a Singapore company to a Delaware corporation. These statements include, but are not limited to, statements that address our expected future business and financial performance and statements about the Wave Redomiciliation Proposal and other statements identified by words such as “will”, “expect”, “believe”, “anticipate”, “estimate”, “should”, “intend”, “plan”, “potential”, “predict” “project”, “aim”, and similar words, phrases or expressions. These forward-looking statements are based on current expectations and beliefs of the management of Wave, as well as assumptions made by, and information currently available to, such management, current market trends and market conditions and involve risks and uncertainties, many of which are outside Wave’s and management’s control, and which may cause actual results to differ materially from those contained in forward-looking statements. Accordingly, you should not place undue reliance on such statements. Unless the context otherwise requires, references in this proxy statement to “Wave”, “the Company”, “our Company”, “we”, “our”, “us” and similar terms are to Wave-Singapore.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the Wave Redomiciliation Proposal, including our ability to obtain shareholder and Singapore Court approvals and satisfy other closing conditions to the completion of the Wave Redomiciliation Proposal within the expected timeframe or at all; our ability to realize the expected benefits from the Wave Redomiciliation Proposal; the occurrence of difficulties or material timing delays in connection with the Wave Redomiciliation Proposal, including any unanticipated costs in connection therewith; any delays, challenges and expenses associated with receiving governmental and regulatory approvals; changes in tax laws, tax treaties or tax regulations or the interpretation or enforcement thereof by the tax authorities in Singapore, the United States and other jurisdictions following the Wave Redomiciliation Proposal;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 </w:t>
      </w:r>
    </w:p>
    <w:p>
      <w:pPr>
        <w:pStyle w:val="TextBody"/>
        <w:bidi w:val="0"/>
        <w:spacing w:before="240" w:after="0"/>
        <w:jc w:val="left"/>
        <w:rPr>
          <w:rFonts w:ascii="Times New Roman" w:hAnsi="Times New Roman"/>
          <w:sz w:val="20"/>
        </w:rPr>
      </w:pPr>
      <w:r>
        <w:rPr>
          <w:rFonts w:ascii="Times New Roman" w:hAnsi="Times New Roman"/>
          <w:sz w:val="20"/>
        </w:rPr>
        <w:t>The foregoing review of important factors should not be construed as exhaustive and should be read in conjunction with the other cautionary statements that are set forth in this proxy statement, in particular in the section entitled “</w:t>
      </w:r>
      <w:r>
        <w:rPr>
          <w:rFonts w:ascii="Times New Roman" w:hAnsi="Times New Roman"/>
          <w:i/>
          <w:sz w:val="20"/>
        </w:rPr>
        <w:t>Risk Factors</w:t>
      </w:r>
      <w:r>
        <w:rPr>
          <w:rFonts w:ascii="Times New Roman" w:hAnsi="Times New Roman"/>
          <w:sz w:val="20"/>
        </w:rPr>
        <w:t>” and the documents that we file with the SEC, including under the heading “</w:t>
      </w:r>
      <w:r>
        <w:rPr>
          <w:rFonts w:ascii="Times New Roman" w:hAnsi="Times New Roman"/>
          <w:i/>
          <w:sz w:val="20"/>
        </w:rPr>
        <w:t>Risk Factors</w:t>
      </w:r>
      <w:r>
        <w:rPr>
          <w:rFonts w:ascii="Times New Roman" w:hAnsi="Times New Roman"/>
          <w:sz w:val="20"/>
        </w:rPr>
        <w:t>” in our most recent Annual Report on Form 10-K and subsequent quarterly report filed on Form 10-Q. You may obtain copies of these documents as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 this proxy statement is as of the date of this proxy statement and the Company undertakes no duty to update this information unless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45078_2"/>
      <w:bookmarkEnd w:id="4"/>
      <w:r>
        <w:rPr>
          <w:rFonts w:ascii="Times New Roman" w:hAnsi="Times New Roman"/>
          <w:b/>
          <w:sz w:val="20"/>
        </w:rPr>
        <w:t xml:space="preserve">STRUCTURE OF THE TRANSACTION </w:t>
      </w:r>
    </w:p>
    <w:p>
      <w:pPr>
        <w:pStyle w:val="TextBody"/>
        <w:bidi w:val="0"/>
        <w:spacing w:before="240" w:after="0"/>
        <w:jc w:val="left"/>
        <w:rPr>
          <w:rFonts w:ascii="Times New Roman" w:hAnsi="Times New Roman"/>
          <w:sz w:val="20"/>
        </w:rPr>
      </w:pPr>
      <w:r>
        <w:rPr>
          <w:rFonts w:ascii="Times New Roman" w:hAnsi="Times New Roman"/>
          <w:sz w:val="20"/>
        </w:rPr>
        <w:t>We are seeking your approval of the scheme of arrangement under Singapore law, attached as Annex A to this proxy statement (the “</w:t>
      </w:r>
      <w:r>
        <w:rPr>
          <w:rFonts w:ascii="Times New Roman" w:hAnsi="Times New Roman"/>
          <w:b/>
          <w:sz w:val="20"/>
        </w:rPr>
        <w:t>Scheme of Arrangement</w:t>
      </w:r>
      <w:r>
        <w:rPr>
          <w:rFonts w:ascii="Times New Roman" w:hAnsi="Times New Roman"/>
          <w:sz w:val="20"/>
        </w:rPr>
        <w:t>”), pursuant to which, upon becoming effective, a newly formed Delaware corporation will become the publicly traded parent of the Wave corporate group (the “</w:t>
      </w:r>
      <w:r>
        <w:rPr>
          <w:rFonts w:ascii="Times New Roman" w:hAnsi="Times New Roman"/>
          <w:b/>
          <w:sz w:val="20"/>
        </w:rPr>
        <w:t>Wave Group</w:t>
      </w:r>
      <w:r>
        <w:rPr>
          <w:rFonts w:ascii="Times New Roman" w:hAnsi="Times New Roman"/>
          <w:sz w:val="20"/>
        </w:rPr>
        <w:t>”). In this proxy statement, we refer to the transactions to be effected pursuant to the Scheme of Arrangement and the related transactions as the “</w:t>
      </w:r>
      <w:r>
        <w:rPr>
          <w:rFonts w:ascii="Times New Roman" w:hAnsi="Times New Roman"/>
          <w:b/>
          <w:sz w:val="20"/>
        </w:rPr>
        <w:t>Transaction</w:t>
      </w:r>
      <w:r>
        <w:rPr>
          <w:rFonts w:ascii="Times New Roman" w:hAnsi="Times New Roman"/>
          <w:sz w:val="20"/>
        </w:rPr>
        <w:t>.” The Transaction will create a new publicly traded parent company of the Wave Group that is incorporated in Delaware and will result in you holding shares of common stock of a Delaware corporation instead of ordinary shares of Wave Life Sciences Ltd., a public company limited by shares incorporated under the laws of the Republic of Singapore (“</w:t>
      </w:r>
      <w:r>
        <w:rPr>
          <w:rFonts w:ascii="Times New Roman" w:hAnsi="Times New Roman"/>
          <w:b/>
          <w:sz w:val="20"/>
        </w:rPr>
        <w:t>Wave-Singapore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Wave Life Sciences, Inc. (“</w:t>
      </w:r>
      <w:r>
        <w:rPr>
          <w:rFonts w:ascii="Times New Roman" w:hAnsi="Times New Roman"/>
          <w:b/>
          <w:sz w:val="20"/>
        </w:rPr>
        <w:t>Wave-Delaware</w:t>
      </w:r>
      <w:r>
        <w:rPr>
          <w:rFonts w:ascii="Times New Roman" w:hAnsi="Times New Roman"/>
          <w:sz w:val="20"/>
        </w:rPr>
        <w:t xml:space="preserve">”) is a corporation incorporated in Delaware and a direct wholly owned subsidiary of Wave-Singapore, formed specifically for the purpose of implementing the Transaction. Wave-Delaware has only nominal assets and capitalization and has not engaged in any business or other activities other than in connection with its formation and the Transaction. </w:t>
      </w:r>
    </w:p>
    <w:p>
      <w:pPr>
        <w:pStyle w:val="TextBody"/>
        <w:bidi w:val="0"/>
        <w:spacing w:before="240" w:after="0"/>
        <w:jc w:val="left"/>
        <w:rPr>
          <w:rFonts w:ascii="Times New Roman" w:hAnsi="Times New Roman"/>
          <w:sz w:val="20"/>
        </w:rPr>
      </w:pPr>
      <w:r>
        <w:rPr>
          <w:rFonts w:ascii="Times New Roman" w:hAnsi="Times New Roman"/>
          <w:sz w:val="20"/>
        </w:rPr>
        <w:t>The Scheme of Arrangement will be effected pursuant to the Implementation Agreement between Wave-Singapore and Wave-Delaware, dated as of April 15, 2026, a copy of which is attached to this proxy statement as Annex B (the “</w:t>
      </w:r>
      <w:r>
        <w:rPr>
          <w:rFonts w:ascii="Times New Roman" w:hAnsi="Times New Roman"/>
          <w:b/>
          <w:sz w:val="20"/>
        </w:rPr>
        <w:t>Implementation Agreement</w:t>
      </w:r>
      <w:r>
        <w:rPr>
          <w:rFonts w:ascii="Times New Roman" w:hAnsi="Times New Roman"/>
          <w:sz w:val="20"/>
        </w:rPr>
        <w:t xml:space="preserve">”). The Scheme of Arrangement provides for the exchange of your ordinary shares in the capital of Wave-Singapore for shares of common stock of Wave-Delaware on a one—for-one basis. Following the effectiveness of the Scheme of Arrangement, Wave-Singapore’s interest in Wave-Delaware will be redeemed. As a result of the Transaction, the shareholders of Wave-Singapore will become stockholders of Wave-Delaware and such stockholders’ rights will be governed by Delaware law and by Wave-Delaware’s amended and restated certificate of incorporation and amended and restated bylaws, in substantially the forms attached hereto as Annex C and Annex D, respectively. </w:t>
      </w:r>
    </w:p>
    <w:p>
      <w:pPr>
        <w:pStyle w:val="TextBody"/>
        <w:bidi w:val="0"/>
        <w:spacing w:before="240" w:after="0"/>
        <w:jc w:val="left"/>
        <w:rPr>
          <w:rFonts w:ascii="Times New Roman" w:hAnsi="Times New Roman"/>
          <w:sz w:val="20"/>
        </w:rPr>
      </w:pPr>
      <w:r>
        <w:rPr>
          <w:rFonts w:ascii="Times New Roman" w:hAnsi="Times New Roman"/>
          <w:sz w:val="20"/>
        </w:rPr>
        <w:t>After the Scheme of Arrangement is completed, Wave-Singapore will elect to be classified as a disregarded entity for U.S. federal income tax purposes (the “</w:t>
      </w:r>
      <w:r>
        <w:rPr>
          <w:rFonts w:ascii="Times New Roman" w:hAnsi="Times New Roman"/>
          <w:b/>
          <w:sz w:val="20"/>
        </w:rPr>
        <w:t>U.S. Tax Election</w:t>
      </w:r>
      <w:r>
        <w:rPr>
          <w:rFonts w:ascii="Times New Roman" w:hAnsi="Times New Roman"/>
          <w:sz w:val="20"/>
        </w:rPr>
        <w:t xml:space="preserve">”). The following diagrams depict our organizational structure on a simplified basis before and after the Transaction: </w:t>
      </w:r>
    </w:p>
    <w:p>
      <w:pPr>
        <w:pStyle w:val="TextBody"/>
        <w:bidi w:val="0"/>
        <w:spacing w:before="480" w:after="0"/>
        <w:jc w:val="center"/>
        <w:rPr>
          <w:rFonts w:ascii="Times New Roman" w:hAnsi="Times New Roman"/>
          <w:b/>
          <w:sz w:val="20"/>
        </w:rPr>
      </w:pPr>
      <w:r>
        <w:rPr>
          <w:rFonts w:ascii="Times New Roman" w:hAnsi="Times New Roman"/>
          <w:b/>
          <w:sz w:val="20"/>
          <w:u w:val="single"/>
        </w:rPr>
        <w:t>Before the Transaction</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51605" cy="1900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51605" cy="19005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After the Transaction</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30675" cy="22091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30675" cy="22091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45078_3"/>
      <w:bookmarkEnd w:id="5"/>
      <w:r>
        <w:rPr>
          <w:rFonts w:ascii="Times New Roman" w:hAnsi="Times New Roman"/>
          <w:b/>
          <w:sz w:val="20"/>
        </w:rPr>
        <w:t xml:space="preserve">QUESTIONS AND ANSWERS ABOUT THE TRANSACTION AND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am I being asked to vote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Holders of ordinary shares in the capital of Wave-Singapore are being asked to vote at a court-convened meeting of holders of ordinary shares of Wave-Singapore (the “</w:t>
            </w:r>
            <w:r>
              <w:rPr>
                <w:rFonts w:ascii="Times New Roman" w:hAnsi="Times New Roman"/>
                <w:b/>
                <w:sz w:val="20"/>
              </w:rPr>
              <w:t>Special Meeting</w:t>
            </w:r>
            <w:r>
              <w:rPr>
                <w:rFonts w:ascii="Times New Roman" w:hAnsi="Times New Roman"/>
                <w:sz w:val="20"/>
              </w:rPr>
              <w:t>”) on a proposal to approve the Scheme of Arrangement attached as Annex A to this proxy statement (the “</w:t>
            </w:r>
            <w:r>
              <w:rPr>
                <w:rFonts w:ascii="Times New Roman" w:hAnsi="Times New Roman"/>
                <w:b/>
                <w:sz w:val="20"/>
              </w:rPr>
              <w:t>Wave Redomiciliation Proposal</w:t>
            </w:r>
            <w:r>
              <w:rPr>
                <w:rFonts w:ascii="Times New Roman" w:hAnsi="Times New Roman"/>
                <w:sz w:val="20"/>
              </w:rPr>
              <w:t xml:space="preserve">”). If the Scheme of Arrangement becomes effective, all of the ordinary shares of Wave-Singapore will be transferred to Wave-Delaware, which will issue one share of common stock of Wave-Delaware to the holders of Wave-Singapore ordinary shares for each ordinary share of Wave-Singapore that has been transferred. As a result, Wave-Delaware will become the parent company of Wave-Singapore.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 confirmed by the Singapore Court, Scheme Shareholders as of [   ], 2026 (the “</w:t>
            </w:r>
            <w:r>
              <w:rPr>
                <w:rFonts w:ascii="Times New Roman" w:hAnsi="Times New Roman"/>
                <w:b/>
                <w:sz w:val="20"/>
              </w:rPr>
              <w:t>Record Date</w:t>
            </w:r>
            <w:r>
              <w:rPr>
                <w:rFonts w:ascii="Times New Roman" w:hAnsi="Times New Roman"/>
                <w:sz w:val="20"/>
              </w:rPr>
              <w:t xml:space="preserve">”), the record date for the Special Meeting, are entitled to vote. As of the Record Date, there were [   ] ordinary shares in the capital of Wave-Singapore outstanding and entitled to vote and we had [   ] Scheme Shareholders. Each holder of Wave-Singapore ordinary shares is entitled to one vote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quorum and shareholder votes are required for action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hold the Special Meeting, there must be a quorum. The presence, in person or by proxy, of at least two Scheme Shareholders (as defined above) as of the Record Date holding in aggregate at least a majority of all issued and outstanding ordinary shares of Wave-Singapore entitled to vote at the Special Meeting is necessary to constitute a quorum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 </w:t>
      </w:r>
    </w:p>
    <w:p>
      <w:pPr>
        <w:pStyle w:val="TextBody"/>
        <w:bidi w:val="0"/>
        <w:spacing w:before="120" w:after="0"/>
        <w:jc w:val="left"/>
        <w:rPr>
          <w:rFonts w:ascii="Times New Roman" w:hAnsi="Times New Roman"/>
          <w:sz w:val="20"/>
        </w:rPr>
      </w:pPr>
      <w:r>
        <w:rPr>
          <w:rFonts w:ascii="Times New Roman" w:hAnsi="Times New Roman"/>
          <w:sz w:val="20"/>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hAnsi="Times New Roman"/>
          <w:b/>
          <w:sz w:val="20"/>
        </w:rPr>
        <w:t>DTC</w:t>
      </w:r>
      <w:r>
        <w:rPr>
          <w:rFonts w:ascii="Times New Roman" w:hAnsi="Times New Roman"/>
          <w:sz w:val="20"/>
        </w:rPr>
        <w:t>”), and registered in the name of CEDE &amp; Co. (“</w:t>
      </w:r>
      <w:r>
        <w:rPr>
          <w:rFonts w:ascii="Times New Roman" w:hAnsi="Times New Roman"/>
          <w:b/>
          <w:sz w:val="20"/>
        </w:rPr>
        <w:t>CEDE</w:t>
      </w:r>
      <w:r>
        <w:rPr>
          <w:rFonts w:ascii="Times New Roman" w:hAnsi="Times New Roman"/>
          <w:sz w:val="20"/>
        </w:rPr>
        <w:t xml:space="preserve">”) as nominee of DTC and holder of record in the Register of Members of Wave-Singapore,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CEDE shall be deemed not to be a Scheme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each shareholder whose name appears on the register of DTC as a holder of Wave-Singapore ordinary shares (a “</w:t>
            </w:r>
            <w:r>
              <w:rPr>
                <w:rFonts w:ascii="Times New Roman" w:hAnsi="Times New Roman"/>
                <w:b/>
                <w:sz w:val="20"/>
              </w:rPr>
              <w:t>DTC Participant</w:t>
            </w:r>
            <w:r>
              <w:rPr>
                <w:rFonts w:ascii="Times New Roman" w:hAnsi="Times New Roman"/>
                <w:sz w:val="20"/>
              </w:rPr>
              <w:t xml:space="preserve">”) shall be deemed to be a Scheme Shareholder in respect of such number of Wave-Singapore ordinary shares held in such DTC Participant’s account under CEDE.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Scheme Shareholder as of the Record Date may vote in person at the Special Meeting or may appoint one (and not more than one) person, whether a Scheme Shareholder or not, as his or her proxy to attend and vote in his or her stead. </w:t>
      </w:r>
    </w:p>
    <w:p>
      <w:pPr>
        <w:pStyle w:val="TextBody"/>
        <w:bidi w:val="0"/>
        <w:spacing w:before="120" w:after="0"/>
        <w:jc w:val="left"/>
        <w:rPr>
          <w:rFonts w:ascii="Times New Roman" w:hAnsi="Times New Roman"/>
          <w:sz w:val="20"/>
        </w:rPr>
      </w:pPr>
      <w:r>
        <w:rPr>
          <w:rFonts w:ascii="Times New Roman" w:hAnsi="Times New Roman"/>
          <w:sz w:val="20"/>
        </w:rPr>
        <w:t xml:space="preserve">A Scheme Shareholder who is not a DTC Participant may only cast all the votes it uses at the Special Meeting (whether in person or by proxy) in one way, and may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its Wave-Singapore ordinary shares “</w:t>
            </w:r>
            <w:r>
              <w:rPr>
                <w:rFonts w:ascii="Times New Roman" w:hAnsi="Times New Roman"/>
                <w:b/>
                <w:sz w:val="20"/>
              </w:rPr>
              <w:t>FOR</w:t>
            </w:r>
            <w:r>
              <w:rPr>
                <w:rFonts w:ascii="Times New Roman" w:hAnsi="Times New Roman"/>
                <w:sz w:val="20"/>
              </w:rPr>
              <w:t xml:space="preserve">”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of its Wave-Singapore ordinary shares “</w:t>
            </w:r>
            <w:r>
              <w:rPr>
                <w:rFonts w:ascii="Times New Roman" w:hAnsi="Times New Roman"/>
                <w:b/>
                <w:sz w:val="20"/>
              </w:rPr>
              <w:t>AGAINST</w:t>
            </w:r>
            <w:r>
              <w:rPr>
                <w:rFonts w:ascii="Times New Roman" w:hAnsi="Times New Roman"/>
                <w:sz w:val="20"/>
              </w:rPr>
              <w:t xml:space="preserve">” the Wave Redomiciliation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of its Wave-Singapore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Scheme Shareholder who is a DTC Participant need not vote the Wave-Singapore ordinary shares registered in its name in the same way. Accordingly, a DTC Participant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FOR</w:t>
            </w:r>
            <w:r>
              <w:rPr>
                <w:rFonts w:ascii="Times New Roman" w:hAnsi="Times New Roman"/>
                <w:sz w:val="20"/>
              </w:rPr>
              <w:t xml:space="preserve">” the Wave Redomiciliation Proposal, which part shall be counted as approving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AGAINST</w:t>
            </w:r>
            <w:r>
              <w:rPr>
                <w:rFonts w:ascii="Times New Roman" w:hAnsi="Times New Roman"/>
                <w:sz w:val="20"/>
              </w:rPr>
              <w:t xml:space="preserve">” the Wave Redomiciliation Proposal, which part shall be counted as against approving the Wave Redomiciliation Proposal;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or part of its Wave-Singapore ordinary shares, which part shall not be counted in determining the Wave-Singapore ordinary shares that are present and voting on the Wave Redomiciliation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determining whether the Wave Redomiciliation Proposal is approved by a majority in number of Scheme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Scheme Shareholder who is a DTC Participant casts votes both for and against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7"/>
        <w:gridCol w:w="242"/>
        <w:gridCol w:w="109"/>
        <w:gridCol w:w="8857"/>
      </w:tblGrid>
      <w:tr>
        <w:trPr/>
        <w:tc>
          <w:tcPr>
            <w:tcW w:w="997" w:type="dxa"/>
            <w:tcBorders/>
            <w:vAlign w:val="center"/>
          </w:tcPr>
          <w:p>
            <w:pPr>
              <w:pStyle w:val="TableContents"/>
              <w:bidi w:val="0"/>
              <w:spacing w:before="0" w:after="283"/>
              <w:jc w:val="left"/>
              <w:rPr/>
            </w:pPr>
            <w:r>
              <w:rPr/>
              <w:t> </w:t>
            </w:r>
          </w:p>
        </w:tc>
        <w:tc>
          <w:tcPr>
            <w:tcW w:w="242"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7"/>
        <w:gridCol w:w="242"/>
        <w:gridCol w:w="109"/>
        <w:gridCol w:w="8857"/>
      </w:tblGrid>
      <w:tr>
        <w:trPr/>
        <w:tc>
          <w:tcPr>
            <w:tcW w:w="997" w:type="dxa"/>
            <w:tcBorders/>
            <w:vAlign w:val="center"/>
          </w:tcPr>
          <w:p>
            <w:pPr>
              <w:pStyle w:val="TableContents"/>
              <w:bidi w:val="0"/>
              <w:spacing w:before="0" w:after="283"/>
              <w:jc w:val="left"/>
              <w:rPr/>
            </w:pPr>
            <w:r>
              <w:rPr/>
              <w:t> </w:t>
            </w:r>
          </w:p>
        </w:tc>
        <w:tc>
          <w:tcPr>
            <w:tcW w:w="242"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7"/>
        <w:gridCol w:w="242"/>
        <w:gridCol w:w="109"/>
        <w:gridCol w:w="8857"/>
      </w:tblGrid>
      <w:tr>
        <w:trPr/>
        <w:tc>
          <w:tcPr>
            <w:tcW w:w="997" w:type="dxa"/>
            <w:tcBorders/>
            <w:vAlign w:val="center"/>
          </w:tcPr>
          <w:p>
            <w:pPr>
              <w:pStyle w:val="TableContents"/>
              <w:bidi w:val="0"/>
              <w:spacing w:before="0" w:after="283"/>
              <w:jc w:val="left"/>
              <w:rPr/>
            </w:pPr>
            <w:r>
              <w:rPr/>
              <w:t> </w:t>
            </w:r>
          </w:p>
        </w:tc>
        <w:tc>
          <w:tcPr>
            <w:tcW w:w="242"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Scheme Shareholder represented in person or by proxy at the Special Meeting is entitled to one vote per Wave-Singapore ordinary share held as of the Record Date. </w:t>
      </w:r>
    </w:p>
    <w:p>
      <w:pPr>
        <w:pStyle w:val="TextBody"/>
        <w:bidi w:val="0"/>
        <w:spacing w:before="120" w:after="0"/>
        <w:jc w:val="left"/>
        <w:rPr>
          <w:rFonts w:ascii="Times New Roman" w:hAnsi="Times New Roman"/>
          <w:sz w:val="20"/>
        </w:rPr>
      </w:pPr>
      <w:r>
        <w:rPr>
          <w:rFonts w:ascii="Times New Roman" w:hAnsi="Times New Roman"/>
          <w:sz w:val="20"/>
        </w:rPr>
        <w:t>Please see “</w:t>
      </w:r>
      <w:r>
        <w:rPr>
          <w:rFonts w:ascii="Times New Roman" w:hAnsi="Times New Roman"/>
          <w:i/>
          <w:sz w:val="20"/>
        </w:rPr>
        <w:t>The Special Meeting—Record Date; Voting Rights; Vote Required for</w:t>
      </w:r>
      <w:r>
        <w:rPr>
          <w:rFonts w:ascii="Times New Roman" w:hAnsi="Times New Roman"/>
          <w:sz w:val="20"/>
        </w:rPr>
        <w:t xml:space="preserve"> </w:t>
      </w:r>
      <w:r>
        <w:rPr>
          <w:rFonts w:ascii="Times New Roman" w:hAnsi="Times New Roman"/>
          <w:i/>
          <w:sz w:val="20"/>
        </w:rPr>
        <w:t>Approval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effect of broker non-votes and abstentions?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Scheme Shareholder abstains from voting, or if brokers holding their customers’ shares of record cause abstentions to be recorded or if broker “non-votes” are submitted, those shares are considered present and entitled to be voted at the Special Meeting, and, therefore, are considered for purposes of determining whether a quorum is present. However, neither abstentions nor broker “non-votes” will be counted in the tabulation of votes cast or shares voting on a proposal, and, thus, have no effect on whether a proposal has been approved. A “broker non-vote” will occur if your broker cannot vote your shares on a particular matter because it has not received instructions from you and the matter is considered “non-routine.” The Wave Redomiciliation Proposal is considered a “non-routine” matter, and if you are a “street name” holder, your broker will not have the authority to vote your shares for or against this proposal without your instruction.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does the board of directors recommend?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Wave-Singapore board of directors (the “</w:t>
            </w:r>
            <w:r>
              <w:rPr>
                <w:rFonts w:ascii="Times New Roman" w:hAnsi="Times New Roman"/>
                <w:b/>
                <w:sz w:val="20"/>
              </w:rPr>
              <w:t>Board</w:t>
            </w:r>
            <w:r>
              <w:rPr>
                <w:rFonts w:ascii="Times New Roman" w:hAnsi="Times New Roman"/>
                <w:sz w:val="20"/>
              </w:rPr>
              <w:t>” or “</w:t>
            </w:r>
            <w:r>
              <w:rPr>
                <w:rFonts w:ascii="Times New Roman" w:hAnsi="Times New Roman"/>
                <w:b/>
                <w:sz w:val="20"/>
              </w:rPr>
              <w:t>Board of Directors</w:t>
            </w:r>
            <w:r>
              <w:rPr>
                <w:rFonts w:ascii="Times New Roman" w:hAnsi="Times New Roman"/>
                <w:sz w:val="20"/>
              </w:rPr>
              <w:t>”) unanimously recommends that you vote “</w:t>
            </w:r>
            <w:r>
              <w:rPr>
                <w:rFonts w:ascii="Times New Roman" w:hAnsi="Times New Roman"/>
                <w:b/>
                <w:sz w:val="20"/>
              </w:rPr>
              <w:t>FOR</w:t>
            </w:r>
            <w:r>
              <w:rPr>
                <w:rFonts w:ascii="Times New Roman" w:hAnsi="Times New Roman"/>
                <w:sz w:val="20"/>
              </w:rPr>
              <w:t xml:space="preserve">”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of Wave-Singapore, as of the Record Date, are invited to attend the Special Meeting in person at 733 Concord Avenue, Cambridge, MA 02138 commencing at [_] Eastern time on [_],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the name of a bank, broker or other holder of record and you plan to attend the Special Meeting, you must present proof of your beneficial ownership of shares, such as a bank or brokerage account statement or letter from your bank, broker or other nominee showing that you owned Wave-Singapore ordinary shares as of the Record Date, together with a form of personal identification and proof of address to be admitted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Even if you establish proof of your beneficial ownership, you will not be entitled to vote at or otherwise participate in the Special Meeting unless you are a Scheme Shareholder. Only shareholders, their proxy holders and Wave’s guests may attend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Scheme Shareholders as of the Record Date may vote by personally attending the Special Meeting or attending by proxy, by completing and returning a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do you want your ultimate parent company to be incorporated in Delaware rather than Singapore?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incorporated in Singapore since 2012. However, there are compelling reasons that support restructuring our corporate group to redomicile the parent company of our group in the United States at this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 </w:t>
      </w:r>
    </w:p>
    <w:p>
      <w:pPr>
        <w:pStyle w:val="TextBody"/>
        <w:bidi w:val="0"/>
        <w:spacing w:before="120" w:after="0"/>
        <w:jc w:val="left"/>
        <w:rPr>
          <w:rFonts w:ascii="Times New Roman" w:hAnsi="Times New Roman"/>
          <w:sz w:val="20"/>
        </w:rPr>
      </w:pPr>
      <w:r>
        <w:rPr>
          <w:rFonts w:ascii="Times New Roman" w:hAnsi="Times New Roman"/>
          <w:sz w:val="20"/>
        </w:rPr>
        <w:t xml:space="preserve">Following a thorough review, we have determined that having our ultimate parent company incorporated in the United States is best for us, our shareholders and our employees. </w:t>
      </w:r>
    </w:p>
    <w:p>
      <w:pPr>
        <w:pStyle w:val="TextBody"/>
        <w:bidi w:val="0"/>
        <w:spacing w:before="120" w:after="0"/>
        <w:jc w:val="left"/>
        <w:rPr>
          <w:rFonts w:ascii="Times New Roman" w:hAnsi="Times New Roman"/>
          <w:sz w:val="20"/>
        </w:rPr>
      </w:pPr>
      <w:r>
        <w:rPr>
          <w:rFonts w:ascii="Times New Roman" w:hAnsi="Times New Roman"/>
          <w:sz w:val="20"/>
        </w:rPr>
        <w:t xml:space="preserve">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offers predictable and well-established corporate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has a well-developed legal system which we believe encourages high standards of corporate governance and provides stockholders with substantial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domiciled in Delaware are perceived more favorably among regulatory authorities, investors and creditors than corporations domiciled in many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a Delaware corporation among regulatory authorities, investors and creditors is highly favorable;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corporate law provides significant flexibility around corporate and strategic transactions, including the issuance of equity and the payment of dividends, while at the same time protecting the rights of stockholders. </w:t>
            </w:r>
          </w:p>
        </w:tc>
      </w:tr>
    </w:tbl>
    <w:p>
      <w:pPr>
        <w:pStyle w:val="TextBody"/>
        <w:bidi w:val="0"/>
        <w:spacing w:before="120" w:after="0"/>
        <w:jc w:val="left"/>
        <w:rPr>
          <w:rFonts w:ascii="Times New Roman" w:hAnsi="Times New Roman"/>
          <w:sz w:val="20"/>
        </w:rPr>
      </w:pPr>
      <w:r>
        <w:rPr>
          <w:rFonts w:ascii="Times New Roman" w:hAnsi="Times New Roman"/>
          <w:sz w:val="20"/>
        </w:rPr>
        <w:t>Please see “</w:t>
      </w:r>
      <w:r>
        <w:rPr>
          <w:rFonts w:ascii="Times New Roman" w:hAnsi="Times New Roman"/>
          <w:i/>
          <w:sz w:val="20"/>
        </w:rPr>
        <w:t>The Wave Redomiciliation Proposal—Background and Reasons for the Transaction</w:t>
      </w:r>
      <w:r>
        <w:rPr>
          <w:rFonts w:ascii="Times New Roman" w:hAnsi="Times New Roman"/>
          <w:sz w:val="20"/>
        </w:rPr>
        <w:t xml:space="preserve">” for more information. </w:t>
      </w:r>
    </w:p>
    <w:p>
      <w:pPr>
        <w:pStyle w:val="TextBody"/>
        <w:bidi w:val="0"/>
        <w:spacing w:before="120" w:after="0"/>
        <w:jc w:val="left"/>
        <w:rPr>
          <w:rFonts w:ascii="Times New Roman" w:hAnsi="Times New Roman"/>
          <w:sz w:val="20"/>
        </w:rPr>
      </w:pPr>
      <w:r>
        <w:rPr>
          <w:rFonts w:ascii="Times New Roman" w:hAnsi="Times New Roman"/>
          <w:sz w:val="20"/>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hAnsi="Times New Roman"/>
          <w:i/>
          <w:sz w:val="20"/>
        </w:rPr>
        <w:t>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considered both the potential advantages of the Transaction and these potential risks and has unanimously approved the Scheme of Arrangement and recommends that shareholders vote for the approval of the Scheme of Arrangement.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there any risks associated with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our Board of Directors has considered the potential risks to our shareholders and us associated with the Transaction and has recommended that shareholders vote for approval of the Wave Redomiciliation Proposal, there are risks and we cannot assure you that the anticipated benefits of the Transaction will be realized. For example: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rights as a shareholder will change due to differences between Singapore and Delaware law and between the governing documents of Wave-Singapore and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may adversely impact our effective tax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Singapore Court does not grant the Singapore Court Order approving the Scheme of Arrangement, Wave-Singapore will not have the ability to effect the Transaction. </w:t>
            </w:r>
          </w:p>
        </w:tc>
      </w:tr>
    </w:tbl>
    <w:p>
      <w:pPr>
        <w:pStyle w:val="TextBody"/>
        <w:bidi w:val="0"/>
        <w:spacing w:before="120" w:after="0"/>
        <w:jc w:val="left"/>
        <w:rPr>
          <w:rFonts w:ascii="Times New Roman" w:hAnsi="Times New Roman"/>
          <w:sz w:val="20"/>
        </w:rPr>
      </w:pPr>
      <w:r>
        <w:rPr>
          <w:rFonts w:ascii="Times New Roman" w:hAnsi="Times New Roman"/>
          <w:sz w:val="20"/>
        </w:rPr>
        <w:t>You should consider these risks carefully. For additional information, please see the discussion under “</w:t>
      </w:r>
      <w:r>
        <w:rPr>
          <w:rFonts w:ascii="Times New Roman" w:hAnsi="Times New Roman"/>
          <w:i/>
          <w:sz w:val="20"/>
        </w:rPr>
        <w:t>Risk Factors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the Transaction affect Wave’s presence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incorporation of our ultimate parent company in Delaware, at present, there are no changes planned for our operations or workforce in the U.S. or elsewhere as a result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Transaction affect Wave’s current or future day-to-day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will have no material impact on how we conduct our day-to-day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shares of Wave-Singapore differ from shares of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Wave-Delaware common stock will be similar to Wave-Singapore ordinary shares. However, there are differences between what your rights as a shareholder will be under Delaware law and what they currently are as a shareholder under Singapore law. In addition, there are differences between the organizational documents of Wave-Singapore and Wave-Delaware.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discuss these differences in detail under “</w:t>
      </w:r>
      <w:r>
        <w:rPr>
          <w:rFonts w:ascii="Times New Roman" w:hAnsi="Times New Roman"/>
          <w:i/>
          <w:sz w:val="20"/>
        </w:rPr>
        <w:t>Description of Wave-Delaware Capital Stock</w:t>
      </w:r>
      <w:r>
        <w:rPr>
          <w:rFonts w:ascii="Times New Roman" w:hAnsi="Times New Roman"/>
          <w:sz w:val="20"/>
        </w:rPr>
        <w:t>” and “</w:t>
      </w:r>
      <w:r>
        <w:rPr>
          <w:rFonts w:ascii="Times New Roman" w:hAnsi="Times New Roman"/>
          <w:i/>
          <w:sz w:val="20"/>
        </w:rPr>
        <w:t>Comparison of Rights of Singapore Shareholders and Delaware Stockholders</w:t>
      </w:r>
      <w:r>
        <w:rPr>
          <w:rFonts w:ascii="Times New Roman" w:hAnsi="Times New Roman"/>
          <w:sz w:val="20"/>
        </w:rPr>
        <w:t xml:space="preserve">.” Wave-Delaware’s amended and restated certificate of incorporation and amended and restated bylaws in the form substantially as they will be in effect upon consummation of the Transaction, are attached as Annex C and Annex D, respectively, 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Transaction dilute my economic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fully-diluted relative economic ownership in Wave will not change as a result of the Transaction. Your ordinary shares of Wave-Singapore will be exchanged on a one-to-one basis for shares of common stock of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the Transaction affect Wave’s financial reporting and the information Wave provides to 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Wave-Delaware will be subject to the same reporting requirements of the SEC, the mandates of the Sarbanes-Oxley Act and the applicable corporate governance rules of Nasdaq as Wave-Singapore before the Transaction, and we will continue to report our consolidated financial results in U.S. dollars and in accordance with U.S. GAAP. Wave-Delaware will file reports on Form 10-K, 10-Q and 8-K with the SEC and comply with the proxy rules applicable to domestic issuers, as we currently do. Wave-Delaware will also comply with any additional reporting requirements of Delaware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Transaction impact Wave’s ability to access the capital and bank markets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capital raising will be simpler and more efficient with a U.S. domiciled parent holding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Transaction be conditioned upon Wave’s ability to complete any pending or proposed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Transaction is not conditioned upon the completion of any other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the Transaction have any impact on Wave’s ability to pay dividends or, if it elects, to buy back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Delaware law, Wave-Delaware will be able to (but may not necessarily) declare and pay dividends and buy back shares. Generally, we expect that Delaware law will be more flexible than Singapore law as to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Am I entitled to appraisal or dissenters’ rights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No. Once the Wave Redomiciliation Proposal is approved by the requisite Wave-Singapore shareholders and by the Singapore Court, and the order of the Singapore Court approving the Scheme of Arrangement (“</w:t>
            </w:r>
            <w:r>
              <w:rPr>
                <w:rFonts w:ascii="Times New Roman" w:hAnsi="Times New Roman"/>
                <w:b/>
                <w:sz w:val="20"/>
              </w:rPr>
              <w:t>Singapore Court Order</w:t>
            </w:r>
            <w:r>
              <w:rPr>
                <w:rFonts w:ascii="Times New Roman" w:hAnsi="Times New Roman"/>
                <w:sz w:val="20"/>
              </w:rPr>
              <w:t>”) is lodged with the Accounting and Corporate Regulatory Authority of Singapore (“</w:t>
            </w:r>
            <w:r>
              <w:rPr>
                <w:rFonts w:ascii="Times New Roman" w:hAnsi="Times New Roman"/>
                <w:b/>
                <w:sz w:val="20"/>
              </w:rPr>
              <w:t>ACRA</w:t>
            </w:r>
            <w:r>
              <w:rPr>
                <w:rFonts w:ascii="Times New Roman" w:hAnsi="Times New Roman"/>
                <w:sz w:val="20"/>
              </w:rPr>
              <w:t xml:space="preserve">”), the Scheme of Arrangement becomes effective and will be binding on all shareholders of Wave-Singapore. Under Singapore law, the holders of ordinary shares of Wave-Singapore do not have dissenters’ rights or a right to an appraisal of the value of their shares or to receive payment for them in connection with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Is the Transaction taxable to me under U.S. federal income tax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expected to be tax-free to Wave-Singapore’s U.S. shareholders. Specifically, it is intended that holders of ordinary shares of Wave-Singapore not recognize gain or loss for U.S. federal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income tax purposes in the Transaction, but the consummation of the Transaction is not conditioned upon the receipt of any opinion or tax ruling from the United States Internal Revenue Service (“</w:t>
            </w:r>
            <w:r>
              <w:rPr>
                <w:b/>
              </w:rPr>
              <w:t>IRS</w:t>
            </w:r>
            <w:r>
              <w:rPr/>
              <w:t>”) to that effect. Please see “</w:t>
            </w:r>
            <w:r>
              <w:rPr>
                <w:i/>
              </w:rPr>
              <w:t>Material Tax Considerations Relating to the Transaction to Holders of Wave-Singapore Ordinary Shares—Material U.S. Federal Income Tax Considerations of the Transaction to U.S. Holders of Wave-Singapore Ordinary Shares</w:t>
            </w:r>
            <w:r>
              <w:rPr/>
              <w:t>” for a description of the material U.S. federal income tax consequences of the Transaction to Wave-Singapore ordinary shareholders including, with respect to U.S. Holders (as defined therein), the application of Section 367(b) of the Internal Revenue Code of 1986, as amended (the “</w:t>
            </w:r>
            <w:r>
              <w:rPr>
                <w:b/>
              </w:rPr>
              <w:t>Code</w:t>
            </w:r>
            <w:r>
              <w:rPr/>
              <w:t>”) as discussed under “—</w:t>
            </w:r>
            <w:r>
              <w:rPr>
                <w:i/>
              </w:rPr>
              <w:t>Effects of Section</w:t>
            </w:r>
            <w:r>
              <w:rPr/>
              <w:t> </w:t>
            </w:r>
            <w:r>
              <w:rPr>
                <w:i/>
              </w:rPr>
              <w:t>367</w:t>
            </w:r>
            <w:r>
              <w:rPr/>
              <w:t>” and the “passive foreign investment company” (“</w:t>
            </w:r>
            <w:r>
              <w:rPr>
                <w:b/>
              </w:rPr>
              <w:t>PFIC</w:t>
            </w:r>
            <w:r>
              <w:rPr/>
              <w:t>”) rules discussed under “—</w:t>
            </w:r>
            <w:r>
              <w:rPr>
                <w:i/>
              </w:rPr>
              <w:t>PFIC Considerations</w:t>
            </w:r>
            <w:r>
              <w:rPr/>
              <w:t xml:space="preserve">.” Determining the actual tax consequences of the Transaction to you may be complex and will depend on your specific situation. You should consult your tax advisor for a full understanding of the tax consequences of the Transaction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Transaction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the Scheme of Arrangement is approved by the requisite vote of Wave-Singapore shareholders and by the Singapore Court and the other conditions to the consummation of the Transaction are satisfied, we currently expect to complete the Transaction no later than [_], 2026. However, in accordance with the terms of the Implementation Agreement and subject to the paragraph below, Wave-Singapore, without obtaining any further approval of Wave-Singapore shareholders, may select the effective time of the Transaction (including the Scheme of Arrangement), provided the effective time occurs on or prior to December 31, 2026 (the “</w:t>
            </w:r>
            <w:r>
              <w:rPr>
                <w:rFonts w:ascii="Times New Roman" w:hAnsi="Times New Roman"/>
                <w:b/>
                <w:sz w:val="20"/>
              </w:rPr>
              <w:t>Long-Stop Date</w:t>
            </w:r>
            <w:r>
              <w:rPr>
                <w:rFonts w:ascii="Times New Roman" w:hAnsi="Times New Roman"/>
                <w:sz w:val="20"/>
              </w:rPr>
              <w:t>”), notwithstanding Wave-Singapore shareholder or Singapore Court approval of the Scheme of Arrangement and/or the satisfaction of all of the other conditions to the Transaction. Please see “</w:t>
            </w:r>
            <w:r>
              <w:rPr>
                <w:rFonts w:ascii="Times New Roman" w:hAnsi="Times New Roman"/>
                <w:i/>
                <w:sz w:val="20"/>
              </w:rPr>
              <w:t>The Wave Redomiciliation Proposal—Effective Date of the Transaction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satisfaction of the conditions set forth in the Implementation Agreement and the other terms and conditions thereof, we will be required to lodge the Singapore Court Order by the Long-Stop Date. However, if the conditions set forth in the Implementation Agreement are not satisfied by such date, the Scheme of Arrangement will lapse pursuant to its terms and the Transaction will not be effected.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I receive for my Wave-Singapore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Scheme of Arrangement becomes effective, you will receive one share of common stock of Wave-Delaware for each ordinary share of Wave-Singapore you hold immediately prior to the completion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are the Pre-Funded Warrants expected to be treated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In connection with the Transaction, Wave-Singapore is expected to assign its rights and obligations to Wave-Delaware, and Wave-Delaware is expected to assume the obligations of Wave-Singapore under, the outstanding pre-funded warrants, originally issued June 16, 2022, September 27, 2024 and December 11, 2025, respectively (the “</w:t>
            </w:r>
            <w:r>
              <w:rPr>
                <w:rFonts w:ascii="Times New Roman" w:hAnsi="Times New Roman"/>
                <w:b/>
                <w:sz w:val="20"/>
              </w:rPr>
              <w:t>Pre-Funded Warrants</w:t>
            </w:r>
            <w:r>
              <w:rPr>
                <w:rFonts w:ascii="Times New Roman" w:hAnsi="Times New Roman"/>
                <w:sz w:val="20"/>
              </w:rPr>
              <w:t xml:space="preserve">”). As a result of such assignment and assumption, following the effective time of the Transaction and in accordance with their terms, the Pre-Funded Warrants will be exercisable for shares of common stock of Wave-Delaware in lieu of ordinary shares of Wave-Singapore.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the Scheme of Arrangement is approved, do I have to take any action to participate in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effectiveness of the Transaction, your Wave-Singapore ordinary shares will be exchanged for shares of common stock of Wave-Delaware. The Wave-Delaware shares will be issued to you in uncertificated book-entry form. Wave-Singapore share certificates outstanding and book-entry shares held by Wave-Singapore shareholders immediately prior to the effective time of the Transaction will no longer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evidence of title of Wave-Singapore ordinary shares previously represented by such certificates and book-entry positions, and following the Transaction, will only represent the right to receive a corresponding number of uncertificated book-entry shares of common stock of Wave-Delaware. Our transfer agent will request that you return any share certificates 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without any action required on the part of the beneficial holder of such ordinary shares. Please see “</w:t>
            </w:r>
            <w:r>
              <w:rPr>
                <w:i/>
              </w:rPr>
              <w:t>The Wave Redomiciliation Proposal—Action Required</w:t>
            </w:r>
            <w:r>
              <w:rPr/>
              <w:t xml:space="preserve"> </w:t>
            </w:r>
            <w:r>
              <w:rPr>
                <w:i/>
              </w:rPr>
              <w:t>to Transfer Wave-Singapore Ordinary Shares</w:t>
            </w:r>
            <w:r>
              <w:rPr/>
              <w:t xml:space="preserve"> </w:t>
            </w:r>
            <w:r>
              <w:rPr>
                <w:i/>
              </w:rPr>
              <w:t>and Receive Wave-Delaware Shares of Common Stock</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trade Wave-Singapore ordinary shares between the date of this proxy statement and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Wave-Singapore ordinary shares will continue to trade on Nasdaq under the symbol “WVE” during this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the Transaction affect the stock exchange listing of Wave-Singapore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should be no disruption in the trading of your shares. We will submit a notification form with Nasdaq and expect that, following the consummation of the Transaction, the Wave-Delaware shares of common stock will be listed on Nasdaq under the symbol “WVE,” the same symbol under which your Wave-Singapore ordinary shares are currently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my Wave-Singapore ordinary shares are held in “street name” by my broker,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vote on the Wave Redomiciliation Proposal is considered a “non-routine” matter, and your broker cannot exercise discretion to vote your Wave-Singapore ordinary shares. If you hold your Wave-Singapore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 </w:t>
            </w:r>
          </w:p>
        </w:tc>
      </w:tr>
    </w:tbl>
    <w:p>
      <w:pPr>
        <w:pStyle w:val="TextBody"/>
        <w:bidi w:val="0"/>
        <w:spacing w:before="120" w:after="0"/>
        <w:jc w:val="left"/>
        <w:rPr>
          <w:rFonts w:ascii="Times New Roman" w:hAnsi="Times New Roman"/>
          <w:sz w:val="20"/>
        </w:rPr>
      </w:pPr>
      <w:r>
        <w:rPr>
          <w:rFonts w:ascii="Times New Roman" w:hAnsi="Times New Roman"/>
          <w:sz w:val="20"/>
        </w:rPr>
        <w:t>All shares entitled to vote and represented by properly completed proxies received prior to the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Board recommends and, therefore, “</w:t>
      </w:r>
      <w:r>
        <w:rPr>
          <w:rFonts w:ascii="Times New Roman" w:hAnsi="Times New Roman"/>
          <w:b/>
          <w:sz w:val="20"/>
        </w:rPr>
        <w:t>FOR</w:t>
      </w:r>
      <w:r>
        <w:rPr>
          <w:rFonts w:ascii="Times New Roman" w:hAnsi="Times New Roman"/>
          <w:sz w:val="20"/>
        </w:rPr>
        <w:t xml:space="preserve">” the approval of the Wave Redomiciliation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revoke my proxy or change my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shareholders eligible to vote at the Special Meeting have the right to revoke a proxy at any time prior to voting at the Special Meeting by (i) submitting a subsequently dated proxy card, which must be received by Vote Processing, c/o Broadridge, 51 Mercedes Way, Edgewood, NY 11717 no later than 48 hours before the time fixed for the Special Meeting or within such other time as may be required by the Singapore Companies Act or (ii) by attending the meeting and voting in person, </w:t>
            </w:r>
            <w:r>
              <w:rPr>
                <w:rFonts w:ascii="Times New Roman" w:hAnsi="Times New Roman"/>
                <w:i/>
                <w:sz w:val="20"/>
              </w:rPr>
              <w:t>provided</w:t>
            </w:r>
            <w:r>
              <w:rPr>
                <w:rFonts w:ascii="Times New Roman" w:hAnsi="Times New Roman"/>
                <w:sz w:val="20"/>
              </w:rPr>
              <w:t xml:space="preserve"> that you were a Scheme Shareholder as of the Record Date. If you hold Wave-Singapore ordinary shares in “street name” through a broker, you should follow the procedures provided by your broker to revoke or change your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making and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proxy is being solicited on behalf of the Board. We have hired Innisfree M&amp;A Incorporated (“</w:t>
            </w:r>
            <w:r>
              <w:rPr>
                <w:rFonts w:ascii="Times New Roman" w:hAnsi="Times New Roman"/>
                <w:b/>
                <w:sz w:val="20"/>
              </w:rPr>
              <w:t>Innisfree</w:t>
            </w:r>
            <w:r>
              <w:rPr>
                <w:rFonts w:ascii="Times New Roman" w:hAnsi="Times New Roman"/>
                <w:sz w:val="20"/>
              </w:rPr>
              <w:t xml:space="preserve">”) to assist in the distribution of proxy materials and the solicitation of proxies for an initial fee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of Wave-Singapore ordinary shares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Whom should I call if I have questions about the Special Meeting or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contact our proxy solicitor: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left"/>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Toll free: (877) 750-0510 </w:t>
      </w:r>
    </w:p>
    <w:p>
      <w:pPr>
        <w:pStyle w:val="TextBody"/>
        <w:bidi w:val="0"/>
        <w:spacing w:before="0" w:after="0"/>
        <w:jc w:val="left"/>
        <w:rPr>
          <w:rFonts w:ascii="Times New Roman" w:hAnsi="Times New Roman"/>
          <w:sz w:val="20"/>
        </w:rPr>
      </w:pPr>
      <w:r>
        <w:rPr>
          <w:rFonts w:ascii="Times New Roman" w:hAnsi="Times New Roman"/>
          <w:sz w:val="20"/>
        </w:rPr>
        <w:t xml:space="preserve">Banks and brokers: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45078_4"/>
      <w:bookmarkEnd w:id="6"/>
      <w:r>
        <w:rPr>
          <w:rFonts w:ascii="Times New Roman" w:hAnsi="Times New Roman"/>
          <w:b/>
          <w:sz w:val="20"/>
        </w:rPr>
        <w:t xml:space="preserve">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highlights selected information from this proxy statement. It does not contain all of the information that is important to you. To understand the Transaction more fully, and for a more complete legal description of the Transaction, you should read carefully the entire proxy statement, including the Annexes. The Scheme of Arrangement and the Implementation Agreement, substantially in the forms attached as Annex A and Annex B, respectively, to this proxy statement, are the legal documents that govern the Transaction. The amended and restated certificate of incorporation and amended and restated bylaws of Wave-Delaware, substantially in the forms attached as Annex C and Annex D, respectively, to this proxy statement, will become the governing documents of Wave-Delaware upon the completion of the Transaction. </w:t>
      </w:r>
    </w:p>
    <w:p>
      <w:pPr>
        <w:pStyle w:val="TextBody"/>
        <w:bidi w:val="0"/>
        <w:spacing w:before="360" w:after="0"/>
        <w:jc w:val="left"/>
        <w:rPr>
          <w:rFonts w:ascii="Times New Roman" w:hAnsi="Times New Roman"/>
          <w:b/>
          <w:sz w:val="20"/>
        </w:rPr>
      </w:pPr>
      <w:bookmarkStart w:id="7" w:name="toc45078_5"/>
      <w:bookmarkEnd w:id="7"/>
      <w:r>
        <w:rPr>
          <w:rFonts w:ascii="Times New Roman" w:hAnsi="Times New Roman"/>
          <w:b/>
          <w:sz w:val="20"/>
        </w:rPr>
        <w:t xml:space="preserve">Parties to the Transaction </w:t>
      </w:r>
    </w:p>
    <w:p>
      <w:pPr>
        <w:pStyle w:val="TextBody"/>
        <w:bidi w:val="0"/>
        <w:spacing w:before="120" w:after="0"/>
        <w:jc w:val="left"/>
        <w:rPr>
          <w:rFonts w:ascii="Times New Roman" w:hAnsi="Times New Roman"/>
          <w:sz w:val="20"/>
        </w:rPr>
      </w:pPr>
      <w:r>
        <w:rPr>
          <w:rFonts w:ascii="Times New Roman" w:hAnsi="Times New Roman"/>
          <w:i/>
          <w:sz w:val="20"/>
        </w:rPr>
        <w:t>Wave-Singapore</w:t>
      </w:r>
      <w:r>
        <w:rPr>
          <w:rFonts w:ascii="Times New Roman" w:hAnsi="Times New Roman"/>
          <w:sz w:val="20"/>
        </w:rPr>
        <w:t>. We are a public company limited by shares incorporated under the laws of the Republic of Singapore and parent of a corporate group that is a clinical-stage biotechnology company focused on unlocking the broad potential of ribonucleic acid medicines (“</w:t>
      </w:r>
      <w:r>
        <w:rPr>
          <w:rFonts w:ascii="Times New Roman" w:hAnsi="Times New Roman"/>
          <w:b/>
          <w:sz w:val="20"/>
        </w:rPr>
        <w:t>RNA</w:t>
      </w:r>
      <w:r>
        <w:rPr>
          <w:rFonts w:ascii="Times New Roman" w:hAnsi="Times New Roman"/>
          <w:sz w:val="20"/>
        </w:rPr>
        <w:t xml:space="preserve">”), or those targeting RNA, to transform human health. Wave-Singapore’s RNA medicines platform, PRISM®,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Our ordinary shares are traded on Nasdaq under the symbol “WVE”.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Wave-Singapore are located at 7 Straits View #12-00, Marina One East Tower, Singapore 018936, and the telephone number at that address is (65) 6236 3388. </w:t>
      </w:r>
    </w:p>
    <w:p>
      <w:pPr>
        <w:pStyle w:val="TextBody"/>
        <w:bidi w:val="0"/>
        <w:spacing w:before="240" w:after="0"/>
        <w:jc w:val="left"/>
        <w:rPr>
          <w:rFonts w:ascii="Times New Roman" w:hAnsi="Times New Roman"/>
          <w:sz w:val="20"/>
        </w:rPr>
      </w:pPr>
      <w:r>
        <w:rPr>
          <w:rFonts w:ascii="Times New Roman" w:hAnsi="Times New Roman"/>
          <w:i/>
          <w:sz w:val="20"/>
        </w:rPr>
        <w:t>Wave-Delaware.</w:t>
      </w:r>
      <w:r>
        <w:rPr>
          <w:rFonts w:ascii="Times New Roman" w:hAnsi="Times New Roman"/>
          <w:sz w:val="20"/>
        </w:rPr>
        <w:t xml:space="preserve"> Wave-Delaware is a newly formed Delaware corporation and a direct wholly owned subsidiary of Wave-Singapore, incorporated specifically for the purpose of implementing the Transaction. Wave-Delaware has only nominal assets and capitalization and has not engaged in any business or other activities other than in connection with its formation and the Transaction. Immediately following the Transaction, Wave-Delaware will become the ultimate parent company of the Wave Group.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offices of Wave-Delaware are located in person at 733 Concord Avenue, Cambridge, MA 02138, and the telephone number at that address is +1-617-949-2900. </w:t>
      </w:r>
    </w:p>
    <w:p>
      <w:pPr>
        <w:pStyle w:val="TextBody"/>
        <w:bidi w:val="0"/>
        <w:spacing w:before="360" w:after="0"/>
        <w:jc w:val="left"/>
        <w:rPr>
          <w:rFonts w:ascii="Times New Roman" w:hAnsi="Times New Roman"/>
          <w:b/>
          <w:sz w:val="20"/>
        </w:rPr>
      </w:pPr>
      <w:bookmarkStart w:id="8" w:name="toc45078_6"/>
      <w:bookmarkEnd w:id="8"/>
      <w:r>
        <w:rPr>
          <w:rFonts w:ascii="Times New Roman" w:hAnsi="Times New Roman"/>
          <w:b/>
          <w:sz w:val="20"/>
        </w:rPr>
        <w:t xml:space="preserve">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will cause the parent company of our corporate group to be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Board of Directors approved the Transaction and the entry by Wave-Singapore into the Implementation Agreement. On April 15, 2026, the Implementation Agreement was entered into between Wave-Singapore and Wave-Delaware. On [ ], 2026, the Singapore Court ordered, among other things, the convening of the Special Meeting to approve the Scheme of Arrangement. We will hold the Special Meeting to approve the Scheme of Arrangement on [ ],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 </w:t>
      </w:r>
    </w:p>
    <w:p>
      <w:pPr>
        <w:pStyle w:val="TextBody"/>
        <w:bidi w:val="0"/>
        <w:spacing w:before="360" w:after="0"/>
        <w:jc w:val="left"/>
        <w:rPr>
          <w:rFonts w:ascii="Times New Roman" w:hAnsi="Times New Roman"/>
          <w:b/>
          <w:sz w:val="20"/>
        </w:rPr>
      </w:pPr>
      <w:bookmarkStart w:id="9" w:name="toc45078_7"/>
      <w:bookmarkEnd w:id="9"/>
      <w:r>
        <w:rPr>
          <w:rFonts w:ascii="Times New Roman" w:hAnsi="Times New Roman"/>
          <w:b/>
          <w:sz w:val="20"/>
        </w:rPr>
        <w:t xml:space="preserve">Background and Reasons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have been incorporated in Singapore since 2012. However, there are compelling reasons that support restructuring our corporate group to redomicile the parent company of our group in the United States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 </w:t>
      </w:r>
    </w:p>
    <w:p>
      <w:pPr>
        <w:pStyle w:val="TextBody"/>
        <w:bidi w:val="0"/>
        <w:spacing w:before="240" w:after="0"/>
        <w:jc w:val="left"/>
        <w:rPr>
          <w:rFonts w:ascii="Times New Roman" w:hAnsi="Times New Roman"/>
          <w:sz w:val="20"/>
        </w:rPr>
      </w:pPr>
      <w:r>
        <w:rPr>
          <w:rFonts w:ascii="Times New Roman" w:hAnsi="Times New Roman"/>
          <w:sz w:val="20"/>
        </w:rPr>
        <w:t xml:space="preserve">Following a thorough review, we have determined that having our ultimate parent company incorporated in the United States is best for us, our shareholders and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various factors, our Board of Directors determined that it was advisable to proceed with the Transaction. Our Board of Directors’ determination that Delaware is the preferred choice for the domicile of the parent of the Wave Group was based on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offers predictable and well-established corporate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has a well-developed legal system which we believe encourages high standards of corporate governance and provides stockholders with substantial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domiciled in Delaware are perceived more favorably among regulatory authorities, investors and creditors than corporations domiciled in many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a Delaware corporation among regulatory authorities, investors and creditors is highly favorable;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corporate law provides significant flexibility around corporate and strategic transactions, including the issuance of equity and the payment of dividends, while at the same time protecting the rights of stockholders. </w:t>
            </w:r>
          </w:p>
        </w:tc>
      </w:tr>
    </w:tbl>
    <w:p>
      <w:pPr>
        <w:pStyle w:val="TextBody"/>
        <w:bidi w:val="0"/>
        <w:spacing w:before="240" w:after="0"/>
        <w:jc w:val="left"/>
        <w:rPr>
          <w:rFonts w:ascii="Times New Roman" w:hAnsi="Times New Roman"/>
          <w:sz w:val="20"/>
        </w:rPr>
      </w:pPr>
      <w:r>
        <w:rPr>
          <w:rFonts w:ascii="Times New Roman" w:hAnsi="Times New Roman"/>
          <w:sz w:val="20"/>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both the potential advantages of the Transaction and these potential risks and has unanimously approved the Scheme of Arrangement and recommends that shareholders vote for the approval of the Scheme of Arrangement. </w:t>
      </w:r>
    </w:p>
    <w:p>
      <w:pPr>
        <w:pStyle w:val="TextBody"/>
        <w:bidi w:val="0"/>
        <w:spacing w:before="360" w:after="0"/>
        <w:jc w:val="left"/>
        <w:rPr>
          <w:rFonts w:ascii="Times New Roman" w:hAnsi="Times New Roman"/>
          <w:b/>
          <w:sz w:val="20"/>
        </w:rPr>
      </w:pPr>
      <w:bookmarkStart w:id="10" w:name="toc45078_8"/>
      <w:bookmarkEnd w:id="10"/>
      <w:r>
        <w:rPr>
          <w:rFonts w:ascii="Times New Roman" w:hAnsi="Times New Roman"/>
          <w:b/>
          <w:sz w:val="20"/>
        </w:rPr>
        <w:t xml:space="preserve">Potential Tax Consequences to the Wave Group </w:t>
      </w:r>
    </w:p>
    <w:p>
      <w:pPr>
        <w:pStyle w:val="TextBody"/>
        <w:bidi w:val="0"/>
        <w:spacing w:before="120" w:after="0"/>
        <w:jc w:val="left"/>
        <w:rPr>
          <w:rFonts w:ascii="Times New Roman" w:hAnsi="Times New Roman"/>
          <w:sz w:val="20"/>
        </w:rPr>
      </w:pPr>
      <w:r>
        <w:rPr>
          <w:rFonts w:ascii="Times New Roman" w:hAnsi="Times New Roman"/>
          <w:sz w:val="20"/>
        </w:rPr>
        <w:t xml:space="preserve">Stamp duty may be chargeable in Singapore on documents effecting a sale of shares in a Singapore-incorporated company at the rate of 0.2% of the consideration paid or the market value of the shares, whichever is higher.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 </w:t>
      </w:r>
    </w:p>
    <w:p>
      <w:pPr>
        <w:pStyle w:val="TextBody"/>
        <w:bidi w:val="0"/>
        <w:spacing w:before="240" w:after="0"/>
        <w:jc w:val="left"/>
        <w:rPr>
          <w:rFonts w:ascii="Times New Roman" w:hAnsi="Times New Roman"/>
          <w:sz w:val="20"/>
        </w:rPr>
      </w:pPr>
      <w:r>
        <w:rPr>
          <w:rFonts w:ascii="Times New Roman" w:hAnsi="Times New Roman"/>
          <w:sz w:val="20"/>
        </w:rPr>
        <w:t xml:space="preserve">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 </w:t>
      </w:r>
    </w:p>
    <w:p>
      <w:pPr>
        <w:pStyle w:val="TextBody"/>
        <w:bidi w:val="0"/>
        <w:spacing w:before="360" w:after="0"/>
        <w:jc w:val="left"/>
        <w:rPr>
          <w:rFonts w:ascii="Times New Roman" w:hAnsi="Times New Roman"/>
          <w:b/>
          <w:sz w:val="20"/>
        </w:rPr>
      </w:pPr>
      <w:bookmarkStart w:id="11" w:name="toc45078_9"/>
      <w:bookmarkEnd w:id="11"/>
      <w:r>
        <w:rPr>
          <w:rFonts w:ascii="Times New Roman" w:hAnsi="Times New Roman"/>
          <w:b/>
          <w:sz w:val="20"/>
        </w:rPr>
        <w:t xml:space="preserve">Material Tax Considerations Relating to the Transaction to Holders of Wave-Singapore Ordinary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 Federal Income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It is intended that holders of ordinary shares of Wave-Singapore not recognize gain or loss for U.S. federal income tax purposes in the Transaction though the consummation of the Transaction is not conditioned upon the receipt of any opinion or tax ruling from the IRS to that effect. Please see “</w:t>
      </w:r>
      <w:r>
        <w:rPr>
          <w:rFonts w:ascii="Times New Roman" w:hAnsi="Times New Roman"/>
          <w:i/>
          <w:sz w:val="20"/>
        </w:rPr>
        <w:t>Material Tax Considerations Relating to the Transaction to Holders of Wave-Singapore Ordinary Shares—Material U.S. Federal Income Tax Considerations of the Transaction to U.S. Holders of Wave-Singapore Ordinary Shares</w:t>
      </w:r>
      <w:r>
        <w:rPr>
          <w:rFonts w:ascii="Times New Roman" w:hAnsi="Times New Roman"/>
          <w:sz w:val="20"/>
        </w:rPr>
        <w:t>” for a description of material U.S. federal income tax consequences of the Transaction to Wave-Singapore ordinary shareholders including, with respect to U.S. Holders (as defined therein), the application of Section 367(b) of the Code as discussed under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w:t>
      </w:r>
      <w:r>
        <w:rPr>
          <w:rFonts w:ascii="Times New Roman" w:hAnsi="Times New Roman"/>
          <w:sz w:val="20"/>
        </w:rPr>
        <w:t>” and the PFIC rules as discussed under “—</w:t>
      </w:r>
      <w:r>
        <w:rPr>
          <w:rFonts w:ascii="Times New Roman" w:hAnsi="Times New Roman"/>
          <w:i/>
          <w:sz w:val="20"/>
        </w:rPr>
        <w:t>PFIC Considerations</w:t>
      </w:r>
      <w:r>
        <w:rPr>
          <w:rFonts w:ascii="Times New Roman" w:hAnsi="Times New Roman"/>
          <w:sz w:val="20"/>
        </w:rPr>
        <w:t xml:space="preserve">.” Determining the actual tax consequences of the Transaction to you may be complex and will depend on your specific situation. You should consult your tax advisor for a full understanding of the tax consequences of the Transaction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Wave-Singapore ordinary shares in consideration for the allotment and issue of shares of common stock of Wave-Delaware pursuant to the Scheme of Arrangement may be regarded as a disposal of the Wave-Singapore ordinary shares for Singapore income tax purposes and a holder of the Wave-Singapore ordinary shares may consequently need to recognize a gain or loss. Such gain or loss may be income or capital in nature depending on the circumstances of the holder (e.g., whether the holder is trading in shares in Singapore or had acquired such shares for disposal at a profit in Singapore) and may or may not be taxable or deductible accordingly.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 </w:t>
      </w:r>
    </w:p>
    <w:p>
      <w:pPr>
        <w:pStyle w:val="TextBody"/>
        <w:bidi w:val="0"/>
        <w:spacing w:before="240" w:after="0"/>
        <w:jc w:val="left"/>
        <w:rPr>
          <w:rFonts w:ascii="Times New Roman" w:hAnsi="Times New Roman"/>
          <w:sz w:val="20"/>
        </w:rPr>
      </w:pPr>
      <w:r>
        <w:rPr>
          <w:rFonts w:ascii="Times New Roman" w:hAnsi="Times New Roman"/>
          <w:sz w:val="20"/>
        </w:rPr>
        <w:t>In addition, holders of Wave-Singapore ordinary shares who apply, or who are required to apply, the Singapore Financial Reporting Standard 39—Financial Instruments: Recognition and Measurement (“</w:t>
      </w:r>
      <w:r>
        <w:rPr>
          <w:rFonts w:ascii="Times New Roman" w:hAnsi="Times New Roman"/>
          <w:b/>
          <w:sz w:val="20"/>
        </w:rPr>
        <w:t>FRS 39</w:t>
      </w:r>
      <w:r>
        <w:rPr>
          <w:rFonts w:ascii="Times New Roman" w:hAnsi="Times New Roman"/>
          <w:sz w:val="20"/>
        </w:rPr>
        <w:t>”), the Singapore Financial Reporting Standard 109 —Financial Instruments (“</w:t>
      </w:r>
      <w:r>
        <w:rPr>
          <w:rFonts w:ascii="Times New Roman" w:hAnsi="Times New Roman"/>
          <w:b/>
          <w:sz w:val="20"/>
        </w:rPr>
        <w:t>FRS 109</w:t>
      </w:r>
      <w:r>
        <w:rPr>
          <w:rFonts w:ascii="Times New Roman" w:hAnsi="Times New Roman"/>
          <w:sz w:val="20"/>
        </w:rPr>
        <w:t>”) or the Singapore Financial Reporting Standard (International) 9 (“</w:t>
      </w:r>
      <w:r>
        <w:rPr>
          <w:rFonts w:ascii="Times New Roman" w:hAnsi="Times New Roman"/>
          <w:b/>
          <w:sz w:val="20"/>
        </w:rPr>
        <w:t>SFRS(I) 9</w:t>
      </w:r>
      <w:r>
        <w:rPr>
          <w:rFonts w:ascii="Times New Roman" w:hAnsi="Times New Roman"/>
          <w:sz w:val="20"/>
        </w:rPr>
        <w:t xml:space="preserve">”)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Singapore has implemented a Domestic Top-up Tax and the Income Inclusion Rule pursuant to Singapore Multinational Enterprise (Minimum Tax) Act 2024 (“</w:t>
      </w:r>
      <w:r>
        <w:rPr>
          <w:rFonts w:ascii="Times New Roman" w:hAnsi="Times New Roman"/>
          <w:b/>
          <w:sz w:val="20"/>
        </w:rPr>
        <w:t>MMT Act</w:t>
      </w:r>
      <w:r>
        <w:rPr>
          <w:rFonts w:ascii="Times New Roman" w:hAnsi="Times New Roman"/>
          <w:sz w:val="20"/>
        </w:rPr>
        <w:t>”) and its subsidiary legislation, which impose a minimum Effective Tax Rate (“</w:t>
      </w:r>
      <w:r>
        <w:rPr>
          <w:rFonts w:ascii="Times New Roman" w:hAnsi="Times New Roman"/>
          <w:b/>
          <w:sz w:val="20"/>
        </w:rPr>
        <w:t>ETR</w:t>
      </w:r>
      <w:r>
        <w:rPr>
          <w:rFonts w:ascii="Times New Roman" w:hAnsi="Times New Roman"/>
          <w:sz w:val="20"/>
        </w:rPr>
        <w:t>”) of 15% from FYs starting on or after 1 January 2025. Where holders of Wave-Singapore ordinary shares who are constituent entities of in-scope Multinational Enterprises (“</w:t>
      </w:r>
      <w:r>
        <w:rPr>
          <w:rFonts w:ascii="Times New Roman" w:hAnsi="Times New Roman"/>
          <w:b/>
          <w:sz w:val="20"/>
        </w:rPr>
        <w:t>MNEs</w:t>
      </w:r>
      <w:r>
        <w:rPr>
          <w:rFonts w:ascii="Times New Roman" w:hAnsi="Times New Roman"/>
          <w:sz w:val="20"/>
        </w:rPr>
        <w:t xml:space="preserve">”) groups recognize gains or losses in their financial statements (in accordance with the relevant accounting standards) as a result of the Transaction, this could affect their ETR and they could be subject to top-up tax under the MMT Act. </w:t>
      </w:r>
    </w:p>
    <w:p>
      <w:pPr>
        <w:pStyle w:val="TextBody"/>
        <w:bidi w:val="0"/>
        <w:spacing w:before="240" w:after="0"/>
        <w:jc w:val="left"/>
        <w:rPr>
          <w:rFonts w:ascii="Times New Roman" w:hAnsi="Times New Roman"/>
          <w:sz w:val="20"/>
        </w:rPr>
      </w:pPr>
      <w:r>
        <w:rPr>
          <w:rFonts w:ascii="Times New Roman" w:hAnsi="Times New Roman"/>
          <w:sz w:val="20"/>
        </w:rPr>
        <w:t xml:space="preserve">Holders should consult their own professional tax advisors regarding the potential Singapore tax consequences as a result of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The exchange of Wave-Singapore ordinary shares for shares of Wave-Delaware common stock pursuant to the Scheme of Arrangement should qualify as a ‘share for share’ exchange for the purposes of UK capital gains tax (“</w:t>
      </w:r>
      <w:r>
        <w:rPr>
          <w:rFonts w:ascii="Times New Roman" w:hAnsi="Times New Roman"/>
          <w:b/>
          <w:sz w:val="20"/>
        </w:rPr>
        <w:t>UK CGT</w:t>
      </w:r>
      <w:r>
        <w:rPr>
          <w:rFonts w:ascii="Times New Roman" w:hAnsi="Times New Roman"/>
          <w:sz w:val="20"/>
        </w:rPr>
        <w:t>”) and UK corporation tax on chargeable gains. Relevant shareholders should refer to the “</w:t>
      </w:r>
      <w:r>
        <w:rPr>
          <w:rFonts w:ascii="Times New Roman" w:hAnsi="Times New Roman"/>
          <w:i/>
          <w:sz w:val="20"/>
        </w:rPr>
        <w:t>Material Tax Considerations Relating to the Transaction to Holders of Wave-Singapore Ordinary Shares—United Kingdom Tax Considerations to Holders of Wave-Singapore Ordinary Shares</w:t>
      </w:r>
      <w:r>
        <w:rPr>
          <w:rFonts w:ascii="Times New Roman" w:hAnsi="Times New Roman"/>
          <w:sz w:val="20"/>
        </w:rPr>
        <w:t xml:space="preserve">” section for a more detailed description of the relevant UK tax treatment. </w:t>
      </w:r>
    </w:p>
    <w:p>
      <w:pPr>
        <w:pStyle w:val="TextBody"/>
        <w:bidi w:val="0"/>
        <w:spacing w:before="360" w:after="0"/>
        <w:jc w:val="left"/>
        <w:rPr>
          <w:rFonts w:ascii="Times New Roman" w:hAnsi="Times New Roman"/>
          <w:b/>
          <w:sz w:val="20"/>
        </w:rPr>
      </w:pPr>
      <w:bookmarkStart w:id="12" w:name="toc45078_10"/>
      <w:bookmarkEnd w:id="12"/>
      <w:r>
        <w:rPr>
          <w:rFonts w:ascii="Times New Roman" w:hAnsi="Times New Roman"/>
          <w:b/>
          <w:sz w:val="20"/>
        </w:rPr>
        <w:t xml:space="preserve">Comparison of Rights of Singapore Shareholders and Delaware Stockholders </w:t>
      </w:r>
    </w:p>
    <w:p>
      <w:pPr>
        <w:pStyle w:val="TextBody"/>
        <w:bidi w:val="0"/>
        <w:spacing w:before="120" w:after="0"/>
        <w:jc w:val="left"/>
        <w:rPr>
          <w:rFonts w:ascii="Times New Roman" w:hAnsi="Times New Roman"/>
          <w:sz w:val="20"/>
        </w:rPr>
      </w:pPr>
      <w:r>
        <w:rPr>
          <w:rFonts w:ascii="Times New Roman" w:hAnsi="Times New Roman"/>
          <w:sz w:val="20"/>
        </w:rPr>
        <w:t xml:space="preserve">Many of the principal attributes of Wave-Singapore’s ordinary shares and Wave-Delaware’s shares of common stock will be similar. However, there are differences between what your rights will be under Delaware law and what they currently are under Singapore law. In addition, there are differences between Wave-Singapore’s constitution and Wave-Delaware’s amended and restated certificate of incorporation and amended and restated bylaws as they will be in effect upon the completion of the Transaction. </w:t>
      </w:r>
    </w:p>
    <w:p>
      <w:pPr>
        <w:pStyle w:val="TextBody"/>
        <w:bidi w:val="0"/>
        <w:spacing w:before="240" w:after="0"/>
        <w:jc w:val="left"/>
        <w:rPr>
          <w:rFonts w:ascii="Times New Roman" w:hAnsi="Times New Roman"/>
          <w:sz w:val="20"/>
        </w:rPr>
      </w:pPr>
      <w:r>
        <w:rPr>
          <w:rFonts w:ascii="Times New Roman" w:hAnsi="Times New Roman"/>
          <w:sz w:val="20"/>
        </w:rPr>
        <w:t>We discuss these differences under “</w:t>
      </w:r>
      <w:r>
        <w:rPr>
          <w:rFonts w:ascii="Times New Roman" w:hAnsi="Times New Roman"/>
          <w:i/>
          <w:sz w:val="20"/>
        </w:rPr>
        <w:t>Description of Wave-Delaware Capital Stock</w:t>
      </w:r>
      <w:r>
        <w:rPr>
          <w:rFonts w:ascii="Times New Roman" w:hAnsi="Times New Roman"/>
          <w:sz w:val="20"/>
        </w:rPr>
        <w:t>” and “</w:t>
      </w:r>
      <w:r>
        <w:rPr>
          <w:rFonts w:ascii="Times New Roman" w:hAnsi="Times New Roman"/>
          <w:i/>
          <w:sz w:val="20"/>
        </w:rPr>
        <w:t>Comparison of Rights of Singapore Shareholders and Delaware Stockholders</w:t>
      </w:r>
      <w:r>
        <w:rPr>
          <w:rFonts w:ascii="Times New Roman" w:hAnsi="Times New Roman"/>
          <w:sz w:val="20"/>
        </w:rPr>
        <w:t xml:space="preserve">.” Wave-Delaware’s certificate of amended and restated incorporation and amended and restated bylaws, in the form substantially as they will be in effect upon completion of the Transaction, are attached as Annex C and Annex D, respectively, to this proxy statement. </w:t>
      </w:r>
    </w:p>
    <w:p>
      <w:pPr>
        <w:pStyle w:val="TextBody"/>
        <w:bidi w:val="0"/>
        <w:spacing w:before="360" w:after="0"/>
        <w:jc w:val="left"/>
        <w:rPr>
          <w:rFonts w:ascii="Times New Roman" w:hAnsi="Times New Roman"/>
          <w:b/>
          <w:sz w:val="20"/>
        </w:rPr>
      </w:pPr>
      <w:bookmarkStart w:id="13" w:name="toc45078_11"/>
      <w:bookmarkEnd w:id="13"/>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make an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 </w:t>
      </w:r>
    </w:p>
    <w:p>
      <w:pPr>
        <w:pStyle w:val="TextBody"/>
        <w:bidi w:val="0"/>
        <w:spacing w:before="360" w:after="0"/>
        <w:jc w:val="left"/>
        <w:rPr>
          <w:rFonts w:ascii="Times New Roman" w:hAnsi="Times New Roman"/>
          <w:b/>
          <w:sz w:val="20"/>
        </w:rPr>
      </w:pPr>
      <w:bookmarkStart w:id="14" w:name="toc45078_12"/>
      <w:bookmarkEnd w:id="14"/>
      <w:r>
        <w:rPr>
          <w:rFonts w:ascii="Times New Roman" w:hAnsi="Times New Roman"/>
          <w:b/>
          <w:sz w:val="20"/>
        </w:rPr>
        <w:t xml:space="preserve">Approval of the Scheme of Arrangement by the Singapore Court </w:t>
      </w:r>
    </w:p>
    <w:p>
      <w:pPr>
        <w:pStyle w:val="TextBody"/>
        <w:bidi w:val="0"/>
        <w:spacing w:before="120" w:after="0"/>
        <w:jc w:val="left"/>
        <w:rPr>
          <w:rFonts w:ascii="Times New Roman" w:hAnsi="Times New Roman"/>
          <w:sz w:val="20"/>
        </w:rPr>
      </w:pPr>
      <w:r>
        <w:rPr>
          <w:rFonts w:ascii="Times New Roman" w:hAnsi="Times New Roman"/>
          <w:sz w:val="20"/>
        </w:rPr>
        <w:t xml:space="preserve">Wave-Singapore has made an application to the Singapore Court for an order to convene the Special Meeting. Subsequent and subject to approval of the Wave Redomiciliation Proposal by the requisite shareholders, Wave-Singapore will apply to the Singapore Court for the Singapore Court Order. If (i) the Singapore Court Order is granted, and (ii) the conditions to closing contained in the Implementation Agreement are satisfied, the Scheme of Arrangement will become effective on the date that we lodge a copy of the Singapore Court Order with ACRA. </w:t>
      </w:r>
    </w:p>
    <w:p>
      <w:pPr>
        <w:pStyle w:val="TextBody"/>
        <w:bidi w:val="0"/>
        <w:spacing w:before="240" w:after="0"/>
        <w:jc w:val="left"/>
        <w:rPr>
          <w:rFonts w:ascii="Times New Roman" w:hAnsi="Times New Roman"/>
          <w:sz w:val="20"/>
        </w:rPr>
      </w:pPr>
      <w:r>
        <w:rPr>
          <w:rFonts w:ascii="Times New Roman" w:hAnsi="Times New Roman"/>
          <w:sz w:val="20"/>
        </w:rPr>
        <w:t xml:space="preserve">The approval by the shareholders of Wave-Singapore and/or the Singapore Court of the Scheme of Arrangement shall remain valid notwithstanding any change in the business or financial condition of, or any transactions undertaken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toc45078_13"/>
      <w:bookmarkEnd w:id="15"/>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 </w:t>
      </w:r>
    </w:p>
    <w:p>
      <w:pPr>
        <w:pStyle w:val="TextBody"/>
        <w:bidi w:val="0"/>
        <w:spacing w:before="360" w:after="0"/>
        <w:jc w:val="left"/>
        <w:rPr>
          <w:rFonts w:ascii="Times New Roman" w:hAnsi="Times New Roman"/>
          <w:b/>
          <w:sz w:val="20"/>
        </w:rPr>
      </w:pPr>
      <w:bookmarkStart w:id="16" w:name="toc45078_14"/>
      <w:bookmarkEnd w:id="16"/>
      <w:r>
        <w:rPr>
          <w:rFonts w:ascii="Times New Roman" w:hAnsi="Times New Roman"/>
          <w:b/>
          <w:sz w:val="20"/>
        </w:rPr>
        <w:t xml:space="preserve">Effective Time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terms of the Implementation Agreement, Wave-Singapore, without obtaining any further approval of Wave-Singapore shareholders, may select when it will lodge a copy of the Singapore Court Order with ACRA, and, therefore, the effective time of the Transaction (including the Scheme of Arrangement), provided it is lodged with ACRA on or prior to the Long-Stop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satisfaction of the conditions set forth in the Implementation Agreement and the other terms and conditions thereof,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 </w:t>
      </w:r>
    </w:p>
    <w:p>
      <w:pPr>
        <w:pStyle w:val="TextBody"/>
        <w:bidi w:val="0"/>
        <w:spacing w:before="360" w:after="0"/>
        <w:jc w:val="left"/>
        <w:rPr>
          <w:rFonts w:ascii="Times New Roman" w:hAnsi="Times New Roman"/>
          <w:b/>
          <w:sz w:val="20"/>
        </w:rPr>
      </w:pPr>
      <w:bookmarkStart w:id="17" w:name="toc45078_15"/>
      <w:bookmarkEnd w:id="17"/>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 </w:t>
      </w:r>
    </w:p>
    <w:p>
      <w:pPr>
        <w:pStyle w:val="TextBody"/>
        <w:bidi w:val="0"/>
        <w:spacing w:before="360" w:after="0"/>
        <w:jc w:val="left"/>
        <w:rPr>
          <w:rFonts w:ascii="Times New Roman" w:hAnsi="Times New Roman"/>
          <w:b/>
          <w:sz w:val="20"/>
        </w:rPr>
      </w:pPr>
      <w:bookmarkStart w:id="18" w:name="toc45078_16"/>
      <w:bookmarkEnd w:id="18"/>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Once the Scheme of Arrangement is approved by the requisite shareholders and the Singapore Court, and the Singapore Court Order is lodged with ACRA, the Scheme of Arrangement becomes effective and will be binding on all shareholders of Wave-Singapore. Holders of Wave-Singapore ordinary shares may file an objection with the Singapore Court against the approval of the Scheme of Arrangement, but no appraisal or dissenting rights are available to such holders in connection with a scheme of arrangement effected under Singapore law. </w:t>
      </w:r>
    </w:p>
    <w:p>
      <w:pPr>
        <w:pStyle w:val="TextBody"/>
        <w:bidi w:val="0"/>
        <w:spacing w:before="360" w:after="0"/>
        <w:jc w:val="left"/>
        <w:rPr>
          <w:rFonts w:ascii="Times New Roman" w:hAnsi="Times New Roman"/>
          <w:b/>
          <w:sz w:val="20"/>
        </w:rPr>
      </w:pPr>
      <w:bookmarkStart w:id="19" w:name="toc45078_17"/>
      <w:bookmarkEnd w:id="19"/>
      <w:r>
        <w:rPr>
          <w:rFonts w:ascii="Times New Roman" w:hAnsi="Times New Roman"/>
          <w:b/>
          <w:sz w:val="20"/>
        </w:rPr>
        <w:t xml:space="preserve">Accounting Treatment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 </w:t>
      </w:r>
    </w:p>
    <w:p>
      <w:pPr>
        <w:pStyle w:val="TextBody"/>
        <w:bidi w:val="0"/>
        <w:spacing w:before="360" w:after="0"/>
        <w:jc w:val="left"/>
        <w:rPr>
          <w:rFonts w:ascii="Times New Roman" w:hAnsi="Times New Roman"/>
          <w:b/>
          <w:sz w:val="20"/>
        </w:rPr>
      </w:pPr>
      <w:bookmarkStart w:id="20" w:name="toc45078_18"/>
      <w:bookmarkEnd w:id="20"/>
      <w:r>
        <w:rPr>
          <w:rFonts w:ascii="Times New Roman" w:hAnsi="Times New Roman"/>
          <w:b/>
          <w:sz w:val="20"/>
        </w:rPr>
        <w:t xml:space="preserve">Special Meeting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Time, Place, Date and Purpose. </w:t>
      </w:r>
    </w:p>
    <w:p>
      <w:pPr>
        <w:pStyle w:val="TextBody"/>
        <w:bidi w:val="0"/>
        <w:spacing w:before="120" w:after="0"/>
        <w:jc w:val="left"/>
        <w:rPr>
          <w:rFonts w:ascii="Times New Roman" w:hAnsi="Times New Roman"/>
          <w:sz w:val="20"/>
        </w:rPr>
      </w:pPr>
      <w:r>
        <w:rPr>
          <w:rFonts w:ascii="Times New Roman" w:hAnsi="Times New Roman"/>
          <w:sz w:val="20"/>
        </w:rPr>
        <w:t xml:space="preserve">By order of the Singapore Court, the Special Meeting will be held on [ ], 2026 at [ ] Eastern time in person at 733 Concord Avenue, Cambridge, MA 02138.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Wave-Singapore’s Board of Directors will ask the holders of ordinary shares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determining the Wave-Singapore shareholders who are entitled to vote at the Special Meeting is [_], 2026. </w:t>
      </w:r>
    </w:p>
    <w:p>
      <w:pPr>
        <w:pStyle w:val="TextBody"/>
        <w:bidi w:val="0"/>
        <w:spacing w:before="360" w:after="0"/>
        <w:jc w:val="left"/>
        <w:rPr>
          <w:rFonts w:ascii="Times New Roman" w:hAnsi="Times New Roman"/>
          <w:b/>
          <w:sz w:val="20"/>
        </w:rPr>
      </w:pPr>
      <w:bookmarkStart w:id="21" w:name="toc45078_19"/>
      <w:bookmarkEnd w:id="21"/>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The Wave-Singapore Board of Directors unanimously recommends that Wave-Singapore shareholders vote “</w:t>
      </w:r>
      <w:r>
        <w:rPr>
          <w:rFonts w:ascii="Times New Roman" w:hAnsi="Times New Roman"/>
          <w:b/>
          <w:sz w:val="20"/>
        </w:rPr>
        <w:t>FOR</w:t>
      </w:r>
      <w:r>
        <w:rPr>
          <w:rFonts w:ascii="Times New Roman" w:hAnsi="Times New Roman"/>
          <w:sz w:val="20"/>
        </w:rPr>
        <w:t xml:space="preserve">” the Wave Redomiciliation Proposal. </w:t>
      </w:r>
    </w:p>
    <w:p>
      <w:pPr>
        <w:pStyle w:val="TextBody"/>
        <w:bidi w:val="0"/>
        <w:spacing w:before="360" w:after="0"/>
        <w:jc w:val="left"/>
        <w:rPr>
          <w:rFonts w:ascii="Times New Roman" w:hAnsi="Times New Roman"/>
          <w:b/>
          <w:sz w:val="20"/>
        </w:rPr>
      </w:pPr>
      <w:bookmarkStart w:id="22" w:name="toc45078_20"/>
      <w:bookmarkEnd w:id="22"/>
      <w:r>
        <w:rPr>
          <w:rFonts w:ascii="Times New Roman" w:hAnsi="Times New Roman"/>
          <w:b/>
          <w:sz w:val="20"/>
        </w:rPr>
        <w:t xml:space="preserve">Quorum and Required Vote </w:t>
      </w:r>
    </w:p>
    <w:p>
      <w:pPr>
        <w:pStyle w:val="TextBody"/>
        <w:bidi w:val="0"/>
        <w:spacing w:before="120" w:after="0"/>
        <w:jc w:val="left"/>
        <w:rPr>
          <w:rFonts w:ascii="Times New Roman" w:hAnsi="Times New Roman"/>
          <w:sz w:val="20"/>
        </w:rPr>
      </w:pPr>
      <w:r>
        <w:rPr>
          <w:rFonts w:ascii="Times New Roman" w:hAnsi="Times New Roman"/>
          <w:sz w:val="20"/>
        </w:rPr>
        <w:t xml:space="preserve">In order to hold the Special Meeting, there must be a quorum. The presence, in person or by proxy, of at least two Scheme Shareholders as of the Record Date holding in aggregate at least a majority of all issued and outstanding ordinary shares of Wave-Singapore entitled to vote at the Special Meeting is necessary to constitute a quorum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 </w:t>
      </w:r>
    </w:p>
    <w:p>
      <w:pPr>
        <w:pStyle w:val="TextBody"/>
        <w:bidi w:val="0"/>
        <w:spacing w:before="240" w:after="0"/>
        <w:jc w:val="left"/>
        <w:rPr>
          <w:rFonts w:ascii="Times New Roman" w:hAnsi="Times New Roman"/>
          <w:sz w:val="20"/>
        </w:rPr>
      </w:pPr>
      <w:r>
        <w:rPr>
          <w:rFonts w:ascii="Times New Roman" w:hAnsi="Times New Roman"/>
          <w:sz w:val="20"/>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hAnsi="Times New Roman"/>
          <w:b/>
          <w:sz w:val="20"/>
        </w:rPr>
        <w:t>DTC</w:t>
      </w:r>
      <w:r>
        <w:rPr>
          <w:rFonts w:ascii="Times New Roman" w:hAnsi="Times New Roman"/>
          <w:sz w:val="20"/>
        </w:rPr>
        <w:t>”), and registered in the name of CEDE &amp; Co. (“</w:t>
      </w:r>
      <w:r>
        <w:rPr>
          <w:rFonts w:ascii="Times New Roman" w:hAnsi="Times New Roman"/>
          <w:b/>
          <w:sz w:val="20"/>
        </w:rPr>
        <w:t>CEDE</w:t>
      </w:r>
      <w:r>
        <w:rPr>
          <w:rFonts w:ascii="Times New Roman" w:hAnsi="Times New Roman"/>
          <w:sz w:val="20"/>
        </w:rPr>
        <w:t xml:space="preserve">”) as nominee of DTC and holder of record in the Register of Members of Wave-Singapore,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CEDE shall be deemed not to be a Scheme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each shareholder whose name appears on the register of DTC as a holder of Wave-Singapore ordinary shares (a “</w:t>
            </w:r>
            <w:r>
              <w:rPr>
                <w:rFonts w:ascii="Times New Roman" w:hAnsi="Times New Roman"/>
                <w:b/>
                <w:sz w:val="20"/>
              </w:rPr>
              <w:t>DTC Participant</w:t>
            </w:r>
            <w:r>
              <w:rPr>
                <w:rFonts w:ascii="Times New Roman" w:hAnsi="Times New Roman"/>
                <w:sz w:val="20"/>
              </w:rPr>
              <w:t xml:space="preserve">”) shall be deemed to be a Scheme Shareholder in respect of such number of Wave-Singapore ordinary shares held in its account under CEDE. </w:t>
            </w:r>
          </w:p>
        </w:tc>
      </w:tr>
    </w:tbl>
    <w:p>
      <w:pPr>
        <w:pStyle w:val="TextBody"/>
        <w:bidi w:val="0"/>
        <w:spacing w:before="240" w:after="0"/>
        <w:jc w:val="left"/>
        <w:rPr>
          <w:rFonts w:ascii="Times New Roman" w:hAnsi="Times New Roman"/>
          <w:sz w:val="20"/>
        </w:rPr>
      </w:pPr>
      <w:r>
        <w:rPr>
          <w:rFonts w:ascii="Times New Roman" w:hAnsi="Times New Roman"/>
          <w:sz w:val="20"/>
        </w:rPr>
        <w:t>A Scheme Shareholder as of [ ], 2026, being the record date for the Special Meeting (the “</w:t>
      </w:r>
      <w:r>
        <w:rPr>
          <w:rFonts w:ascii="Times New Roman" w:hAnsi="Times New Roman"/>
          <w:b/>
          <w:sz w:val="20"/>
        </w:rPr>
        <w:t>Record Date</w:t>
      </w:r>
      <w:r>
        <w:rPr>
          <w:rFonts w:ascii="Times New Roman" w:hAnsi="Times New Roman"/>
          <w:sz w:val="20"/>
        </w:rPr>
        <w:t xml:space="preserve">”), may vote in person at the Special Meeting or may appoint one (and not more than one) person, whether a Scheme Shareholder or not, as his or her proxy to attend and vote in his or her stead. </w:t>
      </w:r>
    </w:p>
    <w:p>
      <w:pPr>
        <w:pStyle w:val="TextBody"/>
        <w:bidi w:val="0"/>
        <w:spacing w:before="240" w:after="0"/>
        <w:jc w:val="left"/>
        <w:rPr>
          <w:rFonts w:ascii="Times New Roman" w:hAnsi="Times New Roman"/>
          <w:sz w:val="20"/>
        </w:rPr>
      </w:pPr>
      <w:r>
        <w:rPr>
          <w:rFonts w:ascii="Times New Roman" w:hAnsi="Times New Roman"/>
          <w:sz w:val="20"/>
        </w:rPr>
        <w:t xml:space="preserve">A Scheme Shareholder who is not a DTC Participant may only cast all the votes it uses at the Special Meeting (whether in person or by proxy) in one way, and may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its Wave-Singapore ordinary shares “</w:t>
            </w:r>
            <w:r>
              <w:rPr>
                <w:rFonts w:ascii="Times New Roman" w:hAnsi="Times New Roman"/>
                <w:b/>
                <w:sz w:val="20"/>
              </w:rPr>
              <w:t>FOR</w:t>
            </w:r>
            <w:r>
              <w:rPr>
                <w:rFonts w:ascii="Times New Roman" w:hAnsi="Times New Roman"/>
                <w:sz w:val="20"/>
              </w:rPr>
              <w:t xml:space="preserve">”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of its Wave-Singapore ordinary shares “</w:t>
            </w:r>
            <w:r>
              <w:rPr>
                <w:rFonts w:ascii="Times New Roman" w:hAnsi="Times New Roman"/>
                <w:b/>
                <w:sz w:val="20"/>
              </w:rPr>
              <w:t>AGAINST</w:t>
            </w:r>
            <w:r>
              <w:rPr>
                <w:rFonts w:ascii="Times New Roman" w:hAnsi="Times New Roman"/>
                <w:sz w:val="20"/>
              </w:rPr>
              <w:t xml:space="preserve">” the Wave Redomiciliation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of its Wave-Singapore ordinary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Scheme Shareholder who is a DTC Participant need not vote the Wave-Singapore ordinary shares registered in its name in the same way. Accordingly, a DTC Participant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FOR</w:t>
            </w:r>
            <w:r>
              <w:rPr>
                <w:rFonts w:ascii="Times New Roman" w:hAnsi="Times New Roman"/>
                <w:sz w:val="20"/>
              </w:rPr>
              <w:t xml:space="preserve">” the Wave Redomiciliation Proposal, which part shall be counted as approving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AGAINST</w:t>
            </w:r>
            <w:r>
              <w:rPr>
                <w:rFonts w:ascii="Times New Roman" w:hAnsi="Times New Roman"/>
                <w:sz w:val="20"/>
              </w:rPr>
              <w:t xml:space="preserve">” the Wave Redomiciliation Proposal, which part shall be counted as against approving the Wave Redomiciliation Proposal; and/or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or part of its Wave-Singapore ordinary shares, which part shall not be counted in determining the Wave-Singapore ordinary shares that are present and voting on the Wave Redomiciliation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Wave Redomiciliation Proposal is approved by a majority in number of Scheme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Scheme Shareholder who is a DTC Participant casts votes both for and against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Scheme Shareholder represented in person or by proxy at the Special Meeting is entitled to one vote per Wave-Singapore ordinary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[ ] ordinary shares in the capital of Wave-Singapore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45078_21"/>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you decide how to vote, you should consider carefully the following risk factors in addition to the other information contained in this proxy statement and the documents incorporated by reference, including, without limitation, our Annual Report on Form 10-K for the fiscal year ended December 31, 2025 (including the risk factors contained therein) and our subsequent filings with the SEC. The risks discussed below also include forward-looking statements and our actual results may differ substantially from those discussed in these forward-looking statements. See “Cautionary Note Regarding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rights as a shareholder will change as a result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differences between Delaware law and Singapore law and differences between the governing documents of Wave-Delaware and Wave-Singapore, we are unable to adopt governing documents for Wave-Delaware that are identical to the governing documents for Wave-Singapore. We have sought to preserve in the amended and restated certificate of incorporation and the amended and restated bylaws of Wave-Delaware a similar allocation of rights and powers between the shareholders and our Board of Directors that exists under Wave-Singapore’s constitution. Nevertheless, Wave-Delaware’s amended and restated certificate of incorporation and amended and restated bylaws differ from Wave-Singapore’s constitution, both in form and substance, and your rights as a shareholder will change. </w:t>
      </w:r>
    </w:p>
    <w:p>
      <w:pPr>
        <w:pStyle w:val="TextBody"/>
        <w:bidi w:val="0"/>
        <w:spacing w:before="240" w:after="0"/>
        <w:jc w:val="left"/>
        <w:rPr>
          <w:rFonts w:ascii="Times New Roman" w:hAnsi="Times New Roman"/>
          <w:sz w:val="20"/>
        </w:rPr>
      </w:pPr>
      <w:r>
        <w:rPr>
          <w:rFonts w:ascii="Times New Roman" w:hAnsi="Times New Roman"/>
          <w:sz w:val="20"/>
        </w:rPr>
        <w:t>For a description of these differences, please see the comparison chart of your rights as a shareholder of Wave-Singapore against your rights as a shareholder of Wave-Delaware, located in “</w:t>
      </w:r>
      <w:r>
        <w:rPr>
          <w:rFonts w:ascii="Times New Roman" w:hAnsi="Times New Roman"/>
          <w:i/>
          <w:sz w:val="20"/>
        </w:rPr>
        <w:t>Comparison of Rights of Singapore Shareholders and Delaware Stockholders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 may result in adverse tax consequences for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As discussed more fully under “</w:t>
      </w:r>
      <w:r>
        <w:rPr>
          <w:rFonts w:ascii="Times New Roman" w:hAnsi="Times New Roman"/>
          <w:i/>
          <w:sz w:val="20"/>
        </w:rPr>
        <w:t>Material Tax Considerations Relating to the Transaction to Holders of Wave-Singapore Ordinary Shares—U.S. Federal Income Tax Considerations to Holders of Wave-Singapore Ordinary Shares</w:t>
      </w:r>
      <w:r>
        <w:rPr>
          <w:rFonts w:ascii="Times New Roman" w:hAnsi="Times New Roman"/>
          <w:sz w:val="20"/>
        </w:rPr>
        <w:t>”, for U.S. federal income tax purposes, it is intended that the exchange of Wave-Singapore ordinary shares for shares of Wave-Delaware common stock pursuant to the completion of the Scheme of Arrangement and the U.S. Tax Election, taken together, qualify as a reorganization under Section 368(a)(1)(F) of the Code. However, Wave-Singapore has not sought, and does not intend to seek, any ruling from the IRS with respect to such qualification. No assurance can be given that the IRS will agree with the views expressed herein, or that a court will not sustain any challenge by the IRS. If the completion of the Scheme of Arrangement and the U.S. Tax Election, taken together, fail to qualify as a reorganization under Section 368(a)(1)(F) of the Code, a U.S. Holder (as defined in “</w:t>
      </w:r>
      <w:r>
        <w:rPr>
          <w:rFonts w:ascii="Times New Roman" w:hAnsi="Times New Roman"/>
          <w:i/>
          <w:sz w:val="20"/>
        </w:rPr>
        <w:t>Material Tax Considerations Relating to the Transaction to Holders of Wave-Singapore Ordinary Shares—U.S. Federal Income Tax Considerations to Holders of Wave-Singapore Ordinary Shares</w:t>
      </w:r>
      <w:r>
        <w:rPr>
          <w:rFonts w:ascii="Times New Roman" w:hAnsi="Times New Roman"/>
          <w:sz w:val="20"/>
        </w:rPr>
        <w:t xml:space="preserve">”) of Wave-Singapore ordinary shares generally would recognize gain or loss with respect to its Wave-Singapore ordinary shares in an amount equal to the difference, if any, between the fair market value of the shares of Wave-Delaware common stock received in the Scheme of Arrangement and the U.S. Holder’s adjusted tax basis in its Wave-Singapore ordinary shares surrendered. </w:t>
      </w:r>
    </w:p>
    <w:p>
      <w:pPr>
        <w:pStyle w:val="TextBody"/>
        <w:bidi w:val="0"/>
        <w:spacing w:before="240" w:after="0"/>
        <w:jc w:val="left"/>
        <w:rPr>
          <w:rFonts w:ascii="Times New Roman" w:hAnsi="Times New Roman"/>
          <w:sz w:val="20"/>
        </w:rPr>
      </w:pPr>
      <w:r>
        <w:rPr>
          <w:rFonts w:ascii="Times New Roman" w:hAnsi="Times New Roman"/>
          <w:sz w:val="20"/>
        </w:rPr>
        <w:t>Assuming that the completion of the Scheme of Arrangement and the U.S. Tax Election, taken together, qualify as a reorganization under Section 368(a)(1)(F) of the Code, subject to the PFIC rules discussed under “</w:t>
      </w:r>
      <w:r>
        <w:rPr>
          <w:rFonts w:ascii="Times New Roman" w:hAnsi="Times New Roman"/>
          <w:i/>
          <w:sz w:val="20"/>
        </w:rPr>
        <w:t>Material Tax Considerations Relating to the Transaction to Holders of Wave-Singapore Ordinary Shares</w:t>
      </w:r>
      <w:r>
        <w:rPr>
          <w:rFonts w:ascii="Times New Roman" w:hAnsi="Times New Roman"/>
          <w:sz w:val="20"/>
        </w:rPr>
        <w:t>—</w:t>
      </w:r>
      <w:r>
        <w:rPr>
          <w:rFonts w:ascii="Times New Roman" w:hAnsi="Times New Roman"/>
          <w:i/>
          <w:sz w:val="20"/>
        </w:rPr>
        <w:t>U.S. Federal Income Tax Considerations to Holders of Wave-Singapore Ordinary Share—Material U.S. Federal Income Tax Considerations of the Transaction to U.S. Holders of Wave-Singapore Ordinary Shares—PFIC Considerations</w:t>
      </w:r>
      <w:r>
        <w:rPr>
          <w:rFonts w:ascii="Times New Roman" w:hAnsi="Times New Roman"/>
          <w:sz w:val="20"/>
        </w:rPr>
        <w:t xml:space="preserve">”, U.S. Holders generally should be subject to Section 367(b) of the Code. A U.S. Holder whose Wave-Singapore ordinary shares, on the date of the completion of the Scheme of Arrangement, have a fair market value of less than $50,000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recognize any gain or loss and should not be required to include any part of Wave-Singapore’s earnings and profits in income as a result of the Scheme of Arrangement. A U.S. Holder whose Wave-Singapore ordinary shares, on the date of the completion of the Scheme of Arrangement, have a fair market value of $50,000 or more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recognize gain (but not loss) in respect of the Scheme of Arrangement as if such U.S. Holder exchanged its Wave-Singapore ordinary shares for shares of Wave-Delaware common shares in a taxable transaction, unless such U.S. Holder elects in accordance with applicable Treasury Regulations to include in income as a deemed dividend deemed paid by Wave-Singapore the “all earnings and profits amount” (as defined in the Treasury Regulations under Section 367 of the Code) attributable to the Wave-Singapore ordinary shares held directly by such U.S. Holder. A U.S. Holder who, on the date of the completion of the Scheme of Arrangement, beneficially owns (actually or constructively) 10% or more of the total combined voting power of all classes of Wave-Singapore shares entitled to vote or 10% or more of the total value of all classes of Wave-Singapore shares should consult its own tax advisor regarding the rules that may apply to such shareholder. Wave-Singapore expects to have a deficit in earnings and profits on the date of the completion of the Scheme of Arrangement. However, it is possible that, notwithstanding Wave-Singapore’s expectations, the amount of Wave-Singapore’s cumulative net earnings and profits could be positive through the date of the completion of the Scheme of Arrangement. </w:t>
      </w:r>
    </w:p>
    <w:p>
      <w:pPr>
        <w:pStyle w:val="TextBody"/>
        <w:bidi w:val="0"/>
        <w:spacing w:before="240" w:after="0"/>
        <w:jc w:val="left"/>
        <w:rPr>
          <w:rFonts w:ascii="Times New Roman" w:hAnsi="Times New Roman"/>
          <w:sz w:val="20"/>
        </w:rPr>
      </w:pPr>
      <w:r>
        <w:rPr>
          <w:rFonts w:ascii="Times New Roman" w:hAnsi="Times New Roman"/>
          <w:sz w:val="20"/>
        </w:rPr>
        <w:t>Additionally, following the completion of the Scheme of Arrangement, dividends paid to a Non-U.S. Holder (as defined in “</w:t>
      </w:r>
      <w:r>
        <w:rPr>
          <w:rFonts w:ascii="Times New Roman" w:hAnsi="Times New Roman"/>
          <w:i/>
          <w:sz w:val="20"/>
        </w:rPr>
        <w:t>Material Tax Considerations Relating to the Transaction to Holders of Wave-Singapore Ordinary Shares—U.S. Federal Income Tax Considerations to Holders of Wave-Singapore Ordinary Shares</w:t>
      </w:r>
      <w:r>
        <w:rPr>
          <w:rFonts w:ascii="Times New Roman" w:hAnsi="Times New Roman"/>
          <w:sz w:val="20"/>
        </w:rPr>
        <w:t xml:space="preserve">”) in respect of its shares of Wave-Delaware common stock may be subject to U.S. federal withholding taxes. </w:t>
      </w:r>
    </w:p>
    <w:p>
      <w:pPr>
        <w:pStyle w:val="TextBody"/>
        <w:bidi w:val="0"/>
        <w:spacing w:before="240" w:after="0"/>
        <w:jc w:val="left"/>
        <w:rPr>
          <w:rFonts w:ascii="Times New Roman" w:hAnsi="Times New Roman"/>
          <w:sz w:val="20"/>
        </w:rPr>
      </w:pPr>
      <w:r>
        <w:rPr>
          <w:rFonts w:ascii="Times New Roman" w:hAnsi="Times New Roman"/>
          <w:sz w:val="20"/>
        </w:rPr>
        <w:t>The tax consequences of the Transaction are complex and will depend on a holder’s particular circumstances. All holders should consult their tax advisor regarding the tax consequences to them of the Transaction, including the applicability and effect of U.S. federal, state, local and non-U.S. tax laws. For a more complete discussion of the tax considerations of the Transaction, see “</w:t>
      </w:r>
      <w:r>
        <w:rPr>
          <w:rFonts w:ascii="Times New Roman" w:hAnsi="Times New Roman"/>
          <w:i/>
          <w:sz w:val="20"/>
        </w:rPr>
        <w:t>Material Tax Considerations Relating to the Transaction to Holders of Wave-Singapore Ordinary Shares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effective time of the Transaction is subject to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Implementation Agreement, once the Scheme Shareholders and the Singapore Court have approved the Scheme of Arrangement, Wave-Singapore,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Wave and its shareholders, considering our financial and strategic objectives and currently anticipate that the effective date of the Transaction will be on or about [ ], 2026. Factors that will be considered in determining the effective date of the Transaction will include the status of any other significant pending corporate events. As a result, the effective time of the Transaction may be a significant time after the Special Meeting and is subject to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Singapore Court does not grant the Singapore Court Order approving the Scheme of Arrangement, Wave-Singapore will not have the ability to effect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cannot proceed with the Transaction unless the Singapore Court grants the Singapore Court Order approving the Scheme of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will not be completed unless the following conditions are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of Arrangement is approved by the requisite vote of the shareholders of Wave-Singapore at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court order approving the Scheme of Arrangement is granted by the Singapore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order is lodged with ACRA;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statute, rule or regulation is enacted or promulgated by any governmental entity of competent jurisdiction that prohibits or makes illegal the consummation of the Scheme of Arrangement;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or injunction of a court of competent jurisdiction shall be in effect that prevents consummation of the Scheme of Arrangement.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the Wave-Singapore shareholders approve the Wave Redomiciliation Proposal and applicable statutory and other legal requirements have been complied with and satisfied with respect to it, we are not aware of any reason why the Singapore Court would not grant the Singapore Court Order approving the Wave Redomiciliation Proposal. Nevertheless, the Singapore Court’s sanction is a matter for its discretion and there can be no assurance if or when such approval will be obtained. </w:t>
      </w:r>
    </w:p>
    <w:p>
      <w:pPr>
        <w:pStyle w:val="TextBody"/>
        <w:bidi w:val="0"/>
        <w:spacing w:before="240" w:after="0"/>
        <w:jc w:val="left"/>
        <w:rPr>
          <w:rFonts w:ascii="Times New Roman" w:hAnsi="Times New Roman"/>
          <w:sz w:val="20"/>
        </w:rPr>
      </w:pPr>
      <w:r>
        <w:rPr>
          <w:rFonts w:ascii="Times New Roman" w:hAnsi="Times New Roman"/>
          <w:sz w:val="20"/>
        </w:rPr>
        <w:t xml:space="preserve">If the Singapore Court does not grant the Singapore Court Order, Wave-Singapore will be unable to effect the Transaction as contemplated under the Wave Redomiciliation Proposal, even if the requisite shareholder approval is obtained at the Special Meeting. In addition, the Singapore Court may subject the Wave Redomiciliation Proposal to any modification, amendment or addition in accordance with such terms or condition(s) as it deems appropriate in relation to the Wave Redomiciliation Proposal. The Singapore Court would be unlikely to approve or impose any modification of, or addition or condition to, the Wave Redomiciliation Proposal which might be material to the interests of Wave-Singapore shareholders, unless Wave-Singapore shareholders were informed of such modification, addition or condition. The Singapore Court may decide, in its discretion, whether or not the consent of Wave-Singapore shareholders should be sought at a further meeting of Wave-Singapore shareholders. Similarly, if a modification, addition or condition is put forward which, in the opinion of the Wave-Singapore Board of Directors, is of such a nature or importance as to require the approval of Wave-Singapore shareholders at a further meeting of Wave-Singapore shareholders, the Wave-Singapore Board of Directors will not take the necessary steps to enable the Scheme of Arrangement to become effective unless and until such shareholder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Wave-Singapore or Wave-Delaware may determine to terminate the Wave Redomiciliation Proposal and not proceed with the Transaction if any condition, modification or amendment is imposed by any court of competent jurisdiction or governmental agency that is adverse to Wave-Singapore and its shareholders, for economic, strategic or other reasons, including if adverse conditions are imposed on the Wave Redomiciliation Proposal by the Singapore Court, or if any court of competent jurisdiction or governmental agency has issued an order, decree or ruling or taken any other action permanently enjoining, restraining or otherwise prohibiting the Wave Redomiciliation Proposal or any part thereof, or has refused to do anything necessary to permit the Wave Redomiciliation Proposal or any part thereof, and such order, decree, ruling, other action or refusal shall have become final and non-appealable. </w:t>
      </w:r>
    </w:p>
    <w:p>
      <w:pPr>
        <w:pStyle w:val="TextBody"/>
        <w:bidi w:val="0"/>
        <w:spacing w:before="240" w:after="0"/>
        <w:jc w:val="left"/>
        <w:rPr>
          <w:rFonts w:ascii="Times New Roman" w:hAnsi="Times New Roman"/>
          <w:sz w:val="20"/>
        </w:rPr>
      </w:pPr>
      <w:r>
        <w:rPr>
          <w:rFonts w:ascii="Times New Roman" w:hAnsi="Times New Roman"/>
          <w:sz w:val="20"/>
        </w:rPr>
        <w:t>Please see “</w:t>
      </w:r>
      <w:r>
        <w:rPr>
          <w:rFonts w:ascii="Times New Roman" w:hAnsi="Times New Roman"/>
          <w:i/>
          <w:sz w:val="20"/>
        </w:rPr>
        <w:t>The Wave Redomiciliation Proposal—Approval</w:t>
      </w:r>
      <w:r>
        <w:rPr>
          <w:rFonts w:ascii="Times New Roman" w:hAnsi="Times New Roman"/>
          <w:sz w:val="20"/>
        </w:rPr>
        <w:t xml:space="preserve"> </w:t>
      </w:r>
      <w:r>
        <w:rPr>
          <w:rFonts w:ascii="Times New Roman" w:hAnsi="Times New Roman"/>
          <w:i/>
          <w:sz w:val="20"/>
        </w:rPr>
        <w:t>of the Scheme of Arrangement by the Singapore Court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 will result in additional direct and indirect costs, even if it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We will incur additional costs as a result of the Transaction, although we do not expect these costs to be material.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Singapore Stamp Duty may be payable in connection with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 </w:t>
      </w:r>
    </w:p>
    <w:p>
      <w:pPr>
        <w:pStyle w:val="TextBody"/>
        <w:bidi w:val="0"/>
        <w:spacing w:before="240" w:after="0"/>
        <w:jc w:val="left"/>
        <w:rPr>
          <w:rFonts w:ascii="Times New Roman" w:hAnsi="Times New Roman"/>
          <w:sz w:val="20"/>
        </w:rPr>
      </w:pPr>
      <w:r>
        <w:rPr>
          <w:rFonts w:ascii="Times New Roman" w:hAnsi="Times New Roman"/>
          <w:sz w:val="20"/>
        </w:rPr>
        <w:t xml:space="preserve">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 may adversely impact our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Although we do not expect the Transaction to increase our effective tax rate, there is a risk that our effective tax rate may increase after the Transaction. Following the Transaction, our effective tax rate may change significantly, which could materially impact our financial results, including our earnings and cash flow, for periods after the Transaction, and may fluctuate significantly from period to period. Our effective tax rate is based upon the application of currently applicable income tax laws, regulations and treaties, as well as current judicial and administrative interpretations of these income tax laws, regulations and treaties in various jurisdictions, including other than the United States, all of which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factors, there can be no assurance that our effective tax rate will not increase in future periods, including as a result of and following the Transaction. Moreover, U.S. tax laws significantly limit our ability to redomicile outside of the United States once the Transaction has occurred. Accordingly, if our effective tax rate were to increase as a result of the Transaction, our business and financial performance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defer or abandon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If it is necessary to adjourn the Special Meeting required to approve the Wave Redomiciliation Proposal in connection with the Transaction described in this proxy statement, for any reason including any circumstances outside of our control, there may be a delay in obtaining the required approvals from the Singapore Court and thereby the consummation of the Transaction may be deferred until such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Wave-Singapore Board of Directors may seek to adjourn the application to the Singapore Court to sanction the Scheme of Arrangement or may abandon the Transaction for economic, strategic or other reasons, including if adverse conditions are imposed on the Scheme of Arrangement (and therefore the Transaction) by the Singapore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45078_22"/>
      <w:bookmarkEnd w:id="24"/>
      <w:r>
        <w:rPr>
          <w:rFonts w:ascii="Times New Roman" w:hAnsi="Times New Roman"/>
          <w:b/>
          <w:sz w:val="20"/>
        </w:rPr>
        <w:t xml:space="preserve">THE WAVE REDOMICILIATION PROPOSAL </w:t>
      </w:r>
    </w:p>
    <w:p>
      <w:pPr>
        <w:pStyle w:val="TextBody"/>
        <w:bidi w:val="0"/>
        <w:spacing w:before="240" w:after="0"/>
        <w:jc w:val="left"/>
        <w:rPr>
          <w:rFonts w:ascii="Times New Roman" w:hAnsi="Times New Roman"/>
          <w:b/>
          <w:sz w:val="20"/>
        </w:rPr>
      </w:pPr>
      <w:bookmarkStart w:id="25" w:name="toc45078_23"/>
      <w:bookmarkEnd w:id="25"/>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explained in more detail below, the Scheme of Arrangement on which we are asking you to vote, in connection with the other steps of the Transaction described in this proxy statement, will restructure our corporate group to cause the parent company of the group to be a Delaware corporation. The Transaction cannot occur without the Scheme Shareholders’ approval of the Wave Redomiciliation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Board approved the Transaction and the entry by Wave-Singapore into the Implementation Agreement. On April 15, 2026, the Implementation Agreement was entered into between Wave-Singapore and Wave-Delaware. On [_], 2026, the Singapore Court ordered, among other things, the convening of the Special Meeting to approve the Scheme of Arrangement. We will hold the Special Meeting to approve the Scheme of Arrangement on [_],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 </w:t>
      </w:r>
    </w:p>
    <w:p>
      <w:pPr>
        <w:pStyle w:val="TextBody"/>
        <w:bidi w:val="0"/>
        <w:spacing w:before="360" w:after="0"/>
        <w:jc w:val="left"/>
        <w:rPr>
          <w:rFonts w:ascii="Times New Roman" w:hAnsi="Times New Roman"/>
          <w:b/>
          <w:sz w:val="20"/>
        </w:rPr>
      </w:pPr>
      <w:bookmarkStart w:id="26" w:name="toc45078_24"/>
      <w:bookmarkEnd w:id="26"/>
      <w:r>
        <w:rPr>
          <w:rFonts w:ascii="Times New Roman" w:hAnsi="Times New Roman"/>
          <w:b/>
          <w:sz w:val="20"/>
        </w:rPr>
        <w:t xml:space="preserve">Background and Reasons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 </w:t>
      </w:r>
    </w:p>
    <w:p>
      <w:pPr>
        <w:pStyle w:val="TextBody"/>
        <w:bidi w:val="0"/>
        <w:spacing w:before="240" w:after="0"/>
        <w:jc w:val="left"/>
        <w:rPr>
          <w:rFonts w:ascii="Times New Roman" w:hAnsi="Times New Roman"/>
          <w:sz w:val="20"/>
        </w:rPr>
      </w:pPr>
      <w:r>
        <w:rPr>
          <w:rFonts w:ascii="Times New Roman" w:hAnsi="Times New Roman"/>
          <w:sz w:val="20"/>
        </w:rPr>
        <w:t xml:space="preserve">Following a thorough review, we have determined that having our ultimate parent company incorporated in the United States is best for us, our shareholders and our employees.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offers predictable and well-established corporate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has a well-developed legal system, which we believe encourages high standards of corporate governance and provides stockholders with substantial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domiciled in Delaware are perceived more favorably among regulatory authorities, investors and creditors than corporations domiciled in many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a Delaware corporation among regulatory authorities, investors and creditors as being highly favorable;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Delaware corporate law provides significant flexibility around corporate and strategic transactions, including the issuance of equity and the payment of dividends, while at the same time protecting the rights of stockholders. </w:t>
            </w:r>
          </w:p>
        </w:tc>
      </w:tr>
    </w:tbl>
    <w:p>
      <w:pPr>
        <w:pStyle w:val="TextBody"/>
        <w:bidi w:val="0"/>
        <w:spacing w:before="240" w:after="0"/>
        <w:jc w:val="left"/>
        <w:rPr>
          <w:rFonts w:ascii="Times New Roman" w:hAnsi="Times New Roman"/>
          <w:sz w:val="20"/>
        </w:rPr>
      </w:pPr>
      <w:r>
        <w:rPr>
          <w:rFonts w:ascii="Times New Roman" w:hAnsi="Times New Roman"/>
          <w:sz w:val="20"/>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both the potential advantages of the Transaction and these potential risks and has unanimously approved the Scheme of Arrangement and recommends that shareholders vote for the approval of the Scheme of Arrangement. </w:t>
      </w:r>
    </w:p>
    <w:p>
      <w:pPr>
        <w:pStyle w:val="TextBody"/>
        <w:bidi w:val="0"/>
        <w:spacing w:before="360" w:after="0"/>
        <w:jc w:val="left"/>
        <w:rPr>
          <w:rFonts w:ascii="Times New Roman" w:hAnsi="Times New Roman"/>
          <w:b/>
          <w:sz w:val="20"/>
        </w:rPr>
      </w:pPr>
      <w:bookmarkStart w:id="27" w:name="toc45078_25"/>
      <w:bookmarkEnd w:id="27"/>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 </w:t>
      </w:r>
    </w:p>
    <w:p>
      <w:pPr>
        <w:pStyle w:val="TextBody"/>
        <w:bidi w:val="0"/>
        <w:spacing w:before="360" w:after="0"/>
        <w:jc w:val="left"/>
        <w:rPr>
          <w:rFonts w:ascii="Times New Roman" w:hAnsi="Times New Roman"/>
          <w:b/>
          <w:sz w:val="20"/>
        </w:rPr>
      </w:pPr>
      <w:bookmarkStart w:id="28" w:name="toc45078_26"/>
      <w:bookmarkEnd w:id="28"/>
      <w:r>
        <w:rPr>
          <w:rFonts w:ascii="Times New Roman" w:hAnsi="Times New Roman"/>
          <w:b/>
          <w:sz w:val="20"/>
        </w:rPr>
        <w:t xml:space="preserve">Conditions to Consummation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will not be completed unless the following conditions are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Scheme of Arrangement is approved by the requisite vote of the shareholders of Wave-Singapore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court order approving the Scheme of Arrangement is obtained from the Singapore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order is lodged with ACRA;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statute, rule or regulation is enacted or promulgated by any governmental entity of competent jurisdiction which prohibits or makes illegal the consummation of the Scheme of Arrangement;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or injunction of a court of competent jurisdiction shall be in effect that prevents the consummation of the Scheme of Arrangement. </w:t>
            </w:r>
          </w:p>
        </w:tc>
      </w:tr>
    </w:tbl>
    <w:p>
      <w:pPr>
        <w:pStyle w:val="TextBody"/>
        <w:bidi w:val="0"/>
        <w:spacing w:before="360" w:after="0"/>
        <w:jc w:val="left"/>
        <w:rPr>
          <w:rFonts w:ascii="Times New Roman" w:hAnsi="Times New Roman"/>
          <w:b/>
          <w:sz w:val="20"/>
        </w:rPr>
      </w:pPr>
      <w:bookmarkStart w:id="29" w:name="toc45078_27"/>
      <w:bookmarkEnd w:id="29"/>
      <w:r>
        <w:rPr>
          <w:rFonts w:ascii="Times New Roman" w:hAnsi="Times New Roman"/>
          <w:b/>
          <w:sz w:val="20"/>
        </w:rPr>
        <w:t xml:space="preserve">Approval of the Scheme of Arrangement by the Singapore Court </w:t>
      </w:r>
    </w:p>
    <w:p>
      <w:pPr>
        <w:pStyle w:val="TextBody"/>
        <w:bidi w:val="0"/>
        <w:spacing w:before="120" w:after="0"/>
        <w:jc w:val="left"/>
        <w:rPr>
          <w:rFonts w:ascii="Times New Roman" w:hAnsi="Times New Roman"/>
          <w:sz w:val="20"/>
        </w:rPr>
      </w:pPr>
      <w:r>
        <w:rPr>
          <w:rFonts w:ascii="Times New Roman" w:hAnsi="Times New Roman"/>
          <w:sz w:val="20"/>
        </w:rPr>
        <w:t xml:space="preserve">Wave-Singapore has made an application to the Singapore Court for an order to convene the Special Meeting. Subsequent and subject to approval of the Wave Redomiciliation Proposal by the shareholders of Wave-Singapore at the Special Meeting, Wave-Singapore must apply for the Singapore Court Order for its approval of the Scheme of Arrangement. If (i) the Singapore Court Order is granted, and (ii) the conditions to closing contained in the Implementation Agreement are satisfied, the Scheme of Arrangement will become effective on the date that we lodge a copy of the Singapore Court Order with ACRA. </w:t>
      </w:r>
    </w:p>
    <w:p>
      <w:pPr>
        <w:pStyle w:val="TextBody"/>
        <w:bidi w:val="0"/>
        <w:spacing w:before="240" w:after="0"/>
        <w:jc w:val="left"/>
        <w:rPr>
          <w:rFonts w:ascii="Times New Roman" w:hAnsi="Times New Roman"/>
          <w:sz w:val="20"/>
        </w:rPr>
      </w:pPr>
      <w:r>
        <w:rPr>
          <w:rFonts w:ascii="Times New Roman" w:hAnsi="Times New Roman"/>
          <w:sz w:val="20"/>
        </w:rPr>
        <w:t xml:space="preserve">The approval by the shareholders of Wave-Singapore and/or the Singapore Court of the Scheme of Arrangement shall remain valid notwithstanding any change in our business or financial condition or any transactions undertaken by us. </w:t>
      </w:r>
    </w:p>
    <w:p>
      <w:pPr>
        <w:pStyle w:val="TextBody"/>
        <w:bidi w:val="0"/>
        <w:spacing w:before="360" w:after="0"/>
        <w:jc w:val="left"/>
        <w:rPr>
          <w:rFonts w:ascii="Times New Roman" w:hAnsi="Times New Roman"/>
          <w:b/>
          <w:sz w:val="20"/>
        </w:rPr>
      </w:pPr>
      <w:bookmarkStart w:id="30" w:name="toc45078_28"/>
      <w:bookmarkEnd w:id="30"/>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The issuance of Wave-Delaware shares of common stock to Wave-Singapore shareholders in connection with the Transaction will not be registered under the Securities Act of 1933 (the “</w:t>
      </w:r>
      <w:r>
        <w:rPr>
          <w:rFonts w:ascii="Times New Roman" w:hAnsi="Times New Roman"/>
          <w:b/>
          <w:sz w:val="20"/>
        </w:rPr>
        <w:t>Securities Act</w:t>
      </w:r>
      <w:r>
        <w:rPr>
          <w:rFonts w:ascii="Times New Roman" w:hAnsi="Times New Roman"/>
          <w:sz w:val="20"/>
        </w:rPr>
        <w:t xml:space="preserve">”). Section 3(a)(10) of the Securities Act exempts securities issued in exchange for one or more outstanding securities from the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requirement of registration where the terms and conditions of the issuance and exchange of such securities have been approved by any court of competent jurisdiction, after a hearing upon the fairness of the terms and conditions of the issuance and exchange at which all persons to whom such securities will be issued have a right to appear and to whom adequate notice of the hearing has been given. The date, time and place of the hearing by the Singapore Court for the approval of the Scheme of Arrangement (the “</w:t>
      </w:r>
      <w:r>
        <w:rPr>
          <w:rFonts w:ascii="Times New Roman" w:hAnsi="Times New Roman"/>
          <w:b/>
          <w:sz w:val="20"/>
        </w:rPr>
        <w:t>Scheme Approval Hearing</w:t>
      </w:r>
      <w:r>
        <w:rPr>
          <w:rFonts w:ascii="Times New Roman" w:hAnsi="Times New Roman"/>
          <w:sz w:val="20"/>
        </w:rPr>
        <w:t xml:space="preserve">”) are not yet known. Subsequent and subject to shareholder approval of the Wave Redomiciliation Proposal, Wave-Singapore will promptly apply to the Singapore Court for its approval of the Scheme of Arrangement. Wave-Singapore intends to provide notice to its shareholders of the date, time and place of the Scheme Approval Hearing, once determined, so that shareholders can have the opportunity to appear at the hearing. Wave-Singapore currently intends to provide such notice through a press release distributed through press services and newswires in accordance with Nasdaq rules which would be filed on a Form 8-K and a written notice to be mailed to Wave-Singapore shareholders not less than one week prior to the date of the Scheme Approval Hearing and, immediately upon the distribution of the foregoing materials, to release for publication notice in newspapers of national circulation in each of the United States and Singapore.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it is appropriate to authorize the Scheme of Arrangement, the Singapore Court will consider whether the terms and conditions of the exchange of shares pursuant to the Scheme of Arrangement are fair to Wave-Singapore shareholders and we will have advised the Singapore Court before the hearing that we will rely on the Section 3(a)(10) exemption based on its approval of the Scheme of Arrangement. The Wave-Delaware shares of common stock issued to Wave-Singapore shareholders in connection with the Transaction will be freely transferable, except for restrictions applicable to certain “affiliates” of Wave-Singapore under the Securities Act,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were not affiliates of Wave-Singapore at the consummation of the Transaction and have not been affiliates within 90 days prior to such time will be permitted to sell any Wave-Delaware shares of common stock received in the Transaction without regard to Rule 144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were affiliates of Wave-Singapore at the consummation of the Transaction or were affiliates within 90 days prior to such time will be permitted to resell any Wave-Delaware common stock shares they receive pursuant to the Transaction in the manner permitted by Rule 144. In computing the holding period of the Wave-Delaware shares of common stock for the purposes of Rule 144(d), such persons will be permitted to “tack” the holding period of their Wave-Singapore ordinary shares held prior to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shares of Wave-Singapore bear a legend restricting transfer will receive shares of Wave-Delaware that are subject to the same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who may be deemed to be affiliates of Wave-Singapore and Wave-Delaware for these purposes generally include individuals or entities that control, are controlled by, or are under common control with, Wave-Singapore or Wave-Delaware, and would generally not be expected to include shareholders who are not executive officers, directors or significant shareholders of Wave-Singapore or Wave-Delaware. </w:t>
      </w:r>
    </w:p>
    <w:p>
      <w:pPr>
        <w:pStyle w:val="TextBody"/>
        <w:bidi w:val="0"/>
        <w:spacing w:before="240" w:after="0"/>
        <w:jc w:val="left"/>
        <w:rPr>
          <w:rFonts w:ascii="Times New Roman" w:hAnsi="Times New Roman"/>
          <w:sz w:val="20"/>
        </w:rPr>
      </w:pPr>
      <w:r>
        <w:rPr>
          <w:rFonts w:ascii="Times New Roman" w:hAnsi="Times New Roman"/>
          <w:sz w:val="20"/>
        </w:rPr>
        <w:t xml:space="preserve">We have not filed a registration statement with the SEC covering any resales of the Wave-Delaware shares of common stock to be received by Wave-Singapore’s shareholders in connection with the Transaction. Wave-Delaware intends to file certain post-effective amendments to existing effective registration statements of Wave-Singapore concurrently with the completion of the Transaction. </w:t>
      </w:r>
    </w:p>
    <w:p>
      <w:pPr>
        <w:pStyle w:val="TextBody"/>
        <w:bidi w:val="0"/>
        <w:spacing w:before="240" w:after="0"/>
        <w:jc w:val="left"/>
        <w:rPr>
          <w:rFonts w:ascii="Times New Roman" w:hAnsi="Times New Roman"/>
          <w:sz w:val="20"/>
        </w:rPr>
      </w:pPr>
      <w:r>
        <w:rPr>
          <w:rFonts w:ascii="Times New Roman" w:hAnsi="Times New Roman"/>
          <w:sz w:val="20"/>
        </w:rPr>
        <w:t>Upon consummation of the Transaction, the shares of common stock of Wave-Delaware will be deemed to be registered under Section 12(b) of the Securities Exchange Act of 1934, as amended (the “</w:t>
      </w:r>
      <w:r>
        <w:rPr>
          <w:rFonts w:ascii="Times New Roman" w:hAnsi="Times New Roman"/>
          <w:b/>
          <w:sz w:val="20"/>
        </w:rPr>
        <w:t>Exchange Act</w:t>
      </w:r>
      <w:r>
        <w:rPr>
          <w:rFonts w:ascii="Times New Roman" w:hAnsi="Times New Roman"/>
          <w:sz w:val="20"/>
        </w:rPr>
        <w:t xml:space="preserve">”), by virtue of Rule 12g-3 under the Exchange Act, without the filing of any Exchange Act registration statement and Wave-Delaware will be deemed to be the successor issuer of the registered Wave-Singapore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1" w:name="toc45078_29"/>
      <w:bookmarkEnd w:id="31"/>
      <w:r>
        <w:rPr>
          <w:rFonts w:ascii="Times New Roman" w:hAnsi="Times New Roman"/>
          <w:b/>
          <w:sz w:val="20"/>
        </w:rPr>
        <w:t xml:space="preserve">Effective Date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Assuming we receive the necessary approvals from Wave-Singapore’s shareholders and the Singapore Court and the other conditions to consummate the Transaction are satisfied and subject to the other terms and conditions of the Implementation Agreement, we will lodge the Singapore Court’s order approving the Scheme of Arrangement with ACRA, at which time the Scheme of Arrangement will become effective and binding in accordance with its terms and conditions. We currently expect to complete the Transaction on or about [_], 2026.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the Implementation Agreement, Wave-Singapore, without obtaining any further approval of Wave-Singapore shareholders, may select the effective time of the Transaction (including the Scheme of Arrangement), provided the effective time occurs on or prior to the Long-Stop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satisfaction of the conditions set forth in the Implementation Agreement,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 </w:t>
      </w:r>
    </w:p>
    <w:p>
      <w:pPr>
        <w:pStyle w:val="TextBody"/>
        <w:bidi w:val="0"/>
        <w:spacing w:before="360" w:after="0"/>
        <w:jc w:val="left"/>
        <w:rPr>
          <w:rFonts w:ascii="Times New Roman" w:hAnsi="Times New Roman"/>
          <w:b/>
          <w:sz w:val="20"/>
        </w:rPr>
      </w:pPr>
      <w:bookmarkStart w:id="32" w:name="toc45078_30"/>
      <w:bookmarkEnd w:id="32"/>
      <w:r>
        <w:rPr>
          <w:rFonts w:ascii="Times New Roman" w:hAnsi="Times New Roman"/>
          <w:b/>
          <w:sz w:val="20"/>
        </w:rPr>
        <w:t xml:space="preserve">Management of Wave-Delaware </w:t>
      </w:r>
    </w:p>
    <w:p>
      <w:pPr>
        <w:pStyle w:val="TextBody"/>
        <w:bidi w:val="0"/>
        <w:spacing w:before="120" w:after="0"/>
        <w:jc w:val="left"/>
        <w:rPr>
          <w:rFonts w:ascii="Times New Roman" w:hAnsi="Times New Roman"/>
          <w:sz w:val="20"/>
        </w:rPr>
      </w:pPr>
      <w:r>
        <w:rPr>
          <w:rFonts w:ascii="Times New Roman" w:hAnsi="Times New Roman"/>
          <w:sz w:val="20"/>
        </w:rPr>
        <w:t xml:space="preserve">When the Transaction is completed, the executive officers and directors of Wave-Singapore immediately prior to the completion of the Transaction will become the executive officers and directors of Wave-Delaware. Wave-Delaware’s amended and restated certificate of incorporation and amended and restated bylaws, as they will be in effect after the Transaction, provide for a single class of directors, just as Wave-Singapore currently has, and Wave-Delaware’s directors will be subject to re-election at the next annual meeting of stockholders of Wave-Delaware following the completion of the Transaction. </w:t>
      </w:r>
    </w:p>
    <w:p>
      <w:pPr>
        <w:pStyle w:val="TextBody"/>
        <w:bidi w:val="0"/>
        <w:spacing w:before="360" w:after="0"/>
        <w:jc w:val="left"/>
        <w:rPr>
          <w:rFonts w:ascii="Times New Roman" w:hAnsi="Times New Roman"/>
          <w:b/>
          <w:sz w:val="20"/>
        </w:rPr>
      </w:pPr>
      <w:bookmarkStart w:id="33" w:name="toc45078_31"/>
      <w:bookmarkEnd w:id="33"/>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Wave-Singapore’s constitution provides that subject to the Singapore Companies Act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Singapore Companies Act, </w:t>
      </w:r>
      <w:r>
        <w:rPr>
          <w:rFonts w:ascii="Times New Roman" w:hAnsi="Times New Roman"/>
          <w:i/>
          <w:sz w:val="20"/>
        </w:rPr>
        <w:t>provided</w:t>
      </w:r>
      <w:r>
        <w:rPr>
          <w:rFonts w:ascii="Times New Roman" w:hAnsi="Times New Roman"/>
          <w:sz w:val="20"/>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 </w:t>
      </w:r>
    </w:p>
    <w:p>
      <w:pPr>
        <w:pStyle w:val="TextBody"/>
        <w:bidi w:val="0"/>
        <w:spacing w:before="240" w:after="0"/>
        <w:jc w:val="left"/>
        <w:rPr>
          <w:rFonts w:ascii="Times New Roman" w:hAnsi="Times New Roman"/>
          <w:sz w:val="20"/>
        </w:rPr>
      </w:pPr>
      <w:r>
        <w:rPr>
          <w:rFonts w:ascii="Times New Roman" w:hAnsi="Times New Roman"/>
          <w:sz w:val="20"/>
        </w:rPr>
        <w:t xml:space="preserve">Wave-Singapore’s constitution further provides that subject to the Singapore Companies Act and every other applicable statute for the time being in force concerning companies and affecting Wave-Singapore, each of the directors and officers of Wave-Singapore and those of Wave-Singapore’s subsidiaries and affiliates shall be 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Singapore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Each of the Wave-Delaware amended and restated certificate of incorporation and amended and restated bylaws will provide that we are required to indemnify the directors and officers of Wave-Delaware, in each case to the fullest extent permitted by Delaware law. The Wave-Delaware amended and restated bylaws will also obligate us to advance expenses incurred by a director or officer in advance of the final disposition of any 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and permit us to secure insurance on behalf of any officer, director, employee or other agent for any liability arising out of his or her actions in that capacity regardless of whether we would otherwise be permitted to indemnify him or her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deeds of indemnity with the Wave-Singapore directors and certain of its officers to indemnify such persons. In connection with the Transaction, we expect to enter into agreements to indemnify the Wave-Delaware directors and executive officers as determined by the Wave-Delaware board of directors. The current deeds of indemnity between Wave-Singapore and certain of its officers and directors provide for the indemnification of, and advancement of expenses to, these persons, with specified exemptions. We expect that the indemnification and expense advancement to be provided to directors and certain officers of Wave-Delaware under the new indemnification agreements will be the same or substantially similar to that afforded in the current deeds of indemnity between Wave-Singapore and its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Wave believes that these provisions and indemnification agreements are necessary to attract and retain qualified persons as directors and officers. Wave-Delaware will also maintain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Please see “</w:t>
      </w:r>
      <w:r>
        <w:rPr>
          <w:rFonts w:ascii="Times New Roman" w:hAnsi="Times New Roman"/>
          <w:i/>
          <w:sz w:val="20"/>
        </w:rPr>
        <w:t>Comparison of Rights of Singapore Shareholders and Delaware Stockholders— Indemnification of Directors and Officers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4" w:name="toc45078_32"/>
      <w:bookmarkEnd w:id="34"/>
      <w:r>
        <w:rPr>
          <w:rFonts w:ascii="Times New Roman" w:hAnsi="Times New Roman"/>
          <w:b/>
          <w:sz w:val="20"/>
        </w:rPr>
        <w:t xml:space="preserve">Interests of Certain Persons in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indemnification arrangements described above, no person who has been a director or executive officer of Wave-Singapore at any time since the beginning of the last fiscal year, or any associate of any such person, has any substantial interest in the Transaction, except for any interest arising from his or her ownership of securities, equity awards or the Pre-Funded Warrants of Wave-Singapore. </w:t>
      </w:r>
    </w:p>
    <w:p>
      <w:pPr>
        <w:pStyle w:val="TextBody"/>
        <w:bidi w:val="0"/>
        <w:spacing w:before="360" w:after="0"/>
        <w:jc w:val="left"/>
        <w:rPr>
          <w:rFonts w:ascii="Times New Roman" w:hAnsi="Times New Roman"/>
          <w:b/>
          <w:sz w:val="20"/>
        </w:rPr>
      </w:pPr>
      <w:bookmarkStart w:id="35" w:name="toc45078_33"/>
      <w:bookmarkEnd w:id="35"/>
      <w:r>
        <w:rPr>
          <w:rFonts w:ascii="Times New Roman" w:hAnsi="Times New Roman"/>
          <w:b/>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Singapore Court’s approval of the Scheme of Arrangement, we are not aware of any other governmental approvals or actions that are required to complete the Transaction other than compliance with U.S. federal and state securities laws and Singapore and Delaware corporate law. We do not believe that any significant regulatory approvals will be required to effect the Transaction. </w:t>
      </w:r>
    </w:p>
    <w:p>
      <w:pPr>
        <w:pStyle w:val="TextBody"/>
        <w:bidi w:val="0"/>
        <w:spacing w:before="360" w:after="0"/>
        <w:jc w:val="left"/>
        <w:rPr>
          <w:rFonts w:ascii="Times New Roman" w:hAnsi="Times New Roman"/>
          <w:b/>
          <w:sz w:val="20"/>
        </w:rPr>
      </w:pPr>
      <w:bookmarkStart w:id="36" w:name="toc45078_34"/>
      <w:bookmarkEnd w:id="36"/>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Once the Wave Redomiciliation Proposal is approved by the requisite Scheme Shareholders, is approved by the Singapore Court and the Singapore Court Order is lodged with ACRA, the Scheme of Arrangement becomes effective and will be binding on all shareholders of Wave. Holders of Wave-Singapore ordinary shares may file an objection with the Singapore Court against the approval of the Scheme of Arrangement, but no appraisal or dissenting rights are available to such holders in connection with a scheme of arrangement effected under Singapore law. </w:t>
      </w:r>
    </w:p>
    <w:p>
      <w:pPr>
        <w:pStyle w:val="TextBody"/>
        <w:bidi w:val="0"/>
        <w:spacing w:before="360" w:after="0"/>
        <w:jc w:val="left"/>
        <w:rPr>
          <w:rFonts w:ascii="Times New Roman" w:hAnsi="Times New Roman"/>
          <w:b/>
          <w:sz w:val="20"/>
        </w:rPr>
      </w:pPr>
      <w:bookmarkStart w:id="37" w:name="toc45078_35"/>
      <w:bookmarkEnd w:id="37"/>
      <w:r>
        <w:rPr>
          <w:rFonts w:ascii="Times New Roman" w:hAnsi="Times New Roman"/>
          <w:b/>
          <w:sz w:val="20"/>
        </w:rPr>
        <w:t xml:space="preserve">Action Required to Transfer Wave-Singapore Ordinary Shares and Receive Wave-Delaware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Assuming the Transaction becomes effective, your Wave-Singapore ordinary shares will be exchanged for shares of common stock of Wave-Delaware, which will be issued to you in uncertificated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Any Wave-Singapore share certificates outstanding immediately prior to the effective time of the Transaction will no longer be evidence of title of Wave-Singapore shares represented by such certificates, and following the Transaction, will only represent the right to receive a corresponding number of uncertificated book-entry shares of common stock of Wave-Delaware. Our transfer agent will request that you return any share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of Wave-Delaware without any action required on the part of the beneficial holder of such shares. </w:t>
      </w:r>
    </w:p>
    <w:p>
      <w:pPr>
        <w:pStyle w:val="TextBody"/>
        <w:bidi w:val="0"/>
        <w:spacing w:before="360" w:after="0"/>
        <w:jc w:val="left"/>
        <w:rPr>
          <w:rFonts w:ascii="Times New Roman" w:hAnsi="Times New Roman"/>
          <w:b/>
          <w:sz w:val="20"/>
        </w:rPr>
      </w:pPr>
      <w:bookmarkStart w:id="38" w:name="toc45078_36"/>
      <w:bookmarkEnd w:id="38"/>
      <w:r>
        <w:rPr>
          <w:rFonts w:ascii="Times New Roman" w:hAnsi="Times New Roman"/>
          <w:b/>
          <w:sz w:val="20"/>
        </w:rPr>
        <w:t xml:space="preserve">Equity Plans </w:t>
      </w:r>
    </w:p>
    <w:p>
      <w:pPr>
        <w:pStyle w:val="TextBody"/>
        <w:bidi w:val="0"/>
        <w:spacing w:before="120" w:after="0"/>
        <w:jc w:val="left"/>
        <w:rPr>
          <w:rFonts w:ascii="Times New Roman" w:hAnsi="Times New Roman"/>
          <w:sz w:val="20"/>
        </w:rPr>
      </w:pPr>
      <w:r>
        <w:rPr>
          <w:rFonts w:ascii="Times New Roman" w:hAnsi="Times New Roman"/>
          <w:sz w:val="20"/>
        </w:rPr>
        <w:t xml:space="preserve">If the Transaction is completed, Wave-Delaware will assume and adopt Wave-Singapore’s existing rights and obligations under its equity plans (including any equity plan, employee stock purchase plan or individual inducement awards) in connection with awards granted under Wave-Singapore’s equity incentive plans and other similar equity awards. To the extent Wave-Singapore currently sponsors those equity incentive plans, then as of the consummation of the Transaction, Wave-Delaware will become the sponsor of the assumed equity incentive plans (including any equity plan, employee stock purchase plan or individual inducement awards). The plans will be amended as necessary to give effect to the Transaction, including to provide (1) for the assumption and adoption by Wave-Delaware of the applicable equity incentive plans and the various rights, duties or obligations thereunder (including any reserved, but unused share reserve thereunder); (2) that shares of common stock of Wave-Delaware will be issued, held, available or used to measure benefits as appropriate under the plans, in lieu of ordinary shares of Wave-Singapore, including upon exercise of any options or upon vesting/settlement of restricted share units or performance share units issued under those plans on a one—for-one basis; and (3) for the appropriate substitution of Wave-Delaware for Wave-Singapore in those plans. Shareholder approval of the Scheme of Arrangement will also constitute shareholder approval of the adoption and assumption of the equity incentive plans (including any equity plan, employee stock purchase plan or individual inducement awards) by Wave-Delaware as contemplated by this proxy statement as if such plans were new plans or arrangements approved by the stockholders of Wave-Delaware. </w:t>
      </w:r>
    </w:p>
    <w:p>
      <w:pPr>
        <w:pStyle w:val="TextBody"/>
        <w:bidi w:val="0"/>
        <w:spacing w:before="240" w:after="0"/>
        <w:jc w:val="left"/>
        <w:rPr>
          <w:rFonts w:ascii="Times New Roman" w:hAnsi="Times New Roman"/>
          <w:sz w:val="20"/>
        </w:rPr>
      </w:pPr>
      <w:r>
        <w:rPr>
          <w:rFonts w:ascii="Times New Roman" w:hAnsi="Times New Roman"/>
          <w:sz w:val="20"/>
        </w:rPr>
        <w:t xml:space="preserve">Holders of outstanding options, restricted share units, performance-based restricted share units or other equity-based awards may be subject to tax as a result of the conversion of the underlying Wave-Singapore ordinary shares to Wave-Delaware shares of common stock as of the consummation of the Transaction, depending on the country where the holders are citizens or tax residents or the country where they resided during the life of such equity awards. In general, however, U.S. taxpayers should not recognize ordinary income at the time Wave-Delaware assumes their equity awards. Tax withholding and/or reporting may be required by Wave-Delaware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Wave-Singapore awards, the conversion of equity awards may trigger certain regulatory filings or notices to employees concerning the tax or regulatory consequences of the Transaction. </w:t>
      </w:r>
    </w:p>
    <w:p>
      <w:pPr>
        <w:pStyle w:val="TextBody"/>
        <w:bidi w:val="0"/>
        <w:spacing w:before="360" w:after="0"/>
        <w:jc w:val="left"/>
        <w:rPr>
          <w:rFonts w:ascii="Times New Roman" w:hAnsi="Times New Roman"/>
          <w:b/>
          <w:sz w:val="20"/>
        </w:rPr>
      </w:pPr>
      <w:bookmarkStart w:id="39" w:name="toc45078_37"/>
      <w:bookmarkEnd w:id="39"/>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Wave-Singapore’s ordinary shares are currently listed on Nasdaq. There is currently no established public trading market for the shares of common stock of Wave-Delaware. We intend to make an application so that, upon the consummation of the Transaction, the Wave-Delaware shares of common stock will be listed on Nasdaq under the symbol “WVE,” the same symbol under which your Wave-Singapore ordinary shares are currently listed. </w:t>
      </w:r>
    </w:p>
    <w:p>
      <w:pPr>
        <w:pStyle w:val="TextBody"/>
        <w:bidi w:val="0"/>
        <w:spacing w:before="360" w:after="0"/>
        <w:jc w:val="left"/>
        <w:rPr>
          <w:rFonts w:ascii="Times New Roman" w:hAnsi="Times New Roman"/>
          <w:b/>
          <w:sz w:val="20"/>
        </w:rPr>
      </w:pPr>
      <w:bookmarkStart w:id="40" w:name="toc45078_38"/>
      <w:bookmarkEnd w:id="40"/>
      <w:r>
        <w:rPr>
          <w:rFonts w:ascii="Times New Roman" w:hAnsi="Times New Roman"/>
          <w:b/>
          <w:sz w:val="20"/>
        </w:rPr>
        <w:t xml:space="preserve">Accounting Treatment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1" w:name="toc45078_39"/>
      <w:bookmarkEnd w:id="41"/>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 The Pre-Funded Warrants are otherwise expected to remain outstanding in accordance with their existing terms. </w:t>
      </w:r>
    </w:p>
    <w:p>
      <w:pPr>
        <w:pStyle w:val="TextBody"/>
        <w:bidi w:val="0"/>
        <w:spacing w:before="360" w:after="0"/>
        <w:jc w:val="left"/>
        <w:rPr>
          <w:rFonts w:ascii="Times New Roman" w:hAnsi="Times New Roman"/>
          <w:b/>
          <w:sz w:val="20"/>
        </w:rPr>
      </w:pPr>
      <w:bookmarkStart w:id="42" w:name="toc45078_40"/>
      <w:bookmarkEnd w:id="42"/>
      <w:r>
        <w:rPr>
          <w:rFonts w:ascii="Times New Roman" w:hAnsi="Times New Roman"/>
          <w:b/>
          <w:sz w:val="20"/>
        </w:rPr>
        <w:t xml:space="preserve">Effect of the Transaction on Reporting Obligations of the Wave Corporate Group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Transaction, we will remain subject to SEC reporting requirements, the mandates of Sarbanes-Oxley and the corporate governance rules of Nasdaq, and we will continue to report our consolidated financial results in U.S. dollars and in accordance with U.S. GAAP. We will in the ordinary course make available customary reports filed with the SEC, consistent with our established current practices. Wave-Delaware will file reports on Form 10-K, 10-Q and 8-K with the SEC and comply with the rules and regulations promulgated under the Exchange Act, including the rules applicable to the filing and contents of proxy statements, as we currently do. </w:t>
      </w:r>
    </w:p>
    <w:p>
      <w:pPr>
        <w:pStyle w:val="TextBody"/>
        <w:bidi w:val="0"/>
        <w:spacing w:before="240" w:after="0"/>
        <w:jc w:val="left"/>
        <w:rPr>
          <w:rFonts w:ascii="Times New Roman" w:hAnsi="Times New Roman"/>
          <w:sz w:val="20"/>
        </w:rPr>
      </w:pPr>
      <w:r>
        <w:rPr>
          <w:rFonts w:ascii="Times New Roman" w:hAnsi="Times New Roman"/>
          <w:sz w:val="20"/>
        </w:rPr>
        <w:t xml:space="preserve">Assuming completion of the Transaction, Wave-Singapore will no longer be subject to the reporting requirements of the SEC and as such, Wave-Singapore will no longer file reports on Form 10-K, 10-Q and 8-K and will no longer be subject to the proxy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toc45078_41"/>
      <w:bookmarkEnd w:id="43"/>
      <w:r>
        <w:rPr>
          <w:rFonts w:ascii="Times New Roman" w:hAnsi="Times New Roman"/>
          <w:b/>
          <w:sz w:val="20"/>
        </w:rPr>
        <w:t xml:space="preserve">POTENTIAL TAX CONSEQUENCES TO THE WAVE GROUP </w:t>
      </w:r>
    </w:p>
    <w:p>
      <w:pPr>
        <w:pStyle w:val="TextBody"/>
        <w:bidi w:val="0"/>
        <w:spacing w:before="240" w:after="0"/>
        <w:jc w:val="left"/>
        <w:rPr>
          <w:rFonts w:ascii="Times New Roman" w:hAnsi="Times New Roman"/>
          <w:sz w:val="20"/>
        </w:rPr>
      </w:pPr>
      <w:r>
        <w:rPr>
          <w:rFonts w:ascii="Times New Roman" w:hAnsi="Times New Roman"/>
          <w:sz w:val="20"/>
        </w:rPr>
        <w:t xml:space="preserve">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 </w:t>
      </w:r>
    </w:p>
    <w:p>
      <w:pPr>
        <w:pStyle w:val="TextBody"/>
        <w:bidi w:val="0"/>
        <w:spacing w:before="240" w:after="0"/>
        <w:jc w:val="left"/>
        <w:rPr>
          <w:rFonts w:ascii="Times New Roman" w:hAnsi="Times New Roman"/>
          <w:sz w:val="20"/>
        </w:rPr>
      </w:pPr>
      <w:r>
        <w:rPr>
          <w:rFonts w:ascii="Times New Roman" w:hAnsi="Times New Roman"/>
          <w:sz w:val="20"/>
        </w:rPr>
        <w:t xml:space="preserve">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45078_42"/>
      <w:bookmarkEnd w:id="44"/>
      <w:r>
        <w:rPr>
          <w:rFonts w:ascii="Times New Roman" w:hAnsi="Times New Roman"/>
          <w:b/>
          <w:sz w:val="20"/>
        </w:rPr>
        <w:t xml:space="preserve">MATERIAL TAX CONSIDERATIONS RELATING TO THE TRANSACTION TO HOLDERS OF WAVE-SINGAPORE ORDINARY SHARES </w:t>
      </w:r>
    </w:p>
    <w:p>
      <w:pPr>
        <w:pStyle w:val="TextBody"/>
        <w:bidi w:val="0"/>
        <w:spacing w:before="240" w:after="0"/>
        <w:jc w:val="left"/>
        <w:rPr>
          <w:rFonts w:ascii="Times New Roman" w:hAnsi="Times New Roman"/>
          <w:b/>
          <w:sz w:val="20"/>
        </w:rPr>
      </w:pPr>
      <w:bookmarkStart w:id="45" w:name="toc45078_43"/>
      <w:bookmarkEnd w:id="45"/>
      <w:r>
        <w:rPr>
          <w:rFonts w:ascii="Times New Roman" w:hAnsi="Times New Roman"/>
          <w:b/>
          <w:sz w:val="20"/>
        </w:rPr>
        <w:t xml:space="preserve">U.S. Federal Income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U.S. federal income tax considerations to U.S. Holders and to Non-U.S. Holders (each as defined below) of (i) exchanging Wave-Singapore ordinary shares for shares of Wave-Delaware common stock pursuant to the Scheme of Arrangement and (ii) owning and disposing of shares of Wave-Delaware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assumes that the Transaction will be consummated as described in this proxy statement and applies only to U.S. Holders and Non-U.S. Holders that hold their Wave-Singapore ordinary shares, and that will hold their shares of Wave-Delaware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thrifts, mutual funds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and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elect to apply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 retirement and other 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“controlled foreign corporations” or “foreign controlled foreign corporations,”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Wave-Delaware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stock as part of a straddle, hedging, conversion, constructive sale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purchase or sell their stock as part of a wash sale for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 corporations,” partnerships or other entities or arrangements classified as partnerships for U.S. federal income tax purposes, or other pass-through entities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their stock through the exercise of employee stock options or otherwise as compensation or through a tax-qualified retirement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the stock being taken into account in a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indirectly or constructively) five percent (5%) or more, by vote or value, of Wave-Singapore shares or, after completion of the Scheme of Arrangement, Wave-Delaware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Wave-Singapore Pre-Funded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also does not address any considerations under the U.S. federal tax laws other than those pertaining to the income tax, nor does it address any state, local or non-U.S. tax considerations. We do not intend to seek any rulings from the IRS with respect to the Transaction, and there can be no assurance that the IRS will not take a position contrary to the tax consequences described herein or that such a contrary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For purposes of this discussion, a “</w:t>
      </w:r>
      <w:r>
        <w:rPr>
          <w:rFonts w:ascii="Times New Roman" w:hAnsi="Times New Roman"/>
          <w:b/>
          <w:sz w:val="20"/>
        </w:rPr>
        <w:t>U.S. Holder</w:t>
      </w:r>
      <w:r>
        <w:rPr>
          <w:rFonts w:ascii="Times New Roman" w:hAnsi="Times New Roman"/>
          <w:sz w:val="20"/>
        </w:rPr>
        <w:t xml:space="preserve">” means a beneficial owner of Wave-Singapore ordinary shares or, after the completion of the Scheme of Arrangement, shares of Wave-Delaware common stock received in the Scheme of Arrangement,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discussion, a “</w:t>
      </w:r>
      <w:r>
        <w:rPr>
          <w:rFonts w:ascii="Times New Roman" w:hAnsi="Times New Roman"/>
          <w:b/>
          <w:sz w:val="20"/>
        </w:rPr>
        <w:t>Non-U.S. Holder</w:t>
      </w:r>
      <w:r>
        <w:rPr>
          <w:rFonts w:ascii="Times New Roman" w:hAnsi="Times New Roman"/>
          <w:sz w:val="20"/>
        </w:rPr>
        <w:t xml:space="preserve">” means a beneficial owner of Wave-Singapore ordinary shares or, after the completion of the Scheme of Arrangement, shares of Wave-Delaware common stock received in the Scheme of Arrangement, that is an individual, corporation, estate or trust and, in each case,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Wave-Singapore ordinary shares or, after the completion of the Scheme of Arrangement, shares of Wave-Delaware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of the Transaction to them and of the ownership and disposition of shares of Wave-Delaware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INFORMATIONAL PURPOSES ONLY AND IS NOT TAX ADVICE. HOLDERS OF WAVE-SINGAPORE ORDINARY SHARES OR, AFTER THE COMPLETION OF THE SCHEME, WAVE-DELAWARE SHARES OF COMMON STOCK SHOULD CONSULT THEIR TAX ADVISORS WITH RESPECT TO THE U.S. FEDERAL INCOME TAX CONSEQUENCES OF THE SCHEME OF ARRANGEMENT AND OF THE OWNERSHIP AND DISPOSITION OF WAVE-DELAWARE SHARES OF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Characterization of the Exchange of Wave-Singapore Ordinary Shares for Shares of Wave-Delaware Common Stock Pursuant to the Scheme of Arrangement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the exchange of Wave-Singapore ordinary shares for shares of Wave-Delaware common stock pursuant to the Scheme of Arrangement and the U.S. Tax Election, taken together, are expected to qualify as a reorganization under Section 368(a)(1)(F) of the Code. A reorganization under Section 368(a)(1)(F) of the Code is a “mere change in identity, form, or place of organization of one corporation, however effected.” However, there is some uncertainty regarding whether the exchange of Wave-Singapore ordinary shares for shares of Wave-Delaware common stock pursuant to the Scheme of Arrangement and the U.S. Tax Election, taken together, will qualify for such treatment because there is no authority directly addressing a transaction involving the same facts. In addition, the Transaction is not conditioned on the receipt of a tax opinion, and we do not intend to request a ruling from the IRS regarding the U.S. federal income tax treatment of the Transaction. Consequently, no assurance can be given that the IRS will not challenge the qualification of the completion of the Scheme of Arrangement and the U.S. Tax Election, taken together, as a reorganization under Section 368(a)(1)(F) of the Code or that a court would not sustain such challenge. In such case, the Transaction could be treated as a taxable transaction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Considerations of the Transaction to U.S. Holders of Wave-Singapore Ordinary Shares </w:t>
      </w:r>
    </w:p>
    <w:p>
      <w:pPr>
        <w:pStyle w:val="TextBody"/>
        <w:bidi w:val="0"/>
        <w:spacing w:before="120" w:after="0"/>
        <w:jc w:val="left"/>
        <w:rPr>
          <w:rFonts w:ascii="Times New Roman" w:hAnsi="Times New Roman"/>
          <w:i/>
          <w:sz w:val="20"/>
        </w:rPr>
      </w:pPr>
      <w:r>
        <w:rPr>
          <w:rFonts w:ascii="Times New Roman" w:hAnsi="Times New Roman"/>
          <w:i/>
          <w:sz w:val="20"/>
        </w:rPr>
        <w:t xml:space="preserve">Receipt of Shares of Wave-Delaware Common Stock in a Section 368(a)(1)(F) Reorganization </w:t>
      </w:r>
    </w:p>
    <w:p>
      <w:pPr>
        <w:pStyle w:val="TextBody"/>
        <w:bidi w:val="0"/>
        <w:spacing w:before="120" w:after="0"/>
        <w:jc w:val="left"/>
        <w:rPr>
          <w:rFonts w:ascii="Times New Roman" w:hAnsi="Times New Roman"/>
          <w:sz w:val="20"/>
        </w:rPr>
      </w:pPr>
      <w:r>
        <w:rPr>
          <w:rFonts w:ascii="Times New Roman" w:hAnsi="Times New Roman"/>
          <w:sz w:val="20"/>
        </w:rPr>
        <w:t>Assuming that (i) the exchange of Wave-Singapore ordinary shares for shares of Wave-Delaware common stock pursuant to the Scheme of Arrangement and the U.S. Tax Election, taken together, qualify as a reorganization under Section 368(a)(1)(F) of the Code, (ii) the application of Section 367 of the Code does not result in adverse consequences (as discussed below under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Wave-Singapore Ordinary Shares</w:t>
      </w:r>
      <w:r>
        <w:rPr>
          <w:rFonts w:ascii="Times New Roman" w:hAnsi="Times New Roman"/>
          <w:sz w:val="20"/>
        </w:rPr>
        <w:t>”) and (iii) Wave-Singapore is not and has not been a PFIC (as discussed below under “</w:t>
      </w:r>
      <w:r>
        <w:rPr>
          <w:rFonts w:ascii="Times New Roman" w:hAnsi="Times New Roman"/>
          <w:i/>
          <w:sz w:val="20"/>
        </w:rPr>
        <w:t>PFIC Status</w:t>
      </w:r>
      <w:r>
        <w:rPr>
          <w:rFonts w:ascii="Times New Roman" w:hAnsi="Times New Roman"/>
          <w:sz w:val="20"/>
        </w:rPr>
        <w:t xml:space="preserve">”), a U.S. Holder that exchanges Wave-Singapore ordinary shares for shares of Wave-Delaware common stock pursuant to the Scheme of Arrangement should not recognize any gain or loss with respect to such exchange. Such U.S. Holder should have an aggregate adjusted tax basis in the shares of Wave-Delaware common stock received pursuant to the Scheme of Arrangement equal to the adjusted tax basis of the Wave-Singapore ordinary shares surrendered in exchange therefor by that U.S. Holder pursuant to the Scheme of Arrangement. The holding period for shares of Wave-Delaware common stock received pursuant to the Scheme of Arrangement should include the U.S. Holder’s holding period for the Wave-Singapore ordinary shares surrendered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about any reporting requirements and information statements that could be applicable to a U.S. Holder with respect to the Transaction and any potential consequences, including penalties, associated with a failure to satisfy such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of Section 367 </w:t>
      </w:r>
    </w:p>
    <w:p>
      <w:pPr>
        <w:pStyle w:val="TextBody"/>
        <w:bidi w:val="0"/>
        <w:spacing w:before="120" w:after="0"/>
        <w:jc w:val="left"/>
        <w:rPr>
          <w:rFonts w:ascii="Times New Roman" w:hAnsi="Times New Roman"/>
          <w:sz w:val="20"/>
        </w:rPr>
      </w:pPr>
      <w:r>
        <w:rPr>
          <w:rFonts w:ascii="Times New Roman" w:hAnsi="Times New Roman"/>
          <w:sz w:val="20"/>
        </w:rPr>
        <w:t>Section 367 of the Code applies to certain transactions involving foreign corporations, including a domestication of a foreign corporation in a transaction that qualifies as a reorganization under Section 368(a)(1)(F) of the Code. Subject to the discussion below under the section entitled “—</w:t>
      </w:r>
      <w:r>
        <w:rPr>
          <w:rFonts w:ascii="Times New Roman" w:hAnsi="Times New Roman"/>
          <w:i/>
          <w:sz w:val="20"/>
        </w:rPr>
        <w:t>PFIC Considerations</w:t>
      </w:r>
      <w:r>
        <w:rPr>
          <w:rFonts w:ascii="Times New Roman" w:hAnsi="Times New Roman"/>
          <w:sz w:val="20"/>
        </w:rPr>
        <w:t xml:space="preserve">,” Section 367 of the Code imposes U.S. federal income tax on certain United States persons in connection with transactions that would otherwise be tax-deferred. Section 367(b) of the Code should generally apply to U.S. Holders on the date of the completion of the Scheme of Arrangement.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Who Own 10 Percent or More (By Vote or Value)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who beneficially owns (actually or constructively) 10% or more of the total combined voting power of all classes of Wave-Singapore shares entitled to vote or 10% or more of the total value of all classes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Wave-Singapore shares (a “</w:t>
      </w:r>
      <w:r>
        <w:rPr>
          <w:rFonts w:ascii="Times New Roman" w:hAnsi="Times New Roman"/>
          <w:b/>
          <w:sz w:val="20"/>
        </w:rPr>
        <w:t>10% U.S. Shareholder</w:t>
      </w:r>
      <w:r>
        <w:rPr>
          <w:rFonts w:ascii="Times New Roman" w:hAnsi="Times New Roman"/>
          <w:sz w:val="20"/>
        </w:rPr>
        <w:t xml:space="preserve">”) should consult its own tax advisor regarding the rules that may apply to such 10% U.S. Shareholder.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Who Own Less Than 10 Percent (By Vote or Value)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xml:space="preserve">,” a U.S. Holder whose Wave-Singapore ordinary shares, on the date of the completion of the Scheme of Arrangement, have a fair market value of $50,000 or more and who, on the date of the completion of the Scheme of Arrangement, is not a 10% U.S. Shareholder generally should recognize gain (but not loss) with respect to its Wave-Singapore ordinary shares in connection with the Scheme of Arrangement or, in the alternative, may elect to recognize the “all earnings and profits” amount attributable to such U.S. Holder’s Wave-Singapore ordinary shares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“all earnings and profits amount” with respect to a U.S. Holder’s Wave-Singapore ordinary shares is the net positive earnings and profits of Wave-Singapore (as determined under the Treasury Regulations under Section 367 of the Code) attributable to such Wave-Singapore ordinary shares (as determined under Treasury Regulations under Section 367 of the Code).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 </w:t>
      </w:r>
    </w:p>
    <w:p>
      <w:pPr>
        <w:pStyle w:val="TextBody"/>
        <w:bidi w:val="0"/>
        <w:spacing w:before="24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PFIC Considerations</w:t>
      </w:r>
      <w:r>
        <w:rPr>
          <w:rFonts w:ascii="Times New Roman" w:hAnsi="Times New Roman"/>
          <w:sz w:val="20"/>
        </w:rPr>
        <w:t xml:space="preserve">,” unless a U.S. Holder makes the “all earnings and profits election” as described below, such U.S. Holder generally must recognize gain (but not loss) with respect to the shares of Wave-Delaware common stock received in the Scheme of Arrangement in an amount equal to the excess of the fair market value of such shares of Wave-Delaware common stock over the U.S. Holder’s adjusted tax basis in the Wave-Singapore ordinary shares exchanged in the Scheme of Arrangement. U.S. Holders who hold different blocks of Wave-Singapore ordinary shares (generally, Wave-Singapore ordinary shares purchased or acquired on different dates or at different prices) should consult their tax advisors to determine how the above rules apply to them. </w:t>
      </w:r>
    </w:p>
    <w:p>
      <w:pPr>
        <w:pStyle w:val="TextBody"/>
        <w:bidi w:val="0"/>
        <w:spacing w:before="240" w:after="0"/>
        <w:jc w:val="left"/>
        <w:rPr>
          <w:rFonts w:ascii="Times New Roman" w:hAnsi="Times New Roman"/>
          <w:sz w:val="20"/>
        </w:rPr>
      </w:pPr>
      <w:r>
        <w:rPr>
          <w:rFonts w:ascii="Times New Roman" w:hAnsi="Times New Roman"/>
          <w:sz w:val="20"/>
        </w:rPr>
        <w:t xml:space="preserve">In lieu of recognizing any gain as described in the preceding paragraph, a U.S. Holder may elect to include in income as a deemed dividend paid by Wave-Singapore the “all earnings and profits amount” attributable to its Wave-Singapore ordinary shares under Section 367(b) of the Code. There are, however, strict conditions for making this election. This election must comply with applicable Treasury Regulations and generally must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Scheme of Arrangement is a Section 367(b) exchange (within the meaning of the applicable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complete description of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stock, securities or other consideration transferred or received in the Scheme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describing the amounts required to be taken into account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U.S. Holder is making the election that includes (A) a copy of the information that the U.S. Holder received from Wave-Singapore establishing and substantiating the U.S. Holder’s “all earnings and profits amount” with respect to the U.S. Holder’s Wave-Singapore ordinary shares and (B) a representation that the U.S. Holder has notified Wave-Singapore (or Wave-Delaware) that the U.S. Holder is making the election;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information required to be furnished with the U.S. Holder’s tax return or otherwise furnished pursuant to the Code or the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election must be attached by an electing U.S. Holder to such U.S. Holder’s timely filed U.S. federal income tax return for the year of the Transaction, and the U.S. Holder must send notice of making the election to Wave-Singapore or Wave-Delaware no later than the date such tax return is filed. In connection with this election, Wave-Singapore may in its discretion provide each U.S. Holder eligible to make such an election with information regarding Wave-Singapore’s earnings and profits upon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Wave-Singapore expects to have a deficit in earnings and profits through the date of the completion of the Scheme of Arrangement and if that proves to be the case, U.S. Holders who make this election are not expected to have any income inclusion under Section 367(b) of the Code, </w:t>
      </w:r>
      <w:r>
        <w:rPr>
          <w:rFonts w:ascii="Times New Roman" w:hAnsi="Times New Roman"/>
          <w:i/>
          <w:sz w:val="20"/>
        </w:rPr>
        <w:t>provided</w:t>
      </w:r>
      <w:r>
        <w:rPr>
          <w:rFonts w:ascii="Times New Roman" w:hAnsi="Times New Roman"/>
          <w:sz w:val="20"/>
        </w:rPr>
        <w:t xml:space="preserve"> that the U.S. Holder properly executes the election and complies with the applicable notice requirements. However, if it were ultimately determined that Wave-Singapore had positive earnings and profits through the date of the completion of the Scheme of Arrangement, a U.S. Holder that makes the election described herein could have an “all earnings and profits amount” with respect to its Wave-Singapore ordinary shares, and thus could be required to include that amount in income as a deemed dividend paid by Wave-Singapore under applicable Treasury Regulations as a result of the Scheme of Arrangement. </w:t>
      </w:r>
    </w:p>
    <w:p>
      <w:pPr>
        <w:pStyle w:val="TextBody"/>
        <w:bidi w:val="0"/>
        <w:spacing w:before="240" w:after="0"/>
        <w:jc w:val="left"/>
        <w:rPr>
          <w:rFonts w:ascii="Times New Roman" w:hAnsi="Times New Roman"/>
          <w:sz w:val="20"/>
        </w:rPr>
      </w:pPr>
      <w:r>
        <w:rPr>
          <w:rFonts w:ascii="Times New Roman" w:hAnsi="Times New Roman"/>
          <w:sz w:val="20"/>
        </w:rPr>
        <w:t>A U.S. Holder who is not a 10% U.S. Shareholder on the date of the completion of the Scheme of Arrangement and whose Wave-Singapore ordinary shares have a fair market value of less than $50,000 on the date of the completion of the Scheme of Arrangement generally should not be required to recognize any gain or loss or include any part of the “all earnings and profits amount” in income under Section 367 of the Code in connection with the Scheme of Arrangement. However, such U.S. Holder may be subject to taxation under the PFIC rules as discussed below under the section entitled “—</w:t>
      </w:r>
      <w:r>
        <w:rPr>
          <w:rFonts w:ascii="Times New Roman" w:hAnsi="Times New Roman"/>
          <w:i/>
          <w:sz w:val="20"/>
        </w:rPr>
        <w:t>PFIC Considerations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EACH U.S. HOLDER SHOULD CONSULT ITS TAX ADVISORS REGARDING THE CONSEQUENCES TO IT OF THE TRANSACTION INCLUDING MAKING AN ELECTION TO INCLUDE IN INCOME THE “ALL EARNINGS AND PROFITS AMOUNT” ATTRIBUTABLE TO ITS WAVE-SINGAPORE ORDINARY SHARES UNDER SECTION 367(b) OF THE CODE AND THE APPROPRIATE FILING REQUIREMENTS WITH RESPECT TO SUCH AN ELECTION. </w:t>
      </w:r>
    </w:p>
    <w:p>
      <w:pPr>
        <w:pStyle w:val="TextBody"/>
        <w:bidi w:val="0"/>
        <w:spacing w:before="240" w:after="0"/>
        <w:jc w:val="left"/>
        <w:rPr>
          <w:rFonts w:ascii="Times New Roman" w:hAnsi="Times New Roman"/>
          <w:b/>
          <w:sz w:val="20"/>
        </w:rPr>
      </w:pPr>
      <w:r>
        <w:rPr>
          <w:rFonts w:ascii="Times New Roman" w:hAnsi="Times New Roman"/>
          <w:b/>
          <w:sz w:val="20"/>
        </w:rPr>
        <w:t xml:space="preserve">ALL U.S. HOLDERS SHOULD CONSULT THEIR TAX ADVISORS WITH RESPECT TO THE EFFECT OF SECTION 367 OF THE CODE TO THEIR PARTICULAR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PFIC Considerations </w:t>
      </w:r>
    </w:p>
    <w:p>
      <w:pPr>
        <w:pStyle w:val="TextBody"/>
        <w:bidi w:val="0"/>
        <w:spacing w:before="120" w:after="0"/>
        <w:jc w:val="left"/>
        <w:rPr>
          <w:rFonts w:ascii="Times New Roman" w:hAnsi="Times New Roman"/>
          <w:sz w:val="20"/>
        </w:rPr>
      </w:pPr>
      <w:r>
        <w:rPr>
          <w:rFonts w:ascii="Times New Roman" w:hAnsi="Times New Roman"/>
          <w:sz w:val="20"/>
        </w:rPr>
        <w:t>Regardless of whether the completion of the Scheme of Arrangement and the U.S. Tax Election, taken together, qualify as a reorganization under Section 368(a)(1)(F) of the Code (in addition to the discussion under the section entitled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w:t>
      </w:r>
      <w:r>
        <w:rPr>
          <w:rFonts w:ascii="Times New Roman" w:hAnsi="Times New Roman"/>
          <w:sz w:val="20"/>
        </w:rPr>
        <w:t> </w:t>
      </w:r>
      <w:r>
        <w:rPr>
          <w:rFonts w:ascii="Times New Roman" w:hAnsi="Times New Roman"/>
          <w:i/>
          <w:sz w:val="20"/>
        </w:rPr>
        <w:t>Holders of Ordinary Shares</w:t>
      </w:r>
      <w:r>
        <w:rPr>
          <w:rFonts w:ascii="Times New Roman" w:hAnsi="Times New Roman"/>
          <w:sz w:val="20"/>
        </w:rPr>
        <w:t xml:space="preserve">” above), the Scheme of Arrangement could be a taxable event to U.S. Holders under the PFIC provisions of the Code if Wave-Singapore is considered a PFIC.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 of a PFIC </w:t>
      </w:r>
    </w:p>
    <w:p>
      <w:pPr>
        <w:pStyle w:val="TextBody"/>
        <w:bidi w:val="0"/>
        <w:spacing w:before="120" w:after="0"/>
        <w:jc w:val="left"/>
        <w:rPr>
          <w:rFonts w:ascii="Times New Roman" w:hAnsi="Times New Roman"/>
          <w:sz w:val="20"/>
        </w:rPr>
      </w:pPr>
      <w:r>
        <w:rPr>
          <w:rFonts w:ascii="Times New Roman" w:hAnsi="Times New Roman"/>
          <w:sz w:val="20"/>
        </w:rPr>
        <w:t xml:space="preserve">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PFIC Status of Wave-Singapore </w:t>
      </w:r>
    </w:p>
    <w:p>
      <w:pPr>
        <w:pStyle w:val="TextBody"/>
        <w:bidi w:val="0"/>
        <w:spacing w:before="120" w:after="0"/>
        <w:jc w:val="left"/>
        <w:rPr>
          <w:rFonts w:ascii="Times New Roman" w:hAnsi="Times New Roman"/>
          <w:sz w:val="20"/>
        </w:rPr>
      </w:pPr>
      <w:r>
        <w:rPr>
          <w:rFonts w:ascii="Times New Roman" w:hAnsi="Times New Roman"/>
          <w:sz w:val="20"/>
        </w:rPr>
        <w:t xml:space="preserve">Based upon the composition of its income and assets and the manner in which it operates its business, Wave-Singapore believes it was not a PFIC for its 2025 taxable year or any prior taxable year and does not expect to be a PFIC for its 2026 taxable year. Due to the factual nature of the determination, no assurance can be given as to whether Wave-Singapore would be or would not be a PFIC for any taxable year.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of PFIC Rules on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Even if the completion of the Scheme of Arrangement and the U.S. Tax Election, taken together, qualify as a reorganization under Section 368(a)(1)(F) of the Code, Section 1291(f) of the Code requires that, to the extent provided in the Treasury Regulations, a United States person who disposes of stock of a PFIC recognize gain notwithstanding any other provision of the Code. No final Treasury Regulations are currently in effect under Section 1291(f) of the Code, but proposed Treasury Regulations under Section 1291(f) of the Code have been promulgated. If finalized in their current form, those proposed Treasury Regulations would not require gain recognition to U.S. Holders of Wave-Singapore ordinary shares as a result of the Scheme of Arrangement if Wave-Singapore is considered a PFIC and the completion of the Scheme of Arrangement and the U.S. Tax Election, taken together, qualify as a reorganization under Section 368(a)(1)(F) of the Code; however, a U.S. Holder would be required to recognize gain in connection with the Scheme of Arrangement if Wave-Singapore was classified as a PFIC at any time during such U.S. Holder’s holding period in its Wave-Singapore ordinary shares and the U.S. Holder had not timely made (a) a QEF Election (as defined below) for the first taxable year in which the U.S. Holder owned such Wave-Singapore ordinary shares or in which Wave-Singapore was a PFIC, whichever is later (or a QEF Election along with a purging election) or (b) a MTM Election (as defined below) with respect to such Wave-Singapore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tax on any such recognized gain would be imposed based on a complex set of computational rules designed to offset the tax deferral with respect to the undistributed earnings of Wave-Singapore. Under these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will be allocated ratably over the U.S. Holder’s holding period for such U.S. Holder’s Wave-Singapore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gain allocated to the U.S. Holder’s taxable year in which the U.S. Holder recognized the gain, or to the period in the U.S. Holder’s holding period before the first day of the first taxable year in which Wave-Singapore was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gain allocated to other taxable years (or portions thereof) of the U.S. Holder and included in such U.S. Holder’s holding period would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in respect of the tax attributable to each such other taxable year (described in the third bullet above) of such U.S. Holder. </w:t>
            </w:r>
          </w:p>
        </w:tc>
      </w:tr>
    </w:tbl>
    <w:p>
      <w:pPr>
        <w:pStyle w:val="TextBody"/>
        <w:bidi w:val="0"/>
        <w:spacing w:before="240" w:after="0"/>
        <w:jc w:val="left"/>
        <w:rPr>
          <w:rFonts w:ascii="Times New Roman" w:hAnsi="Times New Roman"/>
          <w:sz w:val="20"/>
        </w:rPr>
      </w:pPr>
      <w:r>
        <w:rPr>
          <w:rFonts w:ascii="Times New Roman" w:hAnsi="Times New Roman"/>
          <w:sz w:val="20"/>
        </w:rPr>
        <w:t>In addition, the proposed Treasury Regulations provide coordinating rules with Section 367(b) of the Code, whereby, if the gain recognition rule of the proposed Treasury Regulations discussed in the preceding paragraph applies to a disposition of PFIC stock that results from a transfer with respect to which Section 367(b) of the Code requires the U.S. Holder to recognize gain or include an amount in income as a deemed dividend deemed paid by Wave-Singapore, the gain realized on the transfer is taxable under the rules described in the preceding paragraph, and the excess, if any, of the amount to be included in income under Section 367(b) of the Code over the gain realized is taxable as provided under Section 367(b) of the Code. See the discussion above under the section entitled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Wave-Singapore 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whether, in what form and with what effective date, final Treasury Regulations under Section 1291(f) of the Code may be adopted or how any such final Treasury Regulations would apply.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proposed regulations under Section 1291(f) were finalized in the current form, U.S. Holders of Wave-Singapore ordinary shares that have not made a timely and effective QEF Election (or a QEF Election along with a purging election) or a MTM Election (each as defined below) (a “</w:t>
      </w:r>
      <w:r>
        <w:rPr>
          <w:rFonts w:ascii="Times New Roman" w:hAnsi="Times New Roman"/>
          <w:b/>
          <w:sz w:val="20"/>
        </w:rPr>
        <w:t>Non-Electing Shareholder</w:t>
      </w:r>
      <w:r>
        <w:rPr>
          <w:rFonts w:ascii="Times New Roman" w:hAnsi="Times New Roman"/>
          <w:sz w:val="20"/>
        </w:rPr>
        <w:t xml:space="preserve">”) may be subject to taxation under the PFIC rules in connection with the Scheme of Arrangement with respect to their Wave-Singapore ordinary shares in the manner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Any gain recognized by a Non-Electing Shareholder of Wave-Singapore ordinary shares as a result of the Scheme of Arrangement pursuant to PFIC rules would be taxable income to such U.S. Holder, taxed under the PFIC rules in the manner set forth above, with no corresponding receipt of cash.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absent a QEF Election (or a QEF Election along with a purging election) or a MTM Election, the completion of the Scheme of Arrangement could be a taxable event for U.S. Holders of Wave-Singapore ordinary shares under the PFIC rules regardless of whether the completion of the Scheme of Arrangement and the U.S. Tax Election, taken together, qualify as a reorganization under Section 368(a)(1)(F) of the Code if Wave-Singapore is considered a PFIC. If the completion of the Scheme of Arrangement and the U.S. Tax Election, taken together, qualify as a reorganization under Section 368(a)(1)(F) of the Code, absent a QEF Election (or a QEF Election along with a purging election) or a MTM Election, a U.S. Holder’s gain, if any, would be taxed under the PFIC rules in the manner set forth above. </w:t>
      </w:r>
    </w:p>
    <w:p>
      <w:pPr>
        <w:pStyle w:val="TextBody"/>
        <w:bidi w:val="0"/>
        <w:spacing w:before="240" w:after="0"/>
        <w:jc w:val="left"/>
        <w:rPr>
          <w:rFonts w:ascii="Times New Roman" w:hAnsi="Times New Roman"/>
          <w:b/>
          <w:sz w:val="20"/>
        </w:rPr>
      </w:pPr>
      <w:r>
        <w:rPr>
          <w:rFonts w:ascii="Times New Roman" w:hAnsi="Times New Roman"/>
          <w:b/>
          <w:sz w:val="20"/>
        </w:rPr>
        <w:t xml:space="preserve">ALL U.S. HOLDERS SHOULD CONSULT THEIR TAX ADVISORS REGARDING THE EFFECTS OF THE PFIC RULES ON THE REDOMICILIATION, INCLUDING THE IMPACT OF ANY PROPOSED OR FINAL TREASURY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QEF Election and Mark-to-Market Election </w:t>
      </w:r>
    </w:p>
    <w:p>
      <w:pPr>
        <w:pStyle w:val="TextBody"/>
        <w:bidi w:val="0"/>
        <w:spacing w:before="120" w:after="0"/>
        <w:jc w:val="left"/>
        <w:rPr>
          <w:rFonts w:ascii="Times New Roman" w:hAnsi="Times New Roman"/>
          <w:sz w:val="20"/>
        </w:rPr>
      </w:pPr>
      <w:r>
        <w:rPr>
          <w:rFonts w:ascii="Times New Roman" w:hAnsi="Times New Roman"/>
          <w:sz w:val="20"/>
        </w:rPr>
        <w:t>The impact of the PFIC rules on a U.S. Holder of Wave-Singapore ordinary shares will depend on whether the U.S. Holder has made a timely and effective election to treat Wave-Singapore as a “qualified electing fund” under Section 1295 of the Code for the taxable year that is the first year in the U.S. Holder’s holding period of Wave-Singapore ordinary shares during which Wave-Singapore qualified as a PFIC (a “</w:t>
      </w:r>
      <w:r>
        <w:rPr>
          <w:rFonts w:ascii="Times New Roman" w:hAnsi="Times New Roman"/>
          <w:b/>
          <w:sz w:val="20"/>
        </w:rPr>
        <w:t>QEF Election</w:t>
      </w:r>
      <w:r>
        <w:rPr>
          <w:rFonts w:ascii="Times New Roman" w:hAnsi="Times New Roman"/>
          <w:sz w:val="20"/>
        </w:rPr>
        <w:t xml:space="preserve">”) or, if in a later taxable year, the U.S. Holder made a QEF Election along with a purging election. A purging election creates a deemed sale of the U.S. Holder’s Wave-Singapore ordinary shares at their then fair market value and requires the U.S. Holder to recognize gain pursuant to the purging election subject to the special PFIC tax and interest charge rules described above. As a result of any such purging election, the U.S. Holder would increase the adjusted tax basis in its Wave-Singapore ordinary shares by the amount of the gain recognized and, solely for purposes of the PFIC rules, would have a new holding period in its Wave-Singapore ordinary shares. U.S. Holders should consult their tax advisors as to the application of the rules governing purging elections to their particular circumstances. </w:t>
      </w:r>
    </w:p>
    <w:p>
      <w:pPr>
        <w:pStyle w:val="TextBody"/>
        <w:bidi w:val="0"/>
        <w:spacing w:before="240" w:after="0"/>
        <w:jc w:val="left"/>
        <w:rPr>
          <w:rFonts w:ascii="Times New Roman" w:hAnsi="Times New Roman"/>
          <w:sz w:val="20"/>
        </w:rPr>
      </w:pPr>
      <w:r>
        <w:rPr>
          <w:rFonts w:ascii="Times New Roman" w:hAnsi="Times New Roman"/>
          <w:sz w:val="20"/>
        </w:rPr>
        <w:t>A U.S. Holder that made a timely and effective QEF Election (or a QEF Election along with a purging election) or a MTM Election (an “</w:t>
      </w:r>
      <w:r>
        <w:rPr>
          <w:rFonts w:ascii="Times New Roman" w:hAnsi="Times New Roman"/>
          <w:b/>
          <w:sz w:val="20"/>
        </w:rPr>
        <w:t>Electing Shareholder</w:t>
      </w:r>
      <w:r>
        <w:rPr>
          <w:rFonts w:ascii="Times New Roman" w:hAnsi="Times New Roman"/>
          <w:sz w:val="20"/>
        </w:rPr>
        <w:t>”) generally would not be subject to the adverse PFIC rules discussed above with respect to its Wave-Singapore ordinary shares in connection with the Transaction. As a result, such an Electing Shareholder generally should not recognize gain or loss as a result of the Transaction except to the extent described under “—</w:t>
      </w:r>
      <w:r>
        <w:rPr>
          <w:rFonts w:ascii="Times New Roman" w:hAnsi="Times New Roman"/>
          <w:i/>
          <w:sz w:val="20"/>
        </w:rPr>
        <w:t>Effects of Section</w:t>
      </w:r>
      <w:r>
        <w:rPr>
          <w:rFonts w:ascii="Times New Roman" w:hAnsi="Times New Roman"/>
          <w:sz w:val="20"/>
        </w:rPr>
        <w:t> </w:t>
      </w:r>
      <w:r>
        <w:rPr>
          <w:rFonts w:ascii="Times New Roman" w:hAnsi="Times New Roman"/>
          <w:i/>
          <w:sz w:val="20"/>
        </w:rPr>
        <w:t>367 to U.S. Holders of Wave-Singapore Ordinary Shares</w:t>
      </w:r>
      <w:r>
        <w:rPr>
          <w:rFonts w:ascii="Times New Roman" w:hAnsi="Times New Roman"/>
          <w:sz w:val="20"/>
        </w:rPr>
        <w:t>” and subject to the discussion above under “—</w:t>
      </w:r>
      <w:r>
        <w:rPr>
          <w:rFonts w:ascii="Times New Roman" w:hAnsi="Times New Roman"/>
          <w:i/>
          <w:sz w:val="20"/>
        </w:rPr>
        <w:t>Receipt of Shares of Wave-Delaware Common Stock in a Section</w:t>
      </w:r>
      <w:r>
        <w:rPr>
          <w:rFonts w:ascii="Times New Roman" w:hAnsi="Times New Roman"/>
          <w:sz w:val="20"/>
        </w:rPr>
        <w:t> </w:t>
      </w:r>
      <w:r>
        <w:rPr>
          <w:rFonts w:ascii="Times New Roman" w:hAnsi="Times New Roman"/>
          <w:i/>
          <w:sz w:val="20"/>
        </w:rPr>
        <w:t>368(a)(1)(F) Reorganization</w:t>
      </w:r>
      <w:r>
        <w:rPr>
          <w:rFonts w:ascii="Times New Roman" w:hAnsi="Times New Roman"/>
          <w:sz w:val="20"/>
        </w:rPr>
        <w:t xml:space="preserve">.” If an Electing Shareholder has made a QEF Election, it would instead include annually in gross income its pro rata share of the ordinary earnings and net capital gain of Wave-Singapore, whether or not such amounts are actually distributed. </w:t>
      </w:r>
    </w:p>
    <w:p>
      <w:pPr>
        <w:pStyle w:val="TextBody"/>
        <w:bidi w:val="0"/>
        <w:spacing w:before="240" w:after="0"/>
        <w:jc w:val="left"/>
        <w:rPr>
          <w:rFonts w:ascii="Times New Roman" w:hAnsi="Times New Roman"/>
          <w:sz w:val="20"/>
        </w:rPr>
      </w:pPr>
      <w:r>
        <w:rPr>
          <w:rFonts w:ascii="Times New Roman" w:hAnsi="Times New Roman"/>
          <w:sz w:val="20"/>
        </w:rPr>
        <w:t xml:space="preserve">The impact of the PFIC rules on a U.S. Holder of Wave-Singapore ordinary shares may also depend on whether the U.S. Holder has made a mark-to-market election under Section 1296 of the Code. U.S. Holders who hold (actually or constructively) stock of a foreign corporation that is classified as a PFIC may annually elect to mark such stock to its market value if such stock is “marketable stock,” generally, stock that is regularly traded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national securities exchange that is registered with the SEC (a “</w:t>
      </w:r>
      <w:r>
        <w:rPr>
          <w:rFonts w:ascii="Times New Roman" w:hAnsi="Times New Roman"/>
          <w:b/>
          <w:sz w:val="20"/>
        </w:rPr>
        <w:t>MTM Election</w:t>
      </w:r>
      <w:r>
        <w:rPr>
          <w:rFonts w:ascii="Times New Roman" w:hAnsi="Times New Roman"/>
          <w:sz w:val="20"/>
        </w:rPr>
        <w:t xml:space="preserve">”). No assurance can be given that the Wave-Singapore ordinary shares are considered to be marketable stock for purposes of the MTM Election or whether the other requirements of this election are satisfied. If such an election is available and has been made, such U.S. Holders generally will not be subject to the special taxation rules of Section 1291 of the Code discussed herein with respect to their Wave-Singapore ordinary shares in connection with the Transaction or otherwise. Instead, in general, the U.S. Holder should include as ordinary income each year the excess, if any, of the fair market value of its Wave-Singapore ordinary shares at the end of its taxable year over its adjusted basis in its Wave-Singapore ordinary shares. The U.S. Holder also should recognize an ordinary loss in respect of the excess, if any, of its adjusted basis in its Wave-Singapore ordinary shares over the fair market value of its Wave-Singapore ordinary shares at the end of its taxable year (but only to the extent of the net amount of previously included income as a result of the MTM Election). The U.S. Holder’s basis in its Wave-Singapore ordinary shares will be adjusted to reflect any such income or loss amounts, and any further gain recognized on a sale or other taxable disposition of its Wave-Singapore ordinary shares will be treated as ordinary income. However, if the MTM Election is not made by a U.S. Holder with respect to the first taxable year of its holding period for the PFIC stock, then the Section 1291 rules discussed above will apply to certain dispositions of, distributions on and other amounts taxable with respect to Wave-Singapore ordinary shares, including in connection with the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THE PFIC RULES ARE COMPLEX AND THEIR APPLICATION IN CONNECTION WITH THE TRANSACTION DEPEND ON VARIOUS FACTORS IN ADDITION TO THOSE DESCRIBED ABOVE, INCLUDING THE APPLICATION OF THE RULES ADDRESSING CIRCUMSTANCES WHERE THE PFIC RULES AND THE SECTION 367(b) RULES OVERLAP AND THE RULES RELATING TO CONTROLLED FOREIGN CORPORATIONS. ALL U.S. HOLDERS SHOULD CONSULT THEIR TAX ADVISORS REGARDING THE CONSEQUENCES TO THEM OF THE PFIC RULES, INCLUDING, WITHOUT LIMITATION, WHETHER A QEF ELECTION (OR A QEF ELECTION ALONG WITH A PURGING ELECTION), A MTM ELECTION OR ANY OTHER ELECTION IS AVAILABLE AND WHETHER AND HOW ANY OVERLAP RULES APPLY, AND THE CONSEQUENCES TO THEM OF ANY SUCH ELECTION OR OVERLAP RULE AND THE IMPACT OF ANY PROPOSED OR FINAL TREASURY REGULATIONS APPLICABLE TO PFICS.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Considerations to U.S. Holders of Owning and Disposing of Shares of Wave-Delaware Common Stock Received in the Scheme of Arrangement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and Other Distributions on Shares of Wave-Delaware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Any distribution made by Wave-Delaware to a U.S. Holder with respect to shares of Wave-Delaware common stock will generally be includible in the U.S. Holder’s gross income, in the year actually or constructively received, as a dividend to the extent that such 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U.S. Holder’s tax basis in the shares of Wave-Delaware common stock, and then, to the extent such excess amount exceeds the U.S. Holder’s tax basis in the shares of Wave-Delaware common stock, as capital gain. Subject to applicable limitations and requirements, dividends received on shares of Wave-Delaware common stock generally should be eligible for the “dividends received deduction” available to corporate stockholders. A dividend paid by Wave-Delaware to certain non-corporate U.S. Holders, including individuals, generally will be subject to taxation at preferential rates if certain holding period requirements are met. </w:t>
      </w:r>
    </w:p>
    <w:p>
      <w:pPr>
        <w:pStyle w:val="TextBody"/>
        <w:bidi w:val="0"/>
        <w:spacing w:before="360" w:after="0"/>
        <w:jc w:val="left"/>
        <w:rPr>
          <w:rFonts w:ascii="Times New Roman" w:hAnsi="Times New Roman"/>
          <w:i/>
          <w:sz w:val="20"/>
        </w:rPr>
      </w:pPr>
      <w:r>
        <w:rPr>
          <w:rFonts w:ascii="Times New Roman" w:hAnsi="Times New Roman"/>
          <w:i/>
          <w:sz w:val="20"/>
        </w:rPr>
        <w:t xml:space="preserve">Dispositions of Shares of Wave-Delaware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taxable gain or loss on any sale, taxable exchange or other taxable disposition of a share of Wave-Delaware common stock equal to the difference between the amount realized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share of Wave-Delaware common stock and the U.S. Holder’s adjusted tax basis in such share of Wave-Delaware common stock. Any such gain or loss will generally be capital gain or loss and will be long-term capital gain or loss if, on the date of the disposition, the U.S. Holder has a holding period in such share of Wave-Delaware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Dividend payments with respect to shares of Wave-Delaware common stock and proceeds of a disposition of shares of Wave-Delaware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w:t>
      </w:r>
      <w:r>
        <w:rPr>
          <w:rFonts w:ascii="Times New Roman" w:hAnsi="Times New Roman"/>
          <w:i/>
          <w:sz w:val="20"/>
        </w:rPr>
        <w:t>provided</w:t>
      </w:r>
      <w:r>
        <w:rPr>
          <w:rFonts w:ascii="Times New Roman" w:hAnsi="Times New Roman"/>
          <w:sz w:val="20"/>
        </w:rPr>
        <w:t xml:space="preserve"> that the required information is furnished to the IRS in a timely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Considerations of the Scheme of Arrangement to Non-U.S.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Assuming that the exchange of Wave-Singapore ordinary shares for shares of Wave-Delaware common stock pursuant to the Scheme of Arrangement and the U.S. Tax Election, taken together, qualify as a reorganization under Section 368(a)(1)(F) of the Code, a Non-U.S. Holder that receives shares of Wave-Delaware common stock pursuant to the Scheme of Arrangement should not recognize any gain or loss with respect to the receipt of such shares of Wave-Delaware common stock for U.S. federal income tax purposes. Such Non-U.S. Holder should, for U.S. federal income tax purposes, have an aggregate adjusted tax basis in the shares of Wave-Delaware common stock received pursuant to the Scheme of Arrangement equal to the aggregate adjusted tax basis of the Wave-Singapore ordinary shares surrendered in exchange therefor by that Non-U.S. Holder pursuant to the Scheme of Arrangement. The holding period for shares of Wave-Delaware common stock received pursuant to the Scheme of Arrangement should include the Non-U.S. Holder’s holding period for the Wave-Singapore ordinary shares surrendered in exchange therefor. </w:t>
      </w:r>
    </w:p>
    <w:p>
      <w:pPr>
        <w:pStyle w:val="TextBody"/>
        <w:bidi w:val="0"/>
        <w:spacing w:before="240" w:after="0"/>
        <w:jc w:val="left"/>
        <w:rPr>
          <w:rFonts w:ascii="Times New Roman" w:hAnsi="Times New Roman"/>
          <w:sz w:val="20"/>
        </w:rPr>
      </w:pPr>
      <w:r>
        <w:rPr>
          <w:rFonts w:ascii="Times New Roman" w:hAnsi="Times New Roman"/>
          <w:sz w:val="20"/>
        </w:rPr>
        <w:t>Even if the exchange of Wave-Singapore ordinary shares for shares of Wave-Delaware common stock pursuant to the Scheme of Arrangement and the U.S. Tax Election, taken together, does not qualify as a reorganization under Section 368(a)(1)(F) of the Code as described above, a Non-U.S. Holder generally would not be subject to U.S. federal income tax on any gain recognized pursuant to the exchange except in the situations described in the first two bullet points below under the heading “</w:t>
      </w:r>
      <w:r>
        <w:rPr>
          <w:rFonts w:ascii="Times New Roman" w:hAnsi="Times New Roman"/>
          <w:i/>
          <w:sz w:val="20"/>
        </w:rPr>
        <w:t>Material U.S. Federal Income Tax Considerations to Non-U.S. Holders of Owning and Disposing of Shares of Wave-Delaware Common Stock Received in the Scheme of Arrangement—Dispositions of Shares of Wave-Delaware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about reporting requirements and information statements that could be applicable with respect to the Transaction and any potential consequences, including penalties, associated with a failure to satisfy such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Considerations to Non-U.S. Holders of Owning and Disposing of Shares of Wave-Delaware Common Stock Received in the Scheme of Arrangement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and Other Distributions on Shares of Wave-Delaware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Any distribution made by Wave-Delaware to a Non-U.S. Holder with respect to shares of Wave-Delaware common stock will generally constitute a dividend for U.S. federal income tax purposes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Non-U.S. Holder’s tax basis in the shares of Wave-Delaware common stock, and then, to the extent such excess amount exceeds the Non-U.S. Holder’s tax basis in the shares of Wave-Delaware common stock,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dividends paid to a Non-U.S. Holder with respect to such Non-U.S. Holder’s shares of Wave-Delaware common stock generally will be subject to U.S. federal withholding tax at a rate of 30% of the gross amount of the dividends (or a lower rate specified by an applicable income tax treaty, </w:t>
      </w:r>
      <w:r>
        <w:rPr>
          <w:rFonts w:ascii="Times New Roman" w:hAnsi="Times New Roman"/>
          <w:i/>
          <w:sz w:val="20"/>
        </w:rPr>
        <w:t>provided</w:t>
      </w:r>
      <w:r>
        <w:rPr>
          <w:rFonts w:ascii="Times New Roman" w:hAnsi="Times New Roman"/>
          <w:sz w:val="20"/>
        </w:rPr>
        <w:t xml:space="preserve">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w:t>
      </w:r>
      <w:r>
        <w:rPr>
          <w:rFonts w:ascii="Times New Roman" w:hAnsi="Times New Roman"/>
          <w:i/>
          <w:sz w:val="20"/>
        </w:rPr>
        <w:t>provided</w:t>
      </w:r>
      <w:r>
        <w:rPr>
          <w:rFonts w:ascii="Times New Roman" w:hAnsi="Times New Roman"/>
          <w:sz w:val="20"/>
        </w:rPr>
        <w:t xml:space="preserve">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Dispositions of Shares of Wave-Delaware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be subject to U.S. federal income tax on any gain realized upon the sale, taxable exchange or other taxable disposition of shares of Wave-Delaware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such gain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shares of Wave-Delaware common stock constitute a U.S. real property interest (“</w:t>
            </w:r>
            <w:r>
              <w:rPr>
                <w:rFonts w:ascii="Times New Roman" w:hAnsi="Times New Roman"/>
                <w:b/>
                <w:sz w:val="20"/>
              </w:rPr>
              <w:t>USRPI</w:t>
            </w:r>
            <w:r>
              <w:rPr>
                <w:rFonts w:ascii="Times New Roman" w:hAnsi="Times New Roman"/>
                <w:sz w:val="20"/>
              </w:rPr>
              <w:t>”) by reason of Wave-Delaware being, or having been, a U.S. real property holding corporation (“</w:t>
            </w:r>
            <w:r>
              <w:rPr>
                <w:rFonts w:ascii="Times New Roman" w:hAnsi="Times New Roman"/>
                <w:b/>
                <w:sz w:val="20"/>
              </w:rPr>
              <w:t>USRPHC</w:t>
            </w:r>
            <w:r>
              <w:rPr>
                <w:rFonts w:ascii="Times New Roman" w:hAnsi="Times New Roman"/>
                <w:sz w:val="20"/>
              </w:rPr>
              <w:t xml:space="preserve">”) for U.S. federal income tax purposes at any applicable time within the shorter of the five-year period preceding the Non-U.S. Holder’s disposition of the shares of Wave-Delaware common stock or the Non-U.S. Holder’s holding period for the shares of Wave-Delaware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generally will be subject to U.S. federal income tax at a rate of 30% (or a lower rate specified by an applicable income tax treaty) on gain realized upon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taxable exchange or other taxable disposition of shares of Wave-Delaware common stock, which may be offset by certain U.S. source capital losses of the Non-U.S. Holder, </w:t>
      </w:r>
      <w:r>
        <w:rPr>
          <w:rFonts w:ascii="Times New Roman" w:hAnsi="Times New Roman"/>
          <w:i/>
          <w:sz w:val="20"/>
        </w:rPr>
        <w:t>provided</w:t>
      </w:r>
      <w:r>
        <w:rPr>
          <w:rFonts w:ascii="Times New Roman" w:hAnsi="Times New Roman"/>
          <w:sz w:val="20"/>
        </w:rPr>
        <w:t xml:space="preserve">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currently do not anticipate Wave-Delaware being or becoming a USRPHC. However, because the determination at any time of whether Wave-Delaware is a USRPHC will depend on the fair market value of its USRPIs relative to the fair market value of its non-U.S. real property interests and other trade or business assets, there can be no assurance that Wave-Delaware will not be or become a USRPHC in the future. Even if Wave-Delaware were to be or become a USRPHC, gain arising from the sale or other taxable disposition by a Non-U.S. Holder of shares of Wave-Delaware common stock will not be subject to U.S. federal income tax if shares of Wave-Delaware common stock are “regularly traded,” as defined by applicable Treasury Regulations, on an established securities market, and such Non-U.S. Holder did not own, actually or constructively, more than five percent (5%) of the shares of Wave-Delaware common stock at any time during the shorter of the five-year period ending on the date of the sale or other taxable disposition of the shares of Wave-Delaware common stock or the Non-U.S. Holder’s holding period for the shares of Wave-Delaware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shares of Wave-Delaware common stock will not be subject to backup withholding, </w:t>
      </w:r>
      <w:r>
        <w:rPr>
          <w:rFonts w:ascii="Times New Roman" w:hAnsi="Times New Roman"/>
          <w:i/>
          <w:sz w:val="20"/>
        </w:rPr>
        <w:t>provided</w:t>
      </w:r>
      <w:r>
        <w:rPr>
          <w:rFonts w:ascii="Times New Roman" w:hAnsi="Times New Roman"/>
          <w:sz w:val="20"/>
        </w:rPr>
        <w:t xml:space="preserve"> that the Non-U.S. Holder certifies its non-U.S. status, such as by furnishing a valid IRS Form W-8BEN, W-8BEN-E or W-8ECI, or otherwise establishes an exemption. However, information reporting will apply in connection with any distributions on shares of Wave-Delaware common stock paid to the Non-U.S. Holder, regardless of whether such distributions constitute dividends or whether any tax was actually withheld. </w:t>
      </w:r>
    </w:p>
    <w:p>
      <w:pPr>
        <w:pStyle w:val="TextBody"/>
        <w:bidi w:val="0"/>
        <w:spacing w:before="240" w:after="0"/>
        <w:jc w:val="left"/>
        <w:rPr>
          <w:rFonts w:ascii="Times New Roman" w:hAnsi="Times New Roman"/>
          <w:sz w:val="20"/>
        </w:rPr>
      </w:pPr>
      <w:r>
        <w:rPr>
          <w:rFonts w:ascii="Times New Roman" w:hAnsi="Times New Roman"/>
          <w:sz w:val="20"/>
        </w:rPr>
        <w:t xml:space="preserve">Proceeds of a sale or other taxable disposition of shares of Wave-Delaware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shares of Wave-Delaware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w:t>
      </w:r>
      <w:r>
        <w:rPr>
          <w:rFonts w:ascii="Times New Roman" w:hAnsi="Times New Roman"/>
          <w:i/>
          <w:sz w:val="20"/>
        </w:rPr>
        <w:t>provided</w:t>
      </w:r>
      <w:r>
        <w:rPr>
          <w:rFonts w:ascii="Times New Roman" w:hAnsi="Times New Roman"/>
          <w:sz w:val="20"/>
        </w:rPr>
        <w:t xml:space="preserve"> the required information is timely furnished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Withholding taxes may be imposed under Sections 1471 through 1474 of the Code (commonly referred to as the “</w:t>
      </w:r>
      <w:r>
        <w:rPr>
          <w:rFonts w:ascii="Times New Roman" w:hAnsi="Times New Roman"/>
          <w:b/>
          <w:sz w:val="20"/>
        </w:rPr>
        <w:t>Foreign Account Tax Compliance Act</w:t>
      </w:r>
      <w:r>
        <w:rPr>
          <w:rFonts w:ascii="Times New Roman" w:hAnsi="Times New Roman"/>
          <w:sz w:val="20"/>
        </w:rPr>
        <w:t>” or “</w:t>
      </w:r>
      <w:r>
        <w:rPr>
          <w:rFonts w:ascii="Times New Roman" w:hAnsi="Times New Roman"/>
          <w:b/>
          <w:sz w:val="20"/>
        </w:rPr>
        <w:t>FATCA</w:t>
      </w:r>
      <w:r>
        <w:rPr>
          <w:rFonts w:ascii="Times New Roman" w:hAnsi="Times New Roman"/>
          <w:sz w:val="20"/>
        </w:rPr>
        <w:t xml:space="preserve">”) on certain types of payments made to non-U.S. financial institutions and certain other non-U.S. entities. Specifically, a 30% withholding tax may be imposed on dividends on, and, subject to the proposed U.S. Treasury Regulations discussed below, gross proceeds from the sale or other disposition of, shares of Wave-Delaware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currently applies to payments of dividends on shares of Wave-Delaware common stock. While withholding under FATCA would have applied also to payments of gross proceeds from the sale or other disposition of shares of Wave-Delaware common stock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shares of Wave-Delaware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U.S. FEDERAL INCOME TAX CONSIDERATIONS SUMMARIZED ABOVE ARE FOR GENERAL INFORMATION ONLY. EACH SHAREHOLDER SHOULD CONSULT THEIR TAX ADVISOR AS TO THE PARTICULAR CONSEQUENCES THAT MAY APPLY TO SUCH SHAREHOLDER. </w:t>
      </w:r>
    </w:p>
    <w:p>
      <w:pPr>
        <w:pStyle w:val="TextBody"/>
        <w:bidi w:val="0"/>
        <w:spacing w:before="360" w:after="0"/>
        <w:jc w:val="left"/>
        <w:rPr>
          <w:rFonts w:ascii="Times New Roman" w:hAnsi="Times New Roman"/>
          <w:b/>
          <w:sz w:val="20"/>
        </w:rPr>
      </w:pPr>
      <w:bookmarkStart w:id="46" w:name="toc45078_44"/>
      <w:bookmarkEnd w:id="46"/>
      <w:r>
        <w:rPr>
          <w:rFonts w:ascii="Times New Roman" w:hAnsi="Times New Roman"/>
          <w:b/>
          <w:sz w:val="20"/>
        </w:rPr>
        <w:t xml:space="preserve">Singapore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i/>
          <w:sz w:val="20"/>
        </w:rPr>
        <w:t xml:space="preserve">Material </w:t>
      </w:r>
      <w:r>
        <w:rPr>
          <w:rFonts w:ascii="Times New Roman" w:hAnsi="Times New Roman"/>
          <w:sz w:val="20"/>
        </w:rPr>
        <w:t xml:space="preserve">Singapore </w:t>
      </w:r>
      <w:r>
        <w:rPr>
          <w:rFonts w:ascii="Times New Roman" w:hAnsi="Times New Roman"/>
          <w:i/>
          <w:sz w:val="20"/>
        </w:rPr>
        <w:t>Tax Considerations of the Scheme of Arrangement to Existing Holders of Wave-Singapore 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holders of Wave-Singapore ordinary shares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Singapore has implemented a Domestic Top-up Tax and the Income Inclusion Rule pursuant to the MMT Act and its subsidiary legislation, which impose a minimum ETR of 15% on a defined tax base from FYs starting on or after 1 January 2025. Where holders of Wave-Singapore ordinary shares who are constituent entities of in-scope MNE groups recognize gains or losses in their financial statements (in accordance with the relevant accounting standards) as a result of the Transaction, they could be subject to top-up tax under the MMT Act. Holders should consult their own professional tax advisors regarding the potential Singapore tax consequences under the MMT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Dividends on Shares of Common Stock of Wave-Delaware </w:t>
      </w:r>
    </w:p>
    <w:p>
      <w:pPr>
        <w:pStyle w:val="TextBody"/>
        <w:bidi w:val="0"/>
        <w:spacing w:before="120" w:after="0"/>
        <w:jc w:val="left"/>
        <w:rPr>
          <w:rFonts w:ascii="Times New Roman" w:hAnsi="Times New Roman"/>
          <w:sz w:val="20"/>
        </w:rPr>
      </w:pPr>
      <w:r>
        <w:rPr>
          <w:rFonts w:ascii="Times New Roman" w:hAnsi="Times New Roman"/>
          <w:sz w:val="20"/>
        </w:rPr>
        <w:t xml:space="preserve">Foreign-sourced income is only taxable in Singapore when such income is received or deemed to be received in Singapore. As Wave-Delaware is not tax resident in Singapore for Singapore tax purposes, dividends paid on shares of common stock of Wave-Delaware should generally be considered as sourced outside Singapore (unless such shares are held as part of a trade or business carried out in Singapore in which event the holders of such shares may be taxed on the dividends as they are derived). </w:t>
      </w:r>
    </w:p>
    <w:p>
      <w:pPr>
        <w:pStyle w:val="TextBody"/>
        <w:bidi w:val="0"/>
        <w:spacing w:before="240" w:after="0"/>
        <w:jc w:val="left"/>
        <w:rPr>
          <w:rFonts w:ascii="Times New Roman" w:hAnsi="Times New Roman"/>
          <w:sz w:val="20"/>
        </w:rPr>
      </w:pPr>
      <w:r>
        <w:rPr>
          <w:rFonts w:ascii="Times New Roman" w:hAnsi="Times New Roman"/>
          <w:sz w:val="20"/>
        </w:rPr>
        <w:t xml:space="preserve">Foreign-sourced dividends received or deemed received in Singapore by an individual not resident in Singapore would be exempt from Singapore income tax. This exemption will also apply in the case of a Singapore tax resident individual who receives such foreign-sourced dividends in Singapore (except where such income is received through a partnership in Singapore). </w:t>
      </w:r>
    </w:p>
    <w:p>
      <w:pPr>
        <w:pStyle w:val="TextBody"/>
        <w:bidi w:val="0"/>
        <w:spacing w:before="240" w:after="0"/>
        <w:jc w:val="left"/>
        <w:rPr>
          <w:rFonts w:ascii="Times New Roman" w:hAnsi="Times New Roman"/>
          <w:sz w:val="20"/>
        </w:rPr>
      </w:pPr>
      <w:r>
        <w:rPr>
          <w:rFonts w:ascii="Times New Roman" w:hAnsi="Times New Roman"/>
          <w:sz w:val="20"/>
        </w:rPr>
        <w:t xml:space="preserve">Foreign-sourced dividends received or deemed received by corporate investors in Singapore would be liable to Singapore tax. However, if the conditions for the exemption of Specified Foreign Income (defined below) are met, foreign-sourced dividends received by corporate investors resident in Singapore would be exempt from Singapore tax. </w:t>
      </w:r>
    </w:p>
    <w:p>
      <w:pPr>
        <w:pStyle w:val="TextBody"/>
        <w:bidi w:val="0"/>
        <w:spacing w:before="240" w:after="0"/>
        <w:jc w:val="left"/>
        <w:rPr>
          <w:rFonts w:ascii="Times New Roman" w:hAnsi="Times New Roman"/>
          <w:sz w:val="20"/>
        </w:rPr>
      </w:pPr>
      <w:r>
        <w:rPr>
          <w:rFonts w:ascii="Times New Roman" w:hAnsi="Times New Roman"/>
          <w:sz w:val="20"/>
        </w:rPr>
        <w:t>Foreign-sourced income in the form of dividends, branch profits and service income (“</w:t>
      </w:r>
      <w:r>
        <w:rPr>
          <w:rFonts w:ascii="Times New Roman" w:hAnsi="Times New Roman"/>
          <w:b/>
          <w:sz w:val="20"/>
        </w:rPr>
        <w:t>Specified Foreign Income</w:t>
      </w:r>
      <w:r>
        <w:rPr>
          <w:rFonts w:ascii="Times New Roman" w:hAnsi="Times New Roman"/>
          <w:sz w:val="20"/>
        </w:rPr>
        <w:t xml:space="preserve">”) received or deemed to be received in Singapore by Singapore tax resident companies are exempt from tax if certain prescribed conditions are met, including the following: </w:t>
      </w:r>
    </w:p>
    <w:p>
      <w:pPr>
        <w:pStyle w:val="TextBody"/>
        <w:bidi w:val="0"/>
        <w:spacing w:before="120" w:after="0"/>
        <w:jc w:val="left"/>
        <w:rPr>
          <w:rFonts w:ascii="Times New Roman" w:hAnsi="Times New Roman"/>
          <w:sz w:val="20"/>
        </w:rPr>
      </w:pPr>
      <w:r>
        <w:rPr>
          <w:rFonts w:ascii="Times New Roman" w:hAnsi="Times New Roman"/>
          <w:sz w:val="20"/>
        </w:rPr>
        <w:t>such income is subject to tax of a similar character to income tax under the law of the jurisdiction from which such income is received</w:t>
      </w:r>
      <w:r>
        <w:rPr>
          <w:rFonts w:ascii="Times New Roman" w:hAnsi="Times New Roman"/>
          <w:b/>
          <w:sz w:val="20"/>
        </w:rPr>
        <w:t xml:space="preserve">; </w:t>
      </w: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dividends paid by a company resident in a territory from which the dividends are received, the “subject to tax condition” in (i) above is considered met where tax is paid in that territory by such company in respect of its income out of which such dividends are paid or tax is paid on such dividends in that territory from which such dividends are received. </w:t>
      </w:r>
    </w:p>
    <w:p>
      <w:pPr>
        <w:pStyle w:val="TextBody"/>
        <w:bidi w:val="0"/>
        <w:spacing w:before="240" w:after="0"/>
        <w:jc w:val="left"/>
        <w:rPr>
          <w:rFonts w:ascii="Times New Roman" w:hAnsi="Times New Roman"/>
          <w:sz w:val="20"/>
        </w:rPr>
      </w:pPr>
      <w:r>
        <w:rPr>
          <w:rFonts w:ascii="Times New Roman" w:hAnsi="Times New Roman"/>
          <w:sz w:val="20"/>
        </w:rPr>
        <w:t xml:space="preserve">Certain concessions and clarifications have also been announced by the Inland Revenue Authority of Singapore with respect to such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Gains on Disposal of Common Stock of Wave-Delaware </w:t>
      </w:r>
    </w:p>
    <w:p>
      <w:pPr>
        <w:pStyle w:val="TextBody"/>
        <w:bidi w:val="0"/>
        <w:spacing w:before="120" w:after="0"/>
        <w:jc w:val="left"/>
        <w:rPr>
          <w:rFonts w:ascii="Times New Roman" w:hAnsi="Times New Roman"/>
          <w:sz w:val="20"/>
        </w:rPr>
      </w:pPr>
      <w:r>
        <w:rPr>
          <w:rFonts w:ascii="Times New Roman" w:hAnsi="Times New Roman"/>
          <w:sz w:val="20"/>
        </w:rPr>
        <w:t xml:space="preserve">Singapore does not impose tax on capital gains. There are no specific laws or regulations which deal with the characterization of whether a gain is income or capital in nature. Any gains considered to be in the nature of capital made from the sale of common stock of Wave-Delaware will not be taxable in Singapore. However, any gains derived by any person from the sale of common stock of Wave-Delaware which are gains from any trade, business, profession or vocation carried on by that person, if accruing in or derived from Singapore, may be taxable as such gains are considered income in nature.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stockholders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 even though no sale or disposal of common stock of Wave- Delaware is made. Holders of common stock of Wave-Delaware who may be subject to such tax treatment should consult their own accounting and tax advisors regarding the Singapore income tax consequences of their acquisition, holding and disposal of common stock of Wave-Delaware.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10L of the ITA, gains received or deemed to be received in Singapore by an entity of a relevant group from the sale or disposal of any movable or immovable property outside Singapore (which could include common stock of Wave-Delaware) will be treated as income chargeable to Singapore income tax, subject to certain exclusions. Stockholders who may be subject to the tax treatment under Section 10L of the ITA should consult their own professional tax advisors regarding the Singapore income tax consequences of their sale or disposal of the shares. </w:t>
      </w:r>
    </w:p>
    <w:p>
      <w:pPr>
        <w:pStyle w:val="TextBody"/>
        <w:bidi w:val="0"/>
        <w:spacing w:before="240" w:after="0"/>
        <w:jc w:val="left"/>
        <w:rPr>
          <w:rFonts w:ascii="Times New Roman" w:hAnsi="Times New Roman"/>
          <w:sz w:val="20"/>
        </w:rPr>
      </w:pPr>
      <w:r>
        <w:rPr>
          <w:rFonts w:ascii="Times New Roman" w:hAnsi="Times New Roman"/>
          <w:i/>
          <w:sz w:val="20"/>
        </w:rPr>
        <w:t>THE STATEMENTS MADE HEREIN REGARDING TAXATION ARE GENERAL IN NATURE AND BASED ON CERTAIN ASPECTS OF THE TAX LAWS OF SINGAPORE AND ADMINISTRATIVE GUIDELINES ISSUED BY THE RELEVANT AUTHORITIES IN FORCE AS OF THE DATE OF THIS DOCUMENT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WAVE-SINGAPORE ORDINARY SHARES OR OF ANY PERSON ACQUIRING, SELLING OR OTHERWISE DEALING WITH WAVE-SINGAPORE ORDINARY SHARES OR SHARES OF COMMON STOCK OF WAVE-DELAWARE OR ON ANY TAX IMPLICATIONS ARISING FROM THE EXCHANGE OF WAVE-SINGAPORE ORDINARY SHARES FOR SHARES OF COMMON STOCK OF WAVE-DELAWARE. THE STATEMENTS MADE HEREIN DO NOT PURPORT TO BE A COMPREHENSIVE OR EXHAUSTIVE DESCRIPTION OF ALL OF THE TAX CONSIDERATIONS THAT MAY BE RELEVANT TO A DECISION TO PURCHASE, OWN OR DISPOSE OF WAVE-SINGAPORE ORDINARY SHARES OR TO EXCHANGE WAVE-SINGAPORE ORDINARY SHARES FOR SHARES OF COMMON STOCK OF WAVE-DELAWARE AND DO NOT PURPORT TO DEAL WITH THE TAX CONSEQUENCES APPLICABLE TO ALL CATEGORIES OF SHAREHOLDERS SOME OF WHICH (SUCH AS DEALERS IN SECURITIES) MAY BE SUBJECT TO SPECIAL RULES. HOLDERS OF WAVE-SINGAPORE ORDINARY SHARES ARE ADVISED TO CONSULT THEIR OWN TAX ADVISORS AS TO THE SINGAPORE OR OTHER TAX CONSEQUENCES OF THE SCHEME ARRANGEMENT, OWNERSHIP OR DISPOSAL OF WAVE-SINGAPORE ORDINARY SHARES AND THE EXCHANGE OF WAVE-SINGAPORE ORDINARY SHARES FOR SHARES OF COMMON STOCK OF WAVE-DELAWARE. THE STATEMENTS BELOW ARE BASED ON THE ASSUMPTION THAT WAVE-DELAWARE IS NOT TAX RESIDENT IN SINGAPORE FOR SINGAPORE INCOME TAX PURPOSES. IT IS EMPHASIZED THAT NONE OF WAVE-SINGAPORE, WAVE-DELAWARE, AND ANY OTHER PERSONS INVOLVED IN THE PREPARATION OF THIS DOCUMENT ACCEPTS RESPONSIBILITY FOR ANY TAX EFFECTS OR LIABILITIES RESULTING FROM THE PURCHASE, HOLDING OR DISPOSAL OF WAVE-SINGAPORE ORDINARY SHARES OR FROM THE EXCHANGE OF WAVE-SINGAPORE ORDINARY SHARES FOR SHARES OF COMMON STOCK OF WAVE-DELAWARE.</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7" w:name="toc45078_45"/>
      <w:bookmarkEnd w:id="47"/>
      <w:r>
        <w:rPr>
          <w:rFonts w:ascii="Times New Roman" w:hAnsi="Times New Roman"/>
          <w:b/>
          <w:sz w:val="20"/>
        </w:rPr>
        <w:t xml:space="preserve">United Kingdom Tax Considerations to Holders of Wave-Singapore Ordinary Shares </w:t>
      </w:r>
    </w:p>
    <w:p>
      <w:pPr>
        <w:pStyle w:val="TextBody"/>
        <w:bidi w:val="0"/>
        <w:spacing w:before="120" w:after="0"/>
        <w:jc w:val="left"/>
        <w:rPr>
          <w:rFonts w:ascii="Times New Roman" w:hAnsi="Times New Roman"/>
          <w:sz w:val="20"/>
        </w:rPr>
      </w:pPr>
      <w:r>
        <w:rPr>
          <w:rFonts w:ascii="Times New Roman" w:hAnsi="Times New Roman"/>
          <w:sz w:val="20"/>
        </w:rPr>
        <w:t>The following statements are of a general nature and do not purport to be a complete analysis of all potential UK tax consequences of holding or disposing of the Wave-Singapore ordinary shares or acquiring the Wave-Delaware common stock. They are based on current UK tax law and on the current published practice of HM Revenue and Customs (“</w:t>
      </w:r>
      <w:r>
        <w:rPr>
          <w:rFonts w:ascii="Times New Roman" w:hAnsi="Times New Roman"/>
          <w:b/>
          <w:sz w:val="20"/>
        </w:rPr>
        <w:t>HMRC</w:t>
      </w:r>
      <w:r>
        <w:rPr>
          <w:rFonts w:ascii="Times New Roman" w:hAnsi="Times New Roman"/>
          <w:sz w:val="20"/>
        </w:rPr>
        <w:t>”) (which may not be binding on HMRC), as of the date of this proxy statement, all of which are subject to change, possibly with retrospective effect. They are intended to address certain UK tax consequences for those who hold Wave-Singapore ordinary shares and will hold Wave-Delaware common stock, where such holders are tax resident in (and only in) the United Kingdom (or, in the case of corporate holders, who are not residents but carry on business in the UK through a permanent establishment with which their investment in us is connected), and in the case of individuals, who are the absolute beneficial owners of the ordinary shares and any dividends paid on them and who hold the ordinary shares as investments (other than in an individual savings account or a self-invested personal pension) (the “</w:t>
      </w:r>
      <w:r>
        <w:rPr>
          <w:rFonts w:ascii="Times New Roman" w:hAnsi="Times New Roman"/>
          <w:b/>
          <w:sz w:val="20"/>
        </w:rPr>
        <w:t>U.K. Holders</w:t>
      </w:r>
      <w:r>
        <w:rPr>
          <w:rFonts w:ascii="Times New Roman" w:hAnsi="Times New Roman"/>
          <w:sz w:val="20"/>
        </w:rPr>
        <w:t xml:space="preserve">”). They do not address the UK tax consequences which may be relevant to certain classes of shareholders such as traders, brokers,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banks, financial institutions, insurance companies, investment companies, collective investment schemes, tax-exempt organizations, trustees, persons connected with us or our group, persons holding their ordinary shares as part of hedging or conversion transactions, persons who have (or are deemed to have) acquired their ordinary shares by virtue of an office or employment, and holders of ordinary shares who are or have been officers or employees of a company forming part of our group. The statements do not apply to U.K. Holder who either directly or indirectly hold or control 10% or more of the share capital (or class thereof), voting power or profits of Wave-Singapore. </w:t>
      </w:r>
    </w:p>
    <w:p>
      <w:pPr>
        <w:pStyle w:val="TextBody"/>
        <w:bidi w:val="0"/>
        <w:spacing w:before="240" w:after="0"/>
        <w:jc w:val="left"/>
        <w:rPr>
          <w:rFonts w:ascii="Times New Roman" w:hAnsi="Times New Roman"/>
          <w:sz w:val="20"/>
        </w:rPr>
      </w:pPr>
      <w:r>
        <w:rPr>
          <w:rFonts w:ascii="Times New Roman" w:hAnsi="Times New Roman"/>
          <w:sz w:val="20"/>
        </w:rPr>
        <w:t>For U.K. Holders, the exchange of Wave-Singapore ordinary shares for shares of Wave-Delaware common stock pursuant to the Scheme of Arrangement should qualify as a ‘share for share’ exchange within the meaning of Section 135 of Taxation of Chargeable Gains Act 1992 (“</w:t>
      </w:r>
      <w:r>
        <w:rPr>
          <w:rFonts w:ascii="Times New Roman" w:hAnsi="Times New Roman"/>
          <w:b/>
          <w:sz w:val="20"/>
        </w:rPr>
        <w:t>TCGA 1992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relevant conditions are met. In this case, U.K. Holders should not be treated as making a disposal of all or part of their shareholding of Wave-Singapore ordinary shares and no liability to UK CGT or corporation tax on chargeable gains should arise as a result of the exchange. Instead, the shares of Wave-Delaware common stock received pursuant to the Scheme of Arrangement should, for the purposes of UK CGT and UK corporation tax on chargeable gains, be treated as the same asset and as having been acquired at the same time as the Wave-Singapore ordinary shares for which they were exchanged. </w:t>
      </w:r>
    </w:p>
    <w:p>
      <w:pPr>
        <w:pStyle w:val="TextBody"/>
        <w:bidi w:val="0"/>
        <w:spacing w:before="240" w:after="0"/>
        <w:jc w:val="left"/>
        <w:rPr>
          <w:rFonts w:ascii="Times New Roman" w:hAnsi="Times New Roman"/>
          <w:sz w:val="20"/>
        </w:rPr>
      </w:pPr>
      <w:r>
        <w:rPr>
          <w:rFonts w:ascii="Times New Roman" w:hAnsi="Times New Roman"/>
          <w:sz w:val="20"/>
        </w:rPr>
        <w:t xml:space="preserve">A U.K. Holder should only be eligible for the above treatment </w:t>
      </w:r>
      <w:r>
        <w:rPr>
          <w:rFonts w:ascii="Times New Roman" w:hAnsi="Times New Roman"/>
          <w:i/>
          <w:sz w:val="20"/>
        </w:rPr>
        <w:t>provided</w:t>
      </w:r>
      <w:r>
        <w:rPr>
          <w:rFonts w:ascii="Times New Roman" w:hAnsi="Times New Roman"/>
          <w:sz w:val="20"/>
        </w:rPr>
        <w:t xml:space="preserve"> that the exchange does not form part of a scheme or arrangement of which the main purpose, or one of the main purposes, is avoidance of liability to UK corporation tax or UK CGT (the “</w:t>
      </w:r>
      <w:r>
        <w:rPr>
          <w:rFonts w:ascii="Times New Roman" w:hAnsi="Times New Roman"/>
          <w:b/>
          <w:sz w:val="20"/>
        </w:rPr>
        <w:t>Section</w:t>
      </w:r>
      <w:r>
        <w:rPr>
          <w:rFonts w:ascii="Times New Roman" w:hAnsi="Times New Roman"/>
          <w:sz w:val="20"/>
        </w:rPr>
        <w:t> </w:t>
      </w:r>
      <w:r>
        <w:rPr>
          <w:rFonts w:ascii="Times New Roman" w:hAnsi="Times New Roman"/>
          <w:b/>
          <w:sz w:val="20"/>
        </w:rPr>
        <w:t>137 Condition</w:t>
      </w:r>
      <w:r>
        <w:rPr>
          <w:rFonts w:ascii="Times New Roman" w:hAnsi="Times New Roman"/>
          <w:sz w:val="20"/>
        </w:rPr>
        <w:t xml:space="preserve">”). If the Section 137 Condition is not satisfied, the relief under Section 135 of TCGA 1992 will not apply. In those circumstances, U.K. Holders may be treated as having disposed of their Wave-Singapore ordinary shares in consideration for the receipt of shares of Wave-Delaware common stock pursuant to the Scheme of Arrangement, which may, depending on the individual circumstances of the U.K. Holders, give rise to a chargeable gain or an allowable loss for UK CGT or corporation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summarise the current position and are intended as a general guide only. U.K. Holders who are in any doubt as to their tax position or who may be subject to tax in a jurisdiction other than the United Kingdom are strongly recommended to consult their own professional tax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45078_46"/>
      <w:bookmarkEnd w:id="48"/>
      <w:r>
        <w:rPr>
          <w:rFonts w:ascii="Times New Roman" w:hAnsi="Times New Roman"/>
          <w:b/>
          <w:sz w:val="20"/>
        </w:rPr>
        <w:t xml:space="preserve">DESCRIPTION OF WAVE-DELAWARE CAPITAL STOCK </w:t>
      </w:r>
    </w:p>
    <w:p>
      <w:pPr>
        <w:pStyle w:val="TextBody"/>
        <w:bidi w:val="0"/>
        <w:spacing w:before="240" w:after="0"/>
        <w:jc w:val="left"/>
        <w:rPr>
          <w:rFonts w:ascii="Times New Roman" w:hAnsi="Times New Roman"/>
          <w:sz w:val="20"/>
        </w:rPr>
      </w:pPr>
      <w:r>
        <w:rPr>
          <w:rFonts w:ascii="Times New Roman" w:hAnsi="Times New Roman"/>
          <w:sz w:val="20"/>
        </w:rPr>
        <w:t>The following description of Wave-Delaware’s capital stock is a summary. This summary is subject to the General Corporation Law of the State of Delaware (the “</w:t>
      </w:r>
      <w:r>
        <w:rPr>
          <w:rFonts w:ascii="Times New Roman" w:hAnsi="Times New Roman"/>
          <w:b/>
          <w:sz w:val="20"/>
        </w:rPr>
        <w:t>DGCL</w:t>
      </w:r>
      <w:r>
        <w:rPr>
          <w:rFonts w:ascii="Times New Roman" w:hAnsi="Times New Roman"/>
          <w:sz w:val="20"/>
        </w:rPr>
        <w:t xml:space="preserve">”) and the complete text of Wave-Delaware’s amended and restated certificate of incorporation and amended and restated bylaws to be in place at the closing of the Transaction which will be substantially in the forms attached as Annex C and Annex D, respectively, to this proxy statement. We encourage you to read that law and the amended and restated certificate of incorporation and the amended and restated bylaws of Wave-Delaware carefully. </w:t>
      </w:r>
    </w:p>
    <w:p>
      <w:pPr>
        <w:pStyle w:val="TextBody"/>
        <w:bidi w:val="0"/>
        <w:spacing w:before="240" w:after="0"/>
        <w:jc w:val="left"/>
        <w:rPr>
          <w:rFonts w:ascii="Times New Roman" w:hAnsi="Times New Roman"/>
          <w:sz w:val="20"/>
        </w:rPr>
      </w:pPr>
      <w:r>
        <w:rPr>
          <w:rFonts w:ascii="Times New Roman" w:hAnsi="Times New Roman"/>
          <w:sz w:val="20"/>
        </w:rPr>
        <w:t>There are differences between Wave-Singapore’s constitution and the Wave-Delaware amended and restated certificate of incorporation and amended and restated bylaws as they are expected to be in effect after the Transaction, especially relating to changes (i) that are required by Delaware law (i.e., certain provisions of the Wave-Singapore constitution were not replicated in the amended and restated certificate of incorporation and the amended and restated bylaws of Wave-Delaware because the DGCL would not permit such replication, and certain provisions were included in the amended and restated certificate of incorporation and the amended and restated bylaws of Wave-Delaware although they were not in the Wave-Singapore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Wave following the Transaction. See “</w:t>
      </w:r>
      <w:r>
        <w:rPr>
          <w:rFonts w:ascii="Times New Roman" w:hAnsi="Times New Roman"/>
          <w:i/>
          <w:sz w:val="20"/>
        </w:rPr>
        <w:t>Comparison of Rights of Singapore Shareholders and Delaware Stockholders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9" w:name="toc45078_47"/>
      <w:bookmarkEnd w:id="49"/>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Wave-Delaware amended and restated certificate of incorporation will authorize 500,000,000 shares of common stock, $0.001 par value per share, and 30,000,000 shares of preferred stock, $0.001 par value per share. </w:t>
      </w:r>
    </w:p>
    <w:p>
      <w:pPr>
        <w:pStyle w:val="TextBody"/>
        <w:bidi w:val="0"/>
        <w:spacing w:before="360" w:after="0"/>
        <w:jc w:val="left"/>
        <w:rPr>
          <w:rFonts w:ascii="Times New Roman" w:hAnsi="Times New Roman"/>
          <w:b/>
          <w:sz w:val="20"/>
        </w:rPr>
      </w:pPr>
      <w:bookmarkStart w:id="50" w:name="toc45078_48"/>
      <w:bookmarkEnd w:id="50"/>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Wave-Delaware common stock will be entitled to one vote for each share on all matters submitted to a vote of the Wave-Delaware stockholders, including the election of directors. Wave-Delaware stockholders will not have cumulative voting rights in the election of directors. As a result, subject to the special rights of the holders of one or more outstanding series of preferred stock to elect directors, at a duly called or convened meeting of stockholders at which a quorum is present, a plurality of the votes cast will be able to elect all of the directors then standing for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class or series of preferred stock as may be set forth in the certificate of designations for such class or series of preferred stock, holders of Wave-Delaware common stock will be entitled to receive dividends, if any, as may be declared from time to time by the Wave-Delaware board of directors out of legally available funds. Dividends may be paid in cash, in property or in shares of Wave-Delaware’s capital stock. Declaration and payment of any dividend will be subject to the discretion of the Wave-Delaware board of directors. The time and amount of dividends will be dependent upon our results of operations, financial condition, contractual restrictions and capital requirements, the provisions of Delaware law affecting the payment of distributions to stockholders and any other factors the Wave-Delaware board of directors may consider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Wave-Delaware’s liquidation, dissolution or winding up, holders of Wave-Delaware common stock will be entitled to share ratably in the net assets legally available for distribution to stockholders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all of Wave-Delaware’s debts and other liabilities and the satisfaction of any liquidation preference granted to the holders of any then 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Wave-Delaware common stock will have no preemptive, conversion, subscription or other rights, and there are no redemption or sinking fund provisions applicable to Wave-Delaware’s common stock. The rights, preferences and privileges of the holders of Wave-Delaware common stock are subject to and may be adversely affected by the rights of the holders of shares of any series of Wave-Delaware preferred stock, including any series of preferred stock that Wave-Delaware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shares of common stock of Wave-Delaware are, and the shares of common stock to be issued upon the completion of this Transaction will be, fully paid and non-assessable. </w:t>
      </w:r>
    </w:p>
    <w:p>
      <w:pPr>
        <w:pStyle w:val="TextBody"/>
        <w:bidi w:val="0"/>
        <w:spacing w:before="360" w:after="0"/>
        <w:jc w:val="left"/>
        <w:rPr>
          <w:rFonts w:ascii="Times New Roman" w:hAnsi="Times New Roman"/>
          <w:b/>
          <w:sz w:val="20"/>
        </w:rPr>
      </w:pPr>
      <w:bookmarkStart w:id="51" w:name="toc45078_49"/>
      <w:bookmarkEnd w:id="51"/>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Wave-Delaware amended and restated certificate of incorporation will authorize the board of directors of Wave-Delaware to issue preferred stock in one or more series and to determine the preferences, limitations and relative rights of any shares of preferred stock that it shall choose to issue, without vote or action by the stockholders. </w:t>
      </w:r>
    </w:p>
    <w:p>
      <w:pPr>
        <w:pStyle w:val="TextBody"/>
        <w:bidi w:val="0"/>
        <w:spacing w:before="360" w:after="0"/>
        <w:jc w:val="left"/>
        <w:rPr>
          <w:rFonts w:ascii="Times New Roman" w:hAnsi="Times New Roman"/>
          <w:b/>
          <w:sz w:val="20"/>
        </w:rPr>
      </w:pPr>
      <w:bookmarkStart w:id="52" w:name="toc45078_50"/>
      <w:bookmarkEnd w:id="52"/>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April 7, 2026, Wave-Singapore has Pre-Funded Warrants outstanding to purchase up to 11,600,257 ordinary shares of Wave-Singapore. In connection with the Scheme of Arrangement, we expect that the Pre-Funded Warrants will be assigned to and the obligations thereunder assumed by Wave-Delaware and following the effective time of the Transaction, the Pre-Funded Warrants will be exercisable for shares of common stock of Wave-Delaware in lieu of ordinary shares of Wave-Singapore. The Pre-Funded Warrants are otherwise expected to remain outstanding in accordance with their existing terms.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exercisable at any time after their original issuance and on or prior to 5:00 p.m. (New York City time) on the five-year anniversary of the original issuance dates, which were June 16, 2022, September 27, 2024, and December 11, 2025, respectively. Following completion of the Transaction and the assumption of the Pre-Funded Warrants by Wave-Delaware, it is expected that the Pre-Funded Warrants will be exercisable, at the option of each holder, in whole or in part by delivering to Wave-Delaware a duly executed exercise notice and by payment in full of the exercise price in immediately available funds for the number of share(s) of Wave-Delaware common stock purchased upon such exercise. As an alternative to payment in immediately available funds, the holder may elect to exercise the Pre-Funded Warrant through a cashless exercise, in which the holder would receive upon such exercise the net number of shares of Wave-Delaware common stock determined according to the formula set forth in the Pre-Funded Warrant. No fractional shares of Wave-Delaware common stock will be issued in connection with the exercise of a Pre-Funded Warrant following the completion of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their assumption by and assignment to Wave-Delaware in connection with the Transaction under the Pre-Funded Warrants, unless and until the Stockholder Approval (as defined below) is obtained, we may not effect the exercise of any Pre-Funded Warrants, and a holder will not be entitled to exercise any portion of any Pre-Funded Warrants, which, upon giving effect to such exercise, would cause (i) the aggregate number of our ordinary shares beneficially owned by the holder (together with its affiliates) to exceed, depending on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exceeding 19.99%, in the case of an increase, upon 61 days’ prior notice from the holder to us. </w:t>
      </w:r>
    </w:p>
    <w:p>
      <w:pPr>
        <w:pStyle w:val="TextBody"/>
        <w:bidi w:val="0"/>
        <w:spacing w:before="240" w:after="0"/>
        <w:jc w:val="left"/>
        <w:rPr>
          <w:rFonts w:ascii="Times New Roman" w:hAnsi="Times New Roman"/>
          <w:sz w:val="20"/>
        </w:rPr>
      </w:pPr>
      <w:r>
        <w:rPr>
          <w:rFonts w:ascii="Times New Roman" w:hAnsi="Times New Roman"/>
          <w:sz w:val="20"/>
        </w:rPr>
        <w:t>Following their assumption by and assignment to Wave-Delaware in connection with the Transaction, upon the written request of the holder delivered to us, we will be required to use commercially reasonable efforts to obtain stockholder approval (the “</w:t>
      </w:r>
      <w:r>
        <w:rPr>
          <w:rFonts w:ascii="Times New Roman" w:hAnsi="Times New Roman"/>
          <w:b/>
          <w:sz w:val="20"/>
        </w:rPr>
        <w:t>Stockholder Approval</w:t>
      </w:r>
      <w:r>
        <w:rPr>
          <w:rFonts w:ascii="Times New Roman" w:hAnsi="Times New Roman"/>
          <w:sz w:val="20"/>
        </w:rPr>
        <w:t xml:space="preserve">”), at our next regularly scheduled annual meeting of stockholders, for the issuance of the pre-funded warrant shares upon the exercise of all or any portion of the Pre-Funded Warrants such that such issuance of pre-funded warrant shares will comply with the Listing Rules of the Nasdaq Stock Market, including, without limitation, Listing Rule 5635, and applicable law. In the event that the holder requests the Stockholder Approval, we will be required to use commercially reasonable efforts to obtain Stockholder Approval at our next regularly scheduled annual meeting, and if Stockholder Approval is not obtained at such meeting for any reason, then the holder may again request Stockholder Approval each year pursuant to and subject to the terms of the Pre-Funded Warrants, at each of our subsequent regularly scheduled annual meetings that occur prior to the termination date of the Pre-Funded Warrants. We will not be obligated to seek the Stockholder Approval at any stockholder meeting other than our regularly scheduled annual stockholder meeting and such written request of the holder must be received by us at least 90 days in advance of such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After the Pre-Funded Warrants are assumed by Wave-Delaware, we expect that the exercise price per whole stock of our common stocks purchasable upon the exercise of the Pre-Funded Warrants will be $0.0001 per share of common, as adjusted from time to time. The exercise price of the Pre-Funded Warrants and the number of our shares of common issuable upon exercise of the Pre-Funded Warrants will be subject to appropriate adjustment in the event of certain share dividends and distributions, share splits, share combinations, reclassifications or similar events affecting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After the Pre-Funded Warrants are assigned to and assumed by Wave-Delaware, subject to applicable laws, the Pre-Funded Warrants may be offered for sale, sold, transferred or assigned without our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Following assignment to and assumption by Wave-Delaware of the Pre-Funded Warrants, we do not plan on applying to list the Pre-Funded Warrants on the Nasdaq, any other national securities exchange or any other nationally recognized trading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After the Pre-Funded Warrants are assumed by Wave-Delaware, in the event of a fundamental transaction, as described in the Pre-Funded Warrants and generally including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voting power (represented by our outstanding common stock), upon consummation of such a fundamental transaction, we expect that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After the Pre-Funded Warrants are assigned to and assumed by Wave-Delaware, except by virtue of such holder’s ownership of our common stock, the holder of a Pre-Funded Warrant will not have the rights or privileges of a holder of our common stock, including any voting rights, until the holder exercises the Pre-Funded Warrant. In the event of certain distributions, including cash dividends, if any, to all holders of our common stock for no consideration, following their assumption by Wave-Delaware, we expect that the holder of a Pre-Funded Warrant will be entitled to participate in such distributions to the same extent as if a holder of our common stock, subject to not exceeding the ownership limitations described above under “—Exercise Limitations,” in which case such distribution would be held in abeyance for the benefit of such holder until the earlier of such time as the ownership limitations would not be exceeded or the Pre-Funded Warrant is exercised. </w:t>
      </w:r>
    </w:p>
    <w:p>
      <w:pPr>
        <w:pStyle w:val="TextBody"/>
        <w:bidi w:val="0"/>
        <w:spacing w:before="360" w:after="0"/>
        <w:jc w:val="left"/>
        <w:rPr>
          <w:rFonts w:ascii="Times New Roman" w:hAnsi="Times New Roman"/>
          <w:b/>
          <w:sz w:val="20"/>
        </w:rPr>
      </w:pPr>
      <w:bookmarkStart w:id="53" w:name="toc45078_51"/>
      <w:bookmarkEnd w:id="53"/>
      <w:r>
        <w:rPr>
          <w:rFonts w:ascii="Times New Roman" w:hAnsi="Times New Roman"/>
          <w:b/>
          <w:sz w:val="20"/>
        </w:rPr>
        <w:t xml:space="preserve">Annual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Wave-Delaware amended and restated certificate of incorporation and amended and restated bylaws will provide that annual stockholder meetings will be held at a date, place (if any) and hour, as exclusively selected by the Wave-Delaware board of directors. To the extent permitted under applicable law, Wave-Delaware may but is not obligated to conduct meetings by remote communications, including by webcast. </w:t>
      </w:r>
    </w:p>
    <w:p>
      <w:pPr>
        <w:pStyle w:val="TextBody"/>
        <w:bidi w:val="0"/>
        <w:spacing w:before="360" w:after="0"/>
        <w:jc w:val="left"/>
        <w:rPr>
          <w:rFonts w:ascii="Times New Roman" w:hAnsi="Times New Roman"/>
          <w:b/>
          <w:sz w:val="20"/>
        </w:rPr>
      </w:pPr>
      <w:bookmarkStart w:id="54" w:name="toc45078_52"/>
      <w:bookmarkEnd w:id="54"/>
      <w:r>
        <w:rPr>
          <w:rFonts w:ascii="Times New Roman" w:hAnsi="Times New Roman"/>
          <w:b/>
          <w:sz w:val="20"/>
        </w:rPr>
        <w:t xml:space="preserve">Anti-Takeover Effects of Provisions of the Amended and Restated Certificate of Incorporation and the Amended and Restated Bylaws of Wave-Delaware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DGCL contains and Wave-Delaware’s Governing Documents will contain provisions that may delay, defer, or discourage another party from acquiring control of Wave-Delaware. We expect that these provisions, which are summarized below, will discourage coercive takeover practices or inadequate takeover bids. These provisions are also designed to encourage persons seeking to acquire control of Wave-Delaware to first negotiate with the Wave-Delaware board of directors, which we believe may result in an improvement of the terms of any such acquisition in favor of Wave-Delaware stockholders. However, they will also give the Wave-Delaware board of directors the power to discourage acquisitions that some stockholders may favor. These provisions will replace and substitute applicable Singapore law and it cannot be predicted whether they will make an acquisition more or less likely compared to those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Wave-Delaware will be subject to Section 203 of the DGCL, which prohibits persons deemed “interested stockholders” from engaging in a “business combination” with a publicly-held Delaware corporation for three (3)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(3)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Wave-Delaware board of directors, such as discouraging takeover attempts that might result in a premium over the market price of Wave-Delaware’s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will make it possible for the Wave-Delaware board of directors to issue preferred stock with voting or other rights or preferences that could impede the success of any attempt to change control of Wave-Delaware. These and other provisions may have the effect of deterring hostile takeovers or delaying changes in control or management of Wave-Delaware.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and 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Wave-Delaware’s amended and restated certificate of incorporation will provide that, except as otherwise provided in the amended and restated certificate of incorporation or in the applicable certificate of designation related to any series of preferred stock, any action required or permitted to be taken by its stockholders must be effected at a duly called annual or special meeting of its stockholders and may not be effected by any consent in writing by its stockholders. Wave-Delaware’s amended and restated certificate of incorporation will further provide, subject to the special rights of the holders of one or more outstanding series of preferred stock, that special meetings of its stockholders may be called only by or at the direction of the Wave-Delaware board, the Chairperson of the Wave-Delaware board or Wave-Delaware’s Chief Executive Officer or President, thus prohibiting a stockholder (in his, her or its capacity as a stockholder) from calling a special meeting. These provisions might delay the ability of Wave-Delaware stockholders to force consideration of a proposal or for stockholders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Wave-Delaware’s amended and restated bylaws will provide advance notice procedures for stockholders seeking to bring business before Wave-Delaware’s annual meeting of stockholders or to nominate candidates for election as directors at Wave-Delaware’s annual meeting of stockholders. Wave-Delaware’s amended and restated bylaws will also specify certain requirements regarding the form and content of a stockholder’s notice. These provisions might preclude Wave-Delaware stockholders from bringing matters before the annual meeting of stockholders or from making nominations for directors at the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Wave-Delaware.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Requirements for Certain Amendments of Wave-Delaware’s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amendments to Wave-Delaware’s amended and restated certificate of incorporation will require the approval of 66-2/3% of the voting power of all then-outstanding shares of Wave-Delaware entitled to vote thereon,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Election and Removal of Directors;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The Wave-Delaware board will determine from time to time by resolution the total number of directors that will constitute the whole board of directors. Subject to the special rights of the holders of one or more outstanding series of preferred stock to elect directors, in any election of directors at a duly called or convened meeting of stockholders at which a quorum is present, a director nominee for the Wave-Delaware board will be elected by the affirmative vote of a plurality of the votes cast with respect to such director. An incumbent director who is nominated for an election and fails to receive a plurality of the votes present and voting for such director’s re-election would be expected to tender their resignation to Wave-Delaware. The directors of Wave-Delaware are elected and shall hold office until the next annual election and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The amended and restated certificate of incorporation of Wave-Delaware will provide that, subject to the special rights of the holders of one or more outstanding series of preferred stock to elect directors, the directors of Wave-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may be removed with or without cause by the affirmative vote of the holders of a majority of the voting power of all then-outstanding voting stock entitled to vote at an election of directors. Furthermore, subject to (i) the special rights of the holders of one or more outstanding series of preferred stock to elect directors and (ii) the rights of Wave-Delaware stockholders to fill a vacancy created by the removal of a director at a meeting of stockholders held for that purpose, a majority of the Wave-Delaware board will have the exclusive right to appoint a director to fill a vacancy created by the expansion of the Wave-Delaware board or the resignation, death or removal of a director. This system of electing and removing directors and filling vacancies may tend to discourage a third party from making a tender offer or otherwise attempting to obtain control of Wave-Delaware,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The Wave-Delaware amended and restated certificate of incorporation will provide that, unless Wave-Delaware consents in writing to the selection of an alternative forum, the Court of Chancery of the State of Delaware will be the exclusive forum for: any derivative action, suit or proceeding brought on Wave-Delaware’s behalf; any action, suit or proceeding asserting a claim of a breach of fiduciary duty; any action, suit or proceeding asserting a claim against Wave-Delaware arising pursuant to the DGCL or the amended and restated certificate of incorporation and the amended and restated bylaws of Wave-Delaware or any action, suit or proceeding asserting a claim against Wave-Delaware that is governed by the internal affairs doctrine. Although the Wave-Delaware certificate of incorporation will contain the choice of forum provision described above, it is possible that a court could find that such a provision is inapplicable for a particular claim or action or that such provision is unenforceable. </w:t>
      </w:r>
    </w:p>
    <w:p>
      <w:pPr>
        <w:pStyle w:val="TextBody"/>
        <w:bidi w:val="0"/>
        <w:spacing w:before="360" w:after="0"/>
        <w:jc w:val="left"/>
        <w:rPr>
          <w:rFonts w:ascii="Times New Roman" w:hAnsi="Times New Roman"/>
          <w:b/>
          <w:sz w:val="20"/>
        </w:rPr>
      </w:pPr>
      <w:bookmarkStart w:id="55" w:name="toc45078_53"/>
      <w:bookmarkEnd w:id="55"/>
      <w:r>
        <w:rPr>
          <w:rFonts w:ascii="Times New Roman" w:hAnsi="Times New Roman"/>
          <w:b/>
          <w:sz w:val="20"/>
        </w:rPr>
        <w:t xml:space="preserve">Limitations of Liability and Indemnification Matters </w:t>
      </w:r>
    </w:p>
    <w:p>
      <w:pPr>
        <w:pStyle w:val="TextBody"/>
        <w:bidi w:val="0"/>
        <w:spacing w:before="120" w:after="0"/>
        <w:jc w:val="left"/>
        <w:rPr>
          <w:rFonts w:ascii="Times New Roman" w:hAnsi="Times New Roman"/>
          <w:sz w:val="20"/>
        </w:rPr>
      </w:pPr>
      <w:r>
        <w:rPr>
          <w:rFonts w:ascii="Times New Roman" w:hAnsi="Times New Roman"/>
          <w:sz w:val="20"/>
        </w:rPr>
        <w:t xml:space="preserve">Wave-Delaware’s amended and restated certificate of incorporation will provide that Wave-Delaware shall have the power to provide rights to indemnification and advancement of expenses to, among others, its current and former directors and officers. The DGCL provides that the certificate of incorporation may not eliminate or limit the liability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officer for any breach of the director or officer’s duty of loyalty to Wave-Delaware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officer 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pursuant to Section 174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officer for any transaction from which the director or officer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 in any action by or in the right of Wave-Delaware.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Wave-Delaware’s amended and restated bylaws will provide that Wave-Delaware must indemnify its directors and officers to the fullest extent permitted by law. Wave-Delaware will also be required to advance certain expenses (including attorneys’ fees) to its directors and officers and is expressly authorized to carry directors’ and officers’ insurance providing indemnification for its directors and officers for some liabilities. Wave-Singapore has entered into agreements to indemnify the Wave-Singapore directors and executive officers and Wave-Delaware expects to enter into agreements to indemnify the Wave-Delaware directors and executive officers as determined by the Wave-Delaware board. With specified exceptions, these agreements provide for indemnification for related expenses, including, among other things, attorneys’ fees, judgments, fines and settlement amounts actually and reasonably incurred by any of these individuals in any action or proceeding to the fullest extent permitted by applicable law. We believe that these bylaw provisions and indemnification agreements are necessary to attract and retain qualified persons as directors and officers. Wave-Delaware will also maintain directors’ and officers’ liability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limitation of liability and indemnification provisions in the Wave-Delaware amended and restated certificate of incorporation and amended and restated bylaws may discourage stockholders from bringing a lawsuit against Wave-Delaware directors and officers for any breach of fiduciary duty. They may also reduce the likelihood of derivative litigation against Wave-Delaware directors and officers, even though an action, if successful, might benefit Wave-Delaware and its stockholders. Furthermore, a stockholder’s investment may be adversely affected to the extent that Wave-Delaware pays the costs of settlement and damages. </w:t>
      </w:r>
    </w:p>
    <w:p>
      <w:pPr>
        <w:pStyle w:val="TextBody"/>
        <w:bidi w:val="0"/>
        <w:spacing w:before="360" w:after="0"/>
        <w:jc w:val="left"/>
        <w:rPr>
          <w:rFonts w:ascii="Times New Roman" w:hAnsi="Times New Roman"/>
          <w:b/>
          <w:sz w:val="20"/>
        </w:rPr>
      </w:pPr>
      <w:bookmarkStart w:id="56" w:name="toc45078_54"/>
      <w:bookmarkEnd w:id="56"/>
      <w:r>
        <w:rPr>
          <w:rFonts w:ascii="Times New Roman" w:hAnsi="Times New Roman"/>
          <w:b/>
          <w:sz w:val="20"/>
        </w:rPr>
        <w:t xml:space="preserve">Uncertificated Shares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capital stock of Wave-Delaware will not have the right to require Wave-Delaware to issue certificates for their shares. While Wave-Delaware may in the future issue certificated shares, our current expectation is that Wave-Delaware will only issue uncertificated shares going forward. </w:t>
      </w:r>
    </w:p>
    <w:p>
      <w:pPr>
        <w:pStyle w:val="TextBody"/>
        <w:bidi w:val="0"/>
        <w:spacing w:before="360" w:after="0"/>
        <w:jc w:val="left"/>
        <w:rPr>
          <w:rFonts w:ascii="Times New Roman" w:hAnsi="Times New Roman"/>
          <w:b/>
          <w:sz w:val="20"/>
        </w:rPr>
      </w:pPr>
      <w:bookmarkStart w:id="57" w:name="toc45078_55"/>
      <w:bookmarkEnd w:id="57"/>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make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 </w:t>
      </w:r>
    </w:p>
    <w:p>
      <w:pPr>
        <w:pStyle w:val="TextBody"/>
        <w:bidi w:val="0"/>
        <w:spacing w:before="360" w:after="0"/>
        <w:jc w:val="left"/>
        <w:rPr>
          <w:rFonts w:ascii="Times New Roman" w:hAnsi="Times New Roman"/>
          <w:b/>
          <w:sz w:val="20"/>
        </w:rPr>
      </w:pPr>
      <w:bookmarkStart w:id="58" w:name="toc45078_56"/>
      <w:bookmarkEnd w:id="58"/>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will be Computershare Trust Company, N.A. The transfer agent and registrar’s address is 150 Royall Street, Canton, Massachusetts 02021. </w:t>
      </w:r>
    </w:p>
    <w:p>
      <w:pPr>
        <w:pStyle w:val="TextBody"/>
        <w:bidi w:val="0"/>
        <w:spacing w:before="360" w:after="0"/>
        <w:jc w:val="left"/>
        <w:rPr>
          <w:rFonts w:ascii="Times New Roman" w:hAnsi="Times New Roman"/>
          <w:b/>
          <w:sz w:val="20"/>
        </w:rPr>
      </w:pPr>
      <w:bookmarkStart w:id="59" w:name="toc45078_57"/>
      <w:bookmarkEnd w:id="59"/>
      <w:r>
        <w:rPr>
          <w:rFonts w:ascii="Times New Roman" w:hAnsi="Times New Roman"/>
          <w:b/>
          <w:sz w:val="20"/>
        </w:rPr>
        <w:t xml:space="preserve">Registration Rights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under Wave-Singapore’s Share Purchase Agreement with Pfizer </w:t>
      </w:r>
    </w:p>
    <w:p>
      <w:pPr>
        <w:pStyle w:val="TextBody"/>
        <w:bidi w:val="0"/>
        <w:spacing w:before="120" w:after="0"/>
        <w:jc w:val="left"/>
        <w:rPr>
          <w:rFonts w:ascii="Times New Roman" w:hAnsi="Times New Roman"/>
          <w:sz w:val="20"/>
        </w:rPr>
      </w:pPr>
      <w:r>
        <w:rPr>
          <w:rFonts w:ascii="Times New Roman" w:hAnsi="Times New Roman"/>
          <w:sz w:val="20"/>
        </w:rPr>
        <w:t>In connection with the Scheme of Arrangement, we expect that the Share Purchase Agreement (the “</w:t>
      </w:r>
      <w:r>
        <w:rPr>
          <w:rFonts w:ascii="Times New Roman" w:hAnsi="Times New Roman"/>
          <w:b/>
          <w:sz w:val="20"/>
        </w:rPr>
        <w:t>Pfizer Share Purchase Agreement</w:t>
      </w:r>
      <w:r>
        <w:rPr>
          <w:rFonts w:ascii="Times New Roman" w:hAnsi="Times New Roman"/>
          <w:sz w:val="20"/>
        </w:rPr>
        <w:t>”), dated as of May 5, 2016, by and between Wave-Singapore and an affiliate of Pfizer Inc. (the “</w:t>
      </w:r>
      <w:r>
        <w:rPr>
          <w:rFonts w:ascii="Times New Roman" w:hAnsi="Times New Roman"/>
          <w:b/>
          <w:sz w:val="20"/>
        </w:rPr>
        <w:t>Pfizer Affiliate</w:t>
      </w:r>
      <w:r>
        <w:rPr>
          <w:rFonts w:ascii="Times New Roman" w:hAnsi="Times New Roman"/>
          <w:sz w:val="20"/>
        </w:rPr>
        <w:t xml:space="preserve">”), providing the Pfizer Affiliate with certain registration rights relating to the Wave-Singapore ordinary shares purchased by the Pfizer Affiliate pursuant to the Pfizer Share Purchase Agreement will be assigned to and assumed by Wave-Delaware such that the existing rights and restrictions in the Pfizer Share Purchase Agreement will apply in respect of the Pfizer Affiliate’s holdings of Wave-Delaware common stock received in the Transaction in exchange for its Wave-Singapore ordinary shares. </w:t>
      </w:r>
    </w:p>
    <w:p>
      <w:pPr>
        <w:pStyle w:val="TextBody"/>
        <w:bidi w:val="0"/>
        <w:spacing w:before="240" w:after="0"/>
        <w:jc w:val="left"/>
        <w:rPr>
          <w:rFonts w:ascii="Times New Roman" w:hAnsi="Times New Roman"/>
          <w:sz w:val="20"/>
        </w:rPr>
      </w:pPr>
      <w:r>
        <w:rPr>
          <w:rFonts w:ascii="Times New Roman" w:hAnsi="Times New Roman"/>
          <w:sz w:val="20"/>
        </w:rPr>
        <w:t>After giving effect to the Transaction and following its assumption by Wave-Delaware, under the terms of the Pfizer Share Purchase Agreement, pursuant to which the Pfizer Affiliate purchased 1,875,000 Wave-Singapore ordinary shares (the “</w:t>
      </w:r>
      <w:r>
        <w:rPr>
          <w:rFonts w:ascii="Times New Roman" w:hAnsi="Times New Roman"/>
          <w:b/>
          <w:sz w:val="20"/>
        </w:rPr>
        <w:t>Pfizer Shares</w:t>
      </w:r>
      <w:r>
        <w:rPr>
          <w:rFonts w:ascii="Times New Roman" w:hAnsi="Times New Roman"/>
          <w:sz w:val="20"/>
        </w:rPr>
        <w:t xml:space="preserve">”), subject to certain conditions and limitations, Wave-Delaware will provide certain demand registration rights to the Pfizer Affiliate in order to register all or a portion of the Pfizer Shares (which, following the effective time of the Transaction, will be shares of Wave-Delaware common stock) purchased by the Pfizer Affiliate. The Pfizer Share Purchase Agreement also provides the Pfizer Affiliate with certain “piggyback” registration rights for a certain period of time, subject to certain conditions and limitations, such that following the assumption of the Pfizer Share Purchaser Agreement by Wave-Delaware, when Wave-Delaware proposes to register its shares of common stock for account, the Pfizer Affiliate will have the right to include some or all of the Pfizer Shares in such registration. The Pfizer Share Purchase Agreement also contains other customary terms and conditions of the parties with respect to the registration of the Pfizer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under Wave-Singapore’s Share Purchase Agreement and Investor Agreement with GSK </w:t>
      </w:r>
    </w:p>
    <w:p>
      <w:pPr>
        <w:pStyle w:val="TextBody"/>
        <w:bidi w:val="0"/>
        <w:spacing w:before="120" w:after="0"/>
        <w:jc w:val="left"/>
        <w:rPr>
          <w:rFonts w:ascii="Times New Roman" w:hAnsi="Times New Roman"/>
          <w:sz w:val="20"/>
        </w:rPr>
      </w:pPr>
      <w:r>
        <w:rPr>
          <w:rFonts w:ascii="Times New Roman" w:hAnsi="Times New Roman"/>
          <w:sz w:val="20"/>
        </w:rPr>
        <w:t>In connection with the Scheme of Arrangement, we expect that the Share Purchase Agreement (“</w:t>
      </w:r>
      <w:r>
        <w:rPr>
          <w:rFonts w:ascii="Times New Roman" w:hAnsi="Times New Roman"/>
          <w:b/>
          <w:sz w:val="20"/>
        </w:rPr>
        <w:t>GSK Share Purchase Agreement</w:t>
      </w:r>
      <w:r>
        <w:rPr>
          <w:rFonts w:ascii="Times New Roman" w:hAnsi="Times New Roman"/>
          <w:sz w:val="20"/>
        </w:rPr>
        <w:t xml:space="preserve">”), dated as of December 13, 2022, by and between Wave-Singapore and Glaxo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Limited (“</w:t>
      </w:r>
      <w:r>
        <w:rPr>
          <w:rFonts w:ascii="Times New Roman" w:hAnsi="Times New Roman"/>
          <w:b/>
          <w:sz w:val="20"/>
        </w:rPr>
        <w:t>GGL</w:t>
      </w:r>
      <w:r>
        <w:rPr>
          <w:rFonts w:ascii="Times New Roman" w:hAnsi="Times New Roman"/>
          <w:sz w:val="20"/>
        </w:rPr>
        <w:t>”), an affiliate of GlaxoSmithKline Intellectual Property (No. 3) (“</w:t>
      </w:r>
      <w:r>
        <w:rPr>
          <w:rFonts w:ascii="Times New Roman" w:hAnsi="Times New Roman"/>
          <w:b/>
          <w:sz w:val="20"/>
        </w:rPr>
        <w:t>GSK</w:t>
      </w:r>
      <w:r>
        <w:rPr>
          <w:rFonts w:ascii="Times New Roman" w:hAnsi="Times New Roman"/>
          <w:sz w:val="20"/>
        </w:rPr>
        <w:t>”) and the related Investor Agreement (the “</w:t>
      </w:r>
      <w:r>
        <w:rPr>
          <w:rFonts w:ascii="Times New Roman" w:hAnsi="Times New Roman"/>
          <w:b/>
          <w:sz w:val="20"/>
        </w:rPr>
        <w:t>GSK Investor Agreement</w:t>
      </w:r>
      <w:r>
        <w:rPr>
          <w:rFonts w:ascii="Times New Roman" w:hAnsi="Times New Roman"/>
          <w:sz w:val="20"/>
        </w:rPr>
        <w:t>” and together with the GSK SPA, the “</w:t>
      </w:r>
      <w:r>
        <w:rPr>
          <w:rFonts w:ascii="Times New Roman" w:hAnsi="Times New Roman"/>
          <w:b/>
          <w:sz w:val="20"/>
        </w:rPr>
        <w:t>GSK Agreements</w:t>
      </w:r>
      <w:r>
        <w:rPr>
          <w:rFonts w:ascii="Times New Roman" w:hAnsi="Times New Roman"/>
          <w:sz w:val="20"/>
        </w:rPr>
        <w:t xml:space="preserve">”), dated as of January 26, 2023, by and between Wave-Singapore and GGL providing GGL with certain registration rights relating to the Wave-Singapore ordinary shares purchased by GGL pursuant to the GSK Share Purchase Agreement will be assumed by Wave-Delaware such that the existing rights and restrictions in the GSK Agreements will apply in respect of GGL’s holdings of Wave-Delaware common stock received in the Transaction in exchange for its Wave-Singapore ordinary shares. </w:t>
      </w:r>
    </w:p>
    <w:p>
      <w:pPr>
        <w:pStyle w:val="TextBody"/>
        <w:bidi w:val="0"/>
        <w:spacing w:before="240" w:after="0"/>
        <w:jc w:val="left"/>
        <w:rPr>
          <w:rFonts w:ascii="Times New Roman" w:hAnsi="Times New Roman"/>
          <w:sz w:val="20"/>
        </w:rPr>
      </w:pPr>
      <w:r>
        <w:rPr>
          <w:rFonts w:ascii="Times New Roman" w:hAnsi="Times New Roman"/>
          <w:sz w:val="20"/>
        </w:rPr>
        <w:t>After giving effect to the Transaction and following its assumption by Wave-Delaware, under the terms of the GSK Investor Agreement, pursuant to which GGL purchased 10,688,762 Wave-Singapore ordinary shares (the “</w:t>
      </w:r>
      <w:r>
        <w:rPr>
          <w:rFonts w:ascii="Times New Roman" w:hAnsi="Times New Roman"/>
          <w:b/>
          <w:sz w:val="20"/>
        </w:rPr>
        <w:t>GGL Shares</w:t>
      </w:r>
      <w:r>
        <w:rPr>
          <w:rFonts w:ascii="Times New Roman" w:hAnsi="Times New Roman"/>
          <w:sz w:val="20"/>
        </w:rPr>
        <w:t xml:space="preserve">”), subject to certain conditions and limitations, Wave-Delaware will provide certain demand registration rights to GGL in order to register all or a portion of the GGL Shares (which, following the effective time of the Transaction, will be shares of Wave-Delaware common stock) purchased by GGL. The GSK Investor Agreement also provides GGL with certain “piggyback” registration rights for a certain period of time, subject to certain conditions and limitations, such that, following the assumption of the GSK Agreements by Wave-Delaware, when Wave-Delaware proposes to register its shares of common stock for account, GGL will have the right to include some or all of the GGL Shares in such registration. The GSK Investor Agreement also contains other customary terms and conditions of the parties with respect to the registration of GGL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oc45078_58"/>
      <w:bookmarkEnd w:id="60"/>
      <w:r>
        <w:rPr>
          <w:rFonts w:ascii="Times New Roman" w:hAnsi="Times New Roman"/>
          <w:b/>
          <w:sz w:val="20"/>
        </w:rPr>
        <w:t xml:space="preserve">COMPARISON OF RIGHTS OF SINGAPORE SHAREHOLDERS AND DELAWARE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Your rights as a shareholder of Wave-Singapore and the powers of Wave-Singapore’s Board of Directors are governed by Singapore law and Wave-Singapore’s constitution. As a result of the Transaction, you will become a stockholder of Wave-Delaware, and your rights and the powers of Wave-Delaware’s board of directors will be governed by Delaware law and Wave-Delaware’s amended and restated certificate of incorporation and amended and restated bylaws, in each case as they will be in effect upon the completion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Many of the principal attributes of Wave-Singapore’s ordinary shares and Wave-Delaware’s shares of common stock will be substantially the same. However, there are differences between what your rights are under Singapore law and what they will be after the Transaction under Delaware law. In addition, there are differences between Wave-Singapore’s constitution and Wave-Delaware’s amended and restated certificate of incorporation and amended and restated bylaws, in each case as they will be in effect after the Transaction, especially as it relates to changes (i) that are required by Delaware law (i.e., certain provisions of the Wave-Singapore constitution were not replicated in the Wave-Delaware amended and restated certificate of incorporation and amended and restated bylaws because Delaware law would not permit such replication, and certain provisions were included in the Wave-Delaware amended and restated certificate of incorporation and amended and restated bylaws although they were not in the Wave-Singapore constitution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following the Transaction. </w:t>
      </w:r>
    </w:p>
    <w:p>
      <w:pPr>
        <w:pStyle w:val="TextBody"/>
        <w:bidi w:val="0"/>
        <w:spacing w:before="240" w:after="0"/>
        <w:jc w:val="left"/>
        <w:rPr>
          <w:rFonts w:ascii="Times New Roman" w:hAnsi="Times New Roman"/>
          <w:sz w:val="20"/>
        </w:rPr>
      </w:pPr>
      <w:r>
        <w:rPr>
          <w:rFonts w:ascii="Times New Roman" w:hAnsi="Times New Roman"/>
          <w:sz w:val="20"/>
        </w:rPr>
        <w:t>The following discussion is a summary of material changes in your rights resulting from the Transaction. This summary does not cover all of the differences between Singapore law and Delaware law affecting companies and their shareholders or all the differences between Wave-Singapore’s constitution, on the one hand, and Wave-Delaware’s amended and restated certificate of incorporation and amended and restated bylaws, on the other hand. This summary is subject to and qualified in its entirety by the complete text of the relevant provisions of the Singapore Companies Act (the “</w:t>
      </w:r>
      <w:r>
        <w:rPr>
          <w:rFonts w:ascii="Times New Roman" w:hAnsi="Times New Roman"/>
          <w:b/>
          <w:sz w:val="20"/>
        </w:rPr>
        <w:t>SCA</w:t>
      </w:r>
      <w:r>
        <w:rPr>
          <w:rFonts w:ascii="Times New Roman" w:hAnsi="Times New Roman"/>
          <w:sz w:val="20"/>
        </w:rPr>
        <w:t xml:space="preserve">”), the DGCL, Wave-Singapore’s constitution and Wave-Delaware’s amended and restated certificate of incorporation and amended and restated bylaws as they will be in effect after the Transaction. We encourage you to read those laws and documents carefully. </w:t>
      </w:r>
    </w:p>
    <w:p>
      <w:pPr>
        <w:pStyle w:val="TextBody"/>
        <w:bidi w:val="0"/>
        <w:spacing w:before="240" w:after="0"/>
        <w:jc w:val="left"/>
        <w:rPr>
          <w:rFonts w:ascii="Times New Roman" w:hAnsi="Times New Roman"/>
          <w:sz w:val="20"/>
        </w:rPr>
      </w:pPr>
      <w:r>
        <w:rPr>
          <w:rFonts w:ascii="Times New Roman" w:hAnsi="Times New Roman"/>
          <w:sz w:val="20"/>
        </w:rPr>
        <w:t>The forms of Wave-Delaware’s amended and restated certificate of incorporation and amended and restated bylaws substantially as they will be in effect after the Transaction are attached as Annex C and Annex D, respectively, to this proxy statement. For information as to how you can obtain Wave-Singapore’s constitution, please see “</w:t>
      </w:r>
      <w:r>
        <w:rPr>
          <w:rFonts w:ascii="Times New Roman" w:hAnsi="Times New Roman"/>
          <w:i/>
          <w:sz w:val="20"/>
        </w:rPr>
        <w:t>Where You Can Find More Information</w:t>
      </w:r>
      <w:r>
        <w:rPr>
          <w:rFonts w:ascii="Times New Roman" w:hAnsi="Times New Roman"/>
          <w:sz w:val="20"/>
        </w:rPr>
        <w:t xml:space="preserve">.” Except where otherwise indicated, the discussion of Wave-Delaware below reflects Wave-Delaware’s amended and restated certificate of incorporation and amended and restated bylaws as those documents will be in effect upon completion of the Transaction.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0"/>
              <w:jc w:val="left"/>
              <w:rPr>
                <w:rFonts w:ascii="Times New Roman" w:hAnsi="Times New Roman"/>
                <w:b/>
                <w:sz w:val="20"/>
              </w:rPr>
            </w:pPr>
            <w:bookmarkStart w:id="61" w:name="toc45078_59"/>
            <w:bookmarkEnd w:id="61"/>
            <w:r>
              <w:rPr>
                <w:rFonts w:ascii="Times New Roman" w:hAnsi="Times New Roman"/>
                <w:b/>
                <w:sz w:val="20"/>
              </w:rPr>
              <w:t>Authorized Capital Stock or Share Capital</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The Wave-Delaware amended and restated certificate of incorporation will authorize Wave-Delaware to issue 530,000,000 shares of capital stock, consisting of (a) 500,000,000 shares of common stock, par value $0.001 per share and (b) 30,000,000 shares of preferred stock, par value $0.001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Wave-Delaware’s amended and restated certificate of incorporation, the number of authorized shares of Wave-Delaware common stock may be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There is no concept of authorized share capital under Singapore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increased or decreased (but not below the number of shares thereof then outstanding) by the affirmative vote of the holders of a majority of the capital stock of Wave-Delaware entitled to vote. Under Delaware law, the number of authorized shares of Wave-Delaware common stock may alternatively be increased or decreased by an amendment to Wave-Delaware’s amended and restated certificate of incorporation if (i) at a stockholders meeting called to consider such amendment, a vote of the stockholders entitled to vote thereon, voting as a single class, is taken with respect to the proposed amendment, and the votes in favor exceed the votes against such amendment and (ii) Wave-Delaware satisfies the listing requirements of the national securities exchange on which the shares of common stock are listed following such amendment.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2" w:name="toc45078_60"/>
            <w:bookmarkEnd w:id="62"/>
            <w:r>
              <w:rPr>
                <w:rFonts w:ascii="Times New Roman" w:hAnsi="Times New Roman"/>
                <w:b/>
                <w:sz w:val="20"/>
              </w:rPr>
              <w:t>Outstanding Capital Stock or Share Capital</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Shares of Wave-Delaware common stock will be issued in the Scheme of Arrangement. Holders of shares of Wave-Delaware common stock will be entitled to all of the respective rights and obligations provided to such holders under the DGCL, Wave-Delaware’s amended and restated certificate of incorporation, and Wave-Delaware’s amended and restated bylaws.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Assuming the Transaction had become effective as of the Record Date, there would be [</w:t>
            </w:r>
            <w:r>
              <w:rPr>
                <w:rFonts w:ascii="Times New Roman" w:hAnsi="Times New Roman"/>
                <w:sz w:val="20"/>
                <w:u w:val="single"/>
              </w:rPr>
              <w:t> </w:t>
            </w:r>
            <w:r>
              <w:rPr>
                <w:rFonts w:ascii="Times New Roman" w:hAnsi="Times New Roman"/>
                <w:sz w:val="20"/>
              </w:rPr>
              <w:t>] shares of Wave-Delaware common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of the Record Date, Wave-Singapore has [</w:t>
            </w:r>
            <w:r>
              <w:rPr>
                <w:u w:val="single"/>
              </w:rPr>
              <w:t> </w:t>
            </w:r>
            <w:r>
              <w:rPr/>
              <w:t>] ordinary shares outstanding.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3" w:name="toc45078_61"/>
            <w:bookmarkEnd w:id="63"/>
            <w:r>
              <w:rPr>
                <w:rFonts w:ascii="Times New Roman" w:hAnsi="Times New Roman"/>
                <w:b/>
                <w:sz w:val="20"/>
              </w:rPr>
              <w:t>Designation of Preferred Stock</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Wave-Delaware’s amended and restated certificate of incorporation will authorize the Wave-Delaware Board to issue shares of preferred stock in one (1) or more series without stockholder approval, and to determine the rights, preferences, powers, privileges, designations and restrictions, including voting rights, dividend rights, conversion rights, redemption privileges and liquidation preferences, of each series of preferred stock. The Wave-Delaware Board will be entitled, without Wave-Delaware stockholder approval, to issue shares of preferred stock with voting and conversion rights that could adversely affect the voting power of the holders of shares of common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constitution of a Singapore public company typically provides that the company may allot and issue new shares of a different class with preferential, deferred, qualified or other special rights as its board of directors may determine with the prior approval of the company’s shareholders in a general meeting. Wave-Singapore’s constitution provides that our shareholders may grant to our Board of Directors the general authority to issue shares (including with such preferred, deferred or other special rights or such restrictions whether in regard to dividend, voting, return of capital or otherwise as the directors determine) where, unless revoked or varied in a general meeting, such authority to issue shares continues in force until the conclusion of the next annual general meeting or the expiration of the period within which the next annual general meeting after that date is required by law to be held, whichever is earlier.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bookmarkStart w:id="64" w:name="toc45078_62"/>
            <w:bookmarkEnd w:id="64"/>
            <w:r>
              <w:rPr>
                <w:rFonts w:ascii="Times New Roman" w:hAnsi="Times New Roman"/>
                <w:b/>
                <w:sz w:val="20"/>
              </w:rPr>
              <w:t>Authority to Issue Shares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Wave-Delaware’s board of directors may authorize the issuance of additional shares of common stock or preferred shares up to the amounts authorized in the Wave-Delaware amended and restated certificate of incorporation, without shareholder approval, subject only to the restrictions of the DGCL, stock exchange rules and the Wave-Delaware amended and restated certificate of incorporation. Under Delaware law, the directors may authorize capital stock to be issued for consideration consisting of cash, any tangible or intangible property or any benefit to the corporation or any combination thereof.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Section 161 of the SCA provides that despite anything in Wave-Singapore’s constitution, our Board of Directors must not exercise any power to issue shares without prior approval of Wave-Singapore’s shareholders in a general meeting. The affirmative vote of shareholders holding a simple majority of the total voting rights of all shareholders having the right to vote on the resolution at a general meeting present in person or represented by proxy at the general meeting is required for this authorization. Once this shareholders’ approval is obtained, it continues in force until the conclusion of the next annual general meeting or the expiration of the period within which the next annual general meeting after that date is required by law to be held, whichever is earlier; but any approval may be revoked or varied by Wave-Singapore in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Notwithstanding this general authorization to allot and issue our ordinary shares, Wave-Singapore will be required to seek shareholder approval with respect to future issuances of ordinary shares, where required under Nasdaq rules, such as if we were to propose an issuance of ordinary shares that would result in a change in control of Wave-Singapore or in connection with certain transactions involving the issuance of ordinary shares representing 20% or more of our outstanding ordinary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compliance with Section 161 of the SCA, Wave-Singapore’s constitution provides that our Board of Directors may issue shares with such preferred, deferred or other special rights or restrictions as determined by our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r>
              <w:rPr>
                <w:rFonts w:ascii="Times New Roman" w:hAnsi="Times New Roman"/>
                <w:b/>
                <w:sz w:val="20"/>
              </w:rPr>
              <w:t>Voting Rights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Under Wave-Delaware’s amended and restated certificate of incorporation, shares of Wave-Delaware common stock will be entitled to one vote per share as of the applicable record date for determining stockholders entitled to vote on all matters to be voted on by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for the election of directors and matters that require a different vote under the DGCL or Wave-Delaware’s amended and restated certificate of incorporation or amended and restated bylaws, Wave-Delaware’s amended and restated bylaws will provide that any matter brought before any duly called meeting of the Wave-Delaware stockholders at which a quorum is present, shall be decided by the affirmative vote of the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Every holder of Wave-Singapore ordinary shares present in person or by proxy or attorney or in the case of a corporation by a representative has one vote for each ordinary share that he or she holds.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provided under our constitution and the SCA, voting at any meeting of shareholders is by show of hands unless a poll has been demanded prior to the declaration of the result of the show of hands by, among others, (i) the chairman or (ii) at least one shareholder present in person or by proxy or by attorney or, in the case of a corporation, by a representative entitled to vote thereat, in each case representing in the aggregate not less than 5% of the total voting rights of all shareholders having the right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holders of a majority in voting power of the votes cast (excluding broker non-votes) on such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general meeting, </w:t>
            </w:r>
            <w:r>
              <w:rPr>
                <w:rFonts w:ascii="Times New Roman" w:hAnsi="Times New Roman"/>
                <w:i/>
                <w:sz w:val="20"/>
              </w:rPr>
              <w:t>provided</w:t>
            </w:r>
            <w:r>
              <w:rPr>
                <w:rFonts w:ascii="Times New Roman" w:hAnsi="Times New Roman"/>
                <w:sz w:val="20"/>
              </w:rPr>
              <w:t xml:space="preserve"> that no poll shall be demanded in respect of an election of a chairman or relating to any adjournment of such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otherwise required by law or by Wave-Singapore’s constitution, resolutions put forth at general meetings may be decided by ordinary resolution, requiring the affirmative vote of a majority of the shareholders present in person or represented by proxy at the meeting and entitled to vote on the resolution.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With respect to any special resolution proposed for consideration of Wave-Singapore, the resolution will be approved if the affirmative vote of not less than three-fourths of the shareholders present in person or represented by proxy at the meeting and entitled to vote on the resolution is obtained.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Wave-Singapore’s constitution provides that in the case of an equality of votes, the chairman of the meeting is entitled to a casting vote.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5" w:name="toc45078_63"/>
            <w:bookmarkEnd w:id="65"/>
            <w:r>
              <w:rPr>
                <w:rFonts w:ascii="Times New Roman" w:hAnsi="Times New Roman"/>
                <w:b/>
                <w:sz w:val="20"/>
              </w:rPr>
              <w:t>Board of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DGCL requires that a board of directors of a Delaware corporation have at least one director, and that all directors be natural persons.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Wave-Delaware’s amended and restated certificate of incorporation, the number of directors will be fixed exclusively from time to time by a vote of the majority of the authorized directors. We expect that the number of directors seated on the Wave-Delaware board of directors will initially be fixed at nine.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SCA, the minimum number of directors is at least one director who is ordinarily resident in Singapore.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Wave-Singapore’s constitution provides that Wave-Singapore shall have at least one director being a natural person of full age and capacity who is ordinarily resident in Singapore and unless otherwise determined by a general meeting of shareholders, there is no maximum number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6" w:name="toc45078_64"/>
            <w:bookmarkEnd w:id="66"/>
            <w:r>
              <w:rPr>
                <w:rFonts w:ascii="Times New Roman" w:hAnsi="Times New Roman"/>
                <w:b/>
                <w:sz w:val="20"/>
              </w:rPr>
              <w:t>Classification of Board of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DGCL permits, but does not require, a classified board of directors, which can be divided into two or three classes with staggered terms of office, with only one class of directors standing for election each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Wave-Delaware will not have a classified board.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There is no classification of our Board of Directors under Singapore law.</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7" w:name="toc45078_65"/>
            <w:bookmarkEnd w:id="67"/>
            <w:r>
              <w:rPr>
                <w:rFonts w:ascii="Times New Roman" w:hAnsi="Times New Roman"/>
                <w:b/>
                <w:sz w:val="20"/>
              </w:rPr>
              <w:t>Annual Election of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Wave-Delaware’s amended and restated bylaws, directors will be elected by a plurality of votes cast. Wave-Delaware stockholders will not be entitled to cumulative voting for the election of directors. As a result, the holders of a majority of Wave-Delaware’s voting power can elect all of the directors then standing for election. Wave—Delaware’s amended and restated certificate of incorporation and amended and restated bylaws will provide that at each annual meeting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Subject to the SCA, Wave-Singapore’s constitution provides for any director to retire at Wave-Singapore’s next annual general meeting, and to be eligible for re-election at such annual general meeting. In any uncontested elections of directors at an annual general meeting, a director nominee for the Board of Directors of Wave-Singapore will be elected by the affirmative vote of shareholders holding a simple majority of the total voting rights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shareholders, the successors of the directors will be elected at that meeting and hold office until the next annual meeting of shareholders and until such director’s successor is duly elected and qualified, or until such director’s earlier death, resignation, disqualification or removal.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all shareholders having the right to vote on the resolution to elect a director at a general meeting present in person or represented by proxy at the general meeting.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8" w:name="toc45078_66"/>
            <w:bookmarkEnd w:id="68"/>
            <w:r>
              <w:rPr>
                <w:rFonts w:ascii="Times New Roman" w:hAnsi="Times New Roman"/>
                <w:b/>
                <w:sz w:val="20"/>
              </w:rPr>
              <w:t>Removal of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amended and restated certificate of incorporation of Wave-Delaware will provide that, subject to the rights of holders of any preferred stock, directors may be removed at any time by the affirmative vote of the holders of a majority of the voting power of all of the then-outstanding shares present and entitled to vote generally in the election of directors, voting together as a single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SCA, directors of a Singapore public company may be removed before expiration of their term of office, despite anything in its constitution or in any agreement between the public company and such directors, with or without cause by ordinary resolution (i.e., a resolution which is passed by a simple majority of those shareholders entitled to vote on the resolution present in person or represented by proxy). Notice of the intention to move such a resolution has to be given to the company not less than 28 days before the meeting at which it is moved. The company must then give notice of such resolution to its shareholders not less than 14 days before the meeting. The SCA provides that where any director removed in this manner was appointed to represent the interests of any particular class of shareholders or debenture holders, the resolution to remove such director will not take effect until such director’s successor has been appointed.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69" w:name="toc45078_67"/>
            <w:bookmarkEnd w:id="69"/>
            <w:r>
              <w:rPr>
                <w:rFonts w:ascii="Times New Roman" w:hAnsi="Times New Roman"/>
                <w:b/>
                <w:sz w:val="20"/>
              </w:rPr>
              <w:t>Filling Vacancies on the Board of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amended and restated certificate of incorporation and amended and restated bylaws of Wave-Delaware will provide that, subject to the rights of any preferred stockholders, vacancies on the Wave-Delaware Board resulting from death, resignation, disqualification, retirement, removal or other causes and newly created directorships resulting from any increase in the number of directors will be filled by the affirmative vote of a majority of the directors then in office (even though less than a quorum) or by a sole remaining director (other than any directors elected by the separate vote of one (1) or more outstanding series of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Wave-Singapore’s constitution provides that our Board of Directors may appoint any person to be a director either to fill a casual vacancy or as an additional director but so that the total number of directors shall not at any time exceed the maximum number fixed by or in accordance with the constitution.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0" w:name="toc45078_68"/>
            <w:bookmarkEnd w:id="70"/>
            <w:r>
              <w:rPr>
                <w:rFonts w:ascii="Times New Roman" w:hAnsi="Times New Roman"/>
                <w:b/>
                <w:sz w:val="20"/>
              </w:rPr>
              <w:t>Amendment of Governing Documents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 xml:space="preserve">Wave-Delaware’s amended and restated certificate of incorporation will provide that Wave-Delaware may amend, alter, repeal or rescind any provision in Wave-Delaware’s amended and restated certificate of incorporation in the manner provided in the DGCL; </w:t>
            </w:r>
            <w:r>
              <w:rPr>
                <w:i/>
              </w:rPr>
              <w:t>provided</w:t>
            </w:r>
            <w:r>
              <w:rPr/>
              <w:t xml:space="preserve">, </w:t>
            </w:r>
            <w:r>
              <w:rPr>
                <w:i/>
              </w:rPr>
              <w:t>however</w:t>
            </w:r>
            <w:r>
              <w:rPr/>
              <w:t xml:space="preserve">, </w:t>
            </w:r>
            <w:r>
              <w:rPr>
                <w:i/>
              </w:rPr>
              <w:t>that</w:t>
            </w:r>
            <w:r>
              <w:rPr/>
              <w:t xml:space="preserve"> amendments to the provisions relating to (a) the creation and issuance of series of preferred stock; (b) the election, removal and powers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Wave-Singapore’s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Wave-Delaware directors and liabilities and indemnification of the Wave-Delaware directors and officers; (c) general and special meetings of the stockholders; (d) exclusive forum; and (e) amendments to the amended and restated certificate of incorporation, will require the affirmative vote of the holders of at least 66-2/3% of the voting power of all then outstanding shares of capital stock of Wave-Delaware entitled to vote thereon,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Wave-Delaware’s amended and restated certificate of incorporation and amended and restated bylaws will provide that the Wave-Delaware Board has the power to adopt, amend or repeal Wave-Delaware’s amended and restated bylaws. Wave-Delaware’s amended and restated certificate of incorporation and amended and restated bylaws will provide that Wave-Delaware’s amended and restated bylaws may be adopted, amended or repealed by the affirmative vote of the holders of at least 66-2/3% of the voting power of the shares entitled to vote in connection with the election of directors of Wave-Delaware, voting as a single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SCA, an entrenching provision may be included in the constitution with which a company is formed and may at any time be 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SCA or may not be so altered except (i) by a resolution passed by a specified majority greater than 75% (the minimum majority required by the SCA for a special resolution) or (ii) where other specified conditions are met. The SCA provides that such entrenching provision may be removed or altered only if all the members of the company agree. Wave-Singapore’s constitution does not contain such an entrenching provision with respect to the ordinary shares of Wave-Singapore.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1" w:name="toc45078_69"/>
            <w:bookmarkEnd w:id="71"/>
            <w:r>
              <w:rPr>
                <w:rFonts w:ascii="Times New Roman" w:hAnsi="Times New Roman"/>
                <w:b/>
                <w:sz w:val="20"/>
              </w:rPr>
              <w:t>Meetings of Stockholders</w:t>
            </w:r>
          </w:p>
        </w:tc>
        <w:tc>
          <w:tcPr>
            <w:tcW w:w="204" w:type="dxa"/>
            <w:tcBorders/>
            <w:vAlign w:val="bottom"/>
          </w:tcPr>
          <w:p>
            <w:pPr>
              <w:pStyle w:val="TableContents"/>
              <w:bidi w:val="0"/>
              <w:spacing w:before="0" w:after="283"/>
              <w:jc w:val="left"/>
              <w:rPr/>
            </w:pPr>
            <w:r>
              <w:rPr/>
              <w:t>  </w:t>
            </w:r>
          </w:p>
        </w:tc>
        <w:tc>
          <w:tcPr>
            <w:tcW w:w="479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DGCL provides that a company must hold an annual meeting as provided in the company’s bylaws. If a date for an annual meeting is not designated within 13 months of a company’s last annual meeting or written consent to elect directors in lieu of an annual meeting, or an annual meeting is not held within 30 days of a date that has been designated, upon the application of any stockholder or director, the Delaware Court of Chancery may summarily order a meeting to be held.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amended and restated bylaws of Wave-Delaware will provide that the board of directors will designate the date and time of the annual meetings of stockholders. The Wave-Delaware amended and restated certificate of incorporation will provide that a special meeting of stockholders may be called only by or at the direction of the board of directors, the chairperson of the board of directors, the Chief Executive Officer or President, and shall not be called by any other person or persons.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i/>
                <w:sz w:val="20"/>
              </w:rPr>
            </w:pPr>
            <w:r>
              <w:rPr>
                <w:rFonts w:ascii="Times New Roman" w:hAnsi="Times New Roman"/>
                <w:i/>
                <w:sz w:val="20"/>
              </w:rPr>
              <w:t>Annual General Meetings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All Singapore companies are required to hold an annual general meeting either 4 months (in the case of a public company that is listed on an exchange in Singapore approved by the Monetary Authority of Singapore) or 6 months (in the case of any other company, as is the case for Wave-Singapore).</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Extraordinary General Meetings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general meeting other than the annual general meeting is called an “extraordinary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Despite anything in the constitution, directors of a company must convene an extraordinary general meeting if required to do so by requisition (i.e., written notice, requiring that a meeting be called, given to the directors) by shareholder(s) holding not less than 10% of the total number of paid-up shares as of the date of the deposit of the requisition carrying the right of voting at general meetings of the company. In addition, two or more shareholders holding not less than 10% of the total number of issued shares (excluding treasury shares) may call an extraordinary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Wave-Singapore’s constitution provides that the directors may, whenever they think fit, convene an extraordinary general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2" w:name="toc45078_70"/>
            <w:bookmarkEnd w:id="72"/>
            <w:r>
              <w:rPr>
                <w:rFonts w:ascii="Times New Roman" w:hAnsi="Times New Roman"/>
                <w:b/>
                <w:sz w:val="20"/>
              </w:rPr>
              <w:t>Quorum for Stockholder Meetings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Wave-Delaware amended and restated bylaws will provide that the holders of a majority in voting power of the Wave-Delaware capital stock issued and outstanding and entitled to vote thereat, present in person, or by remote communication, if applicable, or represented by proxy, shall constitute a quorum at all meetings of the stockholders for the transaction of business. Where a separate vote by class or series is required, the presence in person or by proxy of the holders of a majority in voting power of the outstanding shares of such class or series will constitute a quorum with respect to that matter. If, however, a quorum shall not be present or represented at any meeting of the stockholders, a majority in voting power of the stockholders entitled to vote thereat, present in person, or by remote communication, if applicable, or represented by proxy, or the person presiding over the meeting shall have power to recess the meeting or adjourn the meeting until a quorum shall be present or represented.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i/>
                <w:sz w:val="20"/>
              </w:rPr>
            </w:pPr>
            <w:r>
              <w:rPr>
                <w:rFonts w:ascii="Times New Roman" w:hAnsi="Times New Roman"/>
                <w:i/>
                <w:sz w:val="20"/>
              </w:rPr>
              <w:t>Quorum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Wave-Singapore’s constitution provides that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 on the requisition of shareholders shall be adjourned for one week to the same day in the next week. When reconvened, the quorum for the meeting will be the same and if at such adjourned meeting a quorum is not present, the meeting will be dissolved.</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Right to Attend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SCA provides that every shareholder has, despite any provision in the constitution, a right to attend any general meeting of the company and to speak on any resolution before the meeting.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3" w:name="toc45078_71"/>
            <w:bookmarkEnd w:id="73"/>
            <w:r>
              <w:rPr>
                <w:rFonts w:ascii="Times New Roman" w:hAnsi="Times New Roman"/>
                <w:b/>
                <w:sz w:val="20"/>
              </w:rPr>
              <w:t>Notice Requirements for Stockholder Meetings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Delaware law and Wave-Delaware’s amended and restated bylaws, subject to certain limited exceptions under the DGCL, written notice of an annual or special meeting of the stockholders must be sent or otherwise given not less than 10 but not more than 60 days prior to the meeting to each stockholder entitled to vote at such meeting. Such notice must state the place, if any, date and time of the meeting, the means of remote communications, if any, by which stockholders and proxy holders may be deemed to be present in person and vote at such meeting, and, in the case of a special meeting, the purpose or purposes for which the meeting is called.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Wave-Singapore’s constitution provides that at least 21 days’ notice in writing must be given in respect of any general meeting at which it is proposed to pass a special resolution or resolution of which special notice has been given to Wave-Singapore. Save as aforementioned, at least 14 days’ notice will be required in respect of any annual general meetings or extraordinary general meetings.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4" w:name="toc45078_72"/>
            <w:bookmarkEnd w:id="74"/>
            <w:r>
              <w:rPr>
                <w:rFonts w:ascii="Times New Roman" w:hAnsi="Times New Roman"/>
                <w:b/>
                <w:sz w:val="20"/>
              </w:rPr>
              <w:t>Stockholder Proposals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 xml:space="preserve">Wave-Delaware’s amended and restated bylaws will provide that a stockholder wishing to nominate a director for election to the Wave-Delaware Board must provide written notice (in proper form) to the secretary not later than the close of business on the ninetieth (90th) day nor earlier than the close of business on the one hundred twentieth (120th) day prior to the first anniversary of the immediately preceding annual meeting of stockholders; </w:t>
            </w:r>
            <w:r>
              <w:rPr>
                <w:i/>
              </w:rPr>
              <w:t>provided</w:t>
            </w:r>
            <w:r>
              <w:rPr/>
              <w:t xml:space="preserve"> that, in the case of the first annual meeting, the date of the preceding year’s annual meeting shall be deemed to be [</w:t>
            </w:r>
            <w:r>
              <w:rPr>
                <w:u w:val="single"/>
              </w:rPr>
              <w:t> </w:t>
            </w:r>
            <w:r>
              <w:rPr/>
              <w:t xml:space="preserve">], </w:t>
            </w:r>
            <w:r>
              <w:rPr>
                <w:i/>
              </w:rPr>
              <w:t>provided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SCA,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subject to satisfaction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the event that the annual meeting is called for a date that is more than thirty (30) days before or more than sixty (60) days after such anniversary date, notice by the stockholder must be so received not later than the close of business on the ninetieth (90th) day prior to such annual meeting or, if later, the close of business on the tenth (10th) day following the day on which public announcement of the date of the annual meeting was first made by the corporation and not more than the one hundred twentieth (120th) day prior to such annual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Wave-Delaware stockholder wishing to nominate a director for election to the Wave-Delaware Board at a special meeting of stockholders must give written notice (in proper form) to the secretary not earlier than the close of business on the one hundred twentieth (120th) day prior to such special meeting nor later than the close of business on the later of the ninetieth (90th) day prior to such special meeting or the tenth (10th) day following the day on which public announcement is first made of the date of the special meeting and of the nominees proposed by the stockholder to be elected at such special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adjournment or postponement of an annual meeting of stockholders or an announcement thereof will not commence a new time period for the giving of a stockholder’s notice as described above.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in proper form, the notice of nomination or business to be brought before the meeting must set forth:</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in the case of a notice of nomination, as to each person whom the stockholder proposes to nominate for election as a director: (i) all information relating to such person that is required to be disclosed in solicitations of proxies for election of directors in an election contest, (ii) such person’s written consent to being named in the proxy statement as a nominee and to serving as a director if elected, (iii) a description of any direct or indirect material interest in any material contract or agreement between or among the stockholder and the nominee and (iv) a completed and signed questionnaire, representation and agreement to be required Wave-Delaware’s amended and restated bylaws, among other things;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as to any other business that the stockholder proposes to bring before the annual meeting: (i) a brief description of the business desired to be brought before the annual meeting, (ii) the text of the proposal or business, (iii) a reasonably detailed description of all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requirements under the SCA including to circulate to shareholders any statement of not more than 1,000 words with respect to the matter referred to in any proposed resolution or the business to be dealt with at that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such requisition must be signed by all the requisitionists and be deposited at the registered office of the company. In the case of a requisition requiring notice of a resolution, the requisition shall be deposited at least six weeks prior to the date of the annual general meeting and in the case of any other requisition, not less than one week before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agreements, arrangements and understandings as described in the amended and restated bylaws, and (iv)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as to the stockholder giving the notice and the beneficial owner, if any, on whose behalf the nomination or proposal is made: (i) the name and address of such stockholder, including as they appear on Wave-Delaware’s books, and of such beneficial owner, (ii) the number of shares of each class or series of Wave-Delaware capital stock which are directly or indirectly owned beneficially or of record by such stockholder, including any derivative securities, such beneficial owner as of the date of the notice, and any rights to dividends that are separated or separable from the underlying shares of Wave-Delaware capital stock, (iii) a description of any material pending or threatened legal proceeding in which such stockholder or beneficial owner is a party or material participant involving Wave-Delaware, its officers, directors or affiliates, (iv) a description of any material relationship between such stockholder or such beneficial owner and Wave-Delaware or its affiliates, (v) any direct or indirect material interest in any material contract or agreement between such stockholder or beneficial owner and Wave-Delaware or its affiliates, (vi) a representation that such stockholder intends or is part of a group which intends to deliver a proxy statement or form of proxy to holders of at least the percentage of Wave-Delaware’s outstanding capital stock required to approve or adopt the proposal or otherwise solicit proxies from stockholders in support of such proposal, (vii) certain proportionate interests in shares of Wave-Delaware capital stock or a synthetic equity position (as defined in the amended and restated bylaws), and (viii) any other information relating to such stockholder or beneficial owner that would be required to be disclosed in a proxy statement or other filing required to be made with the SEC in connection with the solicitation of proxies.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in proper form, the notice of other business (other than a nomination) is satisfied if the stockholder has notified Wave-Delaware of their or its intention to present a proposal at an annual meeting in compliance with rules and regulations under the U.S. Exchange Act, and such proposal has been included in Wave-Delaware’s proxy statement for the annual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b/>
              </w:rPr>
            </w:pPr>
            <w:r>
              <w:rPr>
                <w:b/>
              </w:rPr>
              <w:t>Mergers, Consolidations and Other Business Combinations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Section 251(h), would be required to adopt the merger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SCA and the Insolvency, Restructuring and Dissolution Act 2018 of Singapore mandates that specified corporate actions require approval by the shareholders in a general meeting, notably: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despite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company may by special resolution resolve that it be wound up voluntarily;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subject to the constitution of each amalgamating company, an amalgamation proposal must be approved by the shareholders of each amalgamating company via special resolution at a general meeting;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despite anything in the company’s constitution, the directors may not, without the prior approval of shareholders, issue shares, including shares being issued in connection with corporate actions.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a scheme of arrangement under the SCA requires the affirmative vote of (i) a majority in number of shareholders present and voting, either in person or by proxy, at a court-convened shareholder meeting to approve such scheme and (ii) not less than 75% of the issued shares held by shareholders present and voting, either in person or by proxy, at such meeting.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5" w:name="toc45078_74"/>
            <w:bookmarkStart w:id="76" w:name="toc45078_73"/>
            <w:bookmarkEnd w:id="75"/>
            <w:bookmarkEnd w:id="76"/>
            <w:r>
              <w:rPr>
                <w:rFonts w:ascii="Times New Roman" w:hAnsi="Times New Roman"/>
                <w:b/>
                <w:sz w:val="20"/>
              </w:rPr>
              <w:t>Takeover Restrictions / Anti-Takeover Statute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Wave-Delaware is subject to the provisions of Section 203 of the DGCL. Section 203 of the DGCL generally prohibits a publicly held Delaware corporation from engaging in a business combination with any interested stockholder for a three-year period following the time that such stockholder becomes an interested stockholder, unless (i) prior to such time, the board of directors approves the business combination or the transaction by which such stockholder becomes an interested stockholder, (ii) the interested stockholder acquires 85% of the corporation’s outstanding voting stock in the transaction by which such stockholder becomes an interested stockholder, or (iii) the business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There are no comparable provisions in Singapore with respect to public companies which are not listed on the Singapore Exchange Securities Trading Limited.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However, Wave-Singapore is subject to the Singapore Code on Takeovers and Mergers (the “</w:t>
            </w:r>
            <w:r>
              <w:rPr>
                <w:rFonts w:ascii="Times New Roman" w:hAnsi="Times New Roman"/>
                <w:b/>
                <w:sz w:val="20"/>
              </w:rPr>
              <w:t>Singapore Takeover Code</w:t>
            </w:r>
            <w:r>
              <w:rPr>
                <w:rFonts w:ascii="Times New Roman" w:hAnsi="Times New Roman"/>
                <w:sz w:val="20"/>
              </w:rPr>
              <w:t>”), which contains provisions that may delay, deter or prevent a future takeover or change in control of Wave-Singapore. For example, under the Singapore Takeover Code, any person acquiring, whether by a series of transactions over a period of time or not, either on 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combination is approved by the board of directors and authorized at a meeting of stockholders by the affirmative vote of the holders of at least two-thirds (2/3rds) of the corporation’s outstanding voting stock not owned by the interested stockholder.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own or together with parties acting in concert with it, 30% or more of Wave-Singapore’s voting shares, or if such person holds, either on its own or together with parties acting in concert with it, between 30% and 50% (both inclusive) of Wave-Singapore’s voting shares, and if such person (or parties acting in concert with it) acquires additional voting shares representing more than 1% of Wave-Singapore’s voting shares in any six-month period, must, except with the consent of Securities Industry Council in Singapore, extend a takeover offer for Wave-Singapore’s remaining voting shares in accordance with the Singapore Takeover Code. Additionally, if, in the course of an offer, or even before the date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7" w:name="toc45078_75"/>
            <w:bookmarkEnd w:id="77"/>
            <w:r>
              <w:rPr>
                <w:rFonts w:ascii="Times New Roman" w:hAnsi="Times New Roman"/>
                <w:b/>
                <w:sz w:val="20"/>
              </w:rPr>
              <w:t>Stockholder Action Without A Meeting</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DGCL provides that unless otherwise provided in the certificate of incorporation, any action required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Wave-Delaware amended and restated certificate of incorporation will provide that stockholders may not act by written consent, except as otherwise provided in any applicable certificate of designation in respect of a given series of preferred stock.</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provisions of the SCA and the constitution of Wave-Singapore do not provide for shareholder action by written consent. As a result, shareholder action by written consent is not permitted.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78" w:name="toc45078_76"/>
            <w:bookmarkEnd w:id="78"/>
            <w:r>
              <w:rPr>
                <w:rFonts w:ascii="Times New Roman" w:hAnsi="Times New Roman"/>
                <w:b/>
                <w:sz w:val="20"/>
              </w:rPr>
              <w:t>Stockholder Suits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the DGCL,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DGCL have been met. A person may institute and maintain such a suit only if such person was a stockholder at the time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i/>
                <w:sz w:val="20"/>
              </w:rPr>
            </w:pPr>
            <w:r>
              <w:rPr>
                <w:rFonts w:ascii="Times New Roman" w:hAnsi="Times New Roman"/>
                <w:i/>
                <w:sz w:val="20"/>
              </w:rPr>
              <w: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Only registered shareholders of Wave-Singapore reflected in our register of members are recognized under Singapore law as shareholders of Wave-Singapore. As a result, only registered shareholders have legal standing to institute shareholder actions against Wave-Singapore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DGCL also requires that the derivative plaintiff make a demand on the directors of the corporation to assert the corporate claim before the suit may be prosecuted by the derivative plaintiff, unless such demand would be futile.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otherwise seek to enforce their rights as shareholders. Holders of book-entry interests in our shares will be required to exchange their book-entry interests for certificated shares and to be registered as shareholders in Wave-Singapore’s register of members in order to institute or enforce any legal proceedings or claims against Wave-Singapore, our directors or our executive officers relating to shareholder rights. A holder of book-entry interests may become a registered shareholder of Wave-Singapore by exchanging its interest in the shares for certificated shares and being registered in Wave-Singapore’s register of members.</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Personal remedies in cases of oppression or injustice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shareholder may apply to the court for an order under Section 216 of the SCA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Singapore courts have wide discretion as to the relief they may grant under such application, including, </w:t>
            </w:r>
            <w:r>
              <w:rPr>
                <w:rFonts w:ascii="Times New Roman" w:hAnsi="Times New Roman"/>
                <w:i/>
                <w:sz w:val="20"/>
              </w:rPr>
              <w:t>inter alia</w:t>
            </w:r>
            <w:r>
              <w:rPr>
                <w:rFonts w:ascii="Times New Roman" w:hAnsi="Times New Roman"/>
                <w:sz w:val="20"/>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Derivative Actions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SCA has a provision, which is limited in its scope to companies that are not listed on the securities exchange in Singapore, which provides a mechanism enabling shareholders to apply to the court for leave to bring a derivative action or arbitration on behalf of the company. Derivative actions are also allowed as a common law action.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the case of statutory derivative action under the SCA, applications are generally made by shareholders of the company, but courts are given the discretion to allow such persons as they deem proper to apply (e.g., beneficial owner of shares) in the appropriate circumstances.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It should be noted that this provision of the SCA is primarily used by minority shareholders to bring an action or arbitration in the name and on behalf of the company or intervene in an action or arbitration to which the company is a party for the purpose of prosecuting, defending or discontinuing the action or arbitration on behalf of the company. Prior to commencing a derivative action or arbitration, the court will need to be satisfied that (i) the applicant has given 14 days’ notice to the directors of the company of its intention to apply to the court for leave to bring an action or arbitration if the directors of the company do not bring, diligently prosecute or defend or discontinue the action or arbitration, (ii) the applicant is acting in good faith, and (iii) it appears to be prima facie in the interests of the company that the action or arbitration be brought, prosecuted, defended or discontinued.</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Class Actions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concept of class action suits, which allows individual shareholders to bring an action seeking to represent the class or classes of shareholders, does not exist in the same manner in Singapore. However, it is possible as a matter of procedure for a number of shareholders who have a common interest in any proceedings to begin proceedings as a group with one or more of such shareholders representing the group.</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b/>
                <w:sz w:val="20"/>
              </w:rPr>
            </w:pPr>
            <w:bookmarkStart w:id="79" w:name="toc45078_77"/>
            <w:bookmarkEnd w:id="79"/>
            <w:r>
              <w:rPr>
                <w:rFonts w:ascii="Times New Roman" w:hAnsi="Times New Roman"/>
                <w:b/>
                <w:sz w:val="20"/>
              </w:rPr>
              <w:t>Liabilities of Directors and Officers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Under Delaware law, a corporation’s certificate of incorporation may include a provision eliminating or limiting the personal liability of a director or officer to the corporation and its stockholders for monetary damages arising from a breach of fiduciary duty as a director or officer. However, no provision can limit the liability of a director or officer for: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breach of the director’s or officer’s duty of loyalty to the corporation or its stockholders;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acts or omissions not in good faith or that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respect of a director, willful or negligent payment of unlawful dividends or stock purchases or redemptions;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transaction from which the director or officer derived an improper personal benefit; or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SCA, any provision that purports to exempt a director or officer of a company from, or by which a company directly or indirectly provides an indemnity for a director or officer of the company against, any liability attaching to him or her in connection with any negligence, default, breach of duty or breach of trust in relation to the company is void.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However, the SCA allows a company to: (i) purchase and maintain for any director and officer insurance against any liability attaching to such director or officer in connection with any negligence, default, breach of duty or breach of trust in relation to the company, and (ii) indemnify such director or officer against any liability incurred by the director or officer to a person other than the company, except when the indemnity is against: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 any liability of the director or officer to pay (i) a fine in criminal proceedings, or (ii) a penalty sum payable to a regulatory authority for noncompliance with any requirement of a regulatory nature;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respect of an officer, in any action by or in the right of Wave-Delaware.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Wave-Delaware’s amended and restated certificate of incorporation will provide that a director or officer, as applicable, of Wave-Delaware will not be personally liable to Wave-Delaware or its stockholders for monetary damages for breach of fiduciary duty as a director or officer, as applicable, subject to the limitations set forth above.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 any liability incurred by the director or officer (i) in defending criminal proceedings in which he is convicted; (ii) in defending civil proceedings brought by the company or a related company in which judgment is given against such director or officer; or (iii) in connection with an application for relief under Section 76A(13) or Section 391 of the SCA, as described below, in which the court refuses to grant him or her relief.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cases where a director is sued by the company, the SCA gives the court the power to relieve directors either wholly or partially from their liability for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80" w:name="toc45078_78"/>
            <w:bookmarkEnd w:id="80"/>
            <w:r>
              <w:rPr>
                <w:rFonts w:ascii="Times New Roman" w:hAnsi="Times New Roman"/>
                <w:b/>
                <w:sz w:val="20"/>
              </w:rPr>
              <w:t>Indemnification of Officers and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Under the DGCL,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 acted in good faith and in a manner he or she reasonably believed to be in or not opposed to the best interests of the corporation or, in some circumstances, at least not opposed to its best interests and in a criminal proceeding, had no reasonable cause to believe his or her conduct was unlawful.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DGCL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Wave-Singapore’s constitution provides that subject to the SCA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SCA, </w:t>
            </w:r>
            <w:r>
              <w:rPr>
                <w:rFonts w:ascii="Times New Roman" w:hAnsi="Times New Roman"/>
                <w:i/>
                <w:sz w:val="20"/>
              </w:rPr>
              <w:t>provided</w:t>
            </w:r>
            <w:r>
              <w:rPr>
                <w:rFonts w:ascii="Times New Roman" w:hAnsi="Times New Roman"/>
                <w:sz w:val="20"/>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Wave-Singapore’s constitution further provides that subject to the SCA and every other applicable statute for the time being in force concerning companies and affecting Wave-Singapore, each of the directors and officers of Wave-Singapore and those of Wave-Singapore’s subsidiaries and affiliates shall be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the extent a director, officer, employee or agent is successful in the defense of such an action, suit or proceeding, the corporation is required by DGCL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Wave-Delaware’s amended and restated bylaws will generally provide mandatory indemnification and advancement of expenses to directors and officers to the fullest extent permitted by Delaware law. Wave-Delaware’s amended and restated certificate of incorporation and amended and restated bylaws will provide that Wave-Delaware may provide rights of indemnification and advancement to its employees and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Wave-Delaware’s amended and restated bylaws will also provide that, except for proceedings to enforce rights to indemnification, Wave-Delaware shall not be obligated to indemnify any director or officer in connection with a proceeding initiated by such person unless such proceeding was authorized by the Wave-Delaware Board.</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SCA, a company may also provide a director with a loan to meet expenditures incurred or to be incurred by him for: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 defending criminal or civil proceedings in connection with any alleged negligence, default, breach of duty or breach of trust by him in relation to the company, or in connection with an application for relief, subject to the terms stipulated in the SCA, which include requiring the director to repay the loan if he is convicted in the criminal proceedings or where judgment is given against him in civil proceedings or where the court refuses to grant him relief on the application;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 defending himself in an investigation or against any action proposed to be taken by a regulatory authority, in connection with any alleged negligence, default, breach of duty or breach of trust by him in relation to the company.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b/>
              </w:rPr>
            </w:pPr>
            <w:bookmarkStart w:id="81" w:name="toc45078_79"/>
            <w:bookmarkEnd w:id="81"/>
            <w:r>
              <w:rPr>
                <w:b/>
              </w:rPr>
              <w:t>Distributions and Dividends; Repurchases and Redemptions</w:t>
            </w:r>
          </w:p>
        </w:tc>
        <w:tc>
          <w:tcPr>
            <w:tcW w:w="204" w:type="dxa"/>
            <w:tcBorders/>
            <w:vAlign w:val="bottom"/>
          </w:tcPr>
          <w:p>
            <w:pPr>
              <w:pStyle w:val="TableContents"/>
              <w:bidi w:val="0"/>
              <w:spacing w:before="0" w:after="283"/>
              <w:jc w:val="left"/>
              <w:rPr/>
            </w:pPr>
            <w:r>
              <w:rPr/>
              <w:t>  </w:t>
            </w:r>
          </w:p>
        </w:tc>
        <w:tc>
          <w:tcPr>
            <w:tcW w:w="479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Under Wave-Delaware’s amended and restated certificate of incorporation and the DGCL, Wave-Delaware stockholders will be entitled to receive dividends if, as and when declared by the Wave-Delaware Board, subject to the rights of any preferred stockholders then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DGCL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The SCA provides that no dividend is payable to shareholders except out of profits.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SCA does not provide a definition of when profits are deemed to be available for the purpose of paying dividends and this is accordingly governed by case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Wave-Singapore’s constitution provides that no dividend can be paid except out of the profits of Wave-Singapore.</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Acquisition of a Company’s Own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SCA generally prohibits a company from acquiring its own shares or purporting to acquire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represented by the issued and outstanding stock of all classes having a preference upon the distribution of assets.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its holding company or ultimate holding company, whether directly or indirectly, in any way, subject to certain exceptions. Any contract or transaction made or entered into in contravention of the said prohibition is void. However, </w:t>
            </w:r>
            <w:r>
              <w:rPr>
                <w:rFonts w:ascii="Times New Roman" w:hAnsi="Times New Roman"/>
                <w:i/>
                <w:sz w:val="20"/>
              </w:rPr>
              <w:t>provided</w:t>
            </w:r>
            <w:r>
              <w:rPr>
                <w:rFonts w:ascii="Times New Roman" w:hAnsi="Times New Roman"/>
                <w:sz w:val="20"/>
              </w:rPr>
              <w:t xml:space="preserve"> that it is expressly permitted to do so by its constitution and subject to the special conditions of each permitted acquisition contained in the SCA, a company may: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make an off-market purchase of its own shares in accordance with an equal access scheme authorized in advance at a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 xml:space="preserve">make a selective off-market purchase of its own shares in accordance with an agreement authorized in advance at a general meeting by a special resolution where persons whose shares are to be acquired and their associated persons have abstained from voting. On November 5, 2025, the Singapore Parliament passed the Corporate and Accounting Laws (Amendment) Act which, </w:t>
            </w:r>
            <w:r>
              <w:rPr>
                <w:rFonts w:ascii="Times New Roman" w:hAnsi="Times New Roman"/>
                <w:i/>
              </w:rPr>
              <w:t>inter alia</w:t>
            </w:r>
            <w:r>
              <w:rPr>
                <w:rFonts w:ascii="Times New Roman" w:hAnsi="Times New Roman"/>
              </w:rPr>
              <w:t>, amends the SCA to introduce a two-tier approval process where the shares that are the subject of a selective off-market purchase belong to a particular class of shares and do not constitute all the shares in that class. In such a case, the company must also obtain the consent of at least 75% of the holders of the shares of that class (but excluding any person whose shares are to be acquired and their associated persons) to the terms of the agreement for the selective off-market purchase, before passing the special resolution authorizing such agreement. The Corporate and Accounting Laws (Amendment) Act is to come into operation on a date that the Minister appoints by notification in the Government Gazette of the Republic of Singapore. The ACRA expects most provisions of the aforementioned Act to commence from April 2026 onwards;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make an acquisition of its own shares under a contingent purchase contract which has been authorized in advance at a general meeting by a special resolution,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total number of ordinary shares, stocks in any class and non-redeemable preferred shares that may be acquired by a company in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period may not exceed 20% of the total number of ordinary shares, stocks in any class or non-redeemable preferred shares (as the case may be) as of the date of the resolution to acquire the shares. Where, however, a company has reduced its share capital by a special resolution or a Singapore court made an order to such effect, the total number of ordinary shares, stocks in any class or non-redeemable preferred shares shall be taken to be the total number of ordinary shares, stocks in any class or non-redeemable preferred shares (as the case may be) as altered by the special resolution or the order of the court. Payment, including any expenses (including brokerage or commission) incurred directly in the acquisition by the company of its own shares, must be made out of the company’s distributable profits or capital, </w:t>
            </w:r>
            <w:r>
              <w:rPr>
                <w:rFonts w:ascii="Times New Roman" w:hAnsi="Times New Roman"/>
                <w:i/>
                <w:sz w:val="20"/>
              </w:rPr>
              <w:t>provided</w:t>
            </w:r>
            <w:r>
              <w:rPr>
                <w:rFonts w:ascii="Times New Roman" w:hAnsi="Times New Roman"/>
                <w:sz w:val="20"/>
              </w:rPr>
              <w:t xml:space="preserve"> that the company is solvent.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company may also purchase its own shares by an order of a Singapore court.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Wave-Singapore’s constitution provides that Wave-Singapore may, subject to and in accordance with the SCA, purchase or otherwise acquire any class of shares in the issued share capital of Wave-Singapore on such terms and in such manner as Wave-Singapore may from time to time think fit. Wave-Singapore may deal with any such share in such manner as may be permitted by, and in accordance with, the SCA (including to hold such shares as treasury shares).</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Redemption of Preferred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company may redeem redeemable preferred shares on such terms and in such manner as is provided by its constitution. Preferred shares may be redeemed out of capital only if all the directors make a solvency statement in relation to such redemption in accordance with the SCA. In addition, certain filings are also required to be made to the Registrar of Companies in connection with such redemption of redeemable preferred shares.</w:t>
            </w:r>
          </w:p>
          <w:p>
            <w:pPr>
              <w:pStyle w:val="TableContents"/>
              <w:bidi w:val="0"/>
              <w:spacing w:before="0" w:after="0"/>
              <w:jc w:val="left"/>
              <w:rPr/>
            </w:pPr>
            <w:r>
              <w:rPr/>
              <w:t> </w:t>
            </w:r>
          </w:p>
          <w:p>
            <w:pPr>
              <w:pStyle w:val="TableContents"/>
              <w:bidi w:val="0"/>
              <w:spacing w:before="0" w:after="0"/>
              <w:jc w:val="left"/>
              <w:rPr>
                <w:rFonts w:ascii="Times New Roman" w:hAnsi="Times New Roman"/>
                <w:i/>
                <w:sz w:val="20"/>
              </w:rPr>
            </w:pPr>
            <w:r>
              <w:rPr>
                <w:rFonts w:ascii="Times New Roman" w:hAnsi="Times New Roman"/>
                <w:i/>
                <w:sz w:val="20"/>
              </w:rPr>
              <w:t>Financial Assistance for the Acquisition of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public company or a company whose holding company or ultimate holding company is a public company may not give financial assistance to any person whether directly or indirectly for the purpose of:</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acquisition or proposed acquisition of shares in the company or units of such shares;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acquisition or proposed acquisition of shares in its holding company or ultimate holding company or units of such shares, subject to certain exceptions.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Financial assistance may take the form of a loan, the giving of a guarantee, the provision of security, the release of an obligation, the release of a debt or otherwise. However, it should be noted that a company may provide financial assistance for the acquisition of its shares or shares in its holding company or ultimate holding company if (i) the giving or the financial assistance does not materially prejudice the interest of the company or its shareholders or the company’s ability to pay its creditors, and the Board of Directors approves the giving of the financial assistance in accordance with the provisions of the SCA; or (ii) it complies with the requirements (including but not limited to approval of the shareholders by special resolution) set out in the SCA.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Wave-Singapore’s constitution provides that except as expressly permitted by the SCA, Wave-Singapore shall not give, whether directly or indirectly and whether by the means of the making of a loan, the giving of a guarantee, the provision of security, the release of an obligation or the release of a debt or otherwise, any financial assistance for the purpose of, or in connection with, the acquisition or proposed acquisition of shares or units of shares in Wave-Singapore or its holding company.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82" w:name="toc45078_80"/>
            <w:bookmarkEnd w:id="82"/>
            <w:r>
              <w:rPr>
                <w:rFonts w:ascii="Times New Roman" w:hAnsi="Times New Roman"/>
                <w:b/>
                <w:sz w:val="20"/>
              </w:rPr>
              <w:t>Transferability of Shares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Wave-Delaware’s amended and restated certificate of incorporation and amended and restated bylaws do not provide for any restrictions on the transferability of shares of Wave-Delaware’s capital stock. Subject to applicable securities laws, shares of Wave-Delaware’s common stock will be freely transferable on Nasdaq.</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Wave-Singapore’s constitution provides that any shareholder may transfer all or any of his or her shares, subject to the restrictions of the constitution, applicable laws and the rules and regulations of Nasdaq.</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83" w:name="toc45078_81"/>
            <w:bookmarkEnd w:id="83"/>
            <w:r>
              <w:rPr>
                <w:rFonts w:ascii="Times New Roman" w:hAnsi="Times New Roman"/>
                <w:b/>
                <w:sz w:val="20"/>
              </w:rPr>
              <w:t>Transactions with Officers or Directors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 xml:space="preserve">Under the DGCL, some contracts or transactions in which one or more of a corporation’s directors has an interest are not void or voidable because of such interest </w:t>
            </w:r>
            <w:r>
              <w:rPr>
                <w:i/>
              </w:rPr>
              <w:t>provided</w:t>
            </w:r>
            <w:r>
              <w:rPr/>
              <w:t xml:space="preserve"> that some conditions, such as obtaining the required approval, fulfilling the requirements of good faith and ensuring the transaction does not include a conflicted “controlling stockholder”, are met. Under the DGCL, a stockholder is considered a “controlling stockholder” if it (a) owns a majority of the stockholder voting power in director elections, (b) may elect, at its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SCA, directors and chief executive officer are not prohibited from dealing with the company, but where they have an interest, whether directly or indirectly, in a transaction with the company, that interest must be disclosed to the Board of Directors. In particular, every director and chief executive officer who is in any way, whether directly or indirectly, interested in a transaction or proposed transaction with the company must, as soon as is practicable after the relevant facts have come to such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pPr>
            <w:r>
              <w:rPr/>
              <w:t>discretion, board nominees who make up a voting majority of the board, or (c) owns at least 33% of the stockholder voting power in director elections. Under the DGCL, a transaction without a conflicted controlling stockholder may be approved as follows: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director’s or chief executive officer’s knowledge, declare the nature of such director’s or chief executive officer’s interest at a Board of Directors’ meeting or by sending a written notice to the company detailing the nature, character and extent of the conflict.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 director and any chief executive officer who holds any office or possesses any property which directly or indirectly might create interests in conflict with such director’s duties or, as the case may be, the chief executive officer’s duties, as director or chief executive officer is required to declare the fact and the nature, character and extent of the conflict either at a meeting of directors or by sending a written notice to the company detailing the nature, character and extent of the conflict.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 interest of a member of a director’s or chief executive officer’s family (including spouse, son, adopted son, stepson, daughter, adopted daughter and stepdaughter) will be treated as an interest of the director or chief executive officer, as applicable.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There is however no requirement for disclosure where the interest of the director or chief executive officer consists only of being a member or creditor of a corporation which is interested in the transaction or proposed transaction with the company if the interest may properly be regarded as not being a material interest. Where the transaction or proposed transaction relates to any loan to the company, a director or chief executive officer is not deemed to be interested or to have been at any time interested in such transaction or proposed transaction where the director or chief executive officer, as applicable, has only guaranteed the repayment of such loan, unless the constitution provides otherwise.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Further, where the proposed transaction has been or will be made with or for the benefit of or on behalf of a related company (i.e., the holding company, subsidiary or subsidiary of a common holding company), the director or chief executive officer is not deemed to be interested or to have been at any time interested in such transaction or proposed transaction by virtue of only being a director or chief executive officer (as the case may be) of the related corporation, unless the constitution provides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specified exceptions, the SCA prohibits a Singapore company (other than an exempt private company) from, among others, (i) making a loan or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quasi-loan to its directors or to directors of a related corporation, or giving a guarantee or security in connection with such a loan or quasi-loan, (ii) entering into a credit transaction as creditor for the benefit of its directors or the directors of a related corporation, or giving a guarantee or any security in connection with such a credit transaction, (iii) arranging an assignment to or assumption by the company of any rights, obligations or liabilities under a transaction which, if it had been entered into by the company, would have been a restricted transaction, and (iv) taking part in an arrangement under which another person enters into a transaction which, if entered into by the company, would have been a restricted transaction and such person obtains a benefit from the company or its related corporation pursuant thereto. Companies are also prohibited from entering into any of these transactions with the spouse or children (whether adopted or natural or stepchildren) of its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Further, subject to specified exceptions, the SCA prohibits a company (other than an exempt private company) from making a loan or a quasi-loan to another company or a limited liability partnership or entering into any guarantee or providing any security in connection with a loan or a quasi-loan made to another company or a limited liability partnership by a person other than the first-mentioned company, entering into a credit transaction as a creditor for the benefit of another company or a limited liability partnership, or entering into any guarantee or provide any security in connection with a credit transaction entered into by any person for the benefit of another company or a limited liability partnership if a director or directors of the first-mentioned company is or together are interested in 20% or more of the total voting power in the other company or the limited liability partnership (as the case may be).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Such prohibition also applies to a loan or quasi-loan made by a company (other than an exempt private company), a credit transaction made by a company (other than an exempt private company) for the benefit of another company or limited liability partnership and a guarantee entered into or security provided by a company (other than an exempt private company) in connection with a loan or quasi-loan made by a person other than the first-mentioned company to another company or a limited liability partnership or with a credit transaction made for the benefit of another company or limited liability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Wave-Delaware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Wave-Singapore</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partnership entered into by a person other than the first-mentioned company, where such other company or limited liability partnership is incorporated or formed (as the case may be) outside Singapore, if a director or directors of the first-mentioned company (a) is or together are interested in 20% or more of the total voting power in the other company or limited liability partnership or (b) in a case where the other company does not have a share capital, exercises or together exercise control over the other company whether by reason of having the power to appoint directors or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SCA also provides that an interest of a member of a director’s family (including spouse, son, adopted son, stepson, daughter, adopted daughter and stepdaughter) will be treated as an interest of the director.</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84" w:name="toc45078_82"/>
            <w:bookmarkEnd w:id="84"/>
            <w:r>
              <w:rPr>
                <w:rFonts w:ascii="Times New Roman" w:hAnsi="Times New Roman"/>
                <w:b/>
                <w:sz w:val="20"/>
              </w:rPr>
              <w:t>Appraisal / Dissenters’ Rights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the DGCL,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such a transaction.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There are no equivalent provisions in Singapore under the SCA.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20"/>
              </w:rPr>
            </w:pPr>
            <w:bookmarkStart w:id="85" w:name="toc45078_83"/>
            <w:bookmarkEnd w:id="85"/>
            <w:r>
              <w:rPr>
                <w:rFonts w:ascii="Times New Roman" w:hAnsi="Times New Roman"/>
                <w:b/>
                <w:sz w:val="20"/>
              </w:rPr>
              <w:t>Forum Selection; Exclusive Jurisdiction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Wave-Delaware amended and restated certificate of incorporation and amended and restated bylaws will provide that, unless Wave-Delaware consents in writing to the selection of an alternate forum, (a) the Court of Chancery of the State of Delaware (or, if such court does not have jurisdiction thereof, the federal district court for the State of Delaware or other state courts of the State of Delaware) will, to the fullest extent permitted by law, be the sole and exclusive forum for certain actions involving Wave-Delaware and its directors, officers and stockholders under Delaware law or relating to Wave-Delaware’s governing documents, as set out in the amended and restated certificate of incorporation and amended and restated bylaws; and (b) the federal district courts of the United States of America will be the exclusive forum for the resolution of any complaint asserting a cause of action arising under the U.S. Securities Act, and the rules and regulations promulgated thereunder.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There are no equivalent provisions in Singapore under the SCA or Wave-Singapore’s constitution.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oc45078_84"/>
      <w:bookmarkEnd w:id="86"/>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the holders of our ordinary shares in connection with the solicitation of proxies by Wave-Singapore’s Board of Directors for use at a Special Meeting to consider the Scheme of Arrangement. </w:t>
      </w:r>
    </w:p>
    <w:p>
      <w:pPr>
        <w:pStyle w:val="TextBody"/>
        <w:bidi w:val="0"/>
        <w:spacing w:before="360" w:after="0"/>
        <w:jc w:val="left"/>
        <w:rPr>
          <w:rFonts w:ascii="Times New Roman" w:hAnsi="Times New Roman"/>
          <w:b/>
          <w:sz w:val="20"/>
        </w:rPr>
      </w:pPr>
      <w:bookmarkStart w:id="87" w:name="toc45078_85"/>
      <w:bookmarkEnd w:id="87"/>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conducted in accordance with the directions of the Singapore Court. </w:t>
      </w:r>
    </w:p>
    <w:p>
      <w:pPr>
        <w:pStyle w:val="TextBody"/>
        <w:bidi w:val="0"/>
        <w:spacing w:before="360" w:after="0"/>
        <w:jc w:val="left"/>
        <w:rPr>
          <w:rFonts w:ascii="Times New Roman" w:hAnsi="Times New Roman"/>
          <w:b/>
          <w:sz w:val="20"/>
        </w:rPr>
      </w:pPr>
      <w:bookmarkStart w:id="88" w:name="toc45078_86"/>
      <w:bookmarkEnd w:id="88"/>
      <w:r>
        <w:rPr>
          <w:rFonts w:ascii="Times New Roman" w:hAnsi="Times New Roman"/>
          <w:b/>
          <w:sz w:val="20"/>
        </w:rPr>
        <w:t xml:space="preserve">Time, Place and Date </w:t>
      </w:r>
    </w:p>
    <w:p>
      <w:pPr>
        <w:pStyle w:val="TextBody"/>
        <w:bidi w:val="0"/>
        <w:spacing w:before="120" w:after="0"/>
        <w:jc w:val="left"/>
        <w:rPr>
          <w:rFonts w:ascii="Times New Roman" w:hAnsi="Times New Roman"/>
          <w:sz w:val="20"/>
        </w:rPr>
      </w:pPr>
      <w:r>
        <w:rPr>
          <w:rFonts w:ascii="Times New Roman" w:hAnsi="Times New Roman"/>
          <w:sz w:val="20"/>
        </w:rPr>
        <w:t>The Special Meeting will be held on [</w:t>
      </w:r>
      <w:r>
        <w:rPr>
          <w:rFonts w:ascii="Times New Roman" w:hAnsi="Times New Roman"/>
          <w:sz w:val="20"/>
          <w:u w:val="single"/>
        </w:rPr>
        <w:t> </w:t>
      </w:r>
      <w:r>
        <w:rPr>
          <w:rFonts w:ascii="Times New Roman" w:hAnsi="Times New Roman"/>
          <w:sz w:val="20"/>
        </w:rPr>
        <w:t>], 2026 at [</w:t>
      </w:r>
      <w:r>
        <w:rPr>
          <w:rFonts w:ascii="Times New Roman" w:hAnsi="Times New Roman"/>
          <w:sz w:val="20"/>
          <w:u w:val="single"/>
        </w:rPr>
        <w:t> </w:t>
      </w:r>
      <w:r>
        <w:rPr>
          <w:rFonts w:ascii="Times New Roman" w:hAnsi="Times New Roman"/>
          <w:sz w:val="20"/>
        </w:rPr>
        <w:t xml:space="preserve">] Eastern time in person at 733 Concord Avenue, Cambridge, MA 02138. </w:t>
      </w:r>
    </w:p>
    <w:p>
      <w:pPr>
        <w:pStyle w:val="TextBody"/>
        <w:bidi w:val="0"/>
        <w:spacing w:before="360" w:after="0"/>
        <w:jc w:val="left"/>
        <w:rPr>
          <w:rFonts w:ascii="Times New Roman" w:hAnsi="Times New Roman"/>
          <w:b/>
          <w:sz w:val="20"/>
        </w:rPr>
      </w:pPr>
      <w:bookmarkStart w:id="89" w:name="toc45078_87"/>
      <w:bookmarkEnd w:id="89"/>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meeting, Wave-Singapore’s Board of Directors will ask the ordinary shareholders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 </w:t>
      </w:r>
    </w:p>
    <w:p>
      <w:pPr>
        <w:pStyle w:val="TextBody"/>
        <w:bidi w:val="0"/>
        <w:spacing w:before="240" w:after="0"/>
        <w:jc w:val="left"/>
        <w:rPr>
          <w:rFonts w:ascii="Times New Roman" w:hAnsi="Times New Roman"/>
          <w:b/>
          <w:sz w:val="20"/>
        </w:rPr>
      </w:pPr>
      <w:r>
        <w:rPr>
          <w:rFonts w:ascii="Times New Roman" w:hAnsi="Times New Roman"/>
          <w:b/>
          <w:sz w:val="20"/>
        </w:rPr>
        <w:t xml:space="preserve">Wave-Singapore’s Board of Directors has unanimously approved the Scheme of Arrangement and recommends that you vote “FOR” the Wave Redomiciliation Proposal. </w:t>
      </w:r>
    </w:p>
    <w:p>
      <w:pPr>
        <w:pStyle w:val="TextBody"/>
        <w:bidi w:val="0"/>
        <w:spacing w:before="360" w:after="0"/>
        <w:jc w:val="left"/>
        <w:rPr>
          <w:rFonts w:ascii="Times New Roman" w:hAnsi="Times New Roman"/>
          <w:b/>
          <w:sz w:val="20"/>
        </w:rPr>
      </w:pPr>
      <w:bookmarkStart w:id="90" w:name="toc45078_88"/>
      <w:bookmarkEnd w:id="90"/>
      <w:r>
        <w:rPr>
          <w:rFonts w:ascii="Times New Roman" w:hAnsi="Times New Roman"/>
          <w:b/>
          <w:sz w:val="20"/>
        </w:rPr>
        <w:t xml:space="preserve">Record Date; Voting Rights; Votes Required for Approval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2026 has been fixed as the Record Date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Only holders of record of Wave-Singapore ordinary shares on the Record Date are entitled to notice of, and only the Scheme Shareholders as of the Record Date are entitled to vote at, the Special Meeting. You will not be the holder of record of shares that you hold “beneficially.” Instead, the depository (for example, CEDE as nominee for DTC) or other nominee will be the holder of record of such shares. </w:t>
      </w:r>
    </w:p>
    <w:p>
      <w:pPr>
        <w:pStyle w:val="TextBody"/>
        <w:bidi w:val="0"/>
        <w:spacing w:before="240" w:after="0"/>
        <w:jc w:val="left"/>
        <w:rPr>
          <w:rFonts w:ascii="Times New Roman" w:hAnsi="Times New Roman"/>
          <w:sz w:val="20"/>
        </w:rPr>
      </w:pPr>
      <w:r>
        <w:rPr>
          <w:rFonts w:ascii="Times New Roman" w:hAnsi="Times New Roman"/>
          <w:sz w:val="20"/>
        </w:rPr>
        <w:t>On the Record Date, approximately [</w:t>
      </w:r>
      <w:r>
        <w:rPr>
          <w:rFonts w:ascii="Times New Roman" w:hAnsi="Times New Roman"/>
          <w:sz w:val="20"/>
          <w:u w:val="single"/>
        </w:rPr>
        <w:t> </w:t>
      </w:r>
      <w:r>
        <w:rPr>
          <w:rFonts w:ascii="Times New Roman" w:hAnsi="Times New Roman"/>
          <w:sz w:val="20"/>
        </w:rPr>
        <w:t xml:space="preserve">] ordinary shares in the capital of Wave-Singapore were outstanding and entitled to be voted at the meeting. Each Wave-Singapore ordinary share entitles the holder to one vote.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the presence, in person or by proxy, of at least two Scheme Shareholders as of the Record Date holding in aggregate at least a majority of all issued and outstanding ordinary shares entitled to vote at the Special Meeting is necessary to constitute a quorum at the Special Meeting. Votes of shareholders of record who are present in person or represented by proxy at the Special Meeting, abstentions and broker non-votes are counted for purposes of determining whether a quorum exists.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Assuming the presence of a quorum,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 is required for the approval of the Wave Redomiciliation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hAnsi="Times New Roman"/>
          <w:b/>
          <w:sz w:val="20"/>
        </w:rPr>
        <w:t>DTC</w:t>
      </w:r>
      <w:r>
        <w:rPr>
          <w:rFonts w:ascii="Times New Roman" w:hAnsi="Times New Roman"/>
          <w:sz w:val="20"/>
        </w:rPr>
        <w:t>”), and registered in the name of CEDE &amp; Co. (“</w:t>
      </w:r>
      <w:r>
        <w:rPr>
          <w:rFonts w:ascii="Times New Roman" w:hAnsi="Times New Roman"/>
          <w:b/>
          <w:sz w:val="20"/>
        </w:rPr>
        <w:t>CEDE</w:t>
      </w:r>
      <w:r>
        <w:rPr>
          <w:rFonts w:ascii="Times New Roman" w:hAnsi="Times New Roman"/>
          <w:sz w:val="20"/>
        </w:rPr>
        <w:t xml:space="preserve">”) as nominee of DTC and holder of record in the Register of Members of Wave-Singapore,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CEDE shall be deemed not to be a Scheme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each shareholder whose name appears on the register of DTC as a holder of Wave-Singapore ordinary shares (a “</w:t>
            </w:r>
            <w:r>
              <w:rPr>
                <w:rFonts w:ascii="Times New Roman" w:hAnsi="Times New Roman"/>
                <w:b/>
                <w:sz w:val="20"/>
              </w:rPr>
              <w:t>DTC Participant</w:t>
            </w:r>
            <w:r>
              <w:rPr>
                <w:rFonts w:ascii="Times New Roman" w:hAnsi="Times New Roman"/>
                <w:sz w:val="20"/>
              </w:rPr>
              <w:t xml:space="preserve">”) shall be deemed to be a Scheme Shareholder in respect of such number of Wave-Singapore ordinary shares held in its account under CEDE.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Scheme Shareholder as of the Record Date for the Special Meeting, may vote in person at the Special Meeting or may appoint one (and not more than one) person, whether a Scheme Shareholder or not, as his or her proxy to attend and vote in his or her stead. </w:t>
      </w:r>
    </w:p>
    <w:p>
      <w:pPr>
        <w:pStyle w:val="TextBody"/>
        <w:bidi w:val="0"/>
        <w:spacing w:before="240" w:after="0"/>
        <w:jc w:val="left"/>
        <w:rPr>
          <w:rFonts w:ascii="Times New Roman" w:hAnsi="Times New Roman"/>
          <w:sz w:val="20"/>
        </w:rPr>
      </w:pPr>
      <w:r>
        <w:rPr>
          <w:rFonts w:ascii="Times New Roman" w:hAnsi="Times New Roman"/>
          <w:sz w:val="20"/>
        </w:rPr>
        <w:t xml:space="preserve">A Scheme Shareholder who is not a DTC Participant may only cast all the votes it uses at the Special Meeting (whether in person or by proxy) in one way, and may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its Wave-Singapore ordinary shares “</w:t>
            </w:r>
            <w:r>
              <w:rPr>
                <w:rFonts w:ascii="Times New Roman" w:hAnsi="Times New Roman"/>
                <w:b/>
                <w:sz w:val="20"/>
              </w:rPr>
              <w:t>FOR</w:t>
            </w:r>
            <w:r>
              <w:rPr>
                <w:rFonts w:ascii="Times New Roman" w:hAnsi="Times New Roman"/>
                <w:sz w:val="20"/>
              </w:rPr>
              <w:t xml:space="preserve">”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of its Wave-Singapore ordinary shares “</w:t>
            </w:r>
            <w:r>
              <w:rPr>
                <w:rFonts w:ascii="Times New Roman" w:hAnsi="Times New Roman"/>
                <w:b/>
                <w:sz w:val="20"/>
              </w:rPr>
              <w:t>AGAINST</w:t>
            </w:r>
            <w:r>
              <w:rPr>
                <w:rFonts w:ascii="Times New Roman" w:hAnsi="Times New Roman"/>
                <w:sz w:val="20"/>
              </w:rPr>
              <w:t xml:space="preserve">” the Wave Redomiciliation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of its Wave-Singapore ordinary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Scheme Shareholder who is a DTC Participant need not vote the Wave-Singapore ordinary shares registered in its name in the same way. Accordingly, a DTC Participant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FOR</w:t>
            </w:r>
            <w:r>
              <w:rPr>
                <w:rFonts w:ascii="Times New Roman" w:hAnsi="Times New Roman"/>
                <w:sz w:val="20"/>
              </w:rPr>
              <w:t xml:space="preserve">” the Wave Redomiciliation Proposal, which part shall be counted as approving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vote all or part of its Wave-Singapore ordinary shares “</w:t>
            </w:r>
            <w:r>
              <w:rPr>
                <w:rFonts w:ascii="Times New Roman" w:hAnsi="Times New Roman"/>
                <w:b/>
                <w:sz w:val="20"/>
              </w:rPr>
              <w:t>AGAINST</w:t>
            </w:r>
            <w:r>
              <w:rPr>
                <w:rFonts w:ascii="Times New Roman" w:hAnsi="Times New Roman"/>
                <w:sz w:val="20"/>
              </w:rPr>
              <w:t xml:space="preserve">” the Wave Redomiciliation Proposal, which part shall be counted as against approving the Wave Redomiciliation Proposal;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abstain from voting in respect of all or part of its Wave-Singapore ordinary shares, which part shall not be counted in determining the Wave-Singapore ordinary shares that are present and voting on the Wave Redomiciliation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Wave Redomiciliation Proposal is approved by a majority in number of Scheme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Scheme Shareholder who is a DTC Participant casts votes both for and against the Wave Redomiciliation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Scheme Shareholder represented in person or by proxy at the Special Meeting is entitled to one vote per Wave-Singapore ordinary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Holders of Wave-Singapore ordinary shares may file an objection with the Singapore Court against the approval of the Scheme of Arrangement, but no appraisal or dissenting rights are available to such holders in connection with a scheme of arrangement effected under Singapore law. </w:t>
      </w:r>
    </w:p>
    <w:p>
      <w:pPr>
        <w:pStyle w:val="TextBody"/>
        <w:bidi w:val="0"/>
        <w:spacing w:before="240" w:after="0"/>
        <w:jc w:val="left"/>
        <w:rPr>
          <w:rFonts w:ascii="Times New Roman" w:hAnsi="Times New Roman"/>
          <w:sz w:val="20"/>
        </w:rPr>
      </w:pPr>
      <w:r>
        <w:rPr>
          <w:rFonts w:ascii="Times New Roman" w:hAnsi="Times New Roman"/>
          <w:sz w:val="20"/>
        </w:rPr>
        <w:t>Our directors and executive officers have indicated that they intend to vote their Wave-Singapore ordinary shares in favor of the Wave Redomiciliation Proposal. On the Record Date, our current directors and executive officers and their affiliates beneficially owned [</w:t>
      </w:r>
      <w:r>
        <w:rPr>
          <w:rFonts w:ascii="Times New Roman" w:hAnsi="Times New Roman"/>
          <w:sz w:val="20"/>
          <w:u w:val="single"/>
        </w:rPr>
        <w:t> </w:t>
      </w:r>
      <w:r>
        <w:rPr>
          <w:rFonts w:ascii="Times New Roman" w:hAnsi="Times New Roman"/>
          <w:sz w:val="20"/>
        </w:rPr>
        <w:t>] Wave-Singapore ordinary shares, which is approximately [</w:t>
      </w:r>
      <w:r>
        <w:rPr>
          <w:rFonts w:ascii="Times New Roman" w:hAnsi="Times New Roman"/>
          <w:sz w:val="20"/>
          <w:u w:val="single"/>
        </w:rPr>
        <w:t> </w:t>
      </w:r>
      <w:r>
        <w:rPr>
          <w:rFonts w:ascii="Times New Roman" w:hAnsi="Times New Roman"/>
          <w:sz w:val="20"/>
        </w:rPr>
        <w:t xml:space="preserve">]% in the aggregate of the outstanding Wave-Singapore shares. </w:t>
      </w:r>
    </w:p>
    <w:p>
      <w:pPr>
        <w:pStyle w:val="TextBody"/>
        <w:bidi w:val="0"/>
        <w:spacing w:before="360" w:after="0"/>
        <w:jc w:val="left"/>
        <w:rPr>
          <w:rFonts w:ascii="Times New Roman" w:hAnsi="Times New Roman"/>
          <w:b/>
          <w:sz w:val="20"/>
        </w:rPr>
      </w:pPr>
      <w:bookmarkStart w:id="91" w:name="toc45078_89"/>
      <w:bookmarkEnd w:id="91"/>
      <w:r>
        <w:rPr>
          <w:rFonts w:ascii="Times New Roman" w:hAnsi="Times New Roman"/>
          <w:b/>
          <w:sz w:val="20"/>
        </w:rPr>
        <w:t xml:space="preserve">Proxies </w:t>
      </w:r>
    </w:p>
    <w:p>
      <w:pPr>
        <w:pStyle w:val="TextBody"/>
        <w:bidi w:val="0"/>
        <w:spacing w:before="120" w:after="0"/>
        <w:jc w:val="left"/>
        <w:rPr>
          <w:rFonts w:ascii="Times New Roman" w:hAnsi="Times New Roman"/>
          <w:sz w:val="20"/>
        </w:rPr>
      </w:pPr>
      <w:r>
        <w:rPr>
          <w:rFonts w:ascii="Times New Roman" w:hAnsi="Times New Roman"/>
          <w:sz w:val="20"/>
        </w:rPr>
        <w:t>A proxy card is being sent to each Wave-Singapore shareholder of record as of the Record Date. If you properly received a proxy card, you may grant a proxy to vote on the Wave Redomiciliation Proposal presented in one of the two ways which are explained below under “</w:t>
      </w:r>
      <w:r>
        <w:rPr>
          <w:rFonts w:ascii="Times New Roman" w:hAnsi="Times New Roman"/>
          <w:i/>
          <w:sz w:val="20"/>
        </w:rPr>
        <w:t>How You Can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properly complete, sign and date the enclosed proxy card and timely send it to us or timely properly appoint your proxy over the Internet or by telephone, your proxy holder (one of the individuals named on the enclosed proxy card) will vote your Wave-Singapore shares as you have directed. </w:t>
      </w:r>
    </w:p>
    <w:p>
      <w:pPr>
        <w:pStyle w:val="TextBody"/>
        <w:bidi w:val="0"/>
        <w:spacing w:before="240" w:after="0"/>
        <w:jc w:val="left"/>
        <w:rPr>
          <w:rFonts w:ascii="Times New Roman" w:hAnsi="Times New Roman"/>
          <w:b/>
          <w:sz w:val="20"/>
        </w:rPr>
      </w:pPr>
      <w:r>
        <w:rPr>
          <w:rFonts w:ascii="Times New Roman" w:hAnsi="Times New Roman"/>
          <w:b/>
          <w:sz w:val="20"/>
        </w:rPr>
        <w:t xml:space="preserve">If you do not specify on the enclosed proxy card that is submitted (or when appointing your proxy over the Internet or by telephone) how you want to vote your Wave-Singapore shares, the proxy holders will vote them “FOR” the Wave Redomiciliation Proposal set forth in this proxy statement. </w:t>
      </w:r>
    </w:p>
    <w:p>
      <w:pPr>
        <w:pStyle w:val="TextBody"/>
        <w:bidi w:val="0"/>
        <w:spacing w:before="240" w:after="0"/>
        <w:jc w:val="left"/>
        <w:rPr>
          <w:rFonts w:ascii="Times New Roman" w:hAnsi="Times New Roman"/>
          <w:sz w:val="20"/>
        </w:rPr>
      </w:pPr>
      <w:r>
        <w:rPr>
          <w:rFonts w:ascii="Times New Roman" w:hAnsi="Times New Roman"/>
          <w:sz w:val="20"/>
        </w:rPr>
        <w:t>You may abstain on the Wave Redomiciliation Proposal by marking “</w:t>
      </w:r>
      <w:r>
        <w:rPr>
          <w:rFonts w:ascii="Times New Roman" w:hAnsi="Times New Roman"/>
          <w:b/>
          <w:sz w:val="20"/>
        </w:rPr>
        <w:t>ABSTAIN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or broker non-vote on the proposal to approve the Scheme of Arrangement has the effect of a vote not being cast with respect to the relevant shares. As a consequence, such shares will not be considered when determining whether the Wave Redomiciliation Proposal has received the required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If you give us your proxy, you may change or revoke it at any time before or at the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received a proxy card, by signing and submitting a new proxy card with a date later than your previously delivered proxy card, which must be received by Vote Processing, c/o Broadridge, 51 Mercedes Way, Edgewood, NY 11717 not less than 48 hours before the time fixed for the Special Meeting or within such other time as may be required by the Singapore Companies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and voting at the Special Meeting in person. Any appointment of a proxy or proxies will be revoked if a shareholder of record attends and votes in person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vote is the one that will be counted.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submit a proxy card (if applicable) in the manner and within the period stated therein or if the proxy card (if applicable) is incomplete, improperly completed, illegible or where your true intentions are not ascertainable from the instructions specified in the proxy card (if applicable), you and your proxy (if applicable) may only be admitted to the Special Meeting at the discretion of the Chairperson of the Special Meeting. You will, nonetheless, be bound by the terms of the Scheme of Arrangement in the event that it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do not appoint a proxy and you do not vote at the Special Meeting, you will still be bound by the outcome. You are therefore strongly urged to attend and vote at the meeting in person or by proxy.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is being solicited on behalf of the Board of Directors of Wave-Singapore. We have hired Innisfree to assist in the distribution of proxy materials and the solicitation of proxies for an initial fee 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 </w:t>
      </w:r>
    </w:p>
    <w:p>
      <w:pPr>
        <w:pStyle w:val="TextBody"/>
        <w:bidi w:val="0"/>
        <w:spacing w:before="360" w:after="0"/>
        <w:jc w:val="left"/>
        <w:rPr>
          <w:rFonts w:ascii="Times New Roman" w:hAnsi="Times New Roman"/>
          <w:b/>
          <w:sz w:val="20"/>
        </w:rPr>
      </w:pPr>
      <w:bookmarkStart w:id="92" w:name="toc45078_90"/>
      <w:bookmarkEnd w:id="92"/>
      <w:r>
        <w:rPr>
          <w:rFonts w:ascii="Times New Roman" w:hAnsi="Times New Roman"/>
          <w:b/>
          <w:sz w:val="20"/>
        </w:rPr>
        <w:t xml:space="preserve">How You Can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Scheme Shareholder who is a Registered Holder as of the Record Date, you can vote your Wave-Singapore ordinary shares directly by attending the Special Meeting and casting your vote in person or by completing and returning a proxy card, which when properly executed and received by Wave-Singapore, will be voted at the Special Meeting in accordance with your instructions set forth in the proxy. By submitting your proxy card, you are legally authorizing another person to exercise all of your rights to attend, speak and vote your Wave-Singapore ordinary shares at the Special Meeting in accordance with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hold Wave-Singapore ordinary shares through a broker or nominee, we recommend that you contact your broker or nominee directly for more information on the procedures by which your Wave-Singapore ordinary shares can be voted. Your broker or nominee will not be able to vote your Wave-Singapore ordinary shares unless it receives appropriate instructions from you. </w:t>
      </w:r>
    </w:p>
    <w:p>
      <w:pPr>
        <w:pStyle w:val="TextBody"/>
        <w:bidi w:val="0"/>
        <w:spacing w:before="240" w:after="0"/>
        <w:jc w:val="left"/>
        <w:rPr>
          <w:rFonts w:ascii="Times New Roman" w:hAnsi="Times New Roman"/>
          <w:sz w:val="20"/>
        </w:rPr>
      </w:pPr>
      <w:r>
        <w:rPr>
          <w:rFonts w:ascii="Times New Roman" w:hAnsi="Times New Roman"/>
          <w:sz w:val="20"/>
        </w:rPr>
        <w:t>All shares entitled to vote and represented by properly completed proxies received prior to the Special Meeting and not revoked will be voted at the Special Meeting in accordance with your instructions. If you are a Scheme Shareholder who is a Registered Holder as of the Record Date and you return a signed proxy card without indicating how your shares should be voted on a matter and do not revoke your proxy, the shares represented by your proxy will be voted as the Board recommends, and therefore, “</w:t>
      </w:r>
      <w:r>
        <w:rPr>
          <w:rFonts w:ascii="Times New Roman" w:hAnsi="Times New Roman"/>
          <w:b/>
          <w:sz w:val="20"/>
        </w:rPr>
        <w:t>FOR</w:t>
      </w:r>
      <w:r>
        <w:rPr>
          <w:rFonts w:ascii="Times New Roman" w:hAnsi="Times New Roman"/>
          <w:sz w:val="20"/>
        </w:rPr>
        <w:t xml:space="preserve">” the approval of the Wave Redomiciliation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later than 48 hours before the appointed time of the meeting or (ii) by attending the meeting and voting in person. You can submit your subsequently dated proxy to Wave-Singapore at c/o </w:t>
      </w:r>
      <w:r>
        <w:rPr>
          <w:rFonts w:ascii="Times New Roman" w:hAnsi="Times New Roman"/>
          <w:i/>
          <w:sz w:val="20"/>
        </w:rPr>
        <w:t>Vote Processing</w:t>
      </w:r>
      <w:r>
        <w:rPr>
          <w:rFonts w:ascii="Times New Roman" w:hAnsi="Times New Roman"/>
          <w:sz w:val="20"/>
        </w:rPr>
        <w:t xml:space="preserve">, Broadridge, 51 Mercedes Way, Edgewood, NY 11717 not less than 48 hours before the time fixed for the Special Meeting or within such other time as may be required by the Singapore Companies Act.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Special Meeting is postponed or adjourned, as a Scheme Shareholder your proxy will remain valid and may be voted at the postponed or adjourned meeting. You will still be able to revoke your proxy until it is voted. </w:t>
      </w:r>
    </w:p>
    <w:p>
      <w:pPr>
        <w:pStyle w:val="TextBody"/>
        <w:bidi w:val="0"/>
        <w:spacing w:before="240" w:after="0"/>
        <w:jc w:val="left"/>
        <w:rPr>
          <w:rFonts w:ascii="Times New Roman" w:hAnsi="Times New Roman"/>
          <w:sz w:val="20"/>
        </w:rPr>
      </w:pPr>
      <w:r>
        <w:rPr>
          <w:rFonts w:ascii="Times New Roman" w:hAnsi="Times New Roman"/>
          <w:sz w:val="20"/>
        </w:rPr>
        <w:t xml:space="preserve">Proxies received at any time before the Special Meeting, and not revoked or superseded before being voted, will be voted at the Special Meeting. A validly signed proxy will be voted in accordance with the specification. </w:t>
      </w:r>
    </w:p>
    <w:p>
      <w:pPr>
        <w:pStyle w:val="TextBody"/>
        <w:bidi w:val="0"/>
        <w:spacing w:before="240" w:after="0"/>
        <w:jc w:val="left"/>
        <w:rPr>
          <w:rFonts w:ascii="Times New Roman" w:hAnsi="Times New Roman"/>
          <w:sz w:val="20"/>
        </w:rPr>
      </w:pPr>
      <w:r>
        <w:rPr>
          <w:rFonts w:ascii="Times New Roman" w:hAnsi="Times New Roman"/>
          <w:sz w:val="20"/>
        </w:rPr>
        <w:t>Subject to space availability, all Wave-Singapore shareholders as of the Record Date, or their duly appointed proxies, may attend the Special Meeting. Since seating is limited, admission to the meeting will be on a first-come, first-served basis. Registration and seating will begin at [</w:t>
      </w:r>
      <w:r>
        <w:rPr>
          <w:rFonts w:ascii="Times New Roman" w:hAnsi="Times New Roman"/>
          <w:sz w:val="20"/>
          <w:u w:val="single"/>
        </w:rPr>
        <w:t> </w:t>
      </w:r>
      <w:r>
        <w:rPr>
          <w:rFonts w:ascii="Times New Roman" w:hAnsi="Times New Roman"/>
          <w:sz w:val="20"/>
        </w:rPr>
        <w:t>] Eastern time on [</w:t>
      </w:r>
      <w:r>
        <w:rPr>
          <w:rFonts w:ascii="Times New Roman" w:hAnsi="Times New Roman"/>
          <w:sz w:val="20"/>
          <w:u w:val="single"/>
        </w:rPr>
        <w:t> </w:t>
      </w:r>
      <w:r>
        <w:rPr>
          <w:rFonts w:ascii="Times New Roman" w:hAnsi="Times New Roman"/>
          <w:sz w:val="20"/>
        </w:rPr>
        <w:t xml:space="preserve">], 2026. Each Wave-Singapore shareholder, or their duly authorized representative, will be asked to present valid photo identification issued by a government agency, such as a driver’s license or passport and, if applicable, evidence of such person’s authorization to represent a Wave-Singapore shareholder. </w:t>
      </w:r>
    </w:p>
    <w:p>
      <w:pPr>
        <w:pStyle w:val="TextBody"/>
        <w:bidi w:val="0"/>
        <w:spacing w:before="240" w:after="0"/>
        <w:jc w:val="left"/>
        <w:rPr>
          <w:rFonts w:ascii="Times New Roman" w:hAnsi="Times New Roman"/>
          <w:sz w:val="20"/>
        </w:rPr>
      </w:pPr>
      <w:r>
        <w:rPr>
          <w:rFonts w:ascii="Times New Roman" w:hAnsi="Times New Roman"/>
          <w:sz w:val="20"/>
        </w:rPr>
        <w:t xml:space="preserve">If your Wave-Singapore ordinary shares are held in the name of a bank, broker, custodian, nominee or other holder of record and you plan to attend the Special Meeting, you must present proof of your beneficial ownership of Wave-Singapore ordinary shares, such as a recent bank or brokerage account statement, together with a form of personal identification and proof of address to be admitted to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Even if you establish proof of your beneficial ownership and/or have a valid admission ticket, you will not be entitled to vote at or otherwise participate in the meeting unless you are a Scheme Shareholder entitled to vote at the Special Meeting. </w:t>
      </w:r>
    </w:p>
    <w:p>
      <w:pPr>
        <w:pStyle w:val="TextBody"/>
        <w:bidi w:val="0"/>
        <w:spacing w:before="360" w:after="0"/>
        <w:jc w:val="left"/>
        <w:rPr>
          <w:rFonts w:ascii="Times New Roman" w:hAnsi="Times New Roman"/>
          <w:b/>
          <w:sz w:val="20"/>
        </w:rPr>
      </w:pPr>
      <w:bookmarkStart w:id="93" w:name="toc45078_91"/>
      <w:bookmarkEnd w:id="93"/>
      <w:r>
        <w:rPr>
          <w:rFonts w:ascii="Times New Roman" w:hAnsi="Times New Roman"/>
          <w:b/>
          <w:sz w:val="20"/>
        </w:rPr>
        <w:t xml:space="preserve">Validity </w:t>
      </w:r>
    </w:p>
    <w:p>
      <w:pPr>
        <w:pStyle w:val="TextBody"/>
        <w:bidi w:val="0"/>
        <w:spacing w:before="120" w:after="0"/>
        <w:jc w:val="left"/>
        <w:rPr>
          <w:rFonts w:ascii="Times New Roman" w:hAnsi="Times New Roman"/>
          <w:sz w:val="20"/>
        </w:rPr>
      </w:pPr>
      <w:r>
        <w:rPr>
          <w:rFonts w:ascii="Times New Roman" w:hAnsi="Times New Roman"/>
          <w:sz w:val="20"/>
        </w:rPr>
        <w:t xml:space="preserve">Paul Bolno (or failing him, Linda Rockett or failing her any other director of Wave-Singapore) has been appointed by the Singapore Court as Chairperson of the Special Meeting to preside at the Special Meeting and to report the voting results of the Special Meeting to the Singapore Court. The Chairperson of the Special Meeting will count the votes, determine the existence of a quorum, validity of proxies and ballots, and certify the results of the voting. His or her determination will be final and binding,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determination is subject to any decision made by a court of competent jurisdiction upon a lawful challenge to his or her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4" w:name="toc45078_92"/>
      <w:bookmarkEnd w:id="94"/>
      <w:r>
        <w:rPr>
          <w:rFonts w:ascii="Times New Roman" w:hAnsi="Times New Roman"/>
          <w:b/>
          <w:sz w:val="20"/>
        </w:rPr>
        <w:t xml:space="preserve">SECURITY OWNERSHIP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ordinary shares as of April 7, 2026 for (i) each named executive officer, (ii) each of our directors and nominees for director; (iii) all of our executive officers and directors as a group; and (iv) each person known to us to be the beneficial owner of more than 5%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We deem ordinary shares that may be acquired by an individual or group within 60 days after April 7, 2026 pursuant to the exercise of options, the vesting of restricted share unit awards, or the exercise of the Pre-Funded Warrants to be outstanding for the purpose of computing the percentage ownership of such individual or group, but such shares are not deemed to be outstanding for the purpose of computing the percentage ownership of any other individual or group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192,353,438 ordinary shares of Wave-Singapore outstanding on April 7,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0"/>
        <w:gridCol w:w="440"/>
        <w:gridCol w:w="61"/>
        <w:gridCol w:w="1215"/>
        <w:gridCol w:w="60"/>
        <w:gridCol w:w="440"/>
        <w:gridCol w:w="135"/>
        <w:gridCol w:w="1374"/>
        <w:gridCol w:w="280"/>
      </w:tblGrid>
      <w:tr>
        <w:trPr/>
        <w:tc>
          <w:tcPr>
            <w:tcW w:w="3750"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75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440"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Ordinary</w:t>
              <w:br/>
              <w:t>Shares</w:t>
              <w:br/>
              <w:t>Beneficially</w:t>
              <w:br/>
              <w:t>Owned</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Ordinary</w:t>
              <w:br/>
              <w:t>Shares</w:t>
              <w:br/>
              <w:t>Beneficial</w:t>
              <w:br/>
              <w:t>Owned</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Shareholders:</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RA Capital Management, L.P.</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34,225,506</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17.15</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GSK plc</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18,245,691</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9.49</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FMR LLC.</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15,020,983</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7.81</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10,017,783</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5.21</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Adage Capital Partners, L.P.</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9,786,061</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5.09</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Paul B. Bolno, M.D., MBA</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2,986,944</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1.53</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Chandra Vargeese, Ph.D.</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1,298,439</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Kyle Moran, CFA</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628,193</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Francis, Ph.D.</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167,347</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Mark H. N. Corrigan, M.D.</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151,460</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Christian Henry</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53,230</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34,225,506</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17.15</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Adrian Rawcliffe</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98,230</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Ken Takanashi</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9,757,881</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5.07</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L. Verdine, Ph.D.</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576,214</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sz w:val="20"/>
              </w:rPr>
            </w:pPr>
            <w:r>
              <w:rPr>
                <w:rFonts w:ascii="Times New Roman" w:hAnsi="Times New Roman"/>
                <w:sz w:val="20"/>
              </w:rPr>
              <w:t>Heidi Wagner</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153,575</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Aik Na Tan</w:t>
            </w:r>
          </w:p>
        </w:tc>
        <w:tc>
          <w:tcPr>
            <w:tcW w:w="4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57,150</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3750" w:type="dxa"/>
            <w:tcBorders/>
          </w:tcPr>
          <w:p>
            <w:pPr>
              <w:pStyle w:val="TableContents"/>
              <w:bidi w:val="0"/>
              <w:spacing w:before="0" w:after="0"/>
              <w:jc w:val="left"/>
              <w:rPr>
                <w:rFonts w:ascii="Times New Roman" w:hAnsi="Times New Roman"/>
                <w:i/>
                <w:sz w:val="20"/>
              </w:rPr>
            </w:pPr>
            <w:r>
              <w:rPr>
                <w:rFonts w:ascii="Times New Roman" w:hAnsi="Times New Roman"/>
                <w:i/>
                <w:sz w:val="20"/>
              </w:rPr>
              <w:t>All current directors and executive officers as a group (12 individuals)</w:t>
            </w:r>
          </w:p>
        </w:tc>
        <w:tc>
          <w:tcPr>
            <w:tcW w:w="4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50,154,169</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24.44</w:t>
            </w:r>
          </w:p>
        </w:tc>
        <w:tc>
          <w:tcPr>
            <w:tcW w:w="28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the table above include securities held in the beneficial owner’s name or jointly with others, or in the name of a bank, nominee or trustee for the beneficial owner’s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are entitled to one vote per share and vote as a single class on all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5" w:name="toc45078_93"/>
      <w:bookmarkEnd w:id="95"/>
      <w:r>
        <w:rPr>
          <w:rFonts w:ascii="Times New Roman" w:hAnsi="Times New Roman"/>
          <w:b/>
          <w:sz w:val="20"/>
        </w:rPr>
        <w:t xml:space="preserve">SUBMISSION OF FUTURE SHAREHOLDER PROPOSALS </w:t>
      </w:r>
    </w:p>
    <w:p>
      <w:pPr>
        <w:pStyle w:val="TextBody"/>
        <w:bidi w:val="0"/>
        <w:spacing w:before="240" w:after="0"/>
        <w:jc w:val="left"/>
        <w:rPr>
          <w:rFonts w:ascii="Times New Roman" w:hAnsi="Times New Roman"/>
          <w:b/>
          <w:sz w:val="20"/>
        </w:rPr>
      </w:pPr>
      <w:bookmarkStart w:id="96" w:name="toc45078_94"/>
      <w:bookmarkEnd w:id="96"/>
      <w:r>
        <w:rPr>
          <w:rFonts w:ascii="Times New Roman" w:hAnsi="Times New Roman"/>
          <w:b/>
          <w:sz w:val="20"/>
        </w:rPr>
        <w:t xml:space="preserve">Wave-Singapore Shareholder Proposals </w:t>
      </w:r>
    </w:p>
    <w:p>
      <w:pPr>
        <w:pStyle w:val="TextBody"/>
        <w:bidi w:val="0"/>
        <w:spacing w:before="120" w:after="0"/>
        <w:jc w:val="left"/>
        <w:rPr>
          <w:rFonts w:ascii="Times New Roman" w:hAnsi="Times New Roman"/>
          <w:sz w:val="20"/>
        </w:rPr>
      </w:pPr>
      <w:r>
        <w:rPr>
          <w:rFonts w:ascii="Times New Roman" w:hAnsi="Times New Roman"/>
          <w:sz w:val="20"/>
        </w:rPr>
        <w:t>To be considered for inclusion in the proxy statement relating to our 2026 Annual General Meeting of Shareholders (the “</w:t>
      </w:r>
      <w:r>
        <w:rPr>
          <w:rFonts w:ascii="Times New Roman" w:hAnsi="Times New Roman"/>
          <w:b/>
          <w:sz w:val="20"/>
        </w:rPr>
        <w:t>2026 AGM</w:t>
      </w:r>
      <w:r>
        <w:rPr>
          <w:rFonts w:ascii="Times New Roman" w:hAnsi="Times New Roman"/>
          <w:sz w:val="20"/>
        </w:rPr>
        <w:t xml:space="preserve">”), shareholder proposals (other than for director nominations) must have been received no later than February 23, 2026, and to be considered for presentation at our 2026 Annual General Meeting of Shareholders, although not included in the proxy statement, proposals (including director nominations that are not requested to be included in our proxy statement) must be received no later than May 9, 2026. Such shareholder proposals must be submitted along with proof of ownership of Wave-Singapore ordinary shares in accordance with Rule 14a-8(b)(2), to us at c/o Wave Life Sciences Ltd., Attention: General Counsel, 733 Concord Avenue, Cambridge, MA 02138. In addition to satisfying the foregoing advance notice requirements, to comply with the universal proxy rules under the Exchange Act, shareholders who intend to solicit proxies in support of director nominees other than the Company’s nominees must follow the requirements set forth in Rule 14a-19 as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 is completed prior to the 2026 AGM, it is anticipated that Wave-Delaware’s shareholder meeting will be more than 30 days from the 2026 AGM such that the deadline for shareholder proposals will be a reasonable time before Wave-Delaware prints and distributes its proxy materials, in accordance with Rule 14a-8(e)(2). If the Transaction is completed after the 2026 AGM, Wave-Delaware will provide notice of its annual stockholder meeting in 2027 and solicit stockholder proposals in a subsequent filing with the SEC in accordance with Rule 14a-8 under the Exchange Act and the DGCL. </w:t>
      </w:r>
    </w:p>
    <w:p>
      <w:pPr>
        <w:pStyle w:val="TextBody"/>
        <w:bidi w:val="0"/>
        <w:spacing w:before="240" w:after="0"/>
        <w:jc w:val="left"/>
        <w:rPr>
          <w:rFonts w:ascii="Times New Roman" w:hAnsi="Times New Roman"/>
          <w:sz w:val="20"/>
        </w:rPr>
      </w:pPr>
      <w:r>
        <w:rPr>
          <w:rFonts w:ascii="Times New Roman" w:hAnsi="Times New Roman"/>
          <w:sz w:val="20"/>
        </w:rPr>
        <w:t xml:space="preserve">Shareholder proposals are also subject to the requirements of the Singapore Companies Act. Under Section 183 of the SCA, only (a) registered shareholders representing not less than 5% of the total voting rights of all the shareholders having at the date of requisition a right to vote at a meeting to which the requisition relates or (b) registered shareholders representing not less than 100 registered shareholders on which there has been paid up an average sum, per shareholder, of not less than 500 Singapore Dollars each may, at their expense, request that we include and give notice of their proposal for the 2026 AGM. Subject to satisfaction of the requirements of Section 183 of the Singapore Companies Act, any such requisition must be signed by all the shareholders making the request and be deposited at our registered office at 7 Straits View #12-00, Marina One East Tower, Singapore 018936, at least six weeks prior to the date of the 2026 AGM in the case of a request requiring notice of a resolution, or at least one week prior to the date of the 2026 AGM in the case of any other request. In addition to the 2026 AGM, the Board of Directors of Wave-Singapore may convene a meeting of our shareholders whenever they think fit and they must do so upon the written request of shareholders holding not less than 10% of the total number of paid-up shares (excluding any treasury shares) as of the date of deposit of the requisition carrying the right to vote at general meetings, failing which the requisitioning shareholders, or any of them holding more than 50% of the voting rights represented by the requisitioning shareholders, may themselves proceed to convene a meeting in compliance with Section 176 of the Singapore Companies Act. In addition, two or more shareholders holding not less than 10% of our total number of issued shares (excluding any treasury shares) may call a meeting of our shareholders. </w:t>
      </w:r>
    </w:p>
    <w:p>
      <w:pPr>
        <w:pStyle w:val="TextBody"/>
        <w:bidi w:val="0"/>
        <w:spacing w:before="360" w:after="0"/>
        <w:jc w:val="left"/>
        <w:rPr>
          <w:rFonts w:ascii="Times New Roman" w:hAnsi="Times New Roman"/>
          <w:b/>
          <w:sz w:val="20"/>
        </w:rPr>
      </w:pPr>
      <w:bookmarkStart w:id="97" w:name="toc45078_95"/>
      <w:bookmarkEnd w:id="97"/>
      <w:r>
        <w:rPr>
          <w:rFonts w:ascii="Times New Roman" w:hAnsi="Times New Roman"/>
          <w:b/>
          <w:sz w:val="20"/>
        </w:rPr>
        <w:t xml:space="preserve">Wave-Delaware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Assuming consummation of the Transaction, Wave-Delaware stockholders will be entitled to present proposals for consideration at forthcoming Wave-Delaware stockholder meetings </w:t>
      </w:r>
      <w:r>
        <w:rPr>
          <w:rFonts w:ascii="Times New Roman" w:hAnsi="Times New Roman"/>
          <w:i/>
          <w:sz w:val="20"/>
        </w:rPr>
        <w:t>provided</w:t>
      </w:r>
      <w:r>
        <w:rPr>
          <w:rFonts w:ascii="Times New Roman" w:hAnsi="Times New Roman"/>
          <w:sz w:val="20"/>
        </w:rPr>
        <w:t xml:space="preserve"> that they comply with the proxy rules promulgated by the SEC, the amended and restated certificate of incorporation and the amended and restated bylaws of Wave-Delaware and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toc45078_96"/>
      <w:bookmarkEnd w:id="98"/>
      <w:r>
        <w:rPr>
          <w:rFonts w:ascii="Times New Roman" w:hAnsi="Times New Roman"/>
          <w:b/>
          <w:sz w:val="20"/>
        </w:rPr>
        <w:t xml:space="preserve">DELIVERY OF DOCUMENTS TO SHAREHOLDERS SHARING AN ADDRESS </w:t>
      </w:r>
    </w:p>
    <w:p>
      <w:pPr>
        <w:pStyle w:val="TextBody"/>
        <w:bidi w:val="0"/>
        <w:spacing w:before="240" w:after="0"/>
        <w:jc w:val="left"/>
        <w:rPr>
          <w:rFonts w:ascii="Times New Roman" w:hAnsi="Times New Roman"/>
          <w:sz w:val="20"/>
        </w:rPr>
      </w:pPr>
      <w:r>
        <w:rPr>
          <w:rFonts w:ascii="Times New Roman" w:hAnsi="Times New Roman"/>
          <w:sz w:val="20"/>
        </w:rPr>
        <w:t xml:space="preserve">The broker, bank or other nominee for any shareholder who is a beneficial owner, but not the record holder, of our shares may deliver only one copy of the proxy statement and the accompanying documents being delivered therewith, to multiple shareholders who share the same address, unless that broker, bank or other nominee has received contrary instructions from one or more of the shareholders. We will deliver promptly, upon written or oral request, a separate copy of the proxy statement and the accompanying documents being delivered therewith, to a shareholder at a shared address to which a single copy of the documents was delivered. A shareholder who wishes to receive a separate copy of the proxy statement and the accompanying documents being delivered therewith, or our proxy statement or Annual Report on Form 10-K in the future, should submit their request to us by written request via mail to Investor Relations, Wave Life Sciences Ltd., 733 Concord Avenue, Cambridge, MA 02138 or via email to </w:t>
      </w:r>
      <w:r>
        <w:rPr>
          <w:rFonts w:ascii="Times New Roman" w:hAnsi="Times New Roman"/>
          <w:sz w:val="20"/>
          <w:u w:val="single"/>
        </w:rPr>
        <w:t>InvestorRelations@wavelifesci.com</w:t>
      </w:r>
      <w:r>
        <w:rPr>
          <w:rFonts w:ascii="Times New Roman" w:hAnsi="Times New Roman"/>
          <w:sz w:val="20"/>
        </w:rPr>
        <w:t xml:space="preserve"> or via oral request at 617-949-4827. Beneficial owners sharing an address who are receiving multiple copies of proxy materials and annual reports and wish to receive a single copy of such materials in the future will need to contact their broker, bank or other nominee to request that only a single copy of each document be mailed to all shareholders at the shared address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toc45078_97"/>
      <w:bookmarkEnd w:id="9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located at </w:t>
      </w:r>
      <w:r>
        <w:rPr>
          <w:rFonts w:ascii="Times New Roman" w:hAnsi="Times New Roman"/>
          <w:i/>
          <w:sz w:val="20"/>
        </w:rPr>
        <w:t>https://wavelifesciences.com</w:t>
      </w:r>
      <w:r>
        <w:rPr>
          <w:rFonts w:ascii="Times New Roman" w:hAnsi="Times New Roman"/>
          <w:sz w:val="20"/>
        </w:rPr>
        <w:t xml:space="preserve">. Wave-Singapore’s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our website or any other website is not incorporated by reference in this proxy statement and does not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SEC rules and regulations permit us to “incorporate by reference” the information we file with the SEC. This means that we can disclose important information to you by referring you to those documents. Some documents or information, such as that called for by Items 2.02 or 7.01 of Form 8-K, are deemed furnished and not filed in accordance with SEC rules. None of those documents and none of that information is incorporated by reference into this proxy statement. The information incorporated by reference is considered to be part of this proxy statement. Information that we file later with the SEC will automatically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(copies of which are being delivered to you with this proxy statement) and any subsequent filings we will make with the SEC under Sections 13(a), 13(c), 14 or 15(d) of the Exchange Act (excluding any information “furnished” but not “filed”) following the date of this document, but prior to the date of the meeting. The documents incorporated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February 26, 2026</w:t>
              </w:r>
            </w:hyperlink>
            <w:r>
              <w:rPr>
                <w:rFonts w:ascii="Times New Roman" w:hAnsi="Times New Roman"/>
                <w:sz w:val="20"/>
              </w:rPr>
              <w:t xml:space="preserve"> and </w:t>
            </w:r>
            <w:hyperlink r:id="rId6">
              <w:r>
                <w:rPr>
                  <w:rStyle w:val="InternetLink"/>
                  <w:rFonts w:ascii="Times New Roman" w:hAnsi="Times New Roman"/>
                  <w:sz w:val="20"/>
                </w:rPr>
                <w:t>March 26, 2026</w:t>
              </w:r>
            </w:hyperlink>
            <w:r>
              <w:rPr>
                <w:rFonts w:ascii="Times New Roman" w:hAnsi="Times New Roman"/>
                <w:sz w:val="20"/>
              </w:rPr>
              <w:t xml:space="preserve">, except, in each case, for any information therein furnished under Items 2.02 or 7.01.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the above filings or any filings subsequently incorporated by reference into this proxy statement (other than any exhibits to such filings not specifically incorporated by reference) by writing or calling: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Wave Life Sciences Ltd. </w:t>
      </w:r>
    </w:p>
    <w:p>
      <w:pPr>
        <w:pStyle w:val="TextBody"/>
        <w:bidi w:val="0"/>
        <w:spacing w:before="0" w:after="0"/>
        <w:jc w:val="center"/>
        <w:rPr>
          <w:rFonts w:ascii="Times New Roman" w:hAnsi="Times New Roman"/>
          <w:sz w:val="20"/>
        </w:rPr>
      </w:pPr>
      <w:r>
        <w:rPr>
          <w:rFonts w:ascii="Times New Roman" w:hAnsi="Times New Roman"/>
          <w:sz w:val="20"/>
        </w:rPr>
        <w:t xml:space="preserve">733 Concord Avenue </w:t>
      </w:r>
    </w:p>
    <w:p>
      <w:pPr>
        <w:pStyle w:val="TextBody"/>
        <w:bidi w:val="0"/>
        <w:spacing w:before="0" w:after="0"/>
        <w:jc w:val="center"/>
        <w:rPr>
          <w:rFonts w:ascii="Times New Roman" w:hAnsi="Times New Roman"/>
          <w:sz w:val="20"/>
        </w:rPr>
      </w:pPr>
      <w:r>
        <w:rPr>
          <w:rFonts w:ascii="Times New Roman" w:hAnsi="Times New Roman"/>
          <w:sz w:val="20"/>
        </w:rPr>
        <w:t xml:space="preserve">Cambridge, MA 02138 </w:t>
      </w:r>
    </w:p>
    <w:p>
      <w:pPr>
        <w:pStyle w:val="TextBody"/>
        <w:bidi w:val="0"/>
        <w:spacing w:before="0" w:after="0"/>
        <w:jc w:val="center"/>
        <w:rPr>
          <w:rFonts w:ascii="Times New Roman" w:hAnsi="Times New Roman"/>
          <w:sz w:val="20"/>
        </w:rPr>
      </w:pPr>
      <w:r>
        <w:rPr>
          <w:rFonts w:ascii="Times New Roman" w:hAnsi="Times New Roman"/>
          <w:sz w:val="20"/>
        </w:rPr>
        <w:t xml:space="preserve">U.S.A.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i/>
          <w:sz w:val="20"/>
        </w:rPr>
        <w:t>InvestorRelations@wavelifesci.com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ensure timely delivery of these documents before the Special Meeting, you should make such request by [</w:t>
      </w:r>
      <w:r>
        <w:rPr>
          <w:rFonts w:ascii="Times New Roman" w:hAnsi="Times New Roman"/>
          <w:sz w:val="20"/>
          <w:u w:val="single"/>
        </w:rPr>
        <w:t> </w:t>
      </w:r>
      <w:r>
        <w:rPr>
          <w:rFonts w:ascii="Times New Roman" w:hAnsi="Times New Roman"/>
          <w:sz w:val="20"/>
        </w:rPr>
        <w:t>] [</w:t>
      </w:r>
      <w:r>
        <w:rPr>
          <w:rFonts w:ascii="Times New Roman" w:hAnsi="Times New Roman"/>
          <w:sz w:val="20"/>
          <w:u w:val="single"/>
        </w:rPr>
        <w:t> </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any information or make any representation about the Transaction or about us that differs from or adds to the information in this proxy statement or in the documents incorporated by reference. Therefore, you should not rely upon any information that differs from or is in addition to the information contained in this proxy statement or in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proxy statement speaks only as of the date on the cover,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0" w:name="toc45078_98"/>
      <w:bookmarkEnd w:id="100"/>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IN THE GENERAL DIVISION OF THE HIGH COURT </w:t>
      </w:r>
    </w:p>
    <w:p>
      <w:pPr>
        <w:pStyle w:val="TextBody"/>
        <w:bidi w:val="0"/>
        <w:spacing w:before="0" w:after="0"/>
        <w:jc w:val="center"/>
        <w:rPr>
          <w:rFonts w:ascii="Times New Roman" w:hAnsi="Times New Roman"/>
          <w:b/>
          <w:sz w:val="20"/>
        </w:rPr>
      </w:pPr>
      <w:r>
        <w:rPr>
          <w:rFonts w:ascii="Times New Roman" w:hAnsi="Times New Roman"/>
          <w:b/>
          <w:sz w:val="20"/>
        </w:rPr>
        <w:t xml:space="preserve">OF THE REPUBLIC OF SINGAPORE </w:t>
      </w:r>
    </w:p>
    <w:p>
      <w:pPr>
        <w:pStyle w:val="TextBody"/>
        <w:bidi w:val="0"/>
        <w:spacing w:before="240" w:after="0"/>
        <w:jc w:val="left"/>
        <w:rPr>
          <w:rFonts w:ascii="Times New Roman" w:hAnsi="Times New Roman"/>
          <w:sz w:val="20"/>
        </w:rPr>
      </w:pPr>
      <w:r>
        <w:rPr>
          <w:rFonts w:ascii="Times New Roman" w:hAnsi="Times New Roman"/>
          <w:sz w:val="20"/>
        </w:rPr>
        <w:t xml:space="preserve">Case No.: HC/OA </w:t>
      </w:r>
      <w:r>
        <w:rPr>
          <w:rFonts w:ascii="Times New Roman" w:hAnsi="Times New Roman"/>
          <w:b/>
          <w:sz w:val="20"/>
        </w:rPr>
        <w:t>[___]</w:t>
      </w:r>
      <w:r>
        <w:rPr>
          <w:rFonts w:ascii="Times New Roman" w:hAnsi="Times New Roman"/>
          <w:sz w:val="20"/>
        </w:rPr>
        <w:t xml:space="preserve">/2026 </w:t>
      </w:r>
    </w:p>
    <w:p>
      <w:pPr>
        <w:pStyle w:val="TextBody"/>
        <w:bidi w:val="0"/>
        <w:spacing w:before="240" w:after="0"/>
        <w:jc w:val="center"/>
        <w:rPr>
          <w:rFonts w:ascii="Times New Roman" w:hAnsi="Times New Roman"/>
          <w:sz w:val="20"/>
        </w:rPr>
      </w:pPr>
      <w:r>
        <w:rPr>
          <w:rFonts w:ascii="Times New Roman" w:hAnsi="Times New Roman"/>
          <w:sz w:val="20"/>
        </w:rPr>
        <w:t xml:space="preserve">In the Matter of Section 210 of the </w:t>
      </w:r>
    </w:p>
    <w:p>
      <w:pPr>
        <w:pStyle w:val="TextBody"/>
        <w:bidi w:val="0"/>
        <w:spacing w:before="0" w:after="0"/>
        <w:jc w:val="center"/>
        <w:rPr>
          <w:rFonts w:ascii="Times New Roman" w:hAnsi="Times New Roman"/>
          <w:sz w:val="20"/>
        </w:rPr>
      </w:pPr>
      <w:r>
        <w:rPr>
          <w:rFonts w:ascii="Times New Roman" w:hAnsi="Times New Roman"/>
          <w:sz w:val="20"/>
        </w:rPr>
        <w:t xml:space="preserve">Companies Act 1967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In the matter of Wave Life Sciences Ltd. </w:t>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0" w:after="0"/>
        <w:jc w:val="center"/>
        <w:rPr>
          <w:rFonts w:ascii="Times New Roman" w:hAnsi="Times New Roman"/>
          <w:sz w:val="20"/>
        </w:rPr>
      </w:pPr>
      <w:r>
        <w:rPr>
          <w:rFonts w:ascii="Times New Roman" w:hAnsi="Times New Roman"/>
          <w:sz w:val="20"/>
        </w:rPr>
        <w:t xml:space="preserve">(Singapore UEN No.: 201218209G) </w:t>
      </w:r>
    </w:p>
    <w:p>
      <w:pPr>
        <w:pStyle w:val="TextBody"/>
        <w:bidi w:val="0"/>
        <w:spacing w:before="240" w:after="0"/>
        <w:jc w:val="center"/>
        <w:rPr>
          <w:rFonts w:ascii="Times New Roman" w:hAnsi="Times New Roman"/>
          <w:sz w:val="20"/>
        </w:rPr>
      </w:pPr>
      <w:r>
        <w:rPr>
          <w:rFonts w:ascii="Times New Roman" w:hAnsi="Times New Roman"/>
          <w:sz w:val="20"/>
        </w:rPr>
        <w:t xml:space="preserve">Applicant </w:t>
      </w:r>
    </w:p>
    <w:p>
      <w:pPr>
        <w:pStyle w:val="TextBody"/>
        <w:bidi w:val="0"/>
        <w:spacing w:before="240" w:after="0"/>
        <w:jc w:val="center"/>
        <w:rPr>
          <w:rFonts w:ascii="Times New Roman" w:hAnsi="Times New Roman"/>
          <w:b/>
          <w:sz w:val="20"/>
        </w:rPr>
      </w:pPr>
      <w:r>
        <w:rPr>
          <w:rFonts w:ascii="Times New Roman" w:hAnsi="Times New Roman"/>
          <w:b/>
          <w:sz w:val="20"/>
        </w:rPr>
        <w:t xml:space="preserve">SCHEME OF ARRANGEMENT </w:t>
      </w:r>
    </w:p>
    <w:p>
      <w:pPr>
        <w:pStyle w:val="TextBody"/>
        <w:bidi w:val="0"/>
        <w:spacing w:before="240" w:after="0"/>
        <w:jc w:val="center"/>
        <w:rPr>
          <w:rFonts w:ascii="Times New Roman" w:hAnsi="Times New Roman"/>
          <w:b/>
          <w:sz w:val="20"/>
        </w:rPr>
      </w:pPr>
      <w:r>
        <w:rPr>
          <w:rFonts w:ascii="Times New Roman" w:hAnsi="Times New Roman"/>
          <w:b/>
          <w:sz w:val="20"/>
        </w:rPr>
        <w:t xml:space="preserve">Under Section 210 of the Companies Act 1967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b/>
          <w:sz w:val="20"/>
        </w:rPr>
        <w:t>Wave Life Sciences Ltd.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 public company limited by shares incorporated under the laws of the Republic of Singapore,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Shareholders </w:t>
      </w:r>
    </w:p>
    <w:p>
      <w:pPr>
        <w:pStyle w:val="TextBody"/>
        <w:bidi w:val="0"/>
        <w:spacing w:before="240" w:after="0"/>
        <w:jc w:val="center"/>
        <w:rPr>
          <w:rFonts w:ascii="Times New Roman" w:hAnsi="Times New Roman"/>
          <w:sz w:val="20"/>
        </w:rPr>
      </w:pPr>
      <w:r>
        <w:rPr>
          <w:rFonts w:ascii="Times New Roman" w:hAnsi="Times New Roman"/>
          <w:sz w:val="20"/>
        </w:rPr>
        <w:t xml:space="preserve">(as defined herein)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b/>
          <w:sz w:val="20"/>
        </w:rPr>
        <w:t>Wave Life Sciences, Inc.</w:t>
      </w:r>
      <w:r>
        <w:rPr>
          <w:rFonts w:ascii="Times New Roman" w:hAnsi="Times New Roman"/>
          <w:sz w:val="20"/>
        </w:rPr>
        <w:t xml:space="preserve">, a Delaware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In this Scheme (as defined below), the following definitions shall apply throughout unless the context otherwise requires: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2"/>
        <w:gridCol w:w="120"/>
        <w:gridCol w:w="388"/>
        <w:gridCol w:w="212"/>
        <w:gridCol w:w="6683"/>
      </w:tblGrid>
      <w:tr>
        <w:trPr/>
        <w:tc>
          <w:tcPr>
            <w:tcW w:w="28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6683" w:type="dxa"/>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CEDE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CEDE &amp; Co., as nominee of DTC</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Companies Act</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Companies Act 1967 of Singapore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Company</w:t>
            </w:r>
            <w:r>
              <w:rPr/>
              <w:t>” or “</w:t>
            </w:r>
            <w:r>
              <w:rPr>
                <w:b/>
              </w:rPr>
              <w:t>Wave-Singapore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Wave Life Sciences Ltd., a public company limited by shares incorporated under the laws of the Republic of Singapore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Court</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The General Division of the High Court of the Republic of Singapore, or where applicable on appeal, the Appellate Division of the High Court of the Republic of Singapore and/or the Court of Appeal of the Republic of Singapore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DTC</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The Depository Trust Company</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Encumbrances</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any liens, equities, mortgages, charges, encumbrances, security interests, hypothecations, easements, pledges, title retention, trust arrangement, hire purchase, judgment, preferential right, rights of pre-emption and other rights or interests conferring security or similar rights in favour of a third party</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Effective Date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The date on which the Scheme, if approved, becomes effective in accordance with its terms, and which date shall, in any event, be no later than the Long-Stop Date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Effective Time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The time on the Effective Date at which the Scheme becomes effective in accordance with its terms</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Entitled Shareholders</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Shareholders of record as at the Effective Time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Exchange Agent</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A nationally-recognized U.S. financial institution appointed by Wave-Delaware to act as exchange agent in the Scheme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Implementation Agreement</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The implementation agreement dated 15 April 2026 entered into between the Company and Wave-Delaware</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Latest Practicable Date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b/>
              </w:rPr>
              <w:t>[</w:t>
            </w:r>
            <w:r>
              <w:rPr/>
              <w:t></w:t>
            </w:r>
            <w:r>
              <w:rPr>
                <w:b/>
              </w:rPr>
              <w:t>]</w:t>
            </w:r>
            <w:r>
              <w:rPr/>
              <w:t>, being the latest practicable date prior to the printing of the document containing this Scheme for the purpose of ascertaining certain information for inclusion herein</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Long-Stop Date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Has the meaning ascribed to it in the Implementation Agreement</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Scheme</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This scheme of arrangement under Section 210 of the Companies Act</w:t>
            </w:r>
            <w:r>
              <w:rPr>
                <w:b/>
              </w:rPr>
              <w:t>,</w:t>
            </w:r>
            <w:r>
              <w:rPr/>
              <w:t xml:space="preserve"> in its present form or with or subject to any modification thereof or amendment or addition thereto in accordance with its terms or condition(s) approved or imposed by the Court</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Scheme Consideration</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In respect of each Wave-Singapore Share transferred by an Entitled Shareholder (either directly or in the name of CEDE) to Wave-Delaware in accordance with the terms of this Scheme, one fully paid share of common stock, par value $0.001 per share, of Wave-Delaware (the “</w:t>
            </w:r>
            <w:r>
              <w:rPr>
                <w:b/>
              </w:rPr>
              <w:t>Wave-Delaware Common Stock</w:t>
            </w:r>
            <w:r>
              <w:rPr/>
              <w:t>”) to be issued to each Entitled Shareholder (either directly or to be held in the name of CEDE) on a share-for-share basis</w:t>
            </w:r>
          </w:p>
        </w:tc>
      </w:tr>
      <w:tr>
        <w:trPr>
          <w:trHeight w:val="120" w:hRule="atLeast"/>
        </w:trPr>
        <w:tc>
          <w:tcPr>
            <w:tcW w:w="280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6895" w:type="dxa"/>
            <w:gridSpan w:val="2"/>
            <w:tcBorders/>
            <w:vAlign w:val="center"/>
          </w:tcPr>
          <w:p>
            <w:pPr>
              <w:pStyle w:val="TableContents"/>
              <w:bidi w:val="0"/>
              <w:spacing w:before="0" w:after="283"/>
              <w:jc w:val="left"/>
              <w:rPr>
                <w:sz w:val="4"/>
                <w:szCs w:val="4"/>
              </w:rPr>
            </w:pPr>
            <w:r>
              <w:rPr>
                <w:sz w:val="4"/>
                <w:szCs w:val="4"/>
              </w:rPr>
            </w:r>
          </w:p>
        </w:tc>
      </w:tr>
      <w:tr>
        <w:trPr/>
        <w:tc>
          <w:tcPr>
            <w:tcW w:w="2802" w:type="dxa"/>
            <w:tcBorders/>
          </w:tcPr>
          <w:p>
            <w:pPr>
              <w:pStyle w:val="TableContents"/>
              <w:bidi w:val="0"/>
              <w:spacing w:before="0" w:after="283"/>
              <w:jc w:val="left"/>
              <w:rPr/>
            </w:pPr>
            <w:r>
              <w:rPr/>
              <w:t>“</w:t>
            </w:r>
            <w:r>
              <w:rPr>
                <w:b/>
              </w:rPr>
              <w:t>Shareholders</w:t>
            </w:r>
            <w:r>
              <w:rPr/>
              <w:t>”</w:t>
            </w:r>
          </w:p>
        </w:tc>
        <w:tc>
          <w:tcPr>
            <w:tcW w:w="120"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pPr>
            <w:r>
              <w:rPr/>
              <w:t>:</w:t>
            </w:r>
          </w:p>
        </w:tc>
        <w:tc>
          <w:tcPr>
            <w:tcW w:w="212" w:type="dxa"/>
            <w:tcBorders/>
            <w:vAlign w:val="bottom"/>
          </w:tcPr>
          <w:p>
            <w:pPr>
              <w:pStyle w:val="TableContents"/>
              <w:bidi w:val="0"/>
              <w:spacing w:before="0" w:after="283"/>
              <w:jc w:val="left"/>
              <w:rPr/>
            </w:pPr>
            <w:r>
              <w:rPr/>
              <w:t>  </w:t>
            </w:r>
          </w:p>
        </w:tc>
        <w:tc>
          <w:tcPr>
            <w:tcW w:w="6683" w:type="dxa"/>
            <w:tcBorders/>
          </w:tcPr>
          <w:p>
            <w:pPr>
              <w:pStyle w:val="TableContents"/>
              <w:bidi w:val="0"/>
              <w:spacing w:before="0" w:after="283"/>
              <w:jc w:val="left"/>
              <w:rPr/>
            </w:pPr>
            <w:r>
              <w:rPr/>
              <w:t>Holders of Wave-Singapore Shares</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827"/>
        <w:gridCol w:w="120"/>
        <w:gridCol w:w="393"/>
        <w:gridCol w:w="214"/>
        <w:gridCol w:w="6651"/>
      </w:tblGrid>
      <w:tr>
        <w:trPr/>
        <w:tc>
          <w:tcPr>
            <w:tcW w:w="28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65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827" w:type="dxa"/>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6865" w:type="dxa"/>
            <w:gridSpan w:val="2"/>
            <w:tcBorders/>
            <w:vAlign w:val="center"/>
          </w:tcPr>
          <w:p>
            <w:pPr>
              <w:pStyle w:val="TableContents"/>
              <w:bidi w:val="0"/>
              <w:spacing w:before="0" w:after="283"/>
              <w:jc w:val="left"/>
              <w:rPr>
                <w:sz w:val="4"/>
                <w:szCs w:val="4"/>
              </w:rPr>
            </w:pPr>
            <w:r>
              <w:rPr>
                <w:sz w:val="4"/>
                <w:szCs w:val="4"/>
              </w:rPr>
            </w:r>
          </w:p>
        </w:tc>
      </w:tr>
      <w:tr>
        <w:trPr/>
        <w:tc>
          <w:tcPr>
            <w:tcW w:w="2827" w:type="dxa"/>
            <w:tcBorders/>
          </w:tcPr>
          <w:p>
            <w:pPr>
              <w:pStyle w:val="TableContents"/>
              <w:bidi w:val="0"/>
              <w:spacing w:before="0" w:after="283"/>
              <w:jc w:val="left"/>
              <w:rPr/>
            </w:pPr>
            <w:r>
              <w:rPr/>
              <w:t>“</w:t>
            </w:r>
            <w:r>
              <w:rPr>
                <w:b/>
              </w:rPr>
              <w:t>Taxes</w:t>
            </w:r>
            <w:r>
              <w:rPr/>
              <w:t>”</w:t>
            </w:r>
          </w:p>
        </w:tc>
        <w:tc>
          <w:tcPr>
            <w:tcW w:w="120"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w:t>
            </w:r>
          </w:p>
        </w:tc>
        <w:tc>
          <w:tcPr>
            <w:tcW w:w="214" w:type="dxa"/>
            <w:tcBorders/>
            <w:vAlign w:val="bottom"/>
          </w:tcPr>
          <w:p>
            <w:pPr>
              <w:pStyle w:val="TableContents"/>
              <w:bidi w:val="0"/>
              <w:spacing w:before="0" w:after="283"/>
              <w:jc w:val="left"/>
              <w:rPr/>
            </w:pPr>
            <w:r>
              <w:rPr/>
              <w:t>  </w:t>
            </w:r>
          </w:p>
        </w:tc>
        <w:tc>
          <w:tcPr>
            <w:tcW w:w="6651" w:type="dxa"/>
            <w:tcBorders/>
          </w:tcPr>
          <w:p>
            <w:pPr>
              <w:pStyle w:val="TableContents"/>
              <w:bidi w:val="0"/>
              <w:spacing w:before="0" w:after="283"/>
              <w:jc w:val="left"/>
              <w:rPr/>
            </w:pPr>
            <w:r>
              <w:rPr/>
              <w:t>All forms of taxation and statutory, governmental, federal, state, provincial, local or municipal impositions, duties, contributions and levies of any kind, including income, withholding, stamp, goods and services tax and any other form of value-added tax, in each case whether of Singapore, the United States or elsewhere in the world, and all penalties, charges, costs, additions and interest relating thereto</w:t>
            </w:r>
          </w:p>
        </w:tc>
      </w:tr>
      <w:tr>
        <w:trPr>
          <w:trHeight w:val="120" w:hRule="atLeast"/>
        </w:trPr>
        <w:tc>
          <w:tcPr>
            <w:tcW w:w="2827" w:type="dxa"/>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6865" w:type="dxa"/>
            <w:gridSpan w:val="2"/>
            <w:tcBorders/>
            <w:vAlign w:val="center"/>
          </w:tcPr>
          <w:p>
            <w:pPr>
              <w:pStyle w:val="TableContents"/>
              <w:bidi w:val="0"/>
              <w:spacing w:before="0" w:after="283"/>
              <w:jc w:val="left"/>
              <w:rPr>
                <w:sz w:val="4"/>
                <w:szCs w:val="4"/>
              </w:rPr>
            </w:pPr>
            <w:r>
              <w:rPr>
                <w:sz w:val="4"/>
                <w:szCs w:val="4"/>
              </w:rPr>
            </w:r>
          </w:p>
        </w:tc>
      </w:tr>
      <w:tr>
        <w:trPr/>
        <w:tc>
          <w:tcPr>
            <w:tcW w:w="2827" w:type="dxa"/>
            <w:tcBorders/>
          </w:tcPr>
          <w:p>
            <w:pPr>
              <w:pStyle w:val="TableContents"/>
              <w:bidi w:val="0"/>
              <w:spacing w:before="0" w:after="283"/>
              <w:jc w:val="left"/>
              <w:rPr/>
            </w:pPr>
            <w:r>
              <w:rPr/>
              <w:t>“</w:t>
            </w:r>
            <w:r>
              <w:rPr>
                <w:b/>
              </w:rPr>
              <w:t>Wave Certificates</w:t>
            </w:r>
            <w:r>
              <w:rPr/>
              <w:t>”</w:t>
            </w:r>
          </w:p>
        </w:tc>
        <w:tc>
          <w:tcPr>
            <w:tcW w:w="120"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w:t>
            </w:r>
          </w:p>
        </w:tc>
        <w:tc>
          <w:tcPr>
            <w:tcW w:w="214" w:type="dxa"/>
            <w:tcBorders/>
            <w:vAlign w:val="bottom"/>
          </w:tcPr>
          <w:p>
            <w:pPr>
              <w:pStyle w:val="TableContents"/>
              <w:bidi w:val="0"/>
              <w:spacing w:before="0" w:after="283"/>
              <w:jc w:val="left"/>
              <w:rPr/>
            </w:pPr>
            <w:r>
              <w:rPr/>
              <w:t>  </w:t>
            </w:r>
          </w:p>
        </w:tc>
        <w:tc>
          <w:tcPr>
            <w:tcW w:w="6651" w:type="dxa"/>
            <w:tcBorders/>
          </w:tcPr>
          <w:p>
            <w:pPr>
              <w:pStyle w:val="TableContents"/>
              <w:bidi w:val="0"/>
              <w:spacing w:before="0" w:after="283"/>
              <w:jc w:val="left"/>
              <w:rPr/>
            </w:pPr>
            <w:r>
              <w:rPr/>
              <w:t>Existing share certificates representing a holding of Wave-Singapore Shares by any holder of Wave-Singapore Shares, as at the Effective Time</w:t>
            </w:r>
          </w:p>
        </w:tc>
      </w:tr>
      <w:tr>
        <w:trPr>
          <w:trHeight w:val="120" w:hRule="atLeast"/>
        </w:trPr>
        <w:tc>
          <w:tcPr>
            <w:tcW w:w="2827" w:type="dxa"/>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6865" w:type="dxa"/>
            <w:gridSpan w:val="2"/>
            <w:tcBorders/>
            <w:vAlign w:val="center"/>
          </w:tcPr>
          <w:p>
            <w:pPr>
              <w:pStyle w:val="TableContents"/>
              <w:bidi w:val="0"/>
              <w:spacing w:before="0" w:after="283"/>
              <w:jc w:val="left"/>
              <w:rPr>
                <w:sz w:val="4"/>
                <w:szCs w:val="4"/>
              </w:rPr>
            </w:pPr>
            <w:r>
              <w:rPr>
                <w:sz w:val="4"/>
                <w:szCs w:val="4"/>
              </w:rPr>
            </w:r>
          </w:p>
        </w:tc>
      </w:tr>
      <w:tr>
        <w:trPr/>
        <w:tc>
          <w:tcPr>
            <w:tcW w:w="2827" w:type="dxa"/>
            <w:tcBorders/>
          </w:tcPr>
          <w:p>
            <w:pPr>
              <w:pStyle w:val="TableContents"/>
              <w:bidi w:val="0"/>
              <w:spacing w:before="0" w:after="283"/>
              <w:jc w:val="left"/>
              <w:rPr/>
            </w:pPr>
            <w:r>
              <w:rPr/>
              <w:t>“</w:t>
            </w:r>
            <w:r>
              <w:rPr>
                <w:b/>
              </w:rPr>
              <w:t>Wave-Delaware</w:t>
            </w:r>
            <w:r>
              <w:rPr/>
              <w:t>”</w:t>
            </w:r>
          </w:p>
        </w:tc>
        <w:tc>
          <w:tcPr>
            <w:tcW w:w="120"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w:t>
            </w:r>
          </w:p>
        </w:tc>
        <w:tc>
          <w:tcPr>
            <w:tcW w:w="214" w:type="dxa"/>
            <w:tcBorders/>
            <w:vAlign w:val="bottom"/>
          </w:tcPr>
          <w:p>
            <w:pPr>
              <w:pStyle w:val="TableContents"/>
              <w:bidi w:val="0"/>
              <w:spacing w:before="0" w:after="283"/>
              <w:jc w:val="left"/>
              <w:rPr/>
            </w:pPr>
            <w:r>
              <w:rPr/>
              <w:t>  </w:t>
            </w:r>
          </w:p>
        </w:tc>
        <w:tc>
          <w:tcPr>
            <w:tcW w:w="6651" w:type="dxa"/>
            <w:tcBorders/>
          </w:tcPr>
          <w:p>
            <w:pPr>
              <w:pStyle w:val="TableContents"/>
              <w:bidi w:val="0"/>
              <w:spacing w:before="0" w:after="283"/>
              <w:jc w:val="left"/>
              <w:rPr/>
            </w:pPr>
            <w:r>
              <w:rPr/>
              <w:t>Wave Life Sciences, Inc., a Delaware corporation</w:t>
            </w:r>
          </w:p>
        </w:tc>
      </w:tr>
      <w:tr>
        <w:trPr>
          <w:trHeight w:val="120" w:hRule="atLeast"/>
        </w:trPr>
        <w:tc>
          <w:tcPr>
            <w:tcW w:w="2827" w:type="dxa"/>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6865" w:type="dxa"/>
            <w:gridSpan w:val="2"/>
            <w:tcBorders/>
            <w:vAlign w:val="center"/>
          </w:tcPr>
          <w:p>
            <w:pPr>
              <w:pStyle w:val="TableContents"/>
              <w:bidi w:val="0"/>
              <w:spacing w:before="0" w:after="283"/>
              <w:jc w:val="left"/>
              <w:rPr>
                <w:sz w:val="4"/>
                <w:szCs w:val="4"/>
              </w:rPr>
            </w:pPr>
            <w:r>
              <w:rPr>
                <w:sz w:val="4"/>
                <w:szCs w:val="4"/>
              </w:rPr>
            </w:r>
          </w:p>
        </w:tc>
      </w:tr>
      <w:tr>
        <w:trPr/>
        <w:tc>
          <w:tcPr>
            <w:tcW w:w="2827" w:type="dxa"/>
            <w:tcBorders/>
          </w:tcPr>
          <w:p>
            <w:pPr>
              <w:pStyle w:val="TableContents"/>
              <w:bidi w:val="0"/>
              <w:spacing w:before="0" w:after="283"/>
              <w:jc w:val="left"/>
              <w:rPr/>
            </w:pPr>
            <w:r>
              <w:rPr/>
              <w:t>“</w:t>
            </w:r>
            <w:r>
              <w:rPr>
                <w:b/>
              </w:rPr>
              <w:t>Wave-Singapore Shares</w:t>
            </w:r>
            <w:r>
              <w:rPr/>
              <w:t>”</w:t>
            </w:r>
          </w:p>
        </w:tc>
        <w:tc>
          <w:tcPr>
            <w:tcW w:w="120"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pPr>
            <w:r>
              <w:rPr/>
              <w:t>:</w:t>
            </w:r>
          </w:p>
        </w:tc>
        <w:tc>
          <w:tcPr>
            <w:tcW w:w="214" w:type="dxa"/>
            <w:tcBorders/>
            <w:vAlign w:val="bottom"/>
          </w:tcPr>
          <w:p>
            <w:pPr>
              <w:pStyle w:val="TableContents"/>
              <w:bidi w:val="0"/>
              <w:spacing w:before="0" w:after="283"/>
              <w:jc w:val="left"/>
              <w:rPr/>
            </w:pPr>
            <w:r>
              <w:rPr/>
              <w:t>  </w:t>
            </w:r>
          </w:p>
        </w:tc>
        <w:tc>
          <w:tcPr>
            <w:tcW w:w="6651" w:type="dxa"/>
            <w:tcBorders/>
          </w:tcPr>
          <w:p>
            <w:pPr>
              <w:pStyle w:val="TableContents"/>
              <w:bidi w:val="0"/>
              <w:spacing w:before="0" w:after="283"/>
              <w:jc w:val="left"/>
              <w:rPr/>
            </w:pPr>
            <w:r>
              <w:rPr/>
              <w:t>Issued and paid-up ordinary shares in the capital of the Company</w:t>
            </w:r>
          </w:p>
        </w:tc>
      </w:tr>
    </w:tbl>
    <w:p>
      <w:pPr>
        <w:pStyle w:val="TextBody"/>
        <w:bidi w:val="0"/>
        <w:spacing w:before="240" w:after="0"/>
        <w:jc w:val="left"/>
        <w:rPr>
          <w:rFonts w:ascii="Times New Roman" w:hAnsi="Times New Roman"/>
          <w:sz w:val="20"/>
        </w:rPr>
      </w:pPr>
      <w:r>
        <w:rPr>
          <w:rFonts w:ascii="Times New Roman" w:hAnsi="Times New Roman"/>
          <w:b/>
          <w:sz w:val="20"/>
        </w:rPr>
        <w:t>Expressions</w:t>
      </w:r>
      <w:r>
        <w:rPr>
          <w:rFonts w:ascii="Times New Roman" w:hAnsi="Times New Roman"/>
          <w:sz w:val="20"/>
        </w:rPr>
        <w:t xml:space="preserve">. Words importing the singular shall, where applicable, include the plural and </w:t>
      </w:r>
      <w:r>
        <w:rPr>
          <w:rFonts w:ascii="Times New Roman" w:hAnsi="Times New Roman"/>
          <w:i/>
          <w:sz w:val="20"/>
        </w:rPr>
        <w:t>vice versa</w:t>
      </w:r>
      <w:r>
        <w:rPr>
          <w:rFonts w:ascii="Times New Roman" w:hAnsi="Times New Roman"/>
          <w:sz w:val="20"/>
        </w:rPr>
        <w:t xml:space="preserve"> and words indicating a specific gender shall, where applicable, include the other genders (male, female or neuter). References to persons shall, where applicable, include corporations. </w:t>
      </w:r>
    </w:p>
    <w:p>
      <w:pPr>
        <w:pStyle w:val="TextBody"/>
        <w:bidi w:val="0"/>
        <w:spacing w:before="240" w:after="0"/>
        <w:jc w:val="left"/>
        <w:rPr>
          <w:rFonts w:ascii="Times New Roman" w:hAnsi="Times New Roman"/>
          <w:sz w:val="20"/>
        </w:rPr>
      </w:pPr>
      <w:r>
        <w:rPr>
          <w:rFonts w:ascii="Times New Roman" w:hAnsi="Times New Roman"/>
          <w:b/>
          <w:sz w:val="20"/>
        </w:rPr>
        <w:t>Headings</w:t>
      </w:r>
      <w:r>
        <w:rPr>
          <w:rFonts w:ascii="Times New Roman" w:hAnsi="Times New Roman"/>
          <w:sz w:val="20"/>
        </w:rPr>
        <w:t xml:space="preserve">. The headings in this Scheme are inserted for convenience only and shall be ignored in construing this Scheme. </w:t>
      </w:r>
    </w:p>
    <w:p>
      <w:pPr>
        <w:pStyle w:val="TextBody"/>
        <w:bidi w:val="0"/>
        <w:spacing w:before="240" w:after="0"/>
        <w:jc w:val="left"/>
        <w:rPr>
          <w:rFonts w:ascii="Times New Roman" w:hAnsi="Times New Roman"/>
          <w:sz w:val="20"/>
        </w:rPr>
      </w:pPr>
      <w:r>
        <w:rPr>
          <w:rFonts w:ascii="Times New Roman" w:hAnsi="Times New Roman"/>
          <w:b/>
          <w:sz w:val="20"/>
        </w:rPr>
        <w:t>Rounding</w:t>
      </w:r>
      <w:r>
        <w:rPr>
          <w:rFonts w:ascii="Times New Roman" w:hAnsi="Times New Roman"/>
          <w:sz w:val="20"/>
        </w:rPr>
        <w:t xml:space="preserve">. Any discrepancies in the figures included in this Scheme between the listed amounts and the totals thereof are due to rounding. Accordingly, figures shown in totals in this Scheme may not be an arithmetic aggregation of the figures that precede them. </w:t>
      </w:r>
    </w:p>
    <w:p>
      <w:pPr>
        <w:pStyle w:val="TextBody"/>
        <w:bidi w:val="0"/>
        <w:spacing w:before="240" w:after="0"/>
        <w:jc w:val="left"/>
        <w:rPr>
          <w:rFonts w:ascii="Times New Roman" w:hAnsi="Times New Roman"/>
          <w:sz w:val="20"/>
        </w:rPr>
      </w:pPr>
      <w:r>
        <w:rPr>
          <w:rFonts w:ascii="Times New Roman" w:hAnsi="Times New Roman"/>
          <w:b/>
          <w:sz w:val="20"/>
        </w:rPr>
        <w:t>Shareholders</w:t>
      </w:r>
      <w:r>
        <w:rPr>
          <w:rFonts w:ascii="Times New Roman" w:hAnsi="Times New Roman"/>
          <w:sz w:val="20"/>
        </w:rPr>
        <w:t>. The term “</w:t>
      </w:r>
      <w:r>
        <w:rPr>
          <w:rFonts w:ascii="Times New Roman" w:hAnsi="Times New Roman"/>
          <w:b/>
          <w:sz w:val="20"/>
        </w:rPr>
        <w:t>Shareholder</w:t>
      </w:r>
      <w:r>
        <w:rPr>
          <w:rFonts w:ascii="Times New Roman" w:hAnsi="Times New Roman"/>
          <w:sz w:val="20"/>
        </w:rPr>
        <w:t xml:space="preserve">”, in relation to any Wave-Singapore Share, includes a person entitled to that Wave-Singapore Share by transmission. References to “you”, “your” and “yours” in this Scheme are, as the context so determines, to Entitled Shareholders (including persons whose shares are held in the name of CEDE). </w:t>
      </w:r>
    </w:p>
    <w:p>
      <w:pPr>
        <w:pStyle w:val="TextBody"/>
        <w:bidi w:val="0"/>
        <w:spacing w:before="240" w:after="0"/>
        <w:jc w:val="left"/>
        <w:rPr>
          <w:rFonts w:ascii="Times New Roman" w:hAnsi="Times New Roman"/>
          <w:sz w:val="20"/>
        </w:rPr>
      </w:pPr>
      <w:r>
        <w:rPr>
          <w:rFonts w:ascii="Times New Roman" w:hAnsi="Times New Roman"/>
          <w:b/>
          <w:sz w:val="20"/>
        </w:rPr>
        <w:t>Statutes</w:t>
      </w:r>
      <w:r>
        <w:rPr>
          <w:rFonts w:ascii="Times New Roman" w:hAnsi="Times New Roman"/>
          <w:sz w:val="20"/>
        </w:rPr>
        <w:t xml:space="preserve">. Any reference in this Scheme to any enactment or statutory provision is a reference to that enactment or statutory provision as for the time being amended, modified, supplemented or re-enacted. Any word defined under the Companies Act, or any modification thereof and not otherwise defined in this Scheme shall, where applicable, have the meaning ascribed to that word under the Companies Act, or that modification, as the case may be, unless the context otherwise requires. </w:t>
      </w:r>
    </w:p>
    <w:p>
      <w:pPr>
        <w:pStyle w:val="TextBody"/>
        <w:bidi w:val="0"/>
        <w:spacing w:before="240" w:after="0"/>
        <w:jc w:val="left"/>
        <w:rPr>
          <w:rFonts w:ascii="Times New Roman" w:hAnsi="Times New Roman"/>
          <w:sz w:val="20"/>
        </w:rPr>
      </w:pPr>
      <w:r>
        <w:rPr>
          <w:rFonts w:ascii="Times New Roman" w:hAnsi="Times New Roman"/>
          <w:b/>
          <w:sz w:val="20"/>
        </w:rPr>
        <w:t>Time and Date</w:t>
      </w:r>
      <w:r>
        <w:rPr>
          <w:rFonts w:ascii="Times New Roman" w:hAnsi="Times New Roman"/>
          <w:sz w:val="20"/>
        </w:rPr>
        <w:t xml:space="preserve">. Any reference to a time of day and date in this Scheme shall be a reference to Singapore time of day and date respectively, unless otherwise specified.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(A)</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was incorporated in Singapore on 23 July 2012 and has been listed on the Nasdaq Global Market since 11 November 2015. As at the Latest Practicable Date, the Company has an issued share capital comprising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Wave-Singapore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(B)</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purpose of this Scheme is the transfer by Shareholders who hold Wave-Singapore Shares to Wave-Delaware, in consideration for the issuance of the Scheme Consideration to such Shareholders by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Wave-Delaware have entered into the Implementation Agreement to set out their respective rights and obligations with respect to, </w:t>
            </w:r>
            <w:r>
              <w:rPr>
                <w:rFonts w:ascii="Times New Roman" w:hAnsi="Times New Roman"/>
                <w:i/>
                <w:sz w:val="20"/>
              </w:rPr>
              <w:t>inter alia</w:t>
            </w:r>
            <w:r>
              <w:rPr>
                <w:rFonts w:ascii="Times New Roman" w:hAnsi="Times New Roman"/>
                <w:sz w:val="20"/>
              </w:rPr>
              <w:t xml:space="preserve">, this Scheme and the implementation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(D)</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Wave-Delaware has agreed to appear by legal counsel at the hearing of the Originating Application to approve this Scheme, and to consent thereto, and to undertake to the Court to be bound thereby and to execute and do and procure to be executed and done all such documents, acts and things as may be necessary or desirable to be executed or done by it for the purpose of giving effect to this Scheme.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SCHEME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Scheme is conditional upon: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condition precedent set out in Clause 3.1 of the Implementation Agreement being satisfied;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Agreement not having been terminated in accordance with its terms.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effect from the Effective Date, upon the effectiveness of the Scheme, all outstanding Wave-Singapore Shares will be transferred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giving effect to the transfer of the Wave-Singapore Shares provided for in Clause 2 of this Scheme, the Company shall authorise any person to execute or effect on behalf of all the Entitled Shareholders as well as on behalf of CEDE, an instrument or instruction of transfer of all the Wave-Singapore Shares held by such Entitled Shareholders (whether directly or held in the name of CEDE), and every such instrument or instruction of transfer so executed shall be effective as if it had been executed by such Entitled Shareholders and by CEDE respectively.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PART III </w:t>
      </w:r>
    </w:p>
    <w:p>
      <w:pPr>
        <w:pStyle w:val="TextBody"/>
        <w:bidi w:val="0"/>
        <w:spacing w:before="120" w:after="0"/>
        <w:jc w:val="center"/>
        <w:rPr>
          <w:rFonts w:ascii="Times New Roman" w:hAnsi="Times New Roman"/>
          <w:b/>
          <w:sz w:val="20"/>
        </w:rPr>
      </w:pPr>
      <w:r>
        <w:rPr>
          <w:rFonts w:ascii="Times New Roman" w:hAnsi="Times New Roman"/>
          <w:b/>
          <w:sz w:val="20"/>
        </w:rPr>
        <w:t xml:space="preserve">SCHEME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immediately after the Effective Time and subject to and upon the terms and conditions of the Implementation Agreement and the applicable provisions of the Companies Act, in consideration for the transfer of the Wave-Singapore Shares and provided for in Clause 2 of this Scheme, Wave-Delaware shall issue to each Entitled Shareholder the Scheme Consideration for each Wave-Singapore Share transferred by that Entitled Shareholder to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At or immediately after the Effective Time, Wave-Delaware shall deposit with the Exchange Agent, acting as exchange agent and solely for the account and benefit of the Entitled Shareholders, book entry shares representing the full number of shares of Wave-Delaware Common Stock to be issued as the Scheme Consideration (the “</w:t>
            </w:r>
            <w:r>
              <w:rPr>
                <w:rFonts w:ascii="Times New Roman" w:hAnsi="Times New Roman"/>
                <w:b/>
                <w:sz w:val="20"/>
              </w:rPr>
              <w:t>Wave Consideration Fund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after the Effective Time, Wave-Delaware shall cause the Exchange Agent to mail to each holder of Wave-Singapore Shares who is a holder of record of Wave Certificates: (i) a letter of transmittal in customary form and (ii) instructions for use in effecting the surrender of the Wave Certificates in exchange for payment of the Scheme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Scheme Consideration, and the Wave Certificate so surrendered shall forthwith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7.</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interest will be paid to holders of Wave Certificates in connection with, or accrued on, the Scheme Consideration. If any Scheme Consideration is to be paid to a person other than a person in whose name the Wave Certificate surrendered in exchange therefor is registered, it shall be a condition of such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exchange that the person requesting such exchange shall pay to the Exchange Agent any transfer or other Taxes required by reason of payment of the Scheme Consideration to a person other than the registered holder of the Wave Certificate surrendered, or shall establish to the reasonable satisfaction of the Exchange Agent that such Tax has been paid or is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the deposit of the Wave Consideration Fund with the Exchange Agent, Wave-Delaware shall cause the Exchange Agent to deliver the Scheme Consideration to holders of Wave-Singapore Shares held in uncertificated book-entry form without any further action on the part of such holders. With respect to Wave-Singapore Shares held in uncertificated book-entry form, the Scheme Consideration shall only be registered in the name of the person in whose name the Wave-Singapore Shares are registered in such book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the Scheme Consideration by Wave-Delaware to each Entitled Shareholder in accordance with the terms of this Scheme shall discharge Wave-Delaware and the Company from any liability in respect of the consideration for the Wave-Singapore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portion of the Wave Consideration Fund deposited with the Exchange Agent that has not been transferred to the Entitled Shareholders for 90 calendar days after the Effective Time shall (upon request by Wave-Delaware) be delivered to Wave-Delaware, and any holder of Wave Certificates shall thereafter look only to Wave-Delaware for payment of the Scheme Consideration, without any interest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and from the Effective Time, each existing Wave Certificate representing a holding of Wave-Singapore Shares will cease to be evidence of title of the Wave-Singapore Shares represented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will be notified of the procedures to submit the Wave Certificates to the address of the Share Registrar, Computershare Trust Company, N.A. at P.O. Box 43014, Providence, RI 02940-3014 as soon as possible.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PART IV </w:t>
      </w:r>
    </w:p>
    <w:p>
      <w:pPr>
        <w:pStyle w:val="TextBody"/>
        <w:bidi w:val="0"/>
        <w:spacing w:before="120" w:after="0"/>
        <w:jc w:val="center"/>
        <w:rPr>
          <w:rFonts w:ascii="Times New Roman" w:hAnsi="Times New Roman"/>
          <w:b/>
          <w:sz w:val="20"/>
        </w:rPr>
      </w:pPr>
      <w:r>
        <w:rPr>
          <w:rFonts w:ascii="Times New Roman" w:hAnsi="Times New Roman"/>
          <w:b/>
          <w:sz w:val="20"/>
        </w:rPr>
        <w:t xml:space="preserve">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satisfaction of the Scheme Conditions set out in Clause 1 of this Scheme, this Scheme shall become effective and binding upon a copy of the order of the Court approving this Scheme under Section 210 of the Companies Act being duly lodged with the Accounting and Corporate Regulatory Authority of Singapore for registration.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this Scheme shall have become effective and binding as aforesaid on or before the Long-Stop Date (or such other date as the Court on the application of the Company or Wave-Delaware, may allow), this Scheme shall lapse.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Wave-Delaware may jointly consent, for and on behalf of all concerned, to any modification of, or amendment to, this Scheme or to any condition which the Court may think fit to approve or impose.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Scheme does not become effective and binding for any reason, the expenses and costs incurred by the Company in connection with the Scheme will be paid out of the assets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17.</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Scheme shall be governed by, and construed in accordance with, the laws of Singapore, and the Company, Wave-Delaware and the Shareholders submit to the non-exclusive jurisdiction of the courts of Singapore. A person who is not a party to this Scheme has no rights under the Contracts (Rights of Third Parties) Act 2001 of Singapore, to enforce any term or provision of this Scheme.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Dated </w:t>
      </w:r>
      <w:r>
        <w:rPr>
          <w:rFonts w:ascii="Times New Roman" w:hAnsi="Times New Roman"/>
          <w:b/>
          <w:sz w:val="20"/>
        </w:rPr>
        <w:t>[_________]</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1" w:name="toc45078_99"/>
      <w:bookmarkEnd w:id="101"/>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IMPLEMENTATION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AGREEMENT </w:t>
      </w:r>
      <w:r>
        <w:rPr>
          <w:rFonts w:ascii="Times New Roman" w:hAnsi="Times New Roman"/>
          <w:sz w:val="20"/>
        </w:rPr>
        <w:t xml:space="preserve">is made on April 15, 2026. </w:t>
      </w:r>
    </w:p>
    <w:p>
      <w:pPr>
        <w:pStyle w:val="TextBody"/>
        <w:bidi w:val="0"/>
        <w:spacing w:before="360" w:after="0"/>
        <w:jc w:val="left"/>
        <w:rPr>
          <w:rFonts w:ascii="Times New Roman" w:hAnsi="Times New Roman"/>
          <w:b/>
          <w:sz w:val="20"/>
        </w:rPr>
      </w:pPr>
      <w:r>
        <w:rPr>
          <w:rFonts w:ascii="Times New Roman" w:hAnsi="Times New Roman"/>
          <w:b/>
          <w:sz w:val="20"/>
        </w:rPr>
        <w:t xml:space="preserve">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WAVE LIFE SCIENCES, INC.</w:t>
            </w:r>
            <w:r>
              <w:rPr>
                <w:rFonts w:ascii="Times New Roman" w:hAnsi="Times New Roman"/>
                <w:sz w:val="20"/>
              </w:rPr>
              <w:t>, a company incorporated under the laws of Delaware and having its registered office at 1209 Orange Street, Wilmington, DE 19801, U.S.A. (“</w:t>
            </w:r>
            <w:r>
              <w:rPr>
                <w:rFonts w:ascii="Times New Roman" w:hAnsi="Times New Roman"/>
                <w:b/>
                <w:sz w:val="20"/>
              </w:rPr>
              <w:t>Wave-Delaware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WAVE LIFE SCIENCES LTD. </w:t>
            </w:r>
            <w:r>
              <w:rPr>
                <w:rFonts w:ascii="Times New Roman" w:hAnsi="Times New Roman"/>
                <w:sz w:val="20"/>
              </w:rPr>
              <w:t>(Company Registration Number: 201218209G), a company incorporated in Singapore and having its registered office at 7 Straits View #12 00, Marina One East Tower, Singapore 018936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(each, a “</w:t>
      </w:r>
      <w:r>
        <w:rPr>
          <w:rFonts w:ascii="Times New Roman" w:hAnsi="Times New Roman"/>
          <w:b/>
          <w:sz w:val="20"/>
        </w:rPr>
        <w:t>Party</w:t>
      </w:r>
      <w:r>
        <w:rPr>
          <w:rFonts w:ascii="Times New Roman" w:hAnsi="Times New Roman"/>
          <w:sz w:val="20"/>
        </w:rPr>
        <w:t>” and collectively, the “</w:t>
      </w:r>
      <w:r>
        <w:rPr>
          <w:rFonts w:ascii="Times New Roman" w:hAnsi="Times New Roman"/>
          <w:b/>
          <w:sz w:val="20"/>
        </w:rPr>
        <w:t>Parties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WHEREAS: </w:t>
      </w:r>
    </w:p>
    <w:p>
      <w:pPr>
        <w:pStyle w:val="TextBody"/>
        <w:bidi w:val="0"/>
        <w:spacing w:before="120" w:after="0"/>
        <w:jc w:val="left"/>
        <w:rPr>
          <w:rFonts w:ascii="Times New Roman" w:hAnsi="Times New Roman"/>
          <w:sz w:val="20"/>
        </w:rPr>
      </w:pPr>
      <w:r>
        <w:rPr>
          <w:rFonts w:ascii="Times New Roman" w:hAnsi="Times New Roman"/>
          <w:sz w:val="20"/>
        </w:rPr>
        <w:t>The Company proposes to cause the transfer of all the issued ordinary shares in the capital of the Company (the “</w:t>
      </w:r>
      <w:r>
        <w:rPr>
          <w:rFonts w:ascii="Times New Roman" w:hAnsi="Times New Roman"/>
          <w:b/>
          <w:sz w:val="20"/>
        </w:rPr>
        <w:t>Wave-Singapore Ordinary Shares</w:t>
      </w:r>
      <w:r>
        <w:rPr>
          <w:rFonts w:ascii="Times New Roman" w:hAnsi="Times New Roman"/>
          <w:sz w:val="20"/>
        </w:rPr>
        <w:t>”) to Wave-Delaware by way of a scheme of arrangement (the “</w:t>
      </w:r>
      <w:r>
        <w:rPr>
          <w:rFonts w:ascii="Times New Roman" w:hAnsi="Times New Roman"/>
          <w:b/>
          <w:sz w:val="20"/>
        </w:rPr>
        <w:t>Redomiciliation</w:t>
      </w:r>
      <w:r>
        <w:rPr>
          <w:rFonts w:ascii="Times New Roman" w:hAnsi="Times New Roman"/>
          <w:sz w:val="20"/>
        </w:rPr>
        <w:t>”) in accordance with Section 210 of the Companies Act 1967 of Singapore (the “</w:t>
      </w:r>
      <w:r>
        <w:rPr>
          <w:rFonts w:ascii="Times New Roman" w:hAnsi="Times New Roman"/>
          <w:b/>
          <w:sz w:val="20"/>
        </w:rPr>
        <w:t>Companies Act</w:t>
      </w:r>
      <w:r>
        <w:rPr>
          <w:rFonts w:ascii="Times New Roman" w:hAnsi="Times New Roman"/>
          <w:sz w:val="20"/>
        </w:rPr>
        <w:t>”), Wave-Delaware and the Company have agreed in good faith to implement the Redomiciliation upon and subject to the terms and conditions of this Agreement, and, effective one day following the Redomiciliation, the Company will file a U.S. Internal Revenue Service Form 8832, Entity Classification Election, to elect to be classified as a disregarded entity for U.S. federal income tax purposes (the “</w:t>
      </w:r>
      <w:r>
        <w:rPr>
          <w:rFonts w:ascii="Times New Roman" w:hAnsi="Times New Roman"/>
          <w:b/>
          <w:sz w:val="20"/>
        </w:rPr>
        <w:t>U.S. Tax Election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IT IS HEREBY AGREED</w:t>
      </w:r>
      <w:r>
        <w:rPr>
          <w:rFonts w:ascii="Times New Roman" w:hAnsi="Times New Roman"/>
          <w:sz w:val="20"/>
        </w:rPr>
        <w:t xml:space="preserv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AND INTERPRETATION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and the Schedules, unless the context otherwise requires: </w:t>
            </w:r>
          </w:p>
        </w:tc>
      </w:tr>
    </w:tbl>
    <w:p>
      <w:pPr>
        <w:pStyle w:val="TextBody"/>
        <w:bidi w:val="0"/>
        <w:spacing w:before="120" w:after="0"/>
        <w:jc w:val="left"/>
        <w:rPr/>
      </w:pPr>
      <w:r>
        <w:rPr/>
        <w:t>“</w:t>
      </w:r>
      <w:r>
        <w:rPr>
          <w:rFonts w:ascii="Times New Roman" w:hAnsi="Times New Roman"/>
          <w:b/>
          <w:sz w:val="20"/>
        </w:rPr>
        <w:t>ACRA</w:t>
      </w:r>
      <w:r>
        <w:rPr>
          <w:rFonts w:ascii="Times New Roman" w:hAnsi="Times New Roman"/>
          <w:sz w:val="20"/>
        </w:rPr>
        <w:t xml:space="preserve">” means the Accounting and Corporate Regulatory Authority of Singapore; </w:t>
      </w:r>
    </w:p>
    <w:p>
      <w:pPr>
        <w:pStyle w:val="TextBody"/>
        <w:bidi w:val="0"/>
        <w:spacing w:before="120" w:after="0"/>
        <w:jc w:val="left"/>
        <w:rPr/>
      </w:pPr>
      <w:r>
        <w:rPr/>
        <w:t>“</w:t>
      </w:r>
      <w:r>
        <w:rPr>
          <w:rFonts w:ascii="Times New Roman" w:hAnsi="Times New Roman"/>
          <w:b/>
          <w:sz w:val="20"/>
        </w:rPr>
        <w:t>Alternate Consideration</w:t>
      </w:r>
      <w:r>
        <w:rPr>
          <w:rFonts w:ascii="Times New Roman" w:hAnsi="Times New Roman"/>
          <w:sz w:val="20"/>
        </w:rPr>
        <w:t xml:space="preserve">” has the meaning ascribed to it under the Pre-Funded Warrant Agreements;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 day (excluding Saturdays, Sundays and gazetted public holidays) on which commercial banks are open for business in the State of Massachusetts and the Republic of Singapore; </w:t>
      </w:r>
    </w:p>
    <w:p>
      <w:pPr>
        <w:pStyle w:val="TextBody"/>
        <w:bidi w:val="0"/>
        <w:spacing w:before="120" w:after="0"/>
        <w:jc w:val="left"/>
        <w:rPr/>
      </w:pPr>
      <w:r>
        <w:rPr/>
        <w:t>“</w:t>
      </w:r>
      <w:r>
        <w:rPr>
          <w:rFonts w:ascii="Times New Roman" w:hAnsi="Times New Roman"/>
          <w:b/>
          <w:sz w:val="20"/>
        </w:rPr>
        <w:t>CEDE</w:t>
      </w:r>
      <w:r>
        <w:rPr>
          <w:rFonts w:ascii="Times New Roman" w:hAnsi="Times New Roman"/>
          <w:sz w:val="20"/>
        </w:rPr>
        <w:t xml:space="preserve">” shall have the meaning ascribed to it in Clause 8.1.2;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shall have the meaning ascribed to it in the Recital; </w:t>
      </w:r>
    </w:p>
    <w:p>
      <w:pPr>
        <w:pStyle w:val="TextBody"/>
        <w:bidi w:val="0"/>
        <w:spacing w:before="120" w:after="0"/>
        <w:jc w:val="left"/>
        <w:rPr/>
      </w:pPr>
      <w:r>
        <w:rPr/>
        <w:t>“</w:t>
      </w:r>
      <w:r>
        <w:rPr>
          <w:rFonts w:ascii="Times New Roman" w:hAnsi="Times New Roman"/>
          <w:b/>
          <w:sz w:val="20"/>
        </w:rPr>
        <w:t>Company</w:t>
      </w:r>
      <w:r>
        <w:rPr>
          <w:rFonts w:ascii="Times New Roman" w:hAnsi="Times New Roman"/>
          <w:sz w:val="20"/>
        </w:rPr>
        <w:t xml:space="preserve">” shall have the meaning ascribed to it in the Recital; </w:t>
      </w:r>
    </w:p>
    <w:p>
      <w:pPr>
        <w:pStyle w:val="TextBody"/>
        <w:bidi w:val="0"/>
        <w:spacing w:before="120" w:after="0"/>
        <w:jc w:val="left"/>
        <w:rPr/>
      </w:pPr>
      <w:r>
        <w:rPr/>
        <w:t>“</w:t>
      </w:r>
      <w:r>
        <w:rPr>
          <w:rFonts w:ascii="Times New Roman" w:hAnsi="Times New Roman"/>
          <w:b/>
          <w:sz w:val="20"/>
        </w:rPr>
        <w:t>Consideration</w:t>
      </w:r>
      <w:r>
        <w:rPr>
          <w:rFonts w:ascii="Times New Roman" w:hAnsi="Times New Roman"/>
          <w:sz w:val="20"/>
        </w:rPr>
        <w:t xml:space="preserve">” shall have the meaning ascribed to it in Clause 4.2; </w:t>
      </w:r>
    </w:p>
    <w:p>
      <w:pPr>
        <w:pStyle w:val="TextBody"/>
        <w:bidi w:val="0"/>
        <w:spacing w:before="120" w:after="0"/>
        <w:jc w:val="left"/>
        <w:rPr/>
      </w:pPr>
      <w:r>
        <w:rPr/>
        <w:t>“</w:t>
      </w:r>
      <w:r>
        <w:rPr>
          <w:rFonts w:ascii="Times New Roman" w:hAnsi="Times New Roman"/>
          <w:b/>
          <w:sz w:val="20"/>
        </w:rPr>
        <w:t>Converted Wave-Delaware Option</w:t>
      </w:r>
      <w:r>
        <w:rPr>
          <w:rFonts w:ascii="Times New Roman" w:hAnsi="Times New Roman"/>
          <w:sz w:val="20"/>
        </w:rPr>
        <w:t xml:space="preserve">” shall have the meaning ascribed to it in Clause 5.1; </w:t>
      </w:r>
    </w:p>
    <w:p>
      <w:pPr>
        <w:pStyle w:val="TextBody"/>
        <w:bidi w:val="0"/>
        <w:spacing w:before="120" w:after="0"/>
        <w:jc w:val="left"/>
        <w:rPr/>
      </w:pPr>
      <w:r>
        <w:rPr/>
        <w:t>“</w:t>
      </w:r>
      <w:r>
        <w:rPr>
          <w:rFonts w:ascii="Times New Roman" w:hAnsi="Times New Roman"/>
          <w:b/>
          <w:sz w:val="20"/>
        </w:rPr>
        <w:t>Converted Wave-Delaware PSUs</w:t>
      </w:r>
      <w:r>
        <w:rPr>
          <w:rFonts w:ascii="Times New Roman" w:hAnsi="Times New Roman"/>
          <w:sz w:val="20"/>
        </w:rPr>
        <w:t xml:space="preserve">” shall have the meaning ascribed to it in Clause 5.2; </w:t>
      </w:r>
    </w:p>
    <w:p>
      <w:pPr>
        <w:pStyle w:val="TextBody"/>
        <w:bidi w:val="0"/>
        <w:spacing w:before="120" w:after="0"/>
        <w:jc w:val="left"/>
        <w:rPr/>
      </w:pPr>
      <w:r>
        <w:rPr/>
        <w:t>“</w:t>
      </w:r>
      <w:r>
        <w:rPr>
          <w:rFonts w:ascii="Times New Roman" w:hAnsi="Times New Roman"/>
          <w:b/>
          <w:sz w:val="20"/>
        </w:rPr>
        <w:t>Converted Wave-Delaware RSUs</w:t>
      </w:r>
      <w:r>
        <w:rPr>
          <w:rFonts w:ascii="Times New Roman" w:hAnsi="Times New Roman"/>
          <w:sz w:val="20"/>
        </w:rPr>
        <w:t xml:space="preserve">” shall have the meaning ascribed to it in Clause 5.2; </w:t>
      </w:r>
    </w:p>
    <w:p>
      <w:pPr>
        <w:pStyle w:val="TextBody"/>
        <w:bidi w:val="0"/>
        <w:spacing w:before="120" w:after="0"/>
        <w:jc w:val="left"/>
        <w:rPr/>
      </w:pPr>
      <w:r>
        <w:rPr/>
        <w:t>“</w:t>
      </w:r>
      <w:r>
        <w:rPr>
          <w:rFonts w:ascii="Times New Roman" w:hAnsi="Times New Roman"/>
          <w:b/>
          <w:sz w:val="20"/>
        </w:rPr>
        <w:t>Court</w:t>
      </w:r>
      <w:r>
        <w:rPr>
          <w:rFonts w:ascii="Times New Roman" w:hAnsi="Times New Roman"/>
          <w:sz w:val="20"/>
        </w:rPr>
        <w:t xml:space="preserve">” means the General Division of the High Court of the Republic of Singapore, or where applicable on appeal, the Appellate Division of the High Court of the Republic of Singapore and/or the Court of Appeal of the Republic of Singapore; </w:t>
      </w:r>
    </w:p>
    <w:p>
      <w:pPr>
        <w:pStyle w:val="TextBody"/>
        <w:bidi w:val="0"/>
        <w:spacing w:before="120" w:after="0"/>
        <w:jc w:val="left"/>
        <w:rPr/>
      </w:pPr>
      <w:r>
        <w:rPr/>
        <w:t>“</w:t>
      </w:r>
      <w:r>
        <w:rPr>
          <w:rFonts w:ascii="Times New Roman" w:hAnsi="Times New Roman"/>
          <w:b/>
          <w:sz w:val="20"/>
        </w:rPr>
        <w:t>Court Order</w:t>
      </w:r>
      <w:r>
        <w:rPr>
          <w:rFonts w:ascii="Times New Roman" w:hAnsi="Times New Roman"/>
          <w:sz w:val="20"/>
        </w:rPr>
        <w:t xml:space="preserve">” means the order of the Court approving the Redomiciliation under Section 210 of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Effective Date</w:t>
      </w:r>
      <w:r>
        <w:rPr>
          <w:rFonts w:ascii="Times New Roman" w:hAnsi="Times New Roman"/>
          <w:sz w:val="20"/>
        </w:rPr>
        <w:t xml:space="preserve">” means the date on which the Redomiciliation becomes effective in accordance with Clause 4.4 of this Agreement and Section 210(5) of the Companies Act, and which date shall, in any event, be no later than the Long-Stop Date; </w:t>
      </w:r>
    </w:p>
    <w:p>
      <w:pPr>
        <w:pStyle w:val="TextBody"/>
        <w:bidi w:val="0"/>
        <w:spacing w:before="120" w:after="0"/>
        <w:jc w:val="left"/>
        <w:rPr/>
      </w:pPr>
      <w:r>
        <w:rPr/>
        <w:t>“</w:t>
      </w:r>
      <w:r>
        <w:rPr>
          <w:rFonts w:ascii="Times New Roman" w:hAnsi="Times New Roman"/>
          <w:b/>
          <w:sz w:val="20"/>
        </w:rPr>
        <w:t>Effective Time</w:t>
      </w:r>
      <w:r>
        <w:rPr>
          <w:rFonts w:ascii="Times New Roman" w:hAnsi="Times New Roman"/>
          <w:sz w:val="20"/>
        </w:rPr>
        <w:t xml:space="preserve">” means the time on the Effective Date at which the Court Order is lodged with ACRA; </w:t>
      </w:r>
    </w:p>
    <w:p>
      <w:pPr>
        <w:pStyle w:val="TextBody"/>
        <w:bidi w:val="0"/>
        <w:spacing w:before="120" w:after="0"/>
        <w:jc w:val="left"/>
        <w:rPr/>
      </w:pPr>
      <w:r>
        <w:rPr/>
        <w:t>“</w:t>
      </w:r>
      <w:r>
        <w:rPr>
          <w:rFonts w:ascii="Times New Roman" w:hAnsi="Times New Roman"/>
          <w:b/>
          <w:sz w:val="20"/>
        </w:rPr>
        <w:t>Encumbrances</w:t>
      </w:r>
      <w:r>
        <w:rPr>
          <w:rFonts w:ascii="Times New Roman" w:hAnsi="Times New Roman"/>
          <w:sz w:val="20"/>
        </w:rPr>
        <w:t xml:space="preserve">” means any liens, equities, mortgages, charges, encumbrances, security interests, hypothecations, easements, pledges, title retention, trust arrangement, hire purchase, judgment, preferential right, rights of pre-emption and other rights or interests conferring security or similar rights in favour of a third party;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United States Securities Exchange Act of 1934, as amended; </w:t>
      </w:r>
    </w:p>
    <w:p>
      <w:pPr>
        <w:pStyle w:val="TextBody"/>
        <w:bidi w:val="0"/>
        <w:spacing w:before="120" w:after="0"/>
        <w:jc w:val="left"/>
        <w:rPr/>
      </w:pPr>
      <w:r>
        <w:rPr/>
        <w:t>“</w:t>
      </w:r>
      <w:r>
        <w:rPr>
          <w:rFonts w:ascii="Times New Roman" w:hAnsi="Times New Roman"/>
          <w:b/>
          <w:sz w:val="20"/>
        </w:rPr>
        <w:t>Exchange Agent</w:t>
      </w:r>
      <w:r>
        <w:rPr>
          <w:rFonts w:ascii="Times New Roman" w:hAnsi="Times New Roman"/>
          <w:sz w:val="20"/>
        </w:rPr>
        <w:t xml:space="preserve">” shall have the meaning ascribed to it in Clause 4.6.1; </w:t>
      </w:r>
    </w:p>
    <w:p>
      <w:pPr>
        <w:pStyle w:val="TextBody"/>
        <w:bidi w:val="0"/>
        <w:spacing w:before="120" w:after="0"/>
        <w:jc w:val="left"/>
        <w:rPr/>
      </w:pPr>
      <w:r>
        <w:rPr/>
        <w:t>“</w:t>
      </w:r>
      <w:r>
        <w:rPr>
          <w:rFonts w:ascii="Times New Roman" w:hAnsi="Times New Roman"/>
          <w:b/>
          <w:sz w:val="20"/>
        </w:rPr>
        <w:t>Governmental Agency</w:t>
      </w:r>
      <w:r>
        <w:rPr>
          <w:rFonts w:ascii="Times New Roman" w:hAnsi="Times New Roman"/>
          <w:sz w:val="20"/>
        </w:rPr>
        <w:t xml:space="preserve">” means any international, national, federal, state, provincial or local government or governmental, semi-governmental, administrative, regulatory, fiscal or judicial agency, authority, body, commission, department, exchange, tribunal or entity; </w:t>
      </w:r>
    </w:p>
    <w:p>
      <w:pPr>
        <w:pStyle w:val="TextBody"/>
        <w:bidi w:val="0"/>
        <w:spacing w:before="120" w:after="0"/>
        <w:jc w:val="left"/>
        <w:rPr/>
      </w:pPr>
      <w:r>
        <w:rPr/>
        <w:t>“</w:t>
      </w:r>
      <w:r>
        <w:rPr>
          <w:rFonts w:ascii="Times New Roman" w:hAnsi="Times New Roman"/>
          <w:b/>
          <w:sz w:val="20"/>
        </w:rPr>
        <w:t>Holder</w:t>
      </w:r>
      <w:r>
        <w:rPr>
          <w:rFonts w:ascii="Times New Roman" w:hAnsi="Times New Roman"/>
          <w:sz w:val="20"/>
        </w:rPr>
        <w:t xml:space="preserve">” has the meaning ascribed to it under the Pre-Funded Warrant Agreements; </w:t>
      </w:r>
    </w:p>
    <w:p>
      <w:pPr>
        <w:pStyle w:val="TextBody"/>
        <w:bidi w:val="0"/>
        <w:spacing w:before="120" w:after="0"/>
        <w:jc w:val="left"/>
        <w:rPr/>
      </w:pPr>
      <w:r>
        <w:rPr/>
        <w:t>“</w:t>
      </w:r>
      <w:r>
        <w:rPr>
          <w:rFonts w:ascii="Times New Roman" w:hAnsi="Times New Roman"/>
          <w:b/>
          <w:sz w:val="20"/>
        </w:rPr>
        <w:t>Law</w:t>
      </w:r>
      <w:r>
        <w:rPr>
          <w:rFonts w:ascii="Times New Roman" w:hAnsi="Times New Roman"/>
          <w:sz w:val="20"/>
        </w:rPr>
        <w:t xml:space="preserve">” means any federal, state, local or foreign law (including common law), statute, ordinance, regulation, judgment, order, decree, injunction, arbitration award, franchise, license, agency requirement or permit of any Governmental Agency; </w:t>
      </w:r>
    </w:p>
    <w:p>
      <w:pPr>
        <w:pStyle w:val="TextBody"/>
        <w:bidi w:val="0"/>
        <w:spacing w:before="120" w:after="0"/>
        <w:jc w:val="left"/>
        <w:rPr/>
      </w:pPr>
      <w:r>
        <w:rPr/>
        <w:t>“</w:t>
      </w:r>
      <w:r>
        <w:rPr>
          <w:rFonts w:ascii="Times New Roman" w:hAnsi="Times New Roman"/>
          <w:b/>
          <w:sz w:val="20"/>
        </w:rPr>
        <w:t>Long-Stop Date</w:t>
      </w:r>
      <w:r>
        <w:rPr>
          <w:rFonts w:ascii="Times New Roman" w:hAnsi="Times New Roman"/>
          <w:sz w:val="20"/>
        </w:rPr>
        <w:t xml:space="preserve">” means December 31, 2026; </w:t>
      </w:r>
    </w:p>
    <w:p>
      <w:pPr>
        <w:pStyle w:val="TextBody"/>
        <w:bidi w:val="0"/>
        <w:spacing w:before="120" w:after="0"/>
        <w:jc w:val="left"/>
        <w:rPr/>
      </w:pPr>
      <w:r>
        <w:rPr/>
        <w:t>“</w:t>
      </w:r>
      <w:r>
        <w:rPr>
          <w:rFonts w:ascii="Times New Roman" w:hAnsi="Times New Roman"/>
          <w:b/>
          <w:sz w:val="20"/>
        </w:rPr>
        <w:t>Nasdaq</w:t>
      </w:r>
      <w:r>
        <w:rPr>
          <w:rFonts w:ascii="Times New Roman" w:hAnsi="Times New Roman"/>
          <w:sz w:val="20"/>
        </w:rPr>
        <w:t xml:space="preserve">” means the Nasdaq Global Market; </w:t>
      </w:r>
    </w:p>
    <w:p>
      <w:pPr>
        <w:pStyle w:val="TextBody"/>
        <w:bidi w:val="0"/>
        <w:spacing w:before="120" w:after="0"/>
        <w:jc w:val="left"/>
        <w:rPr/>
      </w:pPr>
      <w:r>
        <w:rPr/>
        <w:t>“</w:t>
      </w:r>
      <w:r>
        <w:rPr>
          <w:rFonts w:ascii="Times New Roman" w:hAnsi="Times New Roman"/>
          <w:b/>
          <w:sz w:val="20"/>
        </w:rPr>
        <w:t>Pre-Funded Warrant Agreements</w:t>
      </w:r>
      <w:r>
        <w:rPr>
          <w:rFonts w:ascii="Times New Roman" w:hAnsi="Times New Roman"/>
          <w:sz w:val="20"/>
        </w:rPr>
        <w:t xml:space="preserve">” means each Pre-Funded Warrant to Purchase Ordinary Shares, originally issued by the Company on June 16, 2022, September 27, 2024 or December 11, 2025; </w:t>
      </w:r>
    </w:p>
    <w:p>
      <w:pPr>
        <w:pStyle w:val="TextBody"/>
        <w:bidi w:val="0"/>
        <w:spacing w:before="120" w:after="0"/>
        <w:jc w:val="left"/>
        <w:rPr/>
      </w:pPr>
      <w:r>
        <w:rPr/>
        <w:t>“</w:t>
      </w:r>
      <w:r>
        <w:rPr>
          <w:rFonts w:ascii="Times New Roman" w:hAnsi="Times New Roman"/>
          <w:b/>
          <w:sz w:val="20"/>
        </w:rPr>
        <w:t>Proxy Statement</w:t>
      </w:r>
      <w:r>
        <w:rPr>
          <w:rFonts w:ascii="Times New Roman" w:hAnsi="Times New Roman"/>
          <w:sz w:val="20"/>
        </w:rPr>
        <w:t xml:space="preserve">” means the definitive proxy statement (including any amendment or supplement thereto) relating to the Redomiciliation and this Agreement to be sent by the Company to the Shareholders relating to the Special Meeting; </w:t>
      </w:r>
    </w:p>
    <w:p>
      <w:pPr>
        <w:pStyle w:val="TextBody"/>
        <w:bidi w:val="0"/>
        <w:spacing w:before="120" w:after="0"/>
        <w:jc w:val="left"/>
        <w:rPr/>
      </w:pPr>
      <w:r>
        <w:rPr/>
        <w:t>“</w:t>
      </w:r>
      <w:r>
        <w:rPr>
          <w:rFonts w:ascii="Times New Roman" w:hAnsi="Times New Roman"/>
          <w:b/>
          <w:sz w:val="20"/>
        </w:rPr>
        <w:t>Redomiciliation</w:t>
      </w:r>
      <w:r>
        <w:rPr>
          <w:rFonts w:ascii="Times New Roman" w:hAnsi="Times New Roman"/>
          <w:sz w:val="20"/>
        </w:rPr>
        <w:t xml:space="preserve">” shall have the meaning ascribed to it in the Recital; </w:t>
      </w:r>
    </w:p>
    <w:p>
      <w:pPr>
        <w:pStyle w:val="TextBody"/>
        <w:bidi w:val="0"/>
        <w:spacing w:before="120" w:after="0"/>
        <w:jc w:val="left"/>
        <w:rPr/>
      </w:pPr>
      <w:r>
        <w:rPr/>
        <w:t>“</w:t>
      </w:r>
      <w:r>
        <w:rPr>
          <w:rFonts w:ascii="Times New Roman" w:hAnsi="Times New Roman"/>
          <w:b/>
          <w:sz w:val="20"/>
        </w:rPr>
        <w:t>Right</w:t>
      </w:r>
      <w:r>
        <w:rPr>
          <w:rFonts w:ascii="Times New Roman" w:hAnsi="Times New Roman"/>
          <w:sz w:val="20"/>
        </w:rPr>
        <w:t xml:space="preserve">” shall have the meaning ascribed to it in Clause 10.6;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120" w:after="0"/>
        <w:jc w:val="left"/>
        <w:rPr/>
      </w:pPr>
      <w:r>
        <w:rPr/>
        <w:t>“</w:t>
      </w:r>
      <w:r>
        <w:rPr>
          <w:rFonts w:ascii="Times New Roman" w:hAnsi="Times New Roman"/>
          <w:b/>
          <w:sz w:val="20"/>
        </w:rPr>
        <w:t>Shareholders</w:t>
      </w:r>
      <w:r>
        <w:rPr>
          <w:rFonts w:ascii="Times New Roman" w:hAnsi="Times New Roman"/>
          <w:sz w:val="20"/>
        </w:rPr>
        <w:t xml:space="preserve">” means the holders of Wave-Singapore Ordinary Shares; </w:t>
      </w:r>
    </w:p>
    <w:p>
      <w:pPr>
        <w:pStyle w:val="TextBody"/>
        <w:bidi w:val="0"/>
        <w:spacing w:before="120" w:after="0"/>
        <w:jc w:val="left"/>
        <w:rPr/>
      </w:pPr>
      <w:r>
        <w:rPr/>
        <w:t>“</w:t>
      </w:r>
      <w:r>
        <w:rPr>
          <w:rFonts w:ascii="Times New Roman" w:hAnsi="Times New Roman"/>
          <w:b/>
          <w:sz w:val="20"/>
        </w:rPr>
        <w:t>Special Meeting</w:t>
      </w:r>
      <w:r>
        <w:rPr>
          <w:rFonts w:ascii="Times New Roman" w:hAnsi="Times New Roman"/>
          <w:sz w:val="20"/>
        </w:rPr>
        <w:t xml:space="preserve">” means the meeting of the Shareholders to be convened pursuant to the order of the Court, to approve the Redomiciliation and any adjournment thereof; </w:t>
      </w:r>
    </w:p>
    <w:p>
      <w:pPr>
        <w:pStyle w:val="TextBody"/>
        <w:bidi w:val="0"/>
        <w:spacing w:before="120" w:after="0"/>
        <w:jc w:val="left"/>
        <w:rPr/>
      </w:pPr>
      <w:r>
        <w:rPr/>
        <w:t>“</w:t>
      </w:r>
      <w:r>
        <w:rPr>
          <w:rFonts w:ascii="Times New Roman" w:hAnsi="Times New Roman"/>
          <w:b/>
          <w:sz w:val="20"/>
        </w:rPr>
        <w:t>Taxes</w:t>
      </w:r>
      <w:r>
        <w:rPr>
          <w:rFonts w:ascii="Times New Roman" w:hAnsi="Times New Roman"/>
          <w:sz w:val="20"/>
        </w:rPr>
        <w:t>” or “</w:t>
      </w:r>
      <w:r>
        <w:rPr>
          <w:rFonts w:ascii="Times New Roman" w:hAnsi="Times New Roman"/>
          <w:b/>
          <w:sz w:val="20"/>
        </w:rPr>
        <w:t>Taxation</w:t>
      </w:r>
      <w:r>
        <w:rPr>
          <w:rFonts w:ascii="Times New Roman" w:hAnsi="Times New Roman"/>
          <w:sz w:val="20"/>
        </w:rPr>
        <w:t xml:space="preserve">” means all forms of taxation and statutory, governmental, federal, state, provincial, local or municipal impositions, duties, contributions and levies of any kind, including income, withholding, stamp, goods and services tax and any other form of value-added tax, in each case whether of Singapore, the United States or elsewhere in the world, and all penalties, charges, costs, additions and interest relating thereto; </w:t>
      </w:r>
    </w:p>
    <w:p>
      <w:pPr>
        <w:pStyle w:val="TextBody"/>
        <w:bidi w:val="0"/>
        <w:spacing w:before="120" w:after="0"/>
        <w:jc w:val="left"/>
        <w:rPr/>
      </w:pPr>
      <w:r>
        <w:rPr/>
        <w:t>“</w:t>
      </w:r>
      <w:r>
        <w:rPr>
          <w:rFonts w:ascii="Times New Roman" w:hAnsi="Times New Roman"/>
          <w:b/>
          <w:sz w:val="20"/>
        </w:rPr>
        <w:t xml:space="preserve">U.S. Tax Election” </w:t>
      </w:r>
      <w:r>
        <w:rPr>
          <w:rFonts w:ascii="Times New Roman" w:hAnsi="Times New Roman"/>
          <w:sz w:val="20"/>
        </w:rPr>
        <w:t xml:space="preserve">shall have the meaning ascribed to it in the Recital; </w:t>
      </w:r>
    </w:p>
    <w:p>
      <w:pPr>
        <w:pStyle w:val="TextBody"/>
        <w:bidi w:val="0"/>
        <w:spacing w:before="120" w:after="0"/>
        <w:jc w:val="left"/>
        <w:rPr/>
      </w:pPr>
      <w:r>
        <w:rPr/>
        <w:t>“</w:t>
      </w:r>
      <w:r>
        <w:rPr>
          <w:rFonts w:ascii="Times New Roman" w:hAnsi="Times New Roman"/>
          <w:b/>
          <w:sz w:val="20"/>
        </w:rPr>
        <w:t>Wave-Delaware</w:t>
      </w:r>
      <w:r>
        <w:rPr>
          <w:rFonts w:ascii="Times New Roman" w:hAnsi="Times New Roman"/>
          <w:sz w:val="20"/>
        </w:rPr>
        <w:t xml:space="preserve">” shall have the meaning ascribed to it in the Recital; </w:t>
      </w:r>
    </w:p>
    <w:p>
      <w:pPr>
        <w:pStyle w:val="TextBody"/>
        <w:bidi w:val="0"/>
        <w:spacing w:before="120" w:after="0"/>
        <w:jc w:val="left"/>
        <w:rPr/>
      </w:pPr>
      <w:r>
        <w:rPr/>
        <w:t>“</w:t>
      </w:r>
      <w:r>
        <w:rPr>
          <w:rFonts w:ascii="Times New Roman" w:hAnsi="Times New Roman"/>
          <w:b/>
          <w:sz w:val="20"/>
        </w:rPr>
        <w:t>Wave Certificate</w:t>
      </w:r>
      <w:r>
        <w:rPr>
          <w:rFonts w:ascii="Times New Roman" w:hAnsi="Times New Roman"/>
          <w:sz w:val="20"/>
        </w:rPr>
        <w:t xml:space="preserve">” shall have the meaning ascribed to it in Clause 4.3; </w:t>
      </w:r>
    </w:p>
    <w:p>
      <w:pPr>
        <w:pStyle w:val="TextBody"/>
        <w:bidi w:val="0"/>
        <w:spacing w:before="120" w:after="0"/>
        <w:jc w:val="left"/>
        <w:rPr/>
      </w:pPr>
      <w:r>
        <w:rPr/>
        <w:t>“</w:t>
      </w:r>
      <w:r>
        <w:rPr>
          <w:rFonts w:ascii="Times New Roman" w:hAnsi="Times New Roman"/>
          <w:b/>
          <w:sz w:val="20"/>
        </w:rPr>
        <w:t>Wave Consideration Fund</w:t>
      </w:r>
      <w:r>
        <w:rPr>
          <w:rFonts w:ascii="Times New Roman" w:hAnsi="Times New Roman"/>
          <w:sz w:val="20"/>
        </w:rPr>
        <w:t xml:space="preserve">” shall have the meaning ascribed to it in Clause 4.6.1; </w:t>
      </w:r>
    </w:p>
    <w:p>
      <w:pPr>
        <w:pStyle w:val="TextBody"/>
        <w:bidi w:val="0"/>
        <w:spacing w:before="120" w:after="0"/>
        <w:jc w:val="left"/>
        <w:rPr/>
      </w:pPr>
      <w:r>
        <w:rPr/>
        <w:t>“</w:t>
      </w:r>
      <w:r>
        <w:rPr>
          <w:rFonts w:ascii="Times New Roman" w:hAnsi="Times New Roman"/>
          <w:b/>
          <w:sz w:val="20"/>
        </w:rPr>
        <w:t>Wave-Delaware Common Shares</w:t>
      </w:r>
      <w:r>
        <w:rPr>
          <w:rFonts w:ascii="Times New Roman" w:hAnsi="Times New Roman"/>
          <w:sz w:val="20"/>
        </w:rPr>
        <w:t xml:space="preserve">” means the shares of common stock, par value $0.001 per share, of Wave-Delaware;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Wave Equity Plans</w:t>
      </w:r>
      <w:r>
        <w:rPr>
          <w:rFonts w:ascii="Times New Roman" w:hAnsi="Times New Roman"/>
          <w:sz w:val="20"/>
        </w:rPr>
        <w:t xml:space="preserve">” means (i) The Wave Life Sciences Ltd. 2021 Equity Incentive Plan, (ii) The Wave Life Sciences Ltd. 2014 Equity Incentive Plan, (iii) each individual Wave Life Sciences Ltd. Nasdaq Inducement Restricted Share Unit Award Grant Notice and Nasdaq Inducement Restricted Share Unit Agreement that is outstanding immediately prior to the Effective Time and (iv) each individual Wave Life Sciences Ltd. Nasdaq Inducement Non-qualified Share Option Grant Notice and Nasdaq Inducement Non-qualified Share Option Agreement that is outstanding immediately prior to the Effective Time , each as amended to date; </w:t>
      </w:r>
    </w:p>
    <w:p>
      <w:pPr>
        <w:pStyle w:val="TextBody"/>
        <w:bidi w:val="0"/>
        <w:spacing w:before="120" w:after="0"/>
        <w:jc w:val="left"/>
        <w:rPr/>
      </w:pPr>
      <w:r>
        <w:rPr/>
        <w:t>“</w:t>
      </w:r>
      <w:r>
        <w:rPr>
          <w:rFonts w:ascii="Times New Roman" w:hAnsi="Times New Roman"/>
          <w:b/>
          <w:sz w:val="20"/>
        </w:rPr>
        <w:t>Wave-Singapore ESPP</w:t>
      </w:r>
      <w:r>
        <w:rPr>
          <w:rFonts w:ascii="Times New Roman" w:hAnsi="Times New Roman"/>
          <w:sz w:val="20"/>
        </w:rPr>
        <w:t xml:space="preserve">” means the Wave Life Sciences Ltd. Employee Share Purchase Plan, as amended; </w:t>
      </w:r>
    </w:p>
    <w:p>
      <w:pPr>
        <w:pStyle w:val="TextBody"/>
        <w:bidi w:val="0"/>
        <w:spacing w:before="120" w:after="0"/>
        <w:jc w:val="left"/>
        <w:rPr/>
      </w:pPr>
      <w:r>
        <w:rPr/>
        <w:t>“</w:t>
      </w:r>
      <w:r>
        <w:rPr>
          <w:rFonts w:ascii="Times New Roman" w:hAnsi="Times New Roman"/>
          <w:b/>
          <w:sz w:val="20"/>
        </w:rPr>
        <w:t>Wave-Singapore ESPP Award</w:t>
      </w:r>
      <w:r>
        <w:rPr>
          <w:rFonts w:ascii="Times New Roman" w:hAnsi="Times New Roman"/>
          <w:sz w:val="20"/>
        </w:rPr>
        <w:t xml:space="preserve">” shall have the meaning ascribed to it in Clause 5.4; </w:t>
      </w:r>
    </w:p>
    <w:p>
      <w:pPr>
        <w:pStyle w:val="TextBody"/>
        <w:bidi w:val="0"/>
        <w:spacing w:before="120" w:after="0"/>
        <w:jc w:val="left"/>
        <w:rPr/>
      </w:pPr>
      <w:r>
        <w:rPr/>
        <w:t>“</w:t>
      </w:r>
      <w:r>
        <w:rPr>
          <w:rFonts w:ascii="Times New Roman" w:hAnsi="Times New Roman"/>
          <w:b/>
          <w:sz w:val="20"/>
        </w:rPr>
        <w:t>Wave-Singapore Ordinary Shares</w:t>
      </w:r>
      <w:r>
        <w:rPr>
          <w:rFonts w:ascii="Times New Roman" w:hAnsi="Times New Roman"/>
          <w:sz w:val="20"/>
        </w:rPr>
        <w:t xml:space="preserve">” shall have the meaning ascribed to it in the Recital; </w:t>
      </w:r>
    </w:p>
    <w:p>
      <w:pPr>
        <w:pStyle w:val="TextBody"/>
        <w:bidi w:val="0"/>
        <w:spacing w:before="120" w:after="0"/>
        <w:jc w:val="left"/>
        <w:rPr/>
      </w:pPr>
      <w:r>
        <w:rPr/>
        <w:t>“</w:t>
      </w:r>
      <w:r>
        <w:rPr>
          <w:rFonts w:ascii="Times New Roman" w:hAnsi="Times New Roman"/>
          <w:b/>
          <w:sz w:val="20"/>
        </w:rPr>
        <w:t>Wave-Singapore PSU Award</w:t>
      </w:r>
      <w:r>
        <w:rPr>
          <w:rFonts w:ascii="Times New Roman" w:hAnsi="Times New Roman"/>
          <w:sz w:val="20"/>
        </w:rPr>
        <w:t xml:space="preserve">” means a performance share unit denominated in Wave-Singapore Ordinary Shares granted pursuant to one of the Wave Equity Plans; </w:t>
      </w:r>
    </w:p>
    <w:p>
      <w:pPr>
        <w:pStyle w:val="TextBody"/>
        <w:bidi w:val="0"/>
        <w:spacing w:before="120" w:after="0"/>
        <w:jc w:val="left"/>
        <w:rPr/>
      </w:pPr>
      <w:r>
        <w:rPr/>
        <w:t>“</w:t>
      </w:r>
      <w:r>
        <w:rPr>
          <w:rFonts w:ascii="Times New Roman" w:hAnsi="Times New Roman"/>
          <w:b/>
          <w:sz w:val="20"/>
        </w:rPr>
        <w:t>Wave-Singapore RSU Award</w:t>
      </w:r>
      <w:r>
        <w:rPr>
          <w:rFonts w:ascii="Times New Roman" w:hAnsi="Times New Roman"/>
          <w:sz w:val="20"/>
        </w:rPr>
        <w:t xml:space="preserve">” means a restricted share unit award denominated in Wave-Singapore Ordinary Shares granted pursuant to one of the Wave Equity Plans; </w:t>
      </w:r>
    </w:p>
    <w:p>
      <w:pPr>
        <w:pStyle w:val="TextBody"/>
        <w:bidi w:val="0"/>
        <w:spacing w:before="120" w:after="0"/>
        <w:jc w:val="left"/>
        <w:rPr/>
      </w:pPr>
      <w:r>
        <w:rPr/>
        <w:t>“</w:t>
      </w:r>
      <w:r>
        <w:rPr>
          <w:rFonts w:ascii="Times New Roman" w:hAnsi="Times New Roman"/>
          <w:b/>
          <w:sz w:val="20"/>
        </w:rPr>
        <w:t>Wave-Singapore Share Option</w:t>
      </w:r>
      <w:r>
        <w:rPr>
          <w:rFonts w:ascii="Times New Roman" w:hAnsi="Times New Roman"/>
          <w:sz w:val="20"/>
        </w:rPr>
        <w:t xml:space="preserve">” means an option to purchase Wave-Singapore Ordinary Shares granted pursuant to one of the Wave Equity Plans; </w:t>
      </w:r>
    </w:p>
    <w:p>
      <w:pPr>
        <w:pStyle w:val="TextBody"/>
        <w:bidi w:val="0"/>
        <w:spacing w:before="120" w:after="0"/>
        <w:jc w:val="left"/>
        <w:rPr/>
      </w:pPr>
      <w:r>
        <w:rPr/>
        <w:t>“</w:t>
      </w:r>
      <w:r>
        <w:rPr>
          <w:rFonts w:ascii="Times New Roman" w:hAnsi="Times New Roman"/>
          <w:b/>
          <w:sz w:val="20"/>
        </w:rPr>
        <w:t>Warranties</w:t>
      </w:r>
      <w:r>
        <w:rPr>
          <w:rFonts w:ascii="Times New Roman" w:hAnsi="Times New Roman"/>
          <w:sz w:val="20"/>
        </w:rPr>
        <w:t>” means the representations, warranties, covenants and undertakings made by Wave-Delaware in Schedule 1 or the representations, warranties, covenants and undertakings made by the Company in Schedule 2 (as the case may be) and “</w:t>
      </w:r>
      <w:r>
        <w:rPr>
          <w:rFonts w:ascii="Times New Roman" w:hAnsi="Times New Roman"/>
          <w:b/>
          <w:sz w:val="20"/>
        </w:rPr>
        <w:t>Warranty</w:t>
      </w:r>
      <w:r>
        <w:rPr>
          <w:rFonts w:ascii="Times New Roman" w:hAnsi="Times New Roman"/>
          <w:sz w:val="20"/>
        </w:rPr>
        <w:t xml:space="preserve">” means any one of them; and </w:t>
      </w:r>
    </w:p>
    <w:p>
      <w:pPr>
        <w:pStyle w:val="TextBody"/>
        <w:bidi w:val="0"/>
        <w:spacing w:before="120" w:after="0"/>
        <w:jc w:val="left"/>
        <w:rPr/>
      </w:pPr>
      <w:r>
        <w:rPr/>
        <w:t>“</w:t>
      </w:r>
      <w:r>
        <w:rPr>
          <w:rFonts w:ascii="Times New Roman" w:hAnsi="Times New Roman"/>
          <w:b/>
          <w:sz w:val="20"/>
        </w:rPr>
        <w:t>%</w:t>
      </w:r>
      <w:r>
        <w:rPr>
          <w:rFonts w:ascii="Times New Roman" w:hAnsi="Times New Roman"/>
          <w:sz w:val="20"/>
        </w:rPr>
        <w:t xml:space="preserve">” means per centum or percentage.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Modification etc. of Statutes.</w:t>
            </w:r>
            <w:r>
              <w:rPr>
                <w:rFonts w:ascii="Times New Roman" w:hAnsi="Times New Roman"/>
                <w:sz w:val="20"/>
              </w:rPr>
              <w:t xml:space="preserve"> Any reference in this Agreement to a statutory provision shall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statute or provision as from time to time modified, re-enacted or consolidated whether before or after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past statute or statutory provision (as from time to time modified, re-enacted or consolidated) which that statute or provision has directly or indirectly replaced;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or subordinate legislation made from time to time under that statute or statutory provision which is in force at the date of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to the extent that any statute, statutory provision or subsidiary or subordinate legislation made or enacted after the date of this Agreement would create or increase a liability of either Party under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Singular, Plural, Gender. </w:t>
            </w:r>
            <w:r>
              <w:rPr>
                <w:rFonts w:ascii="Times New Roman" w:hAnsi="Times New Roman"/>
                <w:sz w:val="20"/>
              </w:rPr>
              <w:t xml:space="preserve">References to one gender include all genders and references to the singular include the plural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References to Persons. </w:t>
            </w:r>
            <w:r>
              <w:rPr>
                <w:rFonts w:ascii="Times New Roman" w:hAnsi="Times New Roman"/>
                <w:sz w:val="20"/>
              </w:rPr>
              <w:t xml:space="preserve">References to a person include any company, limited liability partnership, partnership, business trust or unincorporated association (whether or not having separate legal personality).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Companies Act. </w:t>
            </w:r>
            <w:r>
              <w:rPr>
                <w:rFonts w:ascii="Times New Roman" w:hAnsi="Times New Roman"/>
                <w:sz w:val="20"/>
              </w:rPr>
              <w:t>The words “</w:t>
            </w:r>
            <w:r>
              <w:rPr>
                <w:rFonts w:ascii="Times New Roman" w:hAnsi="Times New Roman"/>
                <w:b/>
                <w:sz w:val="20"/>
              </w:rPr>
              <w:t>company</w:t>
            </w:r>
            <w:r>
              <w:rPr>
                <w:rFonts w:ascii="Times New Roman" w:hAnsi="Times New Roman"/>
                <w:sz w:val="20"/>
              </w:rPr>
              <w:t>”, “</w:t>
            </w:r>
            <w:r>
              <w:rPr>
                <w:rFonts w:ascii="Times New Roman" w:hAnsi="Times New Roman"/>
                <w:b/>
                <w:sz w:val="20"/>
              </w:rPr>
              <w:t>corporation</w:t>
            </w:r>
            <w:r>
              <w:rPr>
                <w:rFonts w:ascii="Times New Roman" w:hAnsi="Times New Roman"/>
                <w:sz w:val="20"/>
              </w:rPr>
              <w:t>”, and “</w:t>
            </w:r>
            <w:r>
              <w:rPr>
                <w:rFonts w:ascii="Times New Roman" w:hAnsi="Times New Roman"/>
                <w:b/>
                <w:sz w:val="20"/>
              </w:rPr>
              <w:t>subsidiary</w:t>
            </w:r>
            <w:r>
              <w:rPr>
                <w:rFonts w:ascii="Times New Roman" w:hAnsi="Times New Roman"/>
                <w:sz w:val="20"/>
              </w:rPr>
              <w:t xml:space="preserve">” shall have the same meanings in this Agreement as their respective definitions in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Interpretation Act. </w:t>
            </w:r>
            <w:r>
              <w:rPr>
                <w:rFonts w:ascii="Times New Roman" w:hAnsi="Times New Roman"/>
                <w:sz w:val="20"/>
              </w:rPr>
              <w:t xml:space="preserve">The Interpretation Act 1965 of Singapore shall apply to this Agreement in the same way as it applies to an enactment.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Clauses, Schedules etc.. </w:t>
            </w:r>
            <w:r>
              <w:rPr>
                <w:rFonts w:ascii="Times New Roman" w:hAnsi="Times New Roman"/>
                <w:sz w:val="20"/>
              </w:rPr>
              <w:t xml:space="preserve">References to this Agreement shall include any Recitals and Schedules to it and references to Clauses and Schedules are to Clauses of, and Schedules to, this Agreement. References to paragraphs and Parts are to paragraphs and parts of the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Headings. </w:t>
            </w:r>
            <w:r>
              <w:rPr>
                <w:rFonts w:ascii="Times New Roman" w:hAnsi="Times New Roman"/>
                <w:sz w:val="20"/>
              </w:rPr>
              <w:t xml:space="preserve">Headings shall be ignored in interpreting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Construction. </w:t>
            </w:r>
            <w:r>
              <w:rPr>
                <w:rFonts w:ascii="Times New Roman" w:hAnsi="Times New Roman"/>
                <w:sz w:val="20"/>
              </w:rPr>
              <w:t>Unless a contrary indication appears, a reference in this Agreement to “</w:t>
            </w:r>
            <w:r>
              <w:rPr>
                <w:rFonts w:ascii="Times New Roman" w:hAnsi="Times New Roman"/>
                <w:b/>
                <w:sz w:val="20"/>
              </w:rPr>
              <w:t>including</w:t>
            </w:r>
            <w:r>
              <w:rPr>
                <w:rFonts w:ascii="Times New Roman" w:hAnsi="Times New Roman"/>
                <w:sz w:val="20"/>
              </w:rPr>
              <w:t>” shall not be construed restrictively but shall mean “</w:t>
            </w:r>
            <w:r>
              <w:rPr>
                <w:rFonts w:ascii="Times New Roman" w:hAnsi="Times New Roman"/>
                <w:b/>
                <w:sz w:val="20"/>
              </w:rPr>
              <w:t>including without prejudice to the generality of the foregoing</w:t>
            </w:r>
            <w:r>
              <w:rPr>
                <w:rFonts w:ascii="Times New Roman" w:hAnsi="Times New Roman"/>
                <w:sz w:val="20"/>
              </w:rPr>
              <w:t>” and “</w:t>
            </w:r>
            <w:r>
              <w:rPr>
                <w:rFonts w:ascii="Times New Roman" w:hAnsi="Times New Roman"/>
                <w:b/>
                <w:sz w:val="20"/>
              </w:rPr>
              <w:t>including, but without limitation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9"/>
        <w:gridCol w:w="9049"/>
      </w:tblGrid>
      <w:tr>
        <w:trPr/>
        <w:tc>
          <w:tcPr>
            <w:tcW w:w="507" w:type="dxa"/>
            <w:tcBorders/>
            <w:vAlign w:val="center"/>
          </w:tcPr>
          <w:p>
            <w:pPr>
              <w:pStyle w:val="TableContents"/>
              <w:bidi w:val="0"/>
              <w:spacing w:before="0" w:after="283"/>
              <w:jc w:val="left"/>
              <w:rPr/>
            </w:pPr>
            <w:r>
              <w:rPr/>
              <w:t> </w:t>
            </w:r>
          </w:p>
        </w:tc>
        <w:tc>
          <w:tcPr>
            <w:tcW w:w="649" w:type="dxa"/>
            <w:tcBorders/>
          </w:tcPr>
          <w:p>
            <w:pPr>
              <w:pStyle w:val="TableContents"/>
              <w:bidi w:val="0"/>
              <w:spacing w:before="0" w:after="283"/>
              <w:jc w:val="left"/>
              <w:rPr>
                <w:b/>
              </w:rPr>
            </w:pPr>
            <w:r>
              <w:rPr>
                <w:b/>
              </w:rPr>
              <w:t>1.10.1</w:t>
            </w:r>
          </w:p>
        </w:tc>
        <w:tc>
          <w:tcPr>
            <w:tcW w:w="90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Agreement, a reference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pPr>
            <w:r>
              <w:rPr/>
              <w:t>“</w:t>
            </w:r>
            <w:r>
              <w:rPr>
                <w:rFonts w:ascii="Times New Roman" w:hAnsi="Times New Roman"/>
                <w:b/>
                <w:sz w:val="20"/>
              </w:rPr>
              <w:t>this Agreement</w:t>
            </w:r>
            <w:r>
              <w:rPr>
                <w:rFonts w:ascii="Times New Roman" w:hAnsi="Times New Roman"/>
                <w:sz w:val="20"/>
              </w:rPr>
              <w:t xml:space="preserve">” includes all amendments, additions, and variations thereto agreed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pPr>
            <w:r>
              <w:rPr/>
              <w:t>“</w:t>
            </w:r>
            <w:r>
              <w:rPr>
                <w:rFonts w:ascii="Times New Roman" w:hAnsi="Times New Roman"/>
                <w:b/>
                <w:sz w:val="20"/>
              </w:rPr>
              <w:t>month</w:t>
            </w:r>
            <w:r>
              <w:rPr>
                <w:rFonts w:ascii="Times New Roman" w:hAnsi="Times New Roman"/>
                <w:sz w:val="20"/>
              </w:rPr>
              <w:t xml:space="preserve">” is a reference to a period starting on one day in a calendar month and ending on the numerically corresponding day in the next succeeding calendar month;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the words “</w:t>
            </w:r>
            <w:r>
              <w:rPr>
                <w:rFonts w:ascii="Times New Roman" w:hAnsi="Times New Roman"/>
                <w:b/>
                <w:sz w:val="20"/>
              </w:rPr>
              <w:t>written</w:t>
            </w:r>
            <w:r>
              <w:rPr>
                <w:rFonts w:ascii="Times New Roman" w:hAnsi="Times New Roman"/>
                <w:sz w:val="20"/>
              </w:rPr>
              <w:t>” and “</w:t>
            </w:r>
            <w:r>
              <w:rPr>
                <w:rFonts w:ascii="Times New Roman" w:hAnsi="Times New Roman"/>
                <w:b/>
                <w:sz w:val="20"/>
              </w:rPr>
              <w:t>in writing</w:t>
            </w:r>
            <w:r>
              <w:rPr>
                <w:rFonts w:ascii="Times New Roman" w:hAnsi="Times New Roman"/>
                <w:sz w:val="20"/>
              </w:rPr>
              <w:t xml:space="preserve">” include any means of visible reproduction.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44"/>
        <w:gridCol w:w="9054"/>
      </w:tblGrid>
      <w:tr>
        <w:trPr/>
        <w:tc>
          <w:tcPr>
            <w:tcW w:w="507" w:type="dxa"/>
            <w:tcBorders/>
            <w:vAlign w:val="center"/>
          </w:tcPr>
          <w:p>
            <w:pPr>
              <w:pStyle w:val="TableContents"/>
              <w:bidi w:val="0"/>
              <w:spacing w:before="0" w:after="283"/>
              <w:jc w:val="left"/>
              <w:rPr/>
            </w:pPr>
            <w:r>
              <w:rPr/>
              <w:t> </w:t>
            </w:r>
          </w:p>
        </w:tc>
        <w:tc>
          <w:tcPr>
            <w:tcW w:w="644" w:type="dxa"/>
            <w:tcBorders/>
          </w:tcPr>
          <w:p>
            <w:pPr>
              <w:pStyle w:val="TableContents"/>
              <w:bidi w:val="0"/>
              <w:spacing w:before="0" w:after="283"/>
              <w:jc w:val="left"/>
              <w:rPr>
                <w:b/>
              </w:rPr>
            </w:pPr>
            <w:r>
              <w:rPr>
                <w:b/>
              </w:rPr>
              <w:t>1.10.2</w:t>
            </w:r>
          </w:p>
        </w:tc>
        <w:tc>
          <w:tcPr>
            <w:tcW w:w="90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thing or obligation to be done under this Agreement which requires or falls to be done on a stipulated day, shall be done on the next succeeding Business Day, if the day upon which that thing or obligation to be done falls on a day which is not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AGREEMENT TO PROCEED WITH THE REDOMICILIATION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hereby agree to effect the Redomiciliation upon the terms and subject to the conditions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PRECEDENT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Conditions.</w:t>
            </w:r>
            <w:r>
              <w:rPr>
                <w:rFonts w:ascii="Times New Roman" w:hAnsi="Times New Roman"/>
                <w:sz w:val="20"/>
              </w:rPr>
              <w:t xml:space="preserve"> The Redomiciliation is conditional upon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3.1.1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Shareholders’ Approval</w:t>
            </w:r>
            <w:r>
              <w:rPr>
                <w:rFonts w:ascii="Times New Roman" w:hAnsi="Times New Roman"/>
                <w:sz w:val="20"/>
              </w:rPr>
              <w:t xml:space="preserve">: the approval of the Redomiciliation by the Shareholders in compliance with the requirements under Section 210(3AB) of the Companies Act having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b/>
              </w:rPr>
            </w:pPr>
            <w:r>
              <w:rPr>
                <w:b/>
              </w:rPr>
              <w:t>3.1.2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Court Order</w:t>
            </w:r>
            <w:r>
              <w:rPr>
                <w:rFonts w:ascii="Times New Roman" w:hAnsi="Times New Roman"/>
                <w:sz w:val="20"/>
              </w:rPr>
              <w:t xml:space="preserve">: the grant of the Court Order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3.1.3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rPr>
              <w:t>ACRA Lodgement</w:t>
            </w:r>
            <w:r>
              <w:rPr>
                <w:rFonts w:ascii="Times New Roman" w:hAnsi="Times New Roman"/>
                <w:sz w:val="20"/>
              </w:rPr>
              <w:t xml:space="preserve">: the lodgement of the Court Order with ACRA in accordance with Section 210(5) of the Companies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3.1.4</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rPr>
              <w:t>No Prohibitions</w:t>
            </w:r>
            <w:r>
              <w:rPr>
                <w:rFonts w:ascii="Times New Roman" w:hAnsi="Times New Roman"/>
                <w:sz w:val="20"/>
              </w:rPr>
              <w:t xml:space="preserve">: between the date of this Agreement and immediately prior to the Effective Time, (a) no statute, rule or regulation is enacted or promulgated by any governmental entity of competent jurisdiction which prohibits or makes illegal the consummation of the Redomiciliation and (b) no order or injunction of a court of competent jurisdiction shall be in effect that prevents the consummation of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Non-Satisfaction/Waiver. </w:t>
            </w:r>
            <w:r>
              <w:rPr>
                <w:rFonts w:ascii="Times New Roman" w:hAnsi="Times New Roman"/>
                <w:sz w:val="20"/>
              </w:rPr>
              <w:t xml:space="preserve">The Parties agree that none of the conditions precedent in Clause 3.1 are capable of being waived by either or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All Actions.</w:t>
            </w:r>
            <w:r>
              <w:rPr>
                <w:rFonts w:ascii="Times New Roman" w:hAnsi="Times New Roman"/>
                <w:sz w:val="20"/>
              </w:rPr>
              <w:t xml:space="preserve"> Subject to the terms and conditions provided in this Agreement, each Party agrees to use its reasonable efforts to take, or cause to be taken, all actions and to use its reasonable best efforts to do, or cause to be done, all things necessary, proper or advisable under applicable Laws and regulations to consummate and make effective the transactions contemplated under this Agreement and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Redomiciliation.</w:t>
            </w:r>
            <w:r>
              <w:rPr>
                <w:rFonts w:ascii="Times New Roman" w:hAnsi="Times New Roman"/>
                <w:sz w:val="20"/>
              </w:rPr>
              <w:t xml:space="preserve"> The Parties agree that the Redomiciliation will involve, </w:t>
            </w:r>
            <w:r>
              <w:rPr>
                <w:rFonts w:ascii="Times New Roman" w:hAnsi="Times New Roman"/>
                <w:i/>
                <w:sz w:val="20"/>
              </w:rPr>
              <w:t>inter alia</w:t>
            </w:r>
            <w:r>
              <w:rPr>
                <w:rFonts w:ascii="Times New Roman" w:hAnsi="Times New Roman"/>
                <w:sz w:val="20"/>
              </w:rPr>
              <w:t xml:space="preserve">, the transfer of all the outstanding Wave-Singapore Ordinary Shares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 On the Effective Date, upon the effectiveness of the Redomiciliation, Wave-Delaware will hold 100% of the Wave-Singapore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Redomiciliation</w:t>
            </w:r>
            <w:r>
              <w:rPr>
                <w:rFonts w:ascii="Times New Roman" w:hAnsi="Times New Roman"/>
                <w:sz w:val="20"/>
              </w:rPr>
              <w:t xml:space="preserve"> </w:t>
            </w:r>
            <w:r>
              <w:rPr>
                <w:rFonts w:ascii="Times New Roman" w:hAnsi="Times New Roman"/>
                <w:b/>
                <w:sz w:val="20"/>
              </w:rPr>
              <w:t>Consideration.</w:t>
            </w:r>
            <w:r>
              <w:rPr>
                <w:rFonts w:ascii="Times New Roman" w:hAnsi="Times New Roman"/>
                <w:sz w:val="20"/>
              </w:rPr>
              <w:t xml:space="preserve"> The consideration to be paid by Wave-Delaware to the Shareholders as at the Effective Time, for their Wave-Singapore Ordinary Shares pursuant to the Redomiciliation shall be one fully paid Wave-Delaware Common Share for each such Wave-Singapore Ordinary Share (the “</w:t>
            </w:r>
            <w:r>
              <w:rPr>
                <w:rFonts w:ascii="Times New Roman" w:hAnsi="Times New Roman"/>
                <w:b/>
                <w:sz w:val="20"/>
              </w:rPr>
              <w:t>Consideration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Wave-Singapore Ordinary Shares. </w:t>
            </w:r>
            <w:r>
              <w:rPr>
                <w:rFonts w:ascii="Times New Roman" w:hAnsi="Times New Roman"/>
                <w:sz w:val="20"/>
              </w:rPr>
              <w:t>From and after the Effective Time, each existing share certificate representing a holding of Wave-Singapore Ordinary Shares by or on behalf of the Shareholders (a “</w:t>
            </w:r>
            <w:r>
              <w:rPr>
                <w:rFonts w:ascii="Times New Roman" w:hAnsi="Times New Roman"/>
                <w:b/>
                <w:sz w:val="20"/>
              </w:rPr>
              <w:t>Wave Certificate</w:t>
            </w:r>
            <w:r>
              <w:rPr>
                <w:rFonts w:ascii="Times New Roman" w:hAnsi="Times New Roman"/>
                <w:sz w:val="20"/>
              </w:rPr>
              <w:t xml:space="preserve">”) and each existing Wave-Singapore Ordinary Share held in uncertificated book-entry form will cease to be evidence of title of the Wave-Singapore Ordinary Shares represented by such certificate or book-entry notation and Wave-Delaware shall issue to each Shareholder the Wave-Delaware Common Shares issuable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Effective Date. </w:t>
            </w:r>
            <w:r>
              <w:rPr>
                <w:rFonts w:ascii="Times New Roman" w:hAnsi="Times New Roman"/>
                <w:sz w:val="20"/>
              </w:rPr>
              <w:t xml:space="preserve">The Redomiciliation shall become effective upon the lodgement of the Court Order with ACRA. At the Effective Time, all of the issued Wave-Singapore Ordinary Shares will be transferred to Wave-Delaware, fully paid, free from all Encumbrances and together with all rights, benefits and entitlements attaching thereto as at such date and thereafter attaching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Directors and Officers. </w:t>
            </w:r>
            <w:r>
              <w:rPr>
                <w:rFonts w:ascii="Times New Roman" w:hAnsi="Times New Roman"/>
                <w:sz w:val="20"/>
              </w:rPr>
              <w:t xml:space="preserve">The directors of the Company immediately before the Effective Time shall, from and after the Effective Time, become the directors of Wave-Delaware until their successors shall have been duly elected or appointed or qualified or until their earlier death, resignation or removal in accordance with applicable Laws. The officers of the Company immediately prior to the Effective Time shall, from and after the Effective Time, be the officers of Wave-Delaware until their successors shall have been duly elected or appointed or qualified or until their earlier death, resignation or removal in accordance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Exchange Procedures for Wave-Singapore Ordinary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4.6.1</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Effective Time, Wave-Delaware will designate a nationally-recognized U.S. financial institution to act as exchange agent in the Redomiciliation (the “</w:t>
            </w:r>
            <w:r>
              <w:rPr>
                <w:rFonts w:ascii="Times New Roman" w:hAnsi="Times New Roman"/>
                <w:b/>
                <w:sz w:val="20"/>
              </w:rPr>
              <w:t>Exchange Agent</w:t>
            </w:r>
            <w:r>
              <w:rPr>
                <w:rFonts w:ascii="Times New Roman" w:hAnsi="Times New Roman"/>
                <w:sz w:val="20"/>
              </w:rPr>
              <w:t>”). At or immediately after the Effective Time, Wave-Delaware shall deposit with the Exchange Agent, acting as exchange agent and solely for the account and benefit of the Shareholders, for exchange in accordance with Clauses 4.2 and 4.3, book entry shares representing the full number of Wave-Delaware Common Shares issuable pursuant to Clauses 4.2 and 4.3 in exchange for outstanding Wave-Singapore Ordinary Shares (such Wave-Delaware Common Shares, the “</w:t>
            </w:r>
            <w:r>
              <w:rPr>
                <w:rFonts w:ascii="Times New Roman" w:hAnsi="Times New Roman"/>
                <w:b/>
                <w:sz w:val="20"/>
              </w:rPr>
              <w:t>Wave Consideration Fund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the Effective Time, Wave-Delaware shall cause the Exchange Agent to mail to each Shareholder who is a holder of record of Wave Certificates whose shares were converted into the right to receive the Consideration pursuant to Clauses 4.2 and 4.3: (i) a letter of transmittal in customary form and (ii) instructions for use in effecting the surrender of the Wave Certificates in exchange for payment of the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Consideration pursuant to the provisions of this Clause 4 and Clause 5.7, and the Wave Certificate so surrendered shall forthwith be cancelled. No interest will be paid to holders of Wave Certificates in connection with, or accrued on, the Consideration. If any Consideration is to be paid to a person other than a person in whose name the Wave Certificate surrendered in exchange therefor is registered, it shall be a condition of such exchange that the person requesting such exchange shall pay to the Exchange Agent any transfer or other Taxes required by reason of payment of the Consideration to a person other than the registered holder of the Wave Certificate surrendered, or shall establish to the reasonable satisfaction of the Exchange Agent that such Tax has been paid or is not applicable. Promptly following the deposit of the Wave Consideration Fund with the Exchange Agent, Wave-Delaware shall cause the Exchange Agent to deliver the Consideration to holders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283"/>
              <w:jc w:val="left"/>
              <w:rPr/>
            </w:pPr>
            <w:r>
              <w:rPr/>
              <w:t> </w:t>
            </w:r>
          </w:p>
        </w:tc>
        <w:tc>
          <w:tcPr>
            <w:tcW w:w="9086" w:type="dxa"/>
            <w:tcBorders/>
          </w:tcPr>
          <w:p>
            <w:pPr>
              <w:pStyle w:val="TableContents"/>
              <w:bidi w:val="0"/>
              <w:spacing w:before="0" w:after="283"/>
              <w:jc w:val="left"/>
              <w:rPr/>
            </w:pPr>
            <w:r>
              <w:rPr/>
              <w:t xml:space="preserve">Wave-Singapore Ordinary Shares held in uncertificated book-entry form without any further action on the part of such Shareholders. With respect to Wave-Singapore Ordinary Shares held in uncertificated book-entry form, the Consideration shall only be registered in the name of the person in whose name the Wave-Singapore Ordinary Shares are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and after the Effective Time, there shall be no transfers registered in the register of members of the Company of Wave-Singapore Ordinary Shares that were outstanding immediately prior to the Effective Time. If, after the Effective Time, Wave Certificates are presented to Wave-Delaware, the Company or the Exchange Agent for any reason, they shall be cancelled and exchanged for the applicable Consideration pursuant to this Clause 4, except as otherwise provided by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portion of the Wave Consideration Fund that remains unclaimed by the Shareholders at least ninety calendar days after the Effective Time shall (upon request by Wave-Delaware) be delivered to Wave-Delaware. Any holders of Wave Certificates who have not theretofore complied with this Clause 4 with respect to such Wave Certificates shall thereafter (subject to applicable abandoned property, escheat or similar laws) look only to Wave-Delaware for payment of their claim for the Consideration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herein to the contrary, neither the Exchange Agent nor any party hereto shall be liable to any person in respect of Consideration delivered to a public official pursuant to any applicable abandoned property, escheat or similar Law. If any Wave Certificate shall not have been surrendered or transferred prior to the date on which any Consideration in respect thereof would otherwise escheat to or become the property of any Governmental Agency pursuant to applicable Laws, any Consideration in respect of such Wave Certificate shall, to the extent permitted by applicable Law, become the property of Wave-Delaware.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4.6.6</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Wave Certificate shall have been lost, stolen or destroyed, upon the making of an affidavit of that fact (such affidavit shall be in a form reasonably satisfactory to Wave-Delaware and the Exchange Agent) by the person claiming such certificate to be lost, stolen or destroyed, the Exchange Agent shall issue in exchange for such lost, stolen or destroyed Wave Certificate, the Consideration to which such person is entitled in respect of such Wave Certificate pursuant to this Clause 4; provided, however, that Wave-Delaware may, in its discretion and as a condition precedent to the issuance thereof, require the owner of such lost, stolen or destroyed Wave Certificate to deliver a bond in such reasonable and customary amount as Wave-Delaware may direct as indemnity against any claim that may be made against Wave-Delaware, the Company or the Exchange Agent with respect to the Wave Certificate alleged to have been lost, stolen or destroyed.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4.6.7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or other distributions, if any, with respect to Wave-Delaware Common Shares with a record date after the Effective Time shall be paid to the holder of any Wave Certificate representing Wave-Singapore Ordinary Shares as at the Effective Time until the surrender of such Wave Certificate in accordance with this Clause 4. Subject to applicable Laws, following surrender of any such Wave Certificate, if applicable, there shall be paid to the holder of the Wave-Delaware Common Shares issued in exchange therefor, without interest, (i) at the time of such surrender, the amount of dividends or other distributions, if any, with a record date after the Effective Time theretofore paid with respect to such whole Wave-Delaware Common Shares and (ii) at the appropriate payment date, the amount of dividends or other distributions, if any, with a record date after the Effective Time but prior to such surrender and a payment date subsequent to such surrender payable with respect to Wave-Delaware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5.</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sz w:val="20"/>
              </w:rPr>
              <w:t>WAVE EQUITY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Wave-Singapore Share Option outstanding immediately prior to the Effective Time shall, without any further action on the part of any holder thereof, be assumed by Wave-Delaware and converted into an option to purchase the same number of Wave-Delaware Common Shares as the number of Wave-Singapore Ordinary Shares subject to such Wave-Singapore Share Option immediately prior to the Effective Time at the same exercise price per Wave-Delaware Share as the per share exercise price for the Wave-Singapore Ordinary Shares applicable to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Wave-Singapore Share Option immediately prior to the Effective Time (each, as so adjusted, a “</w:t>
            </w:r>
            <w:r>
              <w:rPr>
                <w:b/>
              </w:rPr>
              <w:t>Converted Wave-Delaware Option</w:t>
            </w:r>
            <w:r>
              <w:rPr/>
              <w:t xml:space="preserve">”). Subject to applicable Laws, the Converted Wave-Delaware Options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Share Options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each Wave-Singapore RSU Award outstanding immediately prior to the Effective Time shall, without any further action on the part of any holder thereof, be assumed by Wave-Delaware and converted into an award of restricted share units over that number of Wave-Delaware Common Shares (“</w:t>
            </w:r>
            <w:r>
              <w:rPr>
                <w:rFonts w:ascii="Times New Roman" w:hAnsi="Times New Roman"/>
                <w:b/>
                <w:sz w:val="20"/>
              </w:rPr>
              <w:t>Converted Wave-Delaware RSUs</w:t>
            </w:r>
            <w:r>
              <w:rPr>
                <w:rFonts w:ascii="Times New Roman" w:hAnsi="Times New Roman"/>
                <w:sz w:val="20"/>
              </w:rPr>
              <w:t xml:space="preserve">”) equal to the number of Wave-Singapore Ordinary Shares underlying such Wave-Singapore RSU Award immediately prior to the Effective Time. Subject to applicable Laws, the Converted Wave-Delaware RSUs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RSU Awards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each Wave-Singapore PSU Award outstanding immediately prior to the Effective Time shall, without any further action on the part of any holder thereof, be assumed by Wave-Delaware and converted into an award consisting of that number of performance share units of Wave-Delaware (“</w:t>
            </w:r>
            <w:r>
              <w:rPr>
                <w:rFonts w:ascii="Times New Roman" w:hAnsi="Times New Roman"/>
                <w:b/>
                <w:sz w:val="20"/>
              </w:rPr>
              <w:t>Converted Wave-Delaware PSUs</w:t>
            </w:r>
            <w:r>
              <w:rPr>
                <w:rFonts w:ascii="Times New Roman" w:hAnsi="Times New Roman"/>
                <w:sz w:val="20"/>
              </w:rPr>
              <w:t xml:space="preserve">”) equal to the number of performance share units underlying such Wave-Singapore PSU Award, and the number of Wave-Delaware Common Shares issuable upon vesting of each Converted Wave-Delaware PSU shall be equal to the number of Wave-Singapore Ordinary Shares issuable upon vesting of each performance share unit underlying such Wave-Singapore PSU Award, in each case, immediately prior to the Effective Time. Subject to applicable Laws, the Converted Wave-Delaware PSUs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PSU Awards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At the Effective Time, each option to purchase Wave-Singapore Ordinary Shares that is outstanding under the Wave-Singapore ESPP (each, a “</w:t>
            </w:r>
            <w:r>
              <w:rPr>
                <w:rFonts w:ascii="Times New Roman" w:hAnsi="Times New Roman"/>
                <w:b/>
                <w:sz w:val="20"/>
              </w:rPr>
              <w:t>Wave-Singapore ESPP Award</w:t>
            </w:r>
            <w:r>
              <w:rPr>
                <w:rFonts w:ascii="Times New Roman" w:hAnsi="Times New Roman"/>
                <w:sz w:val="20"/>
              </w:rPr>
              <w:t xml:space="preserve">”) shall be assumed by Wave-Delaware and converted into an option to purchase, on the same terms and conditions (including per share exercise price) as in effect under the Wave-Singapore ESPP immediately prior to the Effective Time, a number of Wave-Delaware Common Shares equal to the total number of Wave-Singapore Ordinary Shares subject to such Wave-Singapore ESPP Award immediately prior to the Effective Time in accordance with Section 19(d) of the Wave-Singapore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Converted Wave-Delaware Option and Converted Wave-Delaware PSU for which the related Wave-Singapore Share Option or Wave-Singapore PSU Award vests based upon the achievement of applicable performance goals, Wave-Delaware may, in its discretion and in accordance with the terms of the Wave Equity Plan and award agreement applicable to each such award, adjust the applicable performance goals to reflect the consummation of the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Effective Time, subject to approval of the Redomiciliation by the Shareholders, Wave-Delaware shall automatically assume each Wave Equity Plan (including any reserved, but unused share reserve) and the Wave-Singapore ESPP (including any reserved, but unused share reserve) to give effect to the assumption and conversion of the Converted Options, Converted PSUs, Converted RSUs and assumption of the Wave-Singapore ESPP Awards, with such approval by the Shareholders constituting approval of each Wave Equity Plan and the Wave-Singapore ESPP by the Wave-Delaware stockholders for purposes of applicable law. The assumed Wave Equity Plans and Wave-Singapore ESPP shall be substantially the same terms and conditions as in effect prior to the Effective Date, except that the following shall be deemed to be amended automatically: (i) all references to the “Company” or similar terms become references to Wave-Delaware, (ii) all references to “shares” or similar terms shall become references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Wave-Delaware Common Shares, and (iii) all references to service or similar terms shall become references to service with Wave-Delaware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Date, the Company and Wave-Delaware shall take all actions necessary to effectuate the provisions set forth in this Clause 5; provided, that no action taken by the Company shall be required to be irrevocable until immediately prior to the Effective Time. The Parties may, to the extent necessary to minimize the tax impact to holders of Wave-Singapore Share Options, Wave-Singapore RSU Awards and Wave-Singapore PSU Awards of the provisions set forth in this Clause 5, cooperate in good faith prior to the Effective Date to develop an alternate mechanism for the conversion of such Wave-Singapore Share Options, Wave-Singapore RSU Awards and Wave-Singapore PSU Awards held by individuals subject to Taxes imposed by the Laws of a country other than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Company and Wave-Delaware shall be entitled to deduct and withhold from the consideration otherwise payable or issuable pursuant to this Agreement, such amounts, if any, as it is required to deduct and withhold with respect to the making of such payment under the U.S. Internal Revenue Code of 1986, as amended (the “</w:t>
            </w:r>
            <w:r>
              <w:rPr>
                <w:rFonts w:ascii="Times New Roman" w:hAnsi="Times New Roman"/>
                <w:b/>
                <w:sz w:val="20"/>
              </w:rPr>
              <w:t>Code</w:t>
            </w:r>
            <w:r>
              <w:rPr>
                <w:rFonts w:ascii="Times New Roman" w:hAnsi="Times New Roman"/>
                <w:sz w:val="20"/>
              </w:rPr>
              <w:t xml:space="preserve">”), the rules and regulations promulgated thereunder, or any other applicable state, local or foreign Tax Law. To the extent such amounts are so deducted or withheld, such amounts shall be treated for all purposes under this Agreement as having been paid or issued to the person in respect of which such deduction or withholding was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Simultaneously with or promptly following the Effective Time, Wave-Delaware shall assume, and the Company shall assign to Wave-Delaware, all rights and obligations of the Company under each Pre-Funded Warrant Agreement to deliver to each Holder the Alternate Consideration, if and when payable pursuant to the Pre-Funded Warrant Agreements. Following the Effective Time, the Pre-Funded Warrant Agreements shall otherwise continue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7.1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for Governmental Order Prohibiting Redomiciliation.</w:t>
            </w:r>
            <w:r>
              <w:rPr>
                <w:rFonts w:ascii="Times New Roman" w:hAnsi="Times New Roman"/>
                <w:sz w:val="20"/>
              </w:rPr>
              <w:t xml:space="preserve"> This Agreement may be terminated at any time prior to the Effective Time by either Party if any court of competent jurisdiction or Governmental Agency has issued an order, decree or ruling or taken any other action permanently enjoining, restraining or otherwise prohibiting the Redomiciliation or any part thereof, or has refused to do anything necessary to permit the Redomiciliation or any part thereof, and such order, decree, ruling, other action or refusal shall have become final and non-appealable.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for Adverse Conditions, etc.</w:t>
            </w:r>
            <w:r>
              <w:rPr>
                <w:rFonts w:ascii="Times New Roman" w:hAnsi="Times New Roman"/>
                <w:sz w:val="20"/>
              </w:rPr>
              <w:t xml:space="preserve"> This Agreement may be terminated at any time by the Company at any time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7.2.1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condition, modification or amendment to the Redomiciliation is imposed by any court of competent jurisdiction or Governmental Agency that is adverse to the Company or its Shareholders;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7.2.2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economic, strategic or other reasons, including if adverse conditions are imposed on the Redomiciliation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Failure of Conditions Prior to Long-Stop Date.</w:t>
            </w:r>
            <w:r>
              <w:rPr>
                <w:rFonts w:ascii="Times New Roman" w:hAnsi="Times New Roman"/>
                <w:sz w:val="20"/>
              </w:rPr>
              <w:t xml:space="preserve"> Notwithstanding anything contained in this Agreement, this Agreement shall terminate if any of the conditions precedent in Clause 3.1 has not been satisfied, or if the Redomiciliation has not become effective, on or before the Long-Stop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sz w:val="20"/>
              </w:rPr>
              <w:t>Effect of Termination.</w:t>
            </w:r>
            <w:r>
              <w:rPr>
                <w:rFonts w:ascii="Times New Roman" w:hAnsi="Times New Roman"/>
                <w:sz w:val="20"/>
              </w:rPr>
              <w:t xml:space="preserve"> In the event of termination of this Agreement by either Party pursuant to this Clause 7, this Agreement shall terminate (except for Clauses 1 and 10) and there shall be no other liability on any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IMPLEMENTATION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The Company’s Obligations.</w:t>
            </w:r>
            <w:r>
              <w:rPr>
                <w:rFonts w:ascii="Times New Roman" w:hAnsi="Times New Roman"/>
                <w:sz w:val="20"/>
              </w:rPr>
              <w:t xml:space="preserve"> The Company must use its reasonable best efforts to execute all documents and do all acts and things necessary for the implementation of the Redomiciliation,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Proxy Statement</w:t>
            </w:r>
            <w:r>
              <w:rPr>
                <w:rFonts w:ascii="Times New Roman" w:hAnsi="Times New Roman"/>
                <w:sz w:val="20"/>
              </w:rPr>
              <w:t xml:space="preserve">: the preparation and filing with the SEC the Proxy Statement (including in preliminary form) and any other forms or notices required in connection with the issuance of Wave-Delaware Common Shares, and furnishing the information required to be provided to its shareholders pursuant to the Laws of Singapore (including an explanatory statement in relation to the Redomiciliation complying with the requirements of the Companies Act) and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Special Meeting</w:t>
            </w:r>
            <w:r>
              <w:rPr>
                <w:rFonts w:ascii="Times New Roman" w:hAnsi="Times New Roman"/>
                <w:sz w:val="20"/>
              </w:rPr>
              <w:t>: the application to the Court for order(s) under Section 210(1) of the Companies Act convening the Special Meeting and for any ancillary orders relating thereto (including orders that (a) for the purposes of the Special Meeting, (i) CEDE &amp; Co. (“</w:t>
            </w:r>
            <w:r>
              <w:rPr>
                <w:rFonts w:ascii="Times New Roman" w:hAnsi="Times New Roman"/>
                <w:b/>
                <w:sz w:val="20"/>
              </w:rPr>
              <w:t>CEDE</w:t>
            </w:r>
            <w:r>
              <w:rPr>
                <w:rFonts w:ascii="Times New Roman" w:hAnsi="Times New Roman"/>
                <w:sz w:val="20"/>
              </w:rPr>
              <w:t xml:space="preserve">”), as nominee of The Depositary Trust Company, shall be deemed not to be a Shareholder, and (ii) instead, each of the persons or entities who are registered on the list maintained by CEDE as holders of the Wave-Singapore Ordinary Shares shall be deemed to be a Shareholder in respect of such number of Wave-Singapore Ordinary Shares held in such persons or entities account and (b) that the Company shall be entitled to establish a record date for the Special Meeting, which date shall be used to determine the list of eligible holders of Wave-Singapore Ordinary Shares entitled to attend and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8.1.3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Court Order</w:t>
            </w:r>
            <w:r>
              <w:rPr>
                <w:rFonts w:ascii="Times New Roman" w:hAnsi="Times New Roman"/>
                <w:sz w:val="20"/>
              </w:rPr>
              <w:t xml:space="preserve">: if the Redomiciliation is approved by the Shareholders at the Special Meeting, applying to the Court as promptly as reasonably practicable thereafter in writing for the Court Order and for any ancillary orders thereto, provided that the Company may seek to adjourn the application for the Court Order for economic, strategic or other reasons, including if adverse conditions are imposed on the Redomiciliation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8.1.4</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ACRA Lodgement</w:t>
            </w:r>
            <w:r>
              <w:rPr>
                <w:rFonts w:ascii="Times New Roman" w:hAnsi="Times New Roman"/>
                <w:sz w:val="20"/>
              </w:rPr>
              <w:t xml:space="preserve">: following the grant of the Court Order, delivering the same to ACRA for lodgement in accordance with Section 210(5) of the Companies Act as promptly as practicable thereafter; provided, however, notwithstanding the obtainment of the approval of the Redomiciliation by the Shareholders, the grant of the Court Order by the Court and/or the satisfaction of all the conditions precedent in Clause 3.1, the Company may delay delivering the Court Order to ACRA for lodgement until the Long-Stop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8.1.5</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rPr>
              <w:t>Provision of Information</w:t>
            </w:r>
            <w:r>
              <w:rPr>
                <w:rFonts w:ascii="Times New Roman" w:hAnsi="Times New Roman"/>
                <w:sz w:val="20"/>
              </w:rPr>
              <w:t xml:space="preserve">: subject and without prejudice to the Company’s legal or regulatory obligations, from the date of this Agreement until (and including) the Effective Date, the Company will and will procure that its subsidiaries authorise and direct its officers, employees, auditors, legal advisers and other advisers to provide reasonable assistance and to co-operate with Wave-Delaware as Wave-Delaware may reasonably request for the completion and implementation of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Wave-Delaware’s Obligations.</w:t>
            </w:r>
            <w:r>
              <w:rPr>
                <w:rFonts w:ascii="Times New Roman" w:hAnsi="Times New Roman"/>
                <w:sz w:val="20"/>
              </w:rPr>
              <w:t xml:space="preserve"> Wave-Delaware must use its reasonable best efforts to execute all documents and do all acts and things necessary for the implementation of the Redomiciliation,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Provision of Information</w:t>
            </w:r>
            <w:r>
              <w:rPr>
                <w:rFonts w:ascii="Times New Roman" w:hAnsi="Times New Roman"/>
                <w:sz w:val="20"/>
              </w:rPr>
              <w:t xml:space="preserve">: subject and without prejudice to Wave-Delaware’s legal or regulatory obligations, from the date of this Agreement until (and including) the Effective Date, Wave-Delaware will and will procure that its subsidiaries authorise and direct its officers, employees, auditors, legal advisers and other advisers to provide reasonable assistance and to co-operate with the Company as the Company may reasonably request for the completion and implementation of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8.2.2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Representation</w:t>
            </w:r>
            <w:r>
              <w:rPr>
                <w:rFonts w:ascii="Times New Roman" w:hAnsi="Times New Roman"/>
                <w:sz w:val="20"/>
              </w:rPr>
              <w:t xml:space="preserve">: if requested by the Court, Wave-Delaware shall do all things and take all steps as are reasonably possible to ensure the fulfilment of its obligations under this Agreement and the Redomiciliation;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8.2.3</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b/>
                <w:sz w:val="20"/>
              </w:rPr>
              <w:t>Satisfaction of Consideration</w:t>
            </w:r>
            <w:r>
              <w:rPr>
                <w:rFonts w:ascii="Times New Roman" w:hAnsi="Times New Roman"/>
                <w:sz w:val="20"/>
              </w:rPr>
              <w:t xml:space="preserve">: subject to the fulfilment the conditions precedent in Clause 3.1, it will be bound by the Redomiciliation, and will issue the relevant Wave-Delaware Common Shares in satisfaction of the Consideration pursuant to the Redomiciliation and on the terms set out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Appeal Process</w:t>
            </w:r>
            <w:r>
              <w:rPr>
                <w:rFonts w:ascii="Times New Roman" w:hAnsi="Times New Roman"/>
                <w:sz w:val="20"/>
              </w:rPr>
              <w:t xml:space="preserve">: If the Court refuses to make any orders convening the Special Meeting or approving the Redomiciliation, the Company shall appeal the Court’s decision to the maximum extent permitted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Wave-Delaware’s Warranties.</w:t>
            </w:r>
            <w:r>
              <w:rPr>
                <w:rFonts w:ascii="Times New Roman" w:hAnsi="Times New Roman"/>
                <w:sz w:val="20"/>
              </w:rPr>
              <w:t xml:space="preserve"> Wave-Delaware represents and warrants to the Company on the terms set out in Schedule 1, subject only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9.1.1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expressly provided for under the terms of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9.1.2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or thing hereafter done or omitted to be done pursuant to this Agreement or otherwise at the request in writing or with the approval in writing of the Company (such approval not to be unreasonably withheld, conditioned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The Company’s Warranties.</w:t>
            </w:r>
            <w:r>
              <w:rPr>
                <w:rFonts w:ascii="Times New Roman" w:hAnsi="Times New Roman"/>
                <w:sz w:val="20"/>
              </w:rPr>
              <w:t xml:space="preserve"> The Company represents and warrants to Wave-Delaware on the terms set out in Schedule 2 subject only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b/>
              </w:rPr>
            </w:pPr>
            <w:r>
              <w:rPr>
                <w:b/>
              </w:rPr>
              <w:t>9.2.1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expressly provided for under the terms of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b/>
              </w:rPr>
            </w:pPr>
            <w:r>
              <w:rPr>
                <w:b/>
              </w:rPr>
              <w:t>9.2.2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or thing hereafter done or omitted to be done pursuant to this Agreement or otherwise at the request in writing or with the approval in writing of the Wave-Delaware (such approval not to be unreasonably withheld, conditioned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10.1.1</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Intended U.S. Federal Income Tax Treatment: </w:t>
            </w:r>
            <w:r>
              <w:rPr>
                <w:rFonts w:ascii="Times New Roman" w:hAnsi="Times New Roman"/>
                <w:sz w:val="20"/>
              </w:rPr>
              <w:t xml:space="preserve">The Parties acknowledge that the Redomiciliation and the U.S. Tax Election, taken together, are intended to be treated as a transaction that qualifies as a “reorganization” under Section 368(a)(1)(F) of the Code and this Agreement is intended to be and is adopted as a “plan of reorganization” within the meaning of U.S. Treasury Regulations Sections 1.368-2(g) and 1.368-3 and for purposes of Sections 354 and 361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10.1.2</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sz w:val="20"/>
              </w:rPr>
              <w:t>Intended UK Tax Treatment:</w:t>
            </w:r>
            <w:r>
              <w:rPr>
                <w:rFonts w:ascii="Times New Roman" w:hAnsi="Times New Roman"/>
                <w:sz w:val="20"/>
              </w:rPr>
              <w:t xml:space="preserve"> The parties acknowledge that, for UK tax resident shareholders who do not satisfy the conditions for the substantial shareholding exemption under Schedule 7AC of the Taxation of Chargeable Gains Act 1992 (the “</w:t>
            </w:r>
            <w:r>
              <w:rPr>
                <w:rFonts w:ascii="Times New Roman" w:hAnsi="Times New Roman"/>
                <w:b/>
                <w:sz w:val="20"/>
              </w:rPr>
              <w:t>TCGA</w:t>
            </w:r>
            <w:r>
              <w:rPr>
                <w:rFonts w:ascii="Times New Roman" w:hAnsi="Times New Roman"/>
                <w:sz w:val="20"/>
              </w:rPr>
              <w:t xml:space="preserve">”) in respect of the disposal of the Wave Shares pursuant to the Redomiciliation, the transfer of such Wave Shares to New US Topco in exchange for New US Topco Shares (pursuant to the Redomiciliation) is intended to qualify as a share for share exchange within the meaning of Section 135 of the TCGA.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10.1.3</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U.S. Tax Election: </w:t>
            </w:r>
            <w:r>
              <w:rPr>
                <w:rFonts w:ascii="Times New Roman" w:hAnsi="Times New Roman"/>
                <w:sz w:val="20"/>
              </w:rPr>
              <w:t xml:space="preserve">The Company will file the U.S. Tax Election one day following the Redomiciliation and effective the same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Successors and Assigns.</w:t>
            </w:r>
            <w:r>
              <w:rPr>
                <w:rFonts w:ascii="Times New Roman" w:hAnsi="Times New Roman"/>
                <w:sz w:val="20"/>
              </w:rPr>
              <w:t xml:space="preserve"> This Agreement shall be binding on and shall enure for the benefit of the Parties and their respective successors and assigns. Any reference in this Agreement to either Party shall be construed accordingly. The Parties agree that the benefit of any provision of this Agreement may not be assigned by any Party without the prior written consent of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Variation.</w:t>
            </w:r>
            <w:r>
              <w:rPr>
                <w:rFonts w:ascii="Times New Roman" w:hAnsi="Times New Roman"/>
                <w:sz w:val="20"/>
              </w:rPr>
              <w:t xml:space="preserve"> No variation of this Agreement shall be effective unless agreed to by the Parties in writing and signed by or on behalf of each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b/>
                <w:sz w:val="20"/>
              </w:rPr>
              <w:t>Costs.</w:t>
            </w:r>
            <w:r>
              <w:rPr>
                <w:rFonts w:ascii="Times New Roman" w:hAnsi="Times New Roman"/>
                <w:sz w:val="20"/>
              </w:rPr>
              <w:t xml:space="preserve"> Each Party shall bear its own fees, costs and expenses in connection with the negotiation, preparation, execution and performance by it of this Agreement and requisite documentation in relation to the Redomiciliation, and all other costs and expenses relating to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Whole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10.5.1</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contains the whole agreement between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10.5.2</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acknowledges that it has not been induced to enter this Agreement by any representation, warranty or undertaking not expressly incorporated into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Release, Indulgence</w:t>
            </w:r>
            <w:r>
              <w:rPr>
                <w:rFonts w:ascii="Times New Roman" w:hAnsi="Times New Roman"/>
                <w:sz w:val="20"/>
              </w:rPr>
              <w:t xml:space="preserve"> </w:t>
            </w:r>
            <w:r>
              <w:rPr>
                <w:rFonts w:ascii="Times New Roman" w:hAnsi="Times New Roman"/>
                <w:b/>
                <w:sz w:val="20"/>
              </w:rPr>
              <w:t>and Waiver.</w:t>
            </w:r>
            <w:r>
              <w:rPr>
                <w:rFonts w:ascii="Times New Roman" w:hAnsi="Times New Roman"/>
                <w:sz w:val="20"/>
              </w:rPr>
              <w:t xml:space="preserve"> Any liability to a Party under this Agreement may in whole or in part be released, compounded or compromised, or time or indulgence given, by that Party in writing, in its absolute discretion as regards the Party under such liability without in any way prejudicing or affecting its other rights against the other Party unless any such other rights are expressly waived in writing. No failure of any Party to exercise, and no delay by it in exercising, any right, power or remedy in connection with this Agreement (each, a “</w:t>
            </w:r>
            <w:r>
              <w:rPr>
                <w:rFonts w:ascii="Times New Roman" w:hAnsi="Times New Roman"/>
                <w:b/>
                <w:sz w:val="20"/>
              </w:rPr>
              <w:t>Right</w:t>
            </w:r>
            <w:r>
              <w:rPr>
                <w:rFonts w:ascii="Times New Roman" w:hAnsi="Times New Roman"/>
                <w:sz w:val="20"/>
              </w:rPr>
              <w:t xml:space="preserve">”) will operate as a waiver thereof, nor will any single or partial exercise of any Right preclude any other or further exercise of such Right or the exercise of any other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Further Assurances</w:t>
            </w:r>
            <w:r>
              <w:rPr>
                <w:rFonts w:ascii="Times New Roman" w:hAnsi="Times New Roman"/>
                <w:sz w:val="20"/>
              </w:rPr>
              <w:t xml:space="preserve">. Each Party shall, and shall use its reasonable endeavours to procure and ensure that any necessary third party shall, from time to time execute such documents and perform such acts and things as either Party may reasonably require to effect the Redomiciliation and to give each of them the full benefit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Invalidity.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10.8.1</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of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714"/>
        <w:gridCol w:w="8982"/>
      </w:tblGrid>
      <w:tr>
        <w:trPr/>
        <w:tc>
          <w:tcPr>
            <w:tcW w:w="509"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b/>
              </w:rPr>
            </w:pPr>
            <w:r>
              <w:rPr>
                <w:b/>
              </w:rPr>
              <w:t>10.8.2</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it is not possible to delete or modify the provision, in whole or in part, under Clause 10.8.1, then such provision or part of it shall, to the extent that it is illegal, invalid or unenforceable, be deemed not to form part of this Agreement and the legality, validity and enforceability of the remainder of this Agreement shall, subject to any deletion or modification made under Clause 10.8.1, not be affected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Notices.</w:t>
            </w:r>
            <w:r>
              <w:rPr>
                <w:rFonts w:ascii="Times New Roman" w:hAnsi="Times New Roman"/>
                <w:sz w:val="20"/>
              </w:rPr>
              <w:t xml:space="preserve"> All notices, demands or other communications required or permitted to be given or made under or in connection with this Agreement shall be in writing in the English language and delivered personally, sent by prepaid registered post addressed to the intended recipient thereof at its address or by email transmission and marked for the attention of such person (if any), set out against its name below (or to such other address as such Party may from time to time notify the other Party):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204"/>
        <w:gridCol w:w="1042"/>
        <w:gridCol w:w="204"/>
        <w:gridCol w:w="6102"/>
      </w:tblGrid>
      <w:tr>
        <w:trPr/>
        <w:tc>
          <w:tcPr>
            <w:tcW w:w="2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102"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0"/>
              <w:jc w:val="left"/>
              <w:rPr>
                <w:rFonts w:ascii="Times New Roman" w:hAnsi="Times New Roman"/>
                <w:sz w:val="20"/>
              </w:rPr>
            </w:pPr>
            <w:r>
              <w:rPr>
                <w:rFonts w:ascii="Times New Roman" w:hAnsi="Times New Roman"/>
                <w:sz w:val="20"/>
              </w:rPr>
              <w:t>Wave-Delaware:</w:t>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733 Concord Avenue</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Cambridge, MA 02138</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Attention: Linda Rockett, SVP, General Counsel</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Email: lrockett@wavelifesci.com</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1246" w:type="dxa"/>
            <w:gridSpan w:val="2"/>
            <w:tcBorders/>
            <w:vAlign w:val="center"/>
          </w:tcPr>
          <w:p>
            <w:pPr>
              <w:pStyle w:val="TableContents"/>
              <w:bidi w:val="0"/>
              <w:spacing w:before="0" w:after="283"/>
              <w:jc w:val="left"/>
              <w:rPr>
                <w:sz w:val="4"/>
                <w:szCs w:val="4"/>
              </w:rPr>
            </w:pPr>
            <w:r>
              <w:rPr>
                <w:sz w:val="4"/>
                <w:szCs w:val="4"/>
              </w:rPr>
            </w:r>
          </w:p>
        </w:tc>
        <w:tc>
          <w:tcPr>
            <w:tcW w:w="6306"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to:</w:t>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4"/>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140 Scott Drive</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Menlo Park, CA 94025</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Attention:</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Mark M. Bekheit</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Email:</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Mark.Bekheit@lw.com</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Telephone:</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(650) 463-3032</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4"/>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505 Montgomery Street</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Suite 2000</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348" w:type="dxa"/>
            <w:gridSpan w:val="3"/>
            <w:tcBorders/>
          </w:tcPr>
          <w:p>
            <w:pPr>
              <w:pStyle w:val="TableContents"/>
              <w:bidi w:val="0"/>
              <w:spacing w:before="0" w:after="283"/>
              <w:jc w:val="left"/>
              <w:rPr/>
            </w:pPr>
            <w:r>
              <w:rPr/>
              <w:t>San Francisco, CA 94111</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Attention:</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Lauren Lefcoe</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Email:</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Lauren.Lefcoe@lw.com</w:t>
            </w:r>
          </w:p>
        </w:tc>
      </w:tr>
      <w:tr>
        <w:trPr/>
        <w:tc>
          <w:tcPr>
            <w:tcW w:w="26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Telephone:</w:t>
            </w:r>
          </w:p>
        </w:tc>
        <w:tc>
          <w:tcPr>
            <w:tcW w:w="204" w:type="dxa"/>
            <w:tcBorders/>
            <w:vAlign w:val="bottom"/>
          </w:tcPr>
          <w:p>
            <w:pPr>
              <w:pStyle w:val="TableContents"/>
              <w:bidi w:val="0"/>
              <w:spacing w:before="0" w:after="283"/>
              <w:jc w:val="left"/>
              <w:rPr/>
            </w:pPr>
            <w:r>
              <w:rPr/>
              <w:t>  </w:t>
            </w:r>
          </w:p>
        </w:tc>
        <w:tc>
          <w:tcPr>
            <w:tcW w:w="6102" w:type="dxa"/>
            <w:tcBorders/>
          </w:tcPr>
          <w:p>
            <w:pPr>
              <w:pStyle w:val="TableContents"/>
              <w:bidi w:val="0"/>
              <w:spacing w:before="0" w:after="283"/>
              <w:jc w:val="left"/>
              <w:rPr/>
            </w:pPr>
            <w:r>
              <w:rPr/>
              <w:t>(415) 395-8294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69"/>
        <w:gridCol w:w="227"/>
        <w:gridCol w:w="566"/>
        <w:gridCol w:w="289"/>
        <w:gridCol w:w="6454"/>
      </w:tblGrid>
      <w:tr>
        <w:trPr/>
        <w:tc>
          <w:tcPr>
            <w:tcW w:w="266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45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69" w:type="dxa"/>
            <w:tcBorders/>
            <w:vAlign w:val="center"/>
          </w:tcPr>
          <w:p>
            <w:pPr>
              <w:pStyle w:val="TableContents"/>
              <w:bidi w:val="0"/>
              <w:spacing w:before="0" w:after="283"/>
              <w:jc w:val="left"/>
              <w:rPr>
                <w:sz w:val="4"/>
                <w:szCs w:val="4"/>
              </w:rPr>
            </w:pPr>
            <w:r>
              <w:rPr>
                <w:sz w:val="4"/>
                <w:szCs w:val="4"/>
              </w:rPr>
            </w:r>
          </w:p>
        </w:tc>
        <w:tc>
          <w:tcPr>
            <w:tcW w:w="7536" w:type="dxa"/>
            <w:gridSpan w:val="4"/>
            <w:tcBorders/>
            <w:vAlign w:val="center"/>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w:t>
            </w:r>
          </w:p>
        </w:tc>
        <w:tc>
          <w:tcPr>
            <w:tcW w:w="227" w:type="dxa"/>
            <w:tcBorders/>
            <w:vAlign w:val="bottom"/>
          </w:tcPr>
          <w:p>
            <w:pPr>
              <w:pStyle w:val="TableContents"/>
              <w:bidi w:val="0"/>
              <w:spacing w:before="0" w:after="283"/>
              <w:jc w:val="left"/>
              <w:rPr/>
            </w:pPr>
            <w:r>
              <w:rPr/>
              <w:t>  </w:t>
            </w:r>
          </w:p>
        </w:tc>
        <w:tc>
          <w:tcPr>
            <w:tcW w:w="7309" w:type="dxa"/>
            <w:gridSpan w:val="3"/>
            <w:tcBorders/>
          </w:tcPr>
          <w:p>
            <w:pPr>
              <w:pStyle w:val="TableContents"/>
              <w:bidi w:val="0"/>
              <w:spacing w:before="0" w:after="283"/>
              <w:jc w:val="left"/>
              <w:rPr/>
            </w:pPr>
            <w:r>
              <w:rPr/>
              <w:t>733 Concord Avenue</w:t>
            </w:r>
          </w:p>
        </w:tc>
      </w:tr>
      <w:tr>
        <w:trPr/>
        <w:tc>
          <w:tcPr>
            <w:tcW w:w="2669" w:type="dxa"/>
            <w:tcBorders/>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309" w:type="dxa"/>
            <w:gridSpan w:val="3"/>
            <w:tcBorders/>
          </w:tcPr>
          <w:p>
            <w:pPr>
              <w:pStyle w:val="TableContents"/>
              <w:bidi w:val="0"/>
              <w:spacing w:before="0" w:after="283"/>
              <w:jc w:val="left"/>
              <w:rPr/>
            </w:pPr>
            <w:r>
              <w:rPr/>
              <w:t>Cambridge, MA 02138</w:t>
            </w:r>
          </w:p>
        </w:tc>
      </w:tr>
      <w:tr>
        <w:trPr/>
        <w:tc>
          <w:tcPr>
            <w:tcW w:w="2669" w:type="dxa"/>
            <w:tcBorders/>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309" w:type="dxa"/>
            <w:gridSpan w:val="3"/>
            <w:tcBorders/>
          </w:tcPr>
          <w:p>
            <w:pPr>
              <w:pStyle w:val="TableContents"/>
              <w:bidi w:val="0"/>
              <w:spacing w:before="0" w:after="283"/>
              <w:jc w:val="left"/>
              <w:rPr/>
            </w:pPr>
            <w:r>
              <w:rPr/>
              <w:t>Attention: Linda Rockett, SVP, General Counsel</w:t>
            </w:r>
          </w:p>
        </w:tc>
      </w:tr>
      <w:tr>
        <w:trPr/>
        <w:tc>
          <w:tcPr>
            <w:tcW w:w="2669" w:type="dxa"/>
            <w:tcBorders/>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309" w:type="dxa"/>
            <w:gridSpan w:val="3"/>
            <w:tcBorders/>
          </w:tcPr>
          <w:p>
            <w:pPr>
              <w:pStyle w:val="TableContents"/>
              <w:bidi w:val="0"/>
              <w:spacing w:before="0" w:after="283"/>
              <w:jc w:val="left"/>
              <w:rPr/>
            </w:pPr>
            <w:r>
              <w:rPr/>
              <w:t>Email: lrockett@wavelifesci.com</w:t>
            </w:r>
          </w:p>
        </w:tc>
      </w:tr>
    </w:tbl>
    <w:p>
      <w:pPr>
        <w:pStyle w:val="TextBody"/>
        <w:bidi w:val="0"/>
        <w:spacing w:before="120" w:after="0"/>
        <w:jc w:val="left"/>
        <w:rPr>
          <w:rFonts w:ascii="Times New Roman" w:hAnsi="Times New Roman"/>
          <w:sz w:val="20"/>
        </w:rPr>
      </w:pPr>
      <w:r>
        <w:rPr>
          <w:rFonts w:ascii="Times New Roman" w:hAnsi="Times New Roman"/>
          <w:sz w:val="20"/>
        </w:rPr>
        <w:t xml:space="preserve">A demand, notice, or other communication made or given by one Party to another Party in accordance with this Clause 10.9 shall be effected and deemed to be duly served: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delivered by hand, when left at the address required by this Clause 10.9;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sent by prepaid post (air-mail, if international), two Business Days after it is posted;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sent by email transmission, on the day of transmission.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such service it shall be sufficient to prove that delivery by hand was made, the envelope containing such notice or document was properly addressed and posted as a prepaid mail letter, or absent receipt of any automatic reply email that indicates the transmission was unsuccessful,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4"/>
        <w:gridCol w:w="9631"/>
      </w:tblGrid>
      <w:tr>
        <w:trPr/>
        <w:tc>
          <w:tcPr>
            <w:tcW w:w="574" w:type="dxa"/>
            <w:tcBorders/>
          </w:tcPr>
          <w:p>
            <w:pPr>
              <w:pStyle w:val="TableContents"/>
              <w:bidi w:val="0"/>
              <w:spacing w:before="0" w:after="283"/>
              <w:jc w:val="left"/>
              <w:rPr>
                <w:b/>
              </w:rPr>
            </w:pPr>
            <w:r>
              <w:rPr>
                <w:b/>
              </w:rPr>
              <w:t>10.10</w:t>
            </w:r>
          </w:p>
        </w:tc>
        <w:tc>
          <w:tcPr>
            <w:tcW w:w="9631" w:type="dxa"/>
            <w:tcBorders/>
          </w:tcPr>
          <w:p>
            <w:pPr>
              <w:pStyle w:val="TableContents"/>
              <w:bidi w:val="0"/>
              <w:spacing w:before="0" w:after="0"/>
              <w:jc w:val="left"/>
              <w:rPr>
                <w:rFonts w:ascii="Times New Roman" w:hAnsi="Times New Roman"/>
                <w:sz w:val="20"/>
              </w:rPr>
            </w:pPr>
            <w:r>
              <w:rPr>
                <w:rFonts w:ascii="Times New Roman" w:hAnsi="Times New Roman"/>
                <w:b/>
                <w:sz w:val="20"/>
              </w:rPr>
              <w:t>Equitable Remedies</w:t>
            </w:r>
            <w:r>
              <w:rPr>
                <w:rFonts w:ascii="Times New Roman" w:hAnsi="Times New Roman"/>
                <w:sz w:val="20"/>
              </w:rPr>
              <w:t xml:space="preserve">. Without prejudice to any other rights or remedies a Party may have, each Party acknowledges and agrees that damages may not be an adequate remedy for any breach of this Agreement and each Party shall be entitled to seek the remedies of injunction, specific performance and other equitable relief (but for the avoidance of doubt no right of rescission or, unless expressly provided hereunder, termination) for any threatened or actual breach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b/>
              </w:rPr>
            </w:pPr>
            <w:r>
              <w:rPr>
                <w:b/>
              </w:rPr>
              <w:t>10.11</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b/>
                <w:sz w:val="20"/>
              </w:rPr>
              <w:t>No Merger</w:t>
            </w:r>
            <w:r>
              <w:rPr>
                <w:rFonts w:ascii="Times New Roman" w:hAnsi="Times New Roman"/>
                <w:sz w:val="20"/>
              </w:rPr>
              <w:t xml:space="preserve">. The rights and obligations of the Parties will not merge on completion of any transaction under this Agreement. They will survive the execution and delivery of any assignment or other document entered into for the purpose of implementing any transaction relating to the Redomiciliation.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8"/>
        <w:gridCol w:w="9627"/>
      </w:tblGrid>
      <w:tr>
        <w:trPr/>
        <w:tc>
          <w:tcPr>
            <w:tcW w:w="578" w:type="dxa"/>
            <w:tcBorders/>
          </w:tcPr>
          <w:p>
            <w:pPr>
              <w:pStyle w:val="TableContents"/>
              <w:bidi w:val="0"/>
              <w:spacing w:before="0" w:after="283"/>
              <w:jc w:val="left"/>
              <w:rPr>
                <w:b/>
              </w:rPr>
            </w:pPr>
            <w:r>
              <w:rPr>
                <w:b/>
              </w:rPr>
              <w:t>10.12</w:t>
            </w:r>
          </w:p>
        </w:tc>
        <w:tc>
          <w:tcPr>
            <w:tcW w:w="9627" w:type="dxa"/>
            <w:tcBorders/>
          </w:tcPr>
          <w:p>
            <w:pPr>
              <w:pStyle w:val="TableContents"/>
              <w:bidi w:val="0"/>
              <w:spacing w:before="0" w:after="0"/>
              <w:jc w:val="left"/>
              <w:rPr>
                <w:rFonts w:ascii="Times New Roman" w:hAnsi="Times New Roman"/>
                <w:sz w:val="20"/>
              </w:rPr>
            </w:pPr>
            <w:r>
              <w:rPr>
                <w:rFonts w:ascii="Times New Roman" w:hAnsi="Times New Roman"/>
                <w:b/>
                <w:sz w:val="20"/>
              </w:rPr>
              <w:t>Counterparts</w:t>
            </w:r>
            <w:r>
              <w:rPr>
                <w:rFonts w:ascii="Times New Roman" w:hAnsi="Times New Roman"/>
                <w:sz w:val="20"/>
              </w:rPr>
              <w:t xml:space="preserve">. This Agreement may be entered into in any number of counterparts, all of which taken together shall constitute one and the same instrument. The Parties may enter into this Agreement by executing any such counterpart. Signatures may be exchanged by fax or e-mail, with original signatures to follow. Each Party agrees to be bound by its own fax or electronic signature and that it accepts the fax or electronic signature of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tcPr>
          <w:p>
            <w:pPr>
              <w:pStyle w:val="TableContents"/>
              <w:bidi w:val="0"/>
              <w:spacing w:before="0" w:after="283"/>
              <w:jc w:val="left"/>
              <w:rPr>
                <w:b/>
              </w:rPr>
            </w:pPr>
            <w:r>
              <w:rPr>
                <w:b/>
              </w:rPr>
              <w:t>10.13</w:t>
            </w:r>
          </w:p>
        </w:tc>
        <w:tc>
          <w:tcPr>
            <w:tcW w:w="9644"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Effect of Agreement</w:t>
            </w:r>
            <w:r>
              <w:rPr>
                <w:rFonts w:ascii="Times New Roman" w:hAnsi="Times New Roman"/>
                <w:sz w:val="20"/>
              </w:rPr>
              <w:t xml:space="preserve">. All provisions of this Agreement shall, as far as they have not been performed as of the Effective Date, not in any respect be extinguished or affected by the implementation of the Redomiciliation or by any other event or matter whatsoever and shall continue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6"/>
        <w:gridCol w:w="9629"/>
      </w:tblGrid>
      <w:tr>
        <w:trPr/>
        <w:tc>
          <w:tcPr>
            <w:tcW w:w="576" w:type="dxa"/>
            <w:tcBorders/>
          </w:tcPr>
          <w:p>
            <w:pPr>
              <w:pStyle w:val="TableContents"/>
              <w:bidi w:val="0"/>
              <w:spacing w:before="0" w:after="283"/>
              <w:jc w:val="left"/>
              <w:rPr>
                <w:b/>
              </w:rPr>
            </w:pPr>
            <w:r>
              <w:rPr>
                <w:b/>
              </w:rPr>
              <w:t>10.14</w:t>
            </w:r>
          </w:p>
        </w:tc>
        <w:tc>
          <w:tcPr>
            <w:tcW w:w="962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Third Party Rights. </w:t>
            </w:r>
            <w:r>
              <w:rPr>
                <w:rFonts w:ascii="Times New Roman" w:hAnsi="Times New Roman"/>
                <w:sz w:val="20"/>
              </w:rPr>
              <w:t xml:space="preserve">A person who is not a Party to this Agreement has no right under the Contracts (Rights of Third Parties) Act 2001, to enforce any term of, or enjoy any benefit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tcPr>
          <w:p>
            <w:pPr>
              <w:pStyle w:val="TableContents"/>
              <w:bidi w:val="0"/>
              <w:spacing w:before="0" w:after="283"/>
              <w:jc w:val="left"/>
              <w:rPr>
                <w:b/>
              </w:rPr>
            </w:pPr>
            <w:r>
              <w:rPr>
                <w:b/>
              </w:rPr>
              <w:t>10.15</w:t>
            </w:r>
          </w:p>
        </w:tc>
        <w:tc>
          <w:tcPr>
            <w:tcW w:w="96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and Submission to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b/>
              </w:rPr>
            </w:pPr>
            <w:r>
              <w:rPr>
                <w:b/>
              </w:rPr>
              <w:t>10.15.1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and the documents to be entered into pursuant to it shall be governed by and construed in accordance with Singapore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816"/>
        <w:gridCol w:w="8880"/>
      </w:tblGrid>
      <w:tr>
        <w:trPr/>
        <w:tc>
          <w:tcPr>
            <w:tcW w:w="509"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b/>
              </w:rPr>
            </w:pPr>
            <w:r>
              <w:rPr>
                <w:b/>
              </w:rPr>
              <w:t>10.15.2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irrevocably agrees that the courts of Singapore are to have non-exclusive jurisdiction to settle any dispute which may arise out of or in connection with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Wave-Delaware’s Warranties </w:t>
      </w:r>
    </w:p>
    <w:p>
      <w:pPr>
        <w:pStyle w:val="TextBody"/>
        <w:bidi w:val="0"/>
        <w:spacing w:before="240" w:after="0"/>
        <w:jc w:val="left"/>
        <w:rPr>
          <w:rFonts w:ascii="Times New Roman" w:hAnsi="Times New Roman"/>
          <w:sz w:val="20"/>
        </w:rPr>
      </w:pPr>
      <w:r>
        <w:rPr>
          <w:rFonts w:ascii="Times New Roman" w:hAnsi="Times New Roman"/>
          <w:sz w:val="20"/>
        </w:rPr>
        <w:t xml:space="preserve">Wave-Delaware represents and warrants to the Company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Wave-Delaware is a company duly incorporated and validly existing under the laws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Wave-Delaware has the corporate power to enter into and perform its obligations under this Agreement and to carry out the transactions contemplated by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Wave-Delaware has taken all necessary corporate action and obtained all necessary corporate approval to authorise entry into this Agreement and the performance of this Agreement and to carry out the transactions contemplated by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Binding Obligation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Wave-Delaware’s obligations under this Agreement are valid, legally binding and enforceable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b/>
          <w:sz w:val="20"/>
        </w:rPr>
      </w:pPr>
      <w:r>
        <w:rPr>
          <w:rFonts w:ascii="Times New Roman" w:hAnsi="Times New Roman"/>
          <w:b/>
          <w:sz w:val="20"/>
        </w:rPr>
        <w:t xml:space="preserve">The Company’s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Wave-Delaware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a company duly incorporated under the laws of Singapore, with company registration number 201218209G and validly existing under its law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the corporate power to enter into and perform its obligations under this Agreement and to carry out the transactions contemplated by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taken all necessary corporate action and obtained all necessary corporate approval to authorise entry into this Agreement and the performance of this Agreement and to carry out the transactions contemplated by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Binding Obligation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obligations under this Agreement are valid, legally binding and enforceable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this Agreement has been entered into on the date stated at the beginning. </w:t>
      </w:r>
    </w:p>
    <w:p>
      <w:pPr>
        <w:pStyle w:val="TextBody"/>
        <w:bidi w:val="0"/>
        <w:spacing w:before="240" w:after="0"/>
        <w:jc w:val="left"/>
        <w:rPr>
          <w:rFonts w:ascii="Times New Roman" w:hAnsi="Times New Roman"/>
          <w:b/>
          <w:sz w:val="20"/>
        </w:rPr>
      </w:pPr>
      <w:r>
        <w:rPr>
          <w:rFonts w:ascii="Times New Roman" w:hAnsi="Times New Roman"/>
          <w:b/>
          <w:sz w:val="20"/>
        </w:rPr>
        <w:t xml:space="preserve">WAVE-DELAWARE: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204"/>
        <w:gridCol w:w="407"/>
        <w:gridCol w:w="203"/>
        <w:gridCol w:w="4798"/>
      </w:tblGrid>
      <w:tr>
        <w:trPr/>
        <w:tc>
          <w:tcPr>
            <w:tcW w:w="459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SIGNED by Paul Bolno</w:t>
            </w:r>
          </w:p>
        </w:tc>
        <w:tc>
          <w:tcPr>
            <w:tcW w:w="204" w:type="dxa"/>
            <w:vMerge w:val="restart"/>
            <w:tcBorders/>
            <w:vAlign w:val="bottom"/>
          </w:tcPr>
          <w:p>
            <w:pPr>
              <w:pStyle w:val="TableContents"/>
              <w:bidi w:val="0"/>
              <w:spacing w:before="0" w:after="283"/>
              <w:jc w:val="left"/>
              <w:rPr/>
            </w:pPr>
            <w:r>
              <w:rPr/>
              <w:t>  </w:t>
            </w:r>
          </w:p>
        </w:tc>
        <w:tc>
          <w:tcPr>
            <w:tcW w:w="407" w:type="dxa"/>
            <w:vMerge w:val="restart"/>
            <w:tcBorders/>
            <w:vAlign w:val="center"/>
          </w:tcPr>
          <w:p>
            <w:pPr>
              <w:pStyle w:val="TableContents"/>
              <w:bidi w:val="0"/>
              <w:spacing w:before="0" w:after="283"/>
              <w:jc w:val="left"/>
              <w:rPr/>
            </w:pPr>
            <w:r>
              <w:rPr/>
              <w:drawing>
                <wp:inline distT="0" distB="0" distL="0" distR="0">
                  <wp:extent cx="210185" cy="10934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210185" cy="1093470"/>
                          </a:xfrm>
                          <a:prstGeom prst="rect">
                            <a:avLst/>
                          </a:prstGeom>
                        </pic:spPr>
                      </pic:pic>
                    </a:graphicData>
                  </a:graphic>
                </wp:inline>
              </w:drawing>
            </w:r>
            <w:r>
              <w:rPr/>
              <w:t xml:space="preserve"> </w:t>
            </w:r>
          </w:p>
        </w:tc>
        <w:tc>
          <w:tcPr>
            <w:tcW w:w="203" w:type="dxa"/>
            <w:vMerge w:val="restart"/>
            <w:tcBorders/>
            <w:vAlign w:val="bottom"/>
          </w:tcPr>
          <w:p>
            <w:pPr>
              <w:pStyle w:val="TableContents"/>
              <w:bidi w:val="0"/>
              <w:spacing w:before="0" w:after="283"/>
              <w:jc w:val="left"/>
              <w:rPr/>
            </w:pPr>
            <w:r>
              <w:rPr/>
              <w:t>  </w:t>
            </w:r>
          </w:p>
        </w:tc>
        <w:tc>
          <w:tcPr>
            <w:tcW w:w="4798" w:type="dxa"/>
            <w:vMerge w:val="restart"/>
            <w:tcBorders/>
            <w:vAlign w:val="center"/>
          </w:tcPr>
          <w:p>
            <w:pPr>
              <w:pStyle w:val="TableContents"/>
              <w:bidi w:val="0"/>
              <w:spacing w:before="0" w:after="283"/>
              <w:jc w:val="left"/>
              <w:rPr>
                <w:i/>
              </w:rPr>
            </w:pPr>
            <w:r>
              <w:rPr>
                <w:i/>
              </w:rPr>
              <w:t>/s/ Paul Bolno</w:t>
            </w:r>
          </w:p>
        </w:tc>
      </w:tr>
      <w:tr>
        <w:trPr/>
        <w:tc>
          <w:tcPr>
            <w:tcW w:w="4593" w:type="dxa"/>
            <w:tcBorders/>
          </w:tcPr>
          <w:p>
            <w:pPr>
              <w:pStyle w:val="TableContents"/>
              <w:bidi w:val="0"/>
              <w:spacing w:before="0" w:after="283"/>
              <w:jc w:val="left"/>
              <w:rPr/>
            </w:pPr>
            <w:r>
              <w:rPr/>
              <w:t>for and on behalf of</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r>
        <w:trPr/>
        <w:tc>
          <w:tcPr>
            <w:tcW w:w="4593" w:type="dxa"/>
            <w:tcBorders/>
          </w:tcPr>
          <w:p>
            <w:pPr>
              <w:pStyle w:val="TableContents"/>
              <w:bidi w:val="0"/>
              <w:spacing w:before="0" w:after="283"/>
              <w:jc w:val="left"/>
              <w:rPr>
                <w:b/>
              </w:rPr>
            </w:pPr>
            <w:r>
              <w:rPr>
                <w:b/>
              </w:rPr>
              <w:t>WAVE LIFE SCIENCES, INC.</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r>
        <w:trPr/>
        <w:tc>
          <w:tcPr>
            <w:tcW w:w="4593" w:type="dxa"/>
            <w:tcBorders/>
          </w:tcPr>
          <w:p>
            <w:pPr>
              <w:pStyle w:val="TableContents"/>
              <w:bidi w:val="0"/>
              <w:spacing w:before="0" w:after="283"/>
              <w:jc w:val="left"/>
              <w:rPr/>
            </w:pPr>
            <w:r>
              <w:rPr/>
              <w:t>in the presence of:</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943"/>
        <w:gridCol w:w="226"/>
        <w:gridCol w:w="1913"/>
      </w:tblGrid>
      <w:tr>
        <w:trPr/>
        <w:tc>
          <w:tcPr>
            <w:tcW w:w="194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Lindsay Levine</w:t>
            </w:r>
          </w:p>
        </w:tc>
      </w:tr>
    </w:tbl>
    <w:p>
      <w:pPr>
        <w:pStyle w:val="TextBody"/>
        <w:bidi w:val="0"/>
        <w:spacing w:before="0" w:after="0"/>
        <w:jc w:val="left"/>
        <w:rPr>
          <w:rFonts w:ascii="Times New Roman" w:hAnsi="Times New Roman"/>
          <w:sz w:val="20"/>
        </w:rPr>
      </w:pPr>
      <w:r>
        <w:rPr>
          <w:rFonts w:ascii="Times New Roman" w:hAnsi="Times New Roman"/>
          <w:sz w:val="20"/>
        </w:rPr>
        <w:t xml:space="preserve">Witness’ signature </w:t>
      </w:r>
    </w:p>
    <w:p>
      <w:pPr>
        <w:pStyle w:val="TextBody"/>
        <w:bidi w:val="0"/>
        <w:spacing w:before="240" w:after="0"/>
        <w:jc w:val="left"/>
        <w:rPr>
          <w:rFonts w:ascii="Times New Roman" w:hAnsi="Times New Roman"/>
          <w:sz w:val="20"/>
        </w:rPr>
      </w:pPr>
      <w:r>
        <w:rPr>
          <w:rFonts w:ascii="Times New Roman" w:hAnsi="Times New Roman"/>
          <w:sz w:val="20"/>
        </w:rPr>
        <w:t xml:space="preserve">Name: Lindsay Levine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Address: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733 Concord Ave. </w:t>
            </w:r>
          </w:p>
        </w:tc>
      </w:tr>
    </w:tbl>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Cambridge, MA 02138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u w:val="single"/>
        </w:rPr>
        <w:t>COMPANY</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204"/>
        <w:gridCol w:w="407"/>
        <w:gridCol w:w="203"/>
        <w:gridCol w:w="4798"/>
      </w:tblGrid>
      <w:tr>
        <w:trPr/>
        <w:tc>
          <w:tcPr>
            <w:tcW w:w="459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SIGNED by Paul Bolno</w:t>
            </w:r>
          </w:p>
        </w:tc>
        <w:tc>
          <w:tcPr>
            <w:tcW w:w="204" w:type="dxa"/>
            <w:vMerge w:val="restart"/>
            <w:tcBorders/>
            <w:vAlign w:val="bottom"/>
          </w:tcPr>
          <w:p>
            <w:pPr>
              <w:pStyle w:val="TableContents"/>
              <w:bidi w:val="0"/>
              <w:spacing w:before="0" w:after="283"/>
              <w:jc w:val="left"/>
              <w:rPr/>
            </w:pPr>
            <w:r>
              <w:rPr/>
              <w:t>  </w:t>
            </w:r>
          </w:p>
        </w:tc>
        <w:tc>
          <w:tcPr>
            <w:tcW w:w="407" w:type="dxa"/>
            <w:vMerge w:val="restart"/>
            <w:tcBorders/>
            <w:vAlign w:val="center"/>
          </w:tcPr>
          <w:p>
            <w:pPr>
              <w:pStyle w:val="TableContents"/>
              <w:bidi w:val="0"/>
              <w:spacing w:before="0" w:after="283"/>
              <w:jc w:val="left"/>
              <w:rPr/>
            </w:pPr>
            <w:r>
              <w:rPr/>
              <w:drawing>
                <wp:inline distT="0" distB="0" distL="0" distR="0">
                  <wp:extent cx="210185" cy="10934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210185" cy="1093470"/>
                          </a:xfrm>
                          <a:prstGeom prst="rect">
                            <a:avLst/>
                          </a:prstGeom>
                        </pic:spPr>
                      </pic:pic>
                    </a:graphicData>
                  </a:graphic>
                </wp:inline>
              </w:drawing>
            </w:r>
            <w:r>
              <w:rPr/>
              <w:t xml:space="preserve"> </w:t>
            </w:r>
          </w:p>
        </w:tc>
        <w:tc>
          <w:tcPr>
            <w:tcW w:w="203" w:type="dxa"/>
            <w:vMerge w:val="restart"/>
            <w:tcBorders/>
            <w:vAlign w:val="bottom"/>
          </w:tcPr>
          <w:p>
            <w:pPr>
              <w:pStyle w:val="TableContents"/>
              <w:bidi w:val="0"/>
              <w:spacing w:before="0" w:after="283"/>
              <w:jc w:val="left"/>
              <w:rPr/>
            </w:pPr>
            <w:r>
              <w:rPr/>
              <w:t>  </w:t>
            </w:r>
          </w:p>
        </w:tc>
        <w:tc>
          <w:tcPr>
            <w:tcW w:w="4798" w:type="dxa"/>
            <w:vMerge w:val="restart"/>
            <w:tcBorders/>
            <w:vAlign w:val="center"/>
          </w:tcPr>
          <w:p>
            <w:pPr>
              <w:pStyle w:val="TableContents"/>
              <w:bidi w:val="0"/>
              <w:spacing w:before="0" w:after="283"/>
              <w:jc w:val="left"/>
              <w:rPr>
                <w:i/>
              </w:rPr>
            </w:pPr>
            <w:r>
              <w:rPr>
                <w:i/>
              </w:rPr>
              <w:t>/s/ Paul Bolno</w:t>
            </w:r>
          </w:p>
        </w:tc>
      </w:tr>
      <w:tr>
        <w:trPr/>
        <w:tc>
          <w:tcPr>
            <w:tcW w:w="4593" w:type="dxa"/>
            <w:tcBorders/>
          </w:tcPr>
          <w:p>
            <w:pPr>
              <w:pStyle w:val="TableContents"/>
              <w:bidi w:val="0"/>
              <w:spacing w:before="0" w:after="283"/>
              <w:jc w:val="left"/>
              <w:rPr/>
            </w:pPr>
            <w:r>
              <w:rPr/>
              <w:t>for and on behalf of</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r>
        <w:trPr/>
        <w:tc>
          <w:tcPr>
            <w:tcW w:w="4593" w:type="dxa"/>
            <w:tcBorders/>
          </w:tcPr>
          <w:p>
            <w:pPr>
              <w:pStyle w:val="TableContents"/>
              <w:bidi w:val="0"/>
              <w:spacing w:before="0" w:after="283"/>
              <w:jc w:val="left"/>
              <w:rPr>
                <w:b/>
              </w:rPr>
            </w:pPr>
            <w:r>
              <w:rPr>
                <w:b/>
              </w:rPr>
              <w:t>WAVE LIFE SCIENCES, LTD.</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r>
        <w:trPr/>
        <w:tc>
          <w:tcPr>
            <w:tcW w:w="4593" w:type="dxa"/>
            <w:tcBorders/>
          </w:tcPr>
          <w:p>
            <w:pPr>
              <w:pStyle w:val="TableContents"/>
              <w:bidi w:val="0"/>
              <w:spacing w:before="0" w:after="283"/>
              <w:jc w:val="left"/>
              <w:rPr/>
            </w:pPr>
            <w:r>
              <w:rPr/>
              <w:t>in the presence of:</w:t>
            </w:r>
          </w:p>
        </w:tc>
        <w:tc>
          <w:tcPr>
            <w:tcW w:w="204" w:type="dxa"/>
            <w:vMerge w:val="continue"/>
            <w:tcBorders/>
            <w:vAlign w:val="bottom"/>
          </w:tcPr>
          <w:p>
            <w:pPr>
              <w:pStyle w:val="Normal"/>
              <w:bidi w:val="0"/>
              <w:jc w:val="left"/>
              <w:rPr/>
            </w:pPr>
            <w:r>
              <w:rPr/>
            </w:r>
          </w:p>
        </w:tc>
        <w:tc>
          <w:tcPr>
            <w:tcW w:w="407" w:type="dxa"/>
            <w:vMerge w:val="continue"/>
            <w:tcBorders/>
            <w:vAlign w:val="center"/>
          </w:tcPr>
          <w:p>
            <w:pPr>
              <w:pStyle w:val="Normal"/>
              <w:bidi w:val="0"/>
              <w:jc w:val="left"/>
              <w:rPr/>
            </w:pPr>
            <w:r>
              <w:rPr/>
            </w:r>
          </w:p>
        </w:tc>
        <w:tc>
          <w:tcPr>
            <w:tcW w:w="203" w:type="dxa"/>
            <w:vMerge w:val="continue"/>
            <w:tcBorders/>
            <w:vAlign w:val="bottom"/>
          </w:tcPr>
          <w:p>
            <w:pPr>
              <w:pStyle w:val="Normal"/>
              <w:bidi w:val="0"/>
              <w:jc w:val="left"/>
              <w:rPr/>
            </w:pPr>
            <w:r>
              <w:rPr/>
            </w:r>
          </w:p>
        </w:tc>
        <w:tc>
          <w:tcPr>
            <w:tcW w:w="4798"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943"/>
        <w:gridCol w:w="226"/>
        <w:gridCol w:w="1913"/>
      </w:tblGrid>
      <w:tr>
        <w:trPr/>
        <w:tc>
          <w:tcPr>
            <w:tcW w:w="194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Lindsay Levine</w:t>
            </w:r>
          </w:p>
        </w:tc>
      </w:tr>
    </w:tbl>
    <w:p>
      <w:pPr>
        <w:pStyle w:val="TextBody"/>
        <w:bidi w:val="0"/>
        <w:spacing w:before="0" w:after="0"/>
        <w:jc w:val="left"/>
        <w:rPr>
          <w:rFonts w:ascii="Times New Roman" w:hAnsi="Times New Roman"/>
          <w:sz w:val="20"/>
        </w:rPr>
      </w:pPr>
      <w:r>
        <w:rPr>
          <w:rFonts w:ascii="Times New Roman" w:hAnsi="Times New Roman"/>
          <w:sz w:val="20"/>
        </w:rPr>
        <w:t xml:space="preserve">Witness’ signature </w:t>
      </w:r>
    </w:p>
    <w:p>
      <w:pPr>
        <w:pStyle w:val="TextBody"/>
        <w:bidi w:val="0"/>
        <w:spacing w:before="240" w:after="0"/>
        <w:jc w:val="left"/>
        <w:rPr>
          <w:rFonts w:ascii="Times New Roman" w:hAnsi="Times New Roman"/>
          <w:sz w:val="20"/>
        </w:rPr>
      </w:pPr>
      <w:r>
        <w:rPr>
          <w:rFonts w:ascii="Times New Roman" w:hAnsi="Times New Roman"/>
          <w:sz w:val="20"/>
        </w:rPr>
        <w:t xml:space="preserve">Name: Lindsay Levine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Address: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733 Concord Ave. </w:t>
            </w:r>
          </w:p>
        </w:tc>
      </w:tr>
    </w:tbl>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Cambridge, MA 02138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2" w:name="toc45078_100"/>
      <w:bookmarkEnd w:id="102"/>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240" w:after="0"/>
        <w:jc w:val="left"/>
        <w:rPr>
          <w:rFonts w:ascii="Times New Roman" w:hAnsi="Times New Roman"/>
          <w:sz w:val="20"/>
        </w:rPr>
      </w:pPr>
      <w:r>
        <w:rPr>
          <w:rFonts w:ascii="Times New Roman" w:hAnsi="Times New Roman"/>
          <w:sz w:val="20"/>
        </w:rPr>
        <w:t>Wave Life Sciences, Inc. (the “</w:t>
      </w:r>
      <w:r>
        <w:rPr>
          <w:rFonts w:ascii="Times New Roman" w:hAnsi="Times New Roman"/>
          <w:sz w:val="20"/>
          <w:u w:val="single"/>
        </w:rPr>
        <w:t>Corporation</w:t>
      </w:r>
      <w:r>
        <w:rPr>
          <w:rFonts w:ascii="Times New Roman" w:hAnsi="Times New Roman"/>
          <w:sz w:val="20"/>
        </w:rPr>
        <w:t>”), a corporation organized and existing under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Wave Life Sciences, Inc. The Corporation was incorporated by the filing of its original Certificate of Incorporation with the Secretary of State of the State of Delaware on April 14, 2026. </w:t>
      </w:r>
    </w:p>
    <w:p>
      <w:pPr>
        <w:pStyle w:val="TextBody"/>
        <w:bidi w:val="0"/>
        <w:spacing w:before="240" w:after="0"/>
        <w:jc w:val="left"/>
        <w:rPr>
          <w:rFonts w:ascii="Times New Roman" w:hAnsi="Times New Roman"/>
          <w:sz w:val="20"/>
        </w:rPr>
      </w:pPr>
      <w:r>
        <w:rPr>
          <w:rFonts w:ascii="Times New Roman" w:hAnsi="Times New Roman"/>
          <w:sz w:val="20"/>
        </w:rPr>
        <w:t>2. This Amended and Restated Certificate of Incorporation (the “</w:t>
      </w:r>
      <w:r>
        <w:rPr>
          <w:rFonts w:ascii="Times New Roman" w:hAnsi="Times New Roman"/>
          <w:sz w:val="20"/>
          <w:u w:val="single"/>
        </w:rPr>
        <w:t>Restated Certificate</w:t>
      </w:r>
      <w:r>
        <w:rPr>
          <w:rFonts w:ascii="Times New Roman" w:hAnsi="Times New Roman"/>
          <w:sz w:val="20"/>
        </w:rPr>
        <w:t>”), which amends, restates and further integrates the certificate of incorporation of the Corporation as heretofore in effect, has been approved by the Board of Directors of the Corporation (the “</w:t>
      </w:r>
      <w:r>
        <w:rPr>
          <w:rFonts w:ascii="Times New Roman" w:hAnsi="Times New Roman"/>
          <w:sz w:val="20"/>
          <w:u w:val="single"/>
        </w:rPr>
        <w:t>Board of Directors</w:t>
      </w:r>
      <w:r>
        <w:rPr>
          <w:rFonts w:ascii="Times New Roman" w:hAnsi="Times New Roman"/>
          <w:sz w:val="20"/>
        </w:rPr>
        <w:t xml:space="preserve">”) in accordance with Sections 242 and 245 of the DGCL, and has been adopted by the written consent of the stockholder of the Corporation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certificate of incorporation of the Corporation, as heretofore amended, is hereby amended and restated by this Restated Certificate to read in its entirety as set forth in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Wave Life Sciences, Inc. has caused this Restated Certificate to be signed by a duly authorized officer of the Corporation, on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51"/>
        <w:gridCol w:w="155"/>
        <w:gridCol w:w="3076"/>
      </w:tblGrid>
      <w:tr>
        <w:trPr/>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Wave Life Sciences, Inc., a Delaware corporation</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231"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By:</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076"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Paul Bolno</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Amended and Restated Certificate of Incorporation]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is Wave Life Sciences,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Wilmington, 19801. The name of its registered agent at such address is The Corporation Trust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as it now exists or may hereafter be amended and supplemented.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Corporation is authorized to issue two classes of stock to be designated, respectively, “</w:t>
      </w:r>
      <w:r>
        <w:rPr>
          <w:rFonts w:ascii="Times New Roman" w:hAnsi="Times New Roman"/>
          <w:sz w:val="20"/>
          <w:u w:val="single"/>
        </w:rPr>
        <w:t>Common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xml:space="preserve">.” The total number of shares of capital stock which the Corporation shall have authority to issue is 530,000,000. The total number of shares of Common Stock that the Corporation is authorized to issue is 500,000,000, having a par value of $0.001 per share, and the total number of shares of Preferred Stock that the Corporation is authorized to issue is 30,000,000, having a par value of $0.001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hAnsi="Times New Roman"/>
          <w:sz w:val="20"/>
          <w:u w:val="single"/>
        </w:rPr>
        <w:t>Board of Directors</w:t>
      </w:r>
      <w:r>
        <w:rPr>
          <w:rFonts w:ascii="Times New Roman" w:hAnsi="Times New Roman"/>
          <w:sz w:val="20"/>
        </w:rPr>
        <w:t xml:space="preserve">”) and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any holders of any outstanding series of Preferred Stock, the number of authorized shares of Common Stock may be increased or decreased (but not below the number of shares thereof then outstanding) by the holders of a majority of the capital stock of the Corporation entitled to vote , irrespective of the provisions of Section 242(b)(2) of the DGCL.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Liquidation</w:t>
      </w:r>
      <w:r>
        <w:rPr>
          <w:rFonts w:ascii="Times New Roman" w:hAnsi="Times New Roman"/>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in accordance with the number of shares of Common Stock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240" w:after="0"/>
        <w:jc w:val="left"/>
        <w:rPr>
          <w:rFonts w:ascii="Times New Roman" w:hAnsi="Times New Roman"/>
          <w:sz w:val="20"/>
        </w:rPr>
      </w:pPr>
      <w:r>
        <w:rPr>
          <w:rFonts w:ascii="Times New Roman" w:hAnsi="Times New Roman"/>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hAnsi="Times New Roman"/>
          <w:sz w:val="20"/>
          <w:u w:val="single"/>
        </w:rPr>
        <w:t>Certificate of Designation</w:t>
      </w:r>
      <w:r>
        <w:rPr>
          <w:rFonts w:ascii="Times New Roman" w:hAnsi="Times New Roman"/>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authorized shares of Preferred Stock may be increased or decreased (but not below the number of shares thereof then outstanding) by the affirmative vote of the holders of a majority of the capital stock of the Corporation entitled to vote, irrespective of the provisions of Section 242(b)(2) of the DGCL.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For the management of the business and for the conduct of the affairs of the Corporation it is further provided that: </w:t>
      </w:r>
    </w:p>
    <w:p>
      <w:pPr>
        <w:pStyle w:val="TextBody"/>
        <w:bidi w:val="0"/>
        <w:spacing w:before="240" w:after="0"/>
        <w:jc w:val="left"/>
        <w:rPr>
          <w:rFonts w:ascii="Times New Roman" w:hAnsi="Times New Roman"/>
          <w:sz w:val="20"/>
        </w:rPr>
      </w:pPr>
      <w:r>
        <w:rPr>
          <w:rFonts w:ascii="Times New Roman" w:hAnsi="Times New Roman"/>
          <w:sz w:val="20"/>
        </w:rPr>
        <w:t xml:space="preserve">A. Each director shall hold office until the next annual election and until his or her successor is duly elected and qualified, or until his or her earlier death, resignation, disqualification or removal. No decrease in the number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special rights of the holders of one or more outstanding series of Preferred Stock to elect directors, the Board of Directors or any individual director may be removed from office at any time and only by the affirmative vote of the holders of at least a majority of the voting power of all of the then outstanding shares of voting stock of the Corporation entitled to vote at an election of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F. In furtherance and not in limitation of the powers conferred by statute, the Board of Directors is expressly authorized to adopt, amend or repeal the bylaws of the Corporation (the “</w:t>
      </w:r>
      <w:r>
        <w:rPr>
          <w:rFonts w:ascii="Times New Roman" w:hAnsi="Times New Roman"/>
          <w:sz w:val="20"/>
          <w:u w:val="single"/>
        </w:rPr>
        <w:t>Bylaws</w:t>
      </w:r>
      <w:r>
        <w:rPr>
          <w:rFonts w:ascii="Times New Roman" w:hAnsi="Times New Roman"/>
          <w:sz w:val="20"/>
        </w:rPr>
        <w:t xml:space="preserve">”). In addition to any vote of the holders of any class or series of stock of the Corporation required by applicable law or by this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G. The directors of the Corporation need not be elected by written ballot unless the Bylaws so provide.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special rights of the holders of one or more series of Preferred Stock, special meetings of stockholders of the Corporation may be called, for any purpose or purposes, at any time only by or at the direction of the Board of Directors, the Chairperson of the Board of Directors, the Chief Executive Officer or President, and shall not be called by any 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C. Advance notice of stockholder nominations for the election of directors and of other business proposed to be brought by stockholders before any meeting of stockholders of the Corporation shall be given in the manner provided in the Bylaws of the Corporation.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Unless the Corporation consents in writing to the selection of an alternative forum, (a) the Court of Chancery (the “</w:t>
      </w:r>
      <w:r>
        <w:rPr>
          <w:rFonts w:ascii="Times New Roman" w:hAnsi="Times New Roman"/>
          <w:sz w:val="20"/>
          <w:u w:val="single"/>
        </w:rPr>
        <w:t>Chancery Court</w:t>
      </w:r>
      <w:r>
        <w:rPr>
          <w:rFonts w:ascii="Times New Roman" w:hAnsi="Times New Roman"/>
          <w:sz w:val="20"/>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Restated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hAnsi="Times New Roman"/>
          <w:sz w:val="20"/>
          <w:u w:val="single"/>
        </w:rPr>
        <w:t>Foreign Action</w:t>
      </w:r>
      <w:r>
        <w:rPr>
          <w:rFonts w:ascii="Times New Roman" w:hAnsi="Times New Roman"/>
          <w:sz w:val="20"/>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240" w:after="0"/>
        <w:jc w:val="left"/>
        <w:rPr>
          <w:rFonts w:ascii="Times New Roman" w:hAnsi="Times New Roman"/>
          <w:sz w:val="20"/>
        </w:rPr>
      </w:pPr>
      <w:r>
        <w:rPr>
          <w:rFonts w:ascii="Times New Roman" w:hAnsi="Times New Roman"/>
          <w:sz w:val="20"/>
        </w:rPr>
        <w:t xml:space="preserve">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3" w:name="toc45078_101"/>
      <w:bookmarkEnd w:id="103"/>
      <w:r>
        <w:rPr>
          <w:rFonts w:ascii="Times New Roman" w:hAnsi="Times New Roman"/>
          <w:b/>
          <w:sz w:val="20"/>
        </w:rPr>
        <w:t xml:space="preserve">Annex D </w:t>
      </w:r>
    </w:p>
    <w:p>
      <w:pPr>
        <w:pStyle w:val="TextBody"/>
        <w:bidi w:val="0"/>
        <w:spacing w:before="96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of [_______]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toc1"/>
      <w:bookmarkEnd w:id="104"/>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
        <w:gridCol w:w="127"/>
        <w:gridCol w:w="672"/>
        <w:gridCol w:w="127"/>
        <w:gridCol w:w="8001"/>
        <w:gridCol w:w="176"/>
        <w:gridCol w:w="96"/>
        <w:gridCol w:w="419"/>
        <w:gridCol w:w="63"/>
      </w:tblGrid>
      <w:tr>
        <w:trPr/>
        <w:tc>
          <w:tcPr>
            <w:tcW w:w="52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00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51" w:type="dxa"/>
            <w:gridSpan w:val="5"/>
            <w:tcBorders/>
          </w:tcPr>
          <w:p>
            <w:pPr>
              <w:pStyle w:val="TableContents"/>
              <w:bidi w:val="0"/>
              <w:spacing w:before="0" w:after="0"/>
              <w:jc w:val="left"/>
              <w:rPr/>
            </w:pPr>
            <w:hyperlink w:anchor="anxd45078_1">
              <w:r>
                <w:rPr>
                  <w:rStyle w:val="InternetLink"/>
                  <w:rFonts w:ascii="Times New Roman" w:hAnsi="Times New Roman"/>
                  <w:sz w:val="20"/>
                </w:rPr>
                <w:t>Article I - Corporate Offices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8128"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1.1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
              <w:r>
                <w:rPr>
                  <w:rStyle w:val="InternetLink"/>
                  <w:rFonts w:ascii="Times New Roman" w:hAnsi="Times New Roman"/>
                  <w:sz w:val="20"/>
                </w:rPr>
                <w:t>Registered Office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1.2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
              <w:r>
                <w:rPr>
                  <w:rStyle w:val="InternetLink"/>
                  <w:rFonts w:ascii="Times New Roman" w:hAnsi="Times New Roman"/>
                  <w:sz w:val="20"/>
                </w:rPr>
                <w:t>Other Offices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51" w:type="dxa"/>
            <w:gridSpan w:val="5"/>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5"/>
            <w:tcBorders/>
          </w:tcPr>
          <w:p>
            <w:pPr>
              <w:pStyle w:val="TableContents"/>
              <w:bidi w:val="0"/>
              <w:spacing w:before="0" w:after="0"/>
              <w:jc w:val="left"/>
              <w:rPr/>
            </w:pPr>
            <w:hyperlink w:anchor="anxd45078_4">
              <w:r>
                <w:rPr>
                  <w:rStyle w:val="InternetLink"/>
                  <w:rFonts w:ascii="Times New Roman" w:hAnsi="Times New Roman"/>
                  <w:sz w:val="20"/>
                </w:rPr>
                <w:t>Article II - Meetings of Stockholders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8128"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5">
              <w:r>
                <w:rPr>
                  <w:rStyle w:val="InternetLink"/>
                  <w:rFonts w:ascii="Times New Roman" w:hAnsi="Times New Roman"/>
                  <w:sz w:val="20"/>
                </w:rPr>
                <w:t>Place of Meetings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6">
              <w:r>
                <w:rPr>
                  <w:rStyle w:val="InternetLink"/>
                  <w:rFonts w:ascii="Times New Roman" w:hAnsi="Times New Roman"/>
                  <w:sz w:val="20"/>
                </w:rPr>
                <w:t>Annual Meeting</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2.3</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7">
              <w:r>
                <w:rPr>
                  <w:rStyle w:val="InternetLink"/>
                  <w:rFonts w:ascii="Times New Roman" w:hAnsi="Times New Roman"/>
                  <w:sz w:val="20"/>
                </w:rPr>
                <w:t>Special Meeting</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2.4</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8">
              <w:r>
                <w:rPr>
                  <w:rStyle w:val="InternetLink"/>
                  <w:rFonts w:ascii="Times New Roman" w:hAnsi="Times New Roman"/>
                  <w:sz w:val="20"/>
                </w:rPr>
                <w:t>Notice of Business to be Brought before a Meeting</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2.5</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9">
              <w:r>
                <w:rPr>
                  <w:rStyle w:val="InternetLink"/>
                  <w:rFonts w:ascii="Times New Roman" w:hAnsi="Times New Roman"/>
                  <w:sz w:val="20"/>
                </w:rPr>
                <w:t>Notice of Nominations for Election to the Board</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2.6</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0">
              <w:r>
                <w:rPr>
                  <w:rStyle w:val="InternetLink"/>
                  <w:rFonts w:ascii="Times New Roman" w:hAnsi="Times New Roman"/>
                  <w:sz w:val="20"/>
                </w:rPr>
                <w:t>Additional Requirements for Valid Nomination of Candidates to Serve as Director and, if Elected, to be Seated as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2.7</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1">
              <w:r>
                <w:rPr>
                  <w:rStyle w:val="InternetLink"/>
                  <w:rFonts w:ascii="Times New Roman" w:hAnsi="Times New Roman"/>
                  <w:sz w:val="20"/>
                </w:rPr>
                <w:t>Notice of Stockholders’ Meetings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2.8</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2">
              <w:r>
                <w:rPr>
                  <w:rStyle w:val="InternetLink"/>
                  <w:rFonts w:ascii="Times New Roman" w:hAnsi="Times New Roman"/>
                  <w:sz w:val="20"/>
                </w:rPr>
                <w:t>Quorum</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2.9</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3">
              <w:r>
                <w:rPr>
                  <w:rStyle w:val="InternetLink"/>
                  <w:rFonts w:ascii="Times New Roman" w:hAnsi="Times New Roman"/>
                  <w:sz w:val="20"/>
                </w:rPr>
                <w:t>Adjourned Meeting; Notice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2.10</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4">
              <w:r>
                <w:rPr>
                  <w:rStyle w:val="InternetLink"/>
                  <w:rFonts w:ascii="Times New Roman" w:hAnsi="Times New Roman"/>
                  <w:sz w:val="20"/>
                </w:rPr>
                <w:t>Conduct of Business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5">
              <w:r>
                <w:rPr>
                  <w:rStyle w:val="InternetLink"/>
                  <w:rFonts w:ascii="Times New Roman" w:hAnsi="Times New Roman"/>
                  <w:sz w:val="20"/>
                </w:rPr>
                <w:t>Voting</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6">
              <w:r>
                <w:rPr>
                  <w:rStyle w:val="InternetLink"/>
                  <w:rFonts w:ascii="Times New Roman" w:hAnsi="Times New Roman"/>
                  <w:sz w:val="20"/>
                </w:rPr>
                <w:t>Record Date for Stockholder Meetings and Other Purposes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2.13</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7">
              <w:r>
                <w:rPr>
                  <w:rStyle w:val="InternetLink"/>
                  <w:rFonts w:ascii="Times New Roman" w:hAnsi="Times New Roman"/>
                  <w:sz w:val="20"/>
                </w:rPr>
                <w:t>Proxies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2.14</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8">
              <w:r>
                <w:rPr>
                  <w:rStyle w:val="InternetLink"/>
                  <w:rFonts w:ascii="Times New Roman" w:hAnsi="Times New Roman"/>
                  <w:sz w:val="20"/>
                </w:rPr>
                <w:t>List of Stockholders Entitled to Vote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2.15</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19">
              <w:r>
                <w:rPr>
                  <w:rStyle w:val="InternetLink"/>
                  <w:rFonts w:ascii="Times New Roman" w:hAnsi="Times New Roman"/>
                  <w:sz w:val="20"/>
                </w:rPr>
                <w:t>Inspectors of Election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2.16</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0">
              <w:r>
                <w:rPr>
                  <w:rStyle w:val="InternetLink"/>
                  <w:rFonts w:ascii="Times New Roman" w:hAnsi="Times New Roman"/>
                  <w:sz w:val="20"/>
                </w:rPr>
                <w:t>Delivery to the Corporation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451" w:type="dxa"/>
            <w:gridSpan w:val="5"/>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5"/>
            <w:tcBorders/>
          </w:tcPr>
          <w:p>
            <w:pPr>
              <w:pStyle w:val="TableContents"/>
              <w:bidi w:val="0"/>
              <w:spacing w:before="0" w:after="0"/>
              <w:jc w:val="left"/>
              <w:rPr/>
            </w:pPr>
            <w:hyperlink w:anchor="anxd45078_22">
              <w:r>
                <w:rPr>
                  <w:rStyle w:val="InternetLink"/>
                  <w:rFonts w:ascii="Times New Roman" w:hAnsi="Times New Roman"/>
                  <w:sz w:val="20"/>
                </w:rPr>
                <w:t>Article III -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8128"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3">
              <w:r>
                <w:rPr>
                  <w:rStyle w:val="InternetLink"/>
                  <w:rFonts w:ascii="Times New Roman" w:hAnsi="Times New Roman"/>
                  <w:sz w:val="20"/>
                </w:rPr>
                <w:t>Powers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4">
              <w:r>
                <w:rPr>
                  <w:rStyle w:val="InternetLink"/>
                  <w:rFonts w:ascii="Times New Roman" w:hAnsi="Times New Roman"/>
                  <w:sz w:val="20"/>
                </w:rPr>
                <w:t>Number of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3.3</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5">
              <w:r>
                <w:rPr>
                  <w:rStyle w:val="InternetLink"/>
                  <w:rFonts w:ascii="Times New Roman" w:hAnsi="Times New Roman"/>
                  <w:sz w:val="20"/>
                </w:rPr>
                <w:t>Election, Qualification and Term of Office of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3.4</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6">
              <w:r>
                <w:rPr>
                  <w:rStyle w:val="InternetLink"/>
                  <w:rFonts w:ascii="Times New Roman" w:hAnsi="Times New Roman"/>
                  <w:sz w:val="20"/>
                </w:rPr>
                <w:t>Resignation and Vacancies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3.5</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7">
              <w:r>
                <w:rPr>
                  <w:rStyle w:val="InternetLink"/>
                  <w:rFonts w:ascii="Times New Roman" w:hAnsi="Times New Roman"/>
                  <w:sz w:val="20"/>
                </w:rPr>
                <w:t>Place of Meetings; Meetings by Telephone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3.6</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8">
              <w:r>
                <w:rPr>
                  <w:rStyle w:val="InternetLink"/>
                  <w:rFonts w:ascii="Times New Roman" w:hAnsi="Times New Roman"/>
                  <w:sz w:val="20"/>
                </w:rPr>
                <w:t>Regular Meetings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3.7</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29">
              <w:r>
                <w:rPr>
                  <w:rStyle w:val="InternetLink"/>
                  <w:rFonts w:ascii="Times New Roman" w:hAnsi="Times New Roman"/>
                  <w:sz w:val="20"/>
                </w:rPr>
                <w:t>Special Meetings; Notice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3.8</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0">
              <w:r>
                <w:rPr>
                  <w:rStyle w:val="InternetLink"/>
                  <w:rFonts w:ascii="Times New Roman" w:hAnsi="Times New Roman"/>
                  <w:sz w:val="20"/>
                </w:rPr>
                <w:t>Quorum</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3.9</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1">
              <w:r>
                <w:rPr>
                  <w:rStyle w:val="InternetLink"/>
                  <w:rFonts w:ascii="Times New Roman" w:hAnsi="Times New Roman"/>
                  <w:sz w:val="20"/>
                </w:rPr>
                <w:t>Board Action without a Meeting</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3.10</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2">
              <w:r>
                <w:rPr>
                  <w:rStyle w:val="InternetLink"/>
                  <w:rFonts w:ascii="Times New Roman" w:hAnsi="Times New Roman"/>
                  <w:sz w:val="20"/>
                </w:rPr>
                <w:t>Fees and Compensation of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51" w:type="dxa"/>
            <w:gridSpan w:val="5"/>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5"/>
            <w:tcBorders/>
          </w:tcPr>
          <w:p>
            <w:pPr>
              <w:pStyle w:val="TableContents"/>
              <w:bidi w:val="0"/>
              <w:spacing w:before="0" w:after="0"/>
              <w:jc w:val="left"/>
              <w:rPr/>
            </w:pPr>
            <w:hyperlink w:anchor="anxd45078_33">
              <w:r>
                <w:rPr>
                  <w:rStyle w:val="InternetLink"/>
                  <w:rFonts w:ascii="Times New Roman" w:hAnsi="Times New Roman"/>
                  <w:sz w:val="20"/>
                </w:rPr>
                <w:t>Article IV - Committees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8128"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4.1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4">
              <w:r>
                <w:rPr>
                  <w:rStyle w:val="InternetLink"/>
                  <w:rFonts w:ascii="Times New Roman" w:hAnsi="Times New Roman"/>
                  <w:sz w:val="20"/>
                </w:rPr>
                <w:t>Committees of Directors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4.2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5">
              <w:r>
                <w:rPr>
                  <w:rStyle w:val="InternetLink"/>
                  <w:rFonts w:ascii="Times New Roman" w:hAnsi="Times New Roman"/>
                  <w:sz w:val="20"/>
                </w:rPr>
                <w:t>Committee Minutes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4.3</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6">
              <w:r>
                <w:rPr>
                  <w:rStyle w:val="InternetLink"/>
                  <w:rFonts w:ascii="Times New Roman" w:hAnsi="Times New Roman"/>
                  <w:sz w:val="20"/>
                </w:rPr>
                <w:t>Meetings and Actions of Committees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4.4</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7">
              <w:r>
                <w:rPr>
                  <w:rStyle w:val="InternetLink"/>
                  <w:rFonts w:ascii="Times New Roman" w:hAnsi="Times New Roman"/>
                  <w:sz w:val="20"/>
                </w:rPr>
                <w:t>Subcommittees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51" w:type="dxa"/>
            <w:gridSpan w:val="5"/>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9451" w:type="dxa"/>
            <w:gridSpan w:val="5"/>
            <w:tcBorders/>
          </w:tcPr>
          <w:p>
            <w:pPr>
              <w:pStyle w:val="TableContents"/>
              <w:bidi w:val="0"/>
              <w:spacing w:before="0" w:after="0"/>
              <w:jc w:val="left"/>
              <w:rPr/>
            </w:pPr>
            <w:hyperlink w:anchor="anxd45078_38">
              <w:r>
                <w:rPr>
                  <w:rStyle w:val="InternetLink"/>
                  <w:rFonts w:ascii="Times New Roman" w:hAnsi="Times New Roman"/>
                  <w:sz w:val="20"/>
                </w:rPr>
                <w:t>Article V -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799" w:type="dxa"/>
            <w:gridSpan w:val="2"/>
            <w:tcBorders/>
            <w:vAlign w:val="center"/>
          </w:tcPr>
          <w:p>
            <w:pPr>
              <w:pStyle w:val="TableContents"/>
              <w:bidi w:val="0"/>
              <w:spacing w:before="0" w:after="283"/>
              <w:jc w:val="left"/>
              <w:rPr>
                <w:sz w:val="4"/>
                <w:szCs w:val="4"/>
              </w:rPr>
            </w:pPr>
            <w:r>
              <w:rPr>
                <w:sz w:val="4"/>
                <w:szCs w:val="4"/>
              </w:rPr>
            </w:r>
          </w:p>
        </w:tc>
        <w:tc>
          <w:tcPr>
            <w:tcW w:w="8128" w:type="dxa"/>
            <w:gridSpan w:val="2"/>
            <w:tcBorders/>
            <w:vAlign w:val="center"/>
          </w:tcPr>
          <w:p>
            <w:pPr>
              <w:pStyle w:val="TableContents"/>
              <w:bidi w:val="0"/>
              <w:spacing w:before="0" w:after="283"/>
              <w:jc w:val="left"/>
              <w:rPr>
                <w:sz w:val="4"/>
                <w:szCs w:val="4"/>
              </w:rPr>
            </w:pPr>
            <w:r>
              <w:rPr>
                <w:sz w:val="4"/>
                <w:szCs w:val="4"/>
              </w:rPr>
            </w:r>
          </w:p>
        </w:tc>
        <w:tc>
          <w:tcPr>
            <w:tcW w:w="754"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5.1</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39">
              <w:r>
                <w:rPr>
                  <w:rStyle w:val="InternetLink"/>
                  <w:rFonts w:ascii="Times New Roman" w:hAnsi="Times New Roman"/>
                  <w:sz w:val="20"/>
                </w:rPr>
                <w:t>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right"/>
              <w:rPr/>
            </w:pPr>
            <w:r>
              <w:rPr/>
              <w:t>5.2</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0"/>
              <w:jc w:val="left"/>
              <w:rPr/>
            </w:pPr>
            <w:hyperlink w:anchor="anxd45078_40">
              <w:r>
                <w:rPr>
                  <w:rStyle w:val="InternetLink"/>
                  <w:rFonts w:ascii="Times New Roman" w:hAnsi="Times New Roman"/>
                  <w:sz w:val="20"/>
                </w:rPr>
                <w:t>Appointment of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1">
              <w:r>
                <w:rPr>
                  <w:rStyle w:val="InternetLink"/>
                </w:rPr>
                <w:t>Subordinate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2">
              <w:r>
                <w:rPr>
                  <w:rStyle w:val="InternetLink"/>
                </w:rPr>
                <w:t>Removal and Resignation of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3">
              <w:r>
                <w:rPr>
                  <w:rStyle w:val="InternetLink"/>
                </w:rPr>
                <w:t>Vacancies in Offices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4">
              <w:r>
                <w:rPr>
                  <w:rStyle w:val="InternetLink"/>
                </w:rPr>
                <w:t>Representation of Shares of Other Corporations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5">
              <w:r>
                <w:rPr>
                  <w:rStyle w:val="InternetLink"/>
                </w:rPr>
                <w:t>Authority and Duties of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127"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hyperlink w:anchor="anxd45078_46">
              <w:r>
                <w:rPr>
                  <w:rStyle w:val="InternetLink"/>
                </w:rPr>
                <w:t>Compensation.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
        <w:gridCol w:w="126"/>
        <w:gridCol w:w="622"/>
        <w:gridCol w:w="126"/>
        <w:gridCol w:w="8051"/>
        <w:gridCol w:w="176"/>
        <w:gridCol w:w="96"/>
        <w:gridCol w:w="421"/>
        <w:gridCol w:w="65"/>
      </w:tblGrid>
      <w:tr>
        <w:trPr/>
        <w:tc>
          <w:tcPr>
            <w:tcW w:w="52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05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47">
              <w:r>
                <w:rPr>
                  <w:rStyle w:val="InternetLink"/>
                </w:rPr>
                <w:t>Article VI - Records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48">
              <w:r>
                <w:rPr>
                  <w:rStyle w:val="InternetLink"/>
                </w:rPr>
                <w:t>Article VII - General Matters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rHeight w:val="120" w:hRule="atLeast"/>
        </w:trPr>
        <w:tc>
          <w:tcPr>
            <w:tcW w:w="522"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817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522" w:type="dxa"/>
            <w:tcBorders/>
            <w:vAlign w:val="bottom"/>
          </w:tcPr>
          <w:p>
            <w:pPr>
              <w:pStyle w:val="TableContents"/>
              <w:bidi w:val="0"/>
              <w:spacing w:before="0" w:after="0"/>
              <w:jc w:val="left"/>
              <w:rPr/>
            </w:pPr>
            <w:r>
              <w:rPr/>
              <w:t>  </w:t>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49">
              <w:r>
                <w:rPr>
                  <w:rStyle w:val="InternetLink"/>
                </w:rPr>
                <w:t>Execution of Corporate Contracts and Instruments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0">
              <w:r>
                <w:rPr>
                  <w:rStyle w:val="InternetLink"/>
                </w:rPr>
                <w:t>Stock Certificates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1">
              <w:r>
                <w:rPr>
                  <w:rStyle w:val="InternetLink"/>
                </w:rPr>
                <w:t>Special Designation of Certificates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2">
              <w:r>
                <w:rPr>
                  <w:rStyle w:val="InternetLink"/>
                </w:rPr>
                <w:t>Lost Certificates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3">
              <w:r>
                <w:rPr>
                  <w:rStyle w:val="InternetLink"/>
                </w:rPr>
                <w:t>Shares Without Certificates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4">
              <w:r>
                <w:rPr>
                  <w:rStyle w:val="InternetLink"/>
                </w:rPr>
                <w:t>Construction; Definitions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5">
              <w:r>
                <w:rPr>
                  <w:rStyle w:val="InternetLink"/>
                </w:rPr>
                <w:t>Dividends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6">
              <w:r>
                <w:rPr>
                  <w:rStyle w:val="InternetLink"/>
                </w:rPr>
                <w:t>Fiscal Year</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7">
              <w:r>
                <w:rPr>
                  <w:rStyle w:val="InternetLink"/>
                </w:rPr>
                <w:t>Seal</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7.10</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8">
              <w:r>
                <w:rPr>
                  <w:rStyle w:val="InternetLink"/>
                </w:rPr>
                <w:t>Transfer of Stock</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7.11</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59">
              <w:r>
                <w:rPr>
                  <w:rStyle w:val="InternetLink"/>
                </w:rPr>
                <w:t>Stock Transfer Agreements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7.12</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0">
              <w:r>
                <w:rPr>
                  <w:rStyle w:val="InternetLink"/>
                </w:rPr>
                <w:t>Registered Stockholders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7.13</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1">
              <w:r>
                <w:rPr>
                  <w:rStyle w:val="InternetLink"/>
                </w:rPr>
                <w:t>Waiver of Notice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62">
              <w:r>
                <w:rPr>
                  <w:rStyle w:val="InternetLink"/>
                </w:rPr>
                <w:t>Article VIII - Notice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3">
              <w:r>
                <w:rPr>
                  <w:rStyle w:val="InternetLink"/>
                </w:rPr>
                <w:t>Delivery of Notice; Notice by Electronic Transmission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64">
              <w:r>
                <w:rPr>
                  <w:rStyle w:val="InternetLink"/>
                </w:rPr>
                <w:t>Article IX - Indemnification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rHeight w:val="120" w:hRule="atLeast"/>
        </w:trPr>
        <w:tc>
          <w:tcPr>
            <w:tcW w:w="522"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8177"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5">
              <w:r>
                <w:rPr>
                  <w:rStyle w:val="InternetLink"/>
                </w:rPr>
                <w:t>Indemnification of Directors and Officers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6">
              <w:r>
                <w:rPr>
                  <w:rStyle w:val="InternetLink"/>
                </w:rPr>
                <w:t>Indemnification of Others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7">
              <w:r>
                <w:rPr>
                  <w:rStyle w:val="InternetLink"/>
                </w:rPr>
                <w:t>Prepayment of Expenses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8">
              <w:r>
                <w:rPr>
                  <w:rStyle w:val="InternetLink"/>
                </w:rPr>
                <w:t>Determination; Claim</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69">
              <w:r>
                <w:rPr>
                  <w:rStyle w:val="InternetLink"/>
                </w:rPr>
                <w:t>Non-Exclusivity of Rights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70">
              <w:r>
                <w:rPr>
                  <w:rStyle w:val="InternetLink"/>
                </w:rPr>
                <w:t>Insurance</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71">
              <w:r>
                <w:rPr>
                  <w:rStyle w:val="InternetLink"/>
                </w:rPr>
                <w:t>Other Indemnification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72">
              <w:r>
                <w:rPr>
                  <w:rStyle w:val="InternetLink"/>
                </w:rPr>
                <w:t>Continuation of Indemnification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522"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126" w:type="dxa"/>
            <w:tcBorders/>
            <w:vAlign w:val="bottom"/>
          </w:tcPr>
          <w:p>
            <w:pPr>
              <w:pStyle w:val="TableContents"/>
              <w:bidi w:val="0"/>
              <w:spacing w:before="0" w:after="283"/>
              <w:jc w:val="left"/>
              <w:rPr/>
            </w:pPr>
            <w:r>
              <w:rPr/>
              <w:t> </w:t>
            </w:r>
          </w:p>
        </w:tc>
        <w:tc>
          <w:tcPr>
            <w:tcW w:w="8051" w:type="dxa"/>
            <w:tcBorders/>
          </w:tcPr>
          <w:p>
            <w:pPr>
              <w:pStyle w:val="TableContents"/>
              <w:bidi w:val="0"/>
              <w:spacing w:before="0" w:after="283"/>
              <w:jc w:val="left"/>
              <w:rPr/>
            </w:pPr>
            <w:hyperlink w:anchor="anxd45078_73">
              <w:r>
                <w:rPr>
                  <w:rStyle w:val="InternetLink"/>
                </w:rPr>
                <w:t>Amendment or Repeal; Interpretation</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74">
              <w:r>
                <w:rPr>
                  <w:rStyle w:val="InternetLink"/>
                </w:rPr>
                <w:t>Article X - Amendments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447" w:type="dxa"/>
            <w:gridSpan w:val="5"/>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5"/>
            <w:tcBorders/>
          </w:tcPr>
          <w:p>
            <w:pPr>
              <w:pStyle w:val="TableContents"/>
              <w:bidi w:val="0"/>
              <w:spacing w:before="0" w:after="283"/>
              <w:jc w:val="left"/>
              <w:rPr/>
            </w:pPr>
            <w:hyperlink w:anchor="anxd45078_75">
              <w:r>
                <w:rPr>
                  <w:rStyle w:val="InternetLink"/>
                </w:rPr>
                <w:t>Article XI - Definitions</w:t>
              </w:r>
            </w:hyperlink>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bookmarkStart w:id="105" w:name="anxd45078_1"/>
      <w:bookmarkEnd w:id="105"/>
      <w:r>
        <w:rPr>
          <w:rFonts w:ascii="Times New Roman" w:hAnsi="Times New Roman"/>
          <w:b/>
          <w:sz w:val="20"/>
        </w:rPr>
        <w:t xml:space="preserve">Article I - Corporate Offices </w:t>
      </w:r>
    </w:p>
    <w:p>
      <w:pPr>
        <w:pStyle w:val="TextBody"/>
        <w:bidi w:val="0"/>
        <w:spacing w:before="120" w:after="0"/>
        <w:jc w:val="left"/>
        <w:rPr>
          <w:rFonts w:ascii="Times New Roman" w:hAnsi="Times New Roman"/>
          <w:sz w:val="20"/>
        </w:rPr>
      </w:pPr>
      <w:bookmarkStart w:id="106" w:name="anxd45078_2"/>
      <w:bookmarkEnd w:id="106"/>
      <w:r>
        <w:rPr>
          <w:rFonts w:ascii="Times New Roman" w:hAnsi="Times New Roman"/>
          <w:sz w:val="20"/>
        </w:rPr>
        <w:t>1.1</w:t>
      </w:r>
      <w:r>
        <w:rPr>
          <w:rFonts w:ascii="Times New Roman" w:hAnsi="Times New Roman"/>
          <w:sz w:val="20"/>
          <w:u w:val="single"/>
        </w:rPr>
        <w:t xml:space="preserve"> Registered Office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The address of the registered office of Wave Life Sciences, Inc. (the “</w:t>
      </w:r>
      <w:r>
        <w:rPr>
          <w:rFonts w:ascii="Times New Roman" w:hAnsi="Times New Roman"/>
          <w:sz w:val="20"/>
          <w:u w:val="single"/>
        </w:rPr>
        <w:t>Corporation</w:t>
      </w:r>
      <w:r>
        <w:rPr>
          <w:rFonts w:ascii="Times New Roman" w:hAnsi="Times New Roman"/>
          <w:sz w:val="20"/>
        </w:rPr>
        <w:t>”) in the State of Delaware, and the name of its registered agent at such address, shall be as set forth in the Corporation’s certificate of incorporation, as the same may be amended and/or restated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d45078_3"/>
      <w:bookmarkEnd w:id="107"/>
      <w:r>
        <w:rPr>
          <w:rFonts w:ascii="Times New Roman" w:hAnsi="Times New Roman"/>
          <w:sz w:val="20"/>
        </w:rPr>
        <w:t xml:space="preserve">1.2 </w:t>
      </w:r>
      <w:r>
        <w:rPr>
          <w:rFonts w:ascii="Times New Roman" w:hAnsi="Times New Roman"/>
          <w:sz w:val="20"/>
          <w:u w:val="single"/>
        </w:rPr>
        <w:t>Other Offices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The Corporation may have additional offices at any place or places, within or outside the State of Delaware, as the Corporation’s board of directors (the “</w:t>
      </w:r>
      <w:r>
        <w:rPr>
          <w:rFonts w:ascii="Times New Roman" w:hAnsi="Times New Roman"/>
          <w:sz w:val="20"/>
          <w:u w:val="single"/>
        </w:rPr>
        <w:t>Board</w:t>
      </w:r>
      <w:r>
        <w:rPr>
          <w:rFonts w:ascii="Times New Roman" w:hAnsi="Times New Roman"/>
          <w:sz w:val="20"/>
        </w:rPr>
        <w:t xml:space="preserve">”) may from time to time establish or as the business of the Corporation may require. </w:t>
      </w:r>
    </w:p>
    <w:p>
      <w:pPr>
        <w:pStyle w:val="TextBody"/>
        <w:bidi w:val="0"/>
        <w:spacing w:before="480" w:after="0"/>
        <w:jc w:val="center"/>
        <w:rPr>
          <w:rFonts w:ascii="Times New Roman" w:hAnsi="Times New Roman"/>
          <w:b/>
          <w:sz w:val="20"/>
        </w:rPr>
      </w:pPr>
      <w:bookmarkStart w:id="108" w:name="anxd45078_4"/>
      <w:bookmarkEnd w:id="108"/>
      <w:r>
        <w:rPr>
          <w:rFonts w:ascii="Times New Roman" w:hAnsi="Times New Roman"/>
          <w:b/>
          <w:sz w:val="20"/>
        </w:rPr>
        <w:t xml:space="preserve">Article II - Meetings of Stockholders </w:t>
      </w:r>
    </w:p>
    <w:p>
      <w:pPr>
        <w:pStyle w:val="TextBody"/>
        <w:bidi w:val="0"/>
        <w:spacing w:before="240" w:after="0"/>
        <w:jc w:val="left"/>
        <w:rPr>
          <w:rFonts w:ascii="Times New Roman" w:hAnsi="Times New Roman"/>
          <w:sz w:val="20"/>
        </w:rPr>
      </w:pPr>
      <w:bookmarkStart w:id="109" w:name="anxd45078_5"/>
      <w:bookmarkEnd w:id="109"/>
      <w:r>
        <w:rPr>
          <w:rFonts w:ascii="Times New Roman" w:hAnsi="Times New Roman"/>
          <w:sz w:val="20"/>
        </w:rPr>
        <w:t xml:space="preserve">2.1 </w:t>
      </w:r>
      <w:r>
        <w:rPr>
          <w:rFonts w:ascii="Times New Roman" w:hAnsi="Times New Roman"/>
          <w:sz w:val="20"/>
          <w:u w:val="single"/>
        </w:rPr>
        <w:t>Place of Meetings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sz w:val="20"/>
          <w:u w:val="single"/>
        </w:rPr>
        <w:t>DGCL</w:t>
      </w:r>
      <w:r>
        <w:rPr>
          <w:rFonts w:ascii="Times New Roman" w:hAnsi="Times New Roman"/>
          <w:sz w:val="20"/>
        </w:rPr>
        <w:t xml:space="preserve">”). In the absence of any such designation or determination, stockholders’ meetings shall be held at the Corporation’s principal executive office. </w:t>
      </w:r>
    </w:p>
    <w:p>
      <w:pPr>
        <w:pStyle w:val="TextBody"/>
        <w:bidi w:val="0"/>
        <w:spacing w:before="240" w:after="0"/>
        <w:jc w:val="left"/>
        <w:rPr>
          <w:rFonts w:ascii="Times New Roman" w:hAnsi="Times New Roman"/>
          <w:sz w:val="20"/>
        </w:rPr>
      </w:pPr>
      <w:bookmarkStart w:id="110" w:name="anxd45078_6"/>
      <w:bookmarkEnd w:id="110"/>
      <w:r>
        <w:rPr>
          <w:rFonts w:ascii="Times New Roman" w:hAnsi="Times New Roman"/>
          <w:sz w:val="20"/>
        </w:rPr>
        <w:t xml:space="preserve">2.2 </w:t>
      </w:r>
      <w:r>
        <w:rPr>
          <w:rFonts w:ascii="Times New Roman" w:hAnsi="Times New Roman"/>
          <w:sz w:val="20"/>
          <w:u w:val="single"/>
        </w:rPr>
        <w:t>Annual Meeting</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 </w:t>
      </w:r>
    </w:p>
    <w:p>
      <w:pPr>
        <w:pStyle w:val="TextBody"/>
        <w:bidi w:val="0"/>
        <w:spacing w:before="240" w:after="0"/>
        <w:jc w:val="left"/>
        <w:rPr>
          <w:rFonts w:ascii="Times New Roman" w:hAnsi="Times New Roman"/>
          <w:sz w:val="20"/>
        </w:rPr>
      </w:pPr>
      <w:bookmarkStart w:id="111" w:name="anxd45078_7"/>
      <w:bookmarkEnd w:id="111"/>
      <w:r>
        <w:rPr>
          <w:rFonts w:ascii="Times New Roman" w:hAnsi="Times New Roman"/>
          <w:sz w:val="20"/>
        </w:rPr>
        <w:t xml:space="preserve">2.3 </w:t>
      </w:r>
      <w:r>
        <w:rPr>
          <w:rFonts w:ascii="Times New Roman" w:hAnsi="Times New Roman"/>
          <w:sz w:val="20"/>
          <w:u w:val="single"/>
        </w:rPr>
        <w:t>Special Meeting</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stockholders may be called only by such persons and only in such manner as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No business may be transacted at any special meeting of stockholders other than the business specified in the notice of such meeting. The Board may postpone, reschedule or cancel any previously scheduled special meeting of stockholders. </w:t>
      </w:r>
    </w:p>
    <w:p>
      <w:pPr>
        <w:pStyle w:val="TextBody"/>
        <w:bidi w:val="0"/>
        <w:spacing w:before="240" w:after="0"/>
        <w:jc w:val="left"/>
        <w:rPr>
          <w:rFonts w:ascii="Times New Roman" w:hAnsi="Times New Roman"/>
          <w:sz w:val="20"/>
        </w:rPr>
      </w:pPr>
      <w:bookmarkStart w:id="112" w:name="anxd45078_8"/>
      <w:bookmarkEnd w:id="112"/>
      <w:r>
        <w:rPr>
          <w:rFonts w:ascii="Times New Roman" w:hAnsi="Times New Roman"/>
          <w:sz w:val="20"/>
        </w:rPr>
        <w:t xml:space="preserve">2.4 </w:t>
      </w:r>
      <w:r>
        <w:rPr>
          <w:rFonts w:ascii="Times New Roman" w:hAnsi="Times New Roman"/>
          <w:sz w:val="20"/>
          <w:u w:val="single"/>
        </w:rPr>
        <w:t>Notice of Business to be Brought before a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meeting, otherwise brought before the meeting by or at the direction of the Board or the Chairperson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hAnsi="Times New Roman"/>
          <w:sz w:val="20"/>
          <w:u w:val="single"/>
        </w:rPr>
        <w:t>Exchange Act</w:t>
      </w:r>
      <w:r>
        <w:rPr>
          <w:rFonts w:ascii="Times New Roman" w:hAnsi="Times New Roman"/>
          <w:sz w:val="20"/>
        </w:rPr>
        <w:t xml:space="preserve">”).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except as expressly provided in Section 2.5 and Section 2.6. </w:t>
      </w:r>
    </w:p>
    <w:p>
      <w:pPr>
        <w:pStyle w:val="TextBody"/>
        <w:bidi w:val="0"/>
        <w:spacing w:before="240" w:after="0"/>
        <w:jc w:val="left"/>
        <w:rPr>
          <w:rFonts w:ascii="Times New Roman" w:hAnsi="Times New Roman"/>
          <w:sz w:val="20"/>
        </w:rPr>
      </w:pPr>
      <w:r>
        <w:rPr>
          <w:rFonts w:ascii="Times New Roman" w:hAnsi="Times New Roman"/>
          <w:sz w:val="20"/>
        </w:rPr>
        <w:t>(b)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 w:hAnsi="Times New Roman"/>
          <w:sz w:val="20"/>
          <w:u w:val="single"/>
        </w:rPr>
        <w:t>Timely Notice</w:t>
      </w:r>
      <w:r>
        <w:rPr>
          <w:rFonts w:ascii="Times New Roman" w:hAnsi="Times New Roman"/>
          <w:sz w:val="20"/>
        </w:rPr>
        <w:t xml:space="preserve">”). In no event shall any adjournment or postponement of an annual meeting or the announcement thereof commence a new time period (or extend any time period) for the giving of Timely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To be in proper form for purposes of this Section 2.4, a stockholder’s notice to the Secretary shall set forth: </w:t>
      </w:r>
    </w:p>
    <w:p>
      <w:pPr>
        <w:pStyle w:val="TextBody"/>
        <w:bidi w:val="0"/>
        <w:spacing w:before="240" w:after="0"/>
        <w:jc w:val="left"/>
        <w:rPr>
          <w:rFonts w:ascii="Times New Roman" w:hAnsi="Times New Roman"/>
          <w:sz w:val="20"/>
        </w:rPr>
      </w:pPr>
      <w:r>
        <w:rPr>
          <w:rFonts w:ascii="Times New Roman" w:hAnsi="Times New Roman"/>
          <w:sz w:val="20"/>
        </w:rPr>
        <w:t>(i) 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hAnsi="Times New Roman"/>
          <w:sz w:val="20"/>
          <w:u w:val="single"/>
        </w:rPr>
        <w:t>Stockholder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As to each Proposing Person, </w:t>
      </w:r>
    </w:p>
    <w:p>
      <w:pPr>
        <w:pStyle w:val="TextBody"/>
        <w:bidi w:val="0"/>
        <w:spacing w:before="240" w:after="0"/>
        <w:jc w:val="left"/>
        <w:rPr>
          <w:rFonts w:ascii="Times New Roman" w:hAnsi="Times New Roman"/>
          <w:sz w:val="20"/>
        </w:rPr>
      </w:pPr>
      <w:r>
        <w:rPr>
          <w:rFonts w:ascii="Times New Roman" w:hAnsi="Times New Roman"/>
          <w:sz w:val="20"/>
        </w:rPr>
        <w:t xml:space="preserve">(A) the material terms and conditions of any “derivative security” (as such term is defined in Rule 16a-1(c) under the Exchange Act) that constitutes a “call equivalent position” (as such term is defined in Rule 16a-1(b)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hAnsi="Times New Roman"/>
          <w:sz w:val="20"/>
          <w:u w:val="single"/>
        </w:rPr>
        <w:t>Synthetic Equity Position</w:t>
      </w:r>
      <w:r>
        <w:rPr>
          <w:rFonts w:ascii="Times New Roman" w:hAnsi="Times New Roman"/>
          <w:sz w:val="20"/>
        </w:rPr>
        <w:t xml:space="preserve">”) that is, directly or indirectly, held or maintained by, held for the benefit of, or involving such Proposing Person,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(3) any contract, derivative, swap or other transaction or series of transactions designed to </w:t>
      </w:r>
    </w:p>
    <w:p>
      <w:pPr>
        <w:pStyle w:val="TextBody"/>
        <w:bidi w:val="0"/>
        <w:spacing w:before="240" w:after="0"/>
        <w:jc w:val="left"/>
        <w:rPr>
          <w:rFonts w:ascii="Times New Roman" w:hAnsi="Times New Roman"/>
          <w:sz w:val="20"/>
        </w:rPr>
      </w:pPr>
      <w:r>
        <w:rPr>
          <w:rFonts w:ascii="Times New Roman" w:hAnsi="Times New Roman"/>
          <w:sz w:val="20"/>
        </w:rPr>
        <w:t xml:space="preserve">(x) produce economic benefits and risks that correspond substantially to the ownership of any class or series of shares of capital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(y) mitigate any loss relating to, reduce the economic risk (of ownership or otherwise) of, or manage the risk of share price decrease in, any class or series of shares of capital stock of the Corporation, or </w:t>
      </w:r>
    </w:p>
    <w:p>
      <w:pPr>
        <w:pStyle w:val="TextBody"/>
        <w:bidi w:val="0"/>
        <w:spacing w:before="240" w:after="0"/>
        <w:jc w:val="left"/>
        <w:rPr>
          <w:rFonts w:ascii="Times New Roman" w:hAnsi="Times New Roman"/>
          <w:sz w:val="20"/>
        </w:rPr>
      </w:pPr>
      <w:r>
        <w:rPr>
          <w:rFonts w:ascii="Times New Roman" w:hAnsi="Times New Roman"/>
          <w:sz w:val="20"/>
        </w:rPr>
        <w:t xml:space="preserve">(z) increase or decrease the voting power in respect of any class or series of shares of capital stock of the Corporation held or maintained by, held for the benefit of, or involving such Proposing Person, </w:t>
      </w:r>
    </w:p>
    <w:p>
      <w:pPr>
        <w:pStyle w:val="TextBody"/>
        <w:bidi w:val="0"/>
        <w:spacing w:before="240" w:after="0"/>
        <w:jc w:val="left"/>
        <w:rPr>
          <w:rFonts w:ascii="Times New Roman" w:hAnsi="Times New Roman"/>
          <w:sz w:val="20"/>
        </w:rPr>
      </w:pPr>
      <w:r>
        <w:rPr>
          <w:rFonts w:ascii="Times New Roman" w:hAnsi="Times New Roman"/>
          <w:sz w:val="20"/>
        </w:rPr>
        <w:t xml:space="preserve">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w:t>
      </w:r>
    </w:p>
    <w:p>
      <w:pPr>
        <w:pStyle w:val="TextBody"/>
        <w:bidi w:val="0"/>
        <w:spacing w:before="240" w:after="0"/>
        <w:jc w:val="left"/>
        <w:rPr>
          <w:rFonts w:ascii="Times New Roman" w:hAnsi="Times New Roman"/>
          <w:sz w:val="20"/>
        </w:rPr>
      </w:pPr>
      <w:r>
        <w:rPr>
          <w:rFonts w:ascii="Times New Roman" w:hAnsi="Times New Roman"/>
          <w:sz w:val="20"/>
        </w:rPr>
        <w:t xml:space="preserve">(B)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any material pending or threatened legal proceeding in which such Proposing Person is a party or material participant involving the Corporation or any of its officers or directors, or any affiliate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any other material relationship between such Proposing Person, on the one hand, and the Corporation or any affiliate of the Corporation,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(E) any direct or indirect material interest in any material contract or agreement of such Proposing Person with the Corporation or any affiliate of the Corporation (including, in any such case, any employment agreement, collective bargaining agreement or consulting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w:t>
      </w:r>
    </w:p>
    <w:p>
      <w:pPr>
        <w:pStyle w:val="TextBody"/>
        <w:bidi w:val="0"/>
        <w:spacing w:before="240" w:after="0"/>
        <w:jc w:val="left"/>
        <w:rPr>
          <w:rFonts w:ascii="Times New Roman" w:hAnsi="Times New Roman"/>
          <w:sz w:val="20"/>
        </w:rPr>
      </w:pPr>
      <w:r>
        <w:rPr>
          <w:rFonts w:ascii="Times New Roman" w:hAnsi="Times New Roman"/>
          <w:sz w:val="20"/>
        </w:rPr>
        <w:t xml:space="preserve">(G)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 </w:t>
      </w:r>
    </w:p>
    <w:p>
      <w:pPr>
        <w:pStyle w:val="TextBody"/>
        <w:bidi w:val="0"/>
        <w:spacing w:before="240" w:after="0"/>
        <w:jc w:val="left"/>
        <w:rPr>
          <w:rFonts w:ascii="Times New Roman" w:hAnsi="Times New Roman"/>
          <w:sz w:val="20"/>
        </w:rPr>
      </w:pPr>
      <w:r>
        <w:rPr>
          <w:rFonts w:ascii="Times New Roman" w:hAnsi="Times New Roman"/>
          <w:sz w:val="20"/>
        </w:rPr>
        <w:t>(H)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hAnsi="Times New Roman"/>
          <w:sz w:val="20"/>
          <w:u w:val="single"/>
        </w:rPr>
        <w:t>Disclosable Interests</w:t>
      </w:r>
      <w:r>
        <w:rPr>
          <w:rFonts w:ascii="Times New Roman" w:hAnsi="Times New Roman"/>
          <w:sz w:val="20"/>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p>
      <w:pPr>
        <w:pStyle w:val="TextBody"/>
        <w:bidi w:val="0"/>
        <w:spacing w:before="240" w:after="0"/>
        <w:jc w:val="left"/>
        <w:rPr>
          <w:rFonts w:ascii="Times New Roman" w:hAnsi="Times New Roman"/>
          <w:sz w:val="20"/>
        </w:rPr>
      </w:pPr>
      <w:r>
        <w:rPr>
          <w:rFonts w:ascii="Times New Roman" w:hAnsi="Times New Roman"/>
          <w:sz w:val="20"/>
        </w:rPr>
        <w:t xml:space="preserve">(iii)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2.4,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made, and (iii) any participant (as defined in paragraphs (a)(ii)-(vi) of Instruction 3 to Item 4 of Schedule 14A) with such stockholder in such solicitation. </w:t>
      </w:r>
    </w:p>
    <w:p>
      <w:pPr>
        <w:pStyle w:val="TextBody"/>
        <w:bidi w:val="0"/>
        <w:spacing w:before="240" w:after="0"/>
        <w:jc w:val="left"/>
        <w:rPr>
          <w:rFonts w:ascii="Times New Roman" w:hAnsi="Times New Roman"/>
          <w:sz w:val="20"/>
        </w:rPr>
      </w:pPr>
      <w:r>
        <w:rPr>
          <w:rFonts w:ascii="Times New Roman" w:hAnsi="Times New Roman"/>
          <w:sz w:val="20"/>
        </w:rPr>
        <w:t xml:space="preserve">(d) The Board may request that any Proposing Person furnish such additional information as may be reasonably required by the Board. Such Proposing Person shall provide such additional information within ten (10) days after it has been requested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(e)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w:t>
      </w:r>
    </w:p>
    <w:p>
      <w:pPr>
        <w:pStyle w:val="TextBody"/>
        <w:bidi w:val="0"/>
        <w:spacing w:before="240" w:after="0"/>
        <w:jc w:val="left"/>
        <w:rPr>
          <w:rFonts w:ascii="Times New Roman" w:hAnsi="Times New Roman"/>
          <w:sz w:val="20"/>
        </w:rPr>
      </w:pPr>
      <w:r>
        <w:rPr>
          <w:rFonts w:ascii="Times New Roman" w:hAnsi="Times New Roman"/>
          <w:sz w:val="20"/>
        </w:rPr>
        <w:t xml:space="preserve">(g)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these bylaws, “public disclosure” shall mean disclosure in a press release reported by a national news service or in a document publicly filed by the Corporation with the Securities and Exchange Commission pursuant to Sections 13, 14 or 15(d) of the Exchange Act. </w:t>
      </w:r>
    </w:p>
    <w:p>
      <w:pPr>
        <w:pStyle w:val="TextBody"/>
        <w:bidi w:val="0"/>
        <w:spacing w:before="240" w:after="0"/>
        <w:jc w:val="left"/>
        <w:rPr>
          <w:rFonts w:ascii="Times New Roman" w:hAnsi="Times New Roman"/>
          <w:sz w:val="20"/>
        </w:rPr>
      </w:pPr>
      <w:bookmarkStart w:id="113" w:name="anxd45078_9"/>
      <w:bookmarkEnd w:id="113"/>
      <w:r>
        <w:rPr>
          <w:rFonts w:ascii="Times New Roman" w:hAnsi="Times New Roman"/>
          <w:sz w:val="20"/>
        </w:rPr>
        <w:t xml:space="preserve">2.5 </w:t>
      </w:r>
      <w:r>
        <w:rPr>
          <w:rFonts w:ascii="Times New Roman" w:hAnsi="Times New Roman"/>
          <w:sz w:val="20"/>
          <w:u w:val="single"/>
        </w:rPr>
        <w:t>Notice of Nominations for Election to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 (i) Without qualification, for a stockholder to make any nomination of a person or persons for election to the Board at an annual meeting, the stockholder must (1) provide Timely Notice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 2.6. </w:t>
      </w:r>
    </w:p>
    <w:p>
      <w:pPr>
        <w:pStyle w:val="TextBody"/>
        <w:bidi w:val="0"/>
        <w:spacing w:before="240" w:after="0"/>
        <w:jc w:val="left"/>
        <w:rPr>
          <w:rFonts w:ascii="Times New Roman" w:hAnsi="Times New Roman"/>
          <w:sz w:val="20"/>
        </w:rPr>
      </w:pPr>
      <w:r>
        <w:rPr>
          <w:rFonts w:ascii="Times New Roman" w:hAnsi="Times New Roman"/>
          <w:sz w:val="20"/>
        </w:rPr>
        <w:t>(ii)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 w:hAnsi="Times New Roman"/>
          <w:sz w:val="20"/>
          <w:u w:val="single"/>
        </w:rPr>
        <w:t>Special Meeting Timely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In no event shall any adjournment or postponement of an annual meeting or special meeting or the announcement thereof commence a new time period (or extend any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To be in proper form for purposes of this Section 2.5, a stockholder’s notice to the Secretary shall set forth: </w:t>
      </w:r>
    </w:p>
    <w:p>
      <w:pPr>
        <w:pStyle w:val="TextBody"/>
        <w:bidi w:val="0"/>
        <w:spacing w:before="240" w:after="0"/>
        <w:jc w:val="left"/>
        <w:rPr>
          <w:rFonts w:ascii="Times New Roman" w:hAnsi="Times New Roman"/>
          <w:sz w:val="20"/>
        </w:rPr>
      </w:pPr>
      <w:r>
        <w:rPr>
          <w:rFonts w:ascii="Times New Roman" w:hAnsi="Times New Roman"/>
          <w:sz w:val="20"/>
        </w:rPr>
        <w:t xml:space="preserve">(i) As to each Nominating Person, the Stockholder Information (as defined in Section 2.4(c)(i), except that for purposes of this Section 2.5 the term “Nominating Person” shall be substituted for the term “Proposing Person” in all places it appears in Section 2.4(c)(i)); </w:t>
      </w:r>
    </w:p>
    <w:p>
      <w:pPr>
        <w:pStyle w:val="TextBody"/>
        <w:bidi w:val="0"/>
        <w:spacing w:before="240" w:after="0"/>
        <w:jc w:val="left"/>
        <w:rPr>
          <w:rFonts w:ascii="Times New Roman" w:hAnsi="Times New Roman"/>
          <w:sz w:val="20"/>
        </w:rPr>
      </w:pPr>
      <w:r>
        <w:rPr>
          <w:rFonts w:ascii="Times New Roman" w:hAnsi="Times New Roman"/>
          <w:sz w:val="20"/>
        </w:rPr>
        <w:t xml:space="preserve">(ii) 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support of director nominees other than the Corporation’s nominees in accordance with Rule 14a-19 promulgated under the Exchange Act; and </w:t>
      </w:r>
    </w:p>
    <w:p>
      <w:pPr>
        <w:pStyle w:val="TextBody"/>
        <w:bidi w:val="0"/>
        <w:spacing w:before="240" w:after="0"/>
        <w:jc w:val="left"/>
        <w:rPr>
          <w:rFonts w:ascii="Times New Roman" w:hAnsi="Times New Roman"/>
          <w:sz w:val="20"/>
        </w:rPr>
      </w:pPr>
      <w:r>
        <w:rPr>
          <w:rFonts w:ascii="Times New Roman" w:hAnsi="Times New Roman"/>
          <w:sz w:val="20"/>
        </w:rPr>
        <w:t xml:space="preserve">(iii) 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 Section 2.6(a).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2.5,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 </w:t>
      </w:r>
    </w:p>
    <w:p>
      <w:pPr>
        <w:pStyle w:val="TextBody"/>
        <w:bidi w:val="0"/>
        <w:spacing w:before="240" w:after="0"/>
        <w:jc w:val="left"/>
        <w:rPr>
          <w:rFonts w:ascii="Times New Roman" w:hAnsi="Times New Roman"/>
          <w:sz w:val="20"/>
        </w:rPr>
      </w:pPr>
      <w:r>
        <w:rPr>
          <w:rFonts w:ascii="Times New Roman" w:hAnsi="Times New Roman"/>
          <w:sz w:val="20"/>
        </w:rPr>
        <w:t xml:space="preserve">(d) The Board may request that any Nominating Person furnish such additional information as may be reasonably required by the Board. Such Nominating Person shall provide such additional information within ten (10) days after it has been requested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(e) 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(f)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 </w:t>
      </w:r>
    </w:p>
    <w:p>
      <w:pPr>
        <w:pStyle w:val="TextBody"/>
        <w:bidi w:val="0"/>
        <w:spacing w:before="240" w:after="0"/>
        <w:jc w:val="left"/>
        <w:rPr>
          <w:rFonts w:ascii="Times New Roman" w:hAnsi="Times New Roman"/>
          <w:sz w:val="20"/>
        </w:rPr>
      </w:pPr>
      <w:bookmarkStart w:id="114" w:name="anxd45078_10"/>
      <w:bookmarkEnd w:id="114"/>
      <w:r>
        <w:rPr>
          <w:rFonts w:ascii="Times New Roman" w:hAnsi="Times New Roman"/>
          <w:sz w:val="20"/>
        </w:rPr>
        <w:t xml:space="preserve">2.6 </w:t>
      </w:r>
      <w:r>
        <w:rPr>
          <w:rFonts w:ascii="Times New Roman" w:hAnsi="Times New Roman"/>
          <w:sz w:val="20"/>
          <w:u w:val="single"/>
        </w:rPr>
        <w:t>Additional Requirements for Valid Nomination of Candidates to Serve as Director and, if Elected, to be Seated as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hAnsi="Times New Roman"/>
          <w:sz w:val="20"/>
          <w:u w:val="single"/>
        </w:rPr>
        <w:t>Voting Commitment</w:t>
      </w:r>
      <w:r>
        <w:rPr>
          <w:rFonts w:ascii="Times New Roman" w:hAnsi="Times New Roman"/>
          <w:sz w:val="20"/>
        </w:rPr>
        <w:t xml:space="preserve">”)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(b) The Board may also require any proposed candidate for nomination as a director to furnish such other information related to such candidate’s eligibility or qualification to serve as a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five (5) business days after the request by the Board has been delivered to, or mailed and received by, the Nominating Person. </w:t>
      </w:r>
    </w:p>
    <w:p>
      <w:pPr>
        <w:pStyle w:val="TextBody"/>
        <w:bidi w:val="0"/>
        <w:spacing w:before="240" w:after="0"/>
        <w:jc w:val="left"/>
        <w:rPr>
          <w:rFonts w:ascii="Times New Roman" w:hAnsi="Times New Roman"/>
          <w:sz w:val="20"/>
        </w:rPr>
      </w:pPr>
      <w:r>
        <w:rPr>
          <w:rFonts w:ascii="Times New Roman" w:hAnsi="Times New Roman"/>
          <w:sz w:val="20"/>
        </w:rPr>
        <w:t xml:space="preserve">(c) 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these bylaws to the contrary, no candidate for nomination shall be eligible to be seated as a director of the Corporation unless nominated in accordance with Section 2.5 and this Section 2.6 and elected as a director. </w:t>
      </w:r>
    </w:p>
    <w:p>
      <w:pPr>
        <w:pStyle w:val="TextBody"/>
        <w:bidi w:val="0"/>
        <w:spacing w:before="240" w:after="0"/>
        <w:jc w:val="left"/>
        <w:rPr>
          <w:rFonts w:ascii="Times New Roman" w:hAnsi="Times New Roman"/>
          <w:sz w:val="20"/>
        </w:rPr>
      </w:pPr>
      <w:bookmarkStart w:id="115" w:name="anxd45078_11"/>
      <w:bookmarkEnd w:id="115"/>
      <w:r>
        <w:rPr>
          <w:rFonts w:ascii="Times New Roman" w:hAnsi="Times New Roman"/>
          <w:sz w:val="20"/>
        </w:rPr>
        <w:t xml:space="preserve">2.7 </w:t>
      </w:r>
      <w:r>
        <w:rPr>
          <w:rFonts w:ascii="Times New Roman" w:hAnsi="Times New Roman"/>
          <w:sz w:val="20"/>
          <w:u w:val="single"/>
        </w:rPr>
        <w:t>Notice of Stockholders’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 </w:t>
      </w:r>
    </w:p>
    <w:p>
      <w:pPr>
        <w:pStyle w:val="TextBody"/>
        <w:bidi w:val="0"/>
        <w:spacing w:before="240" w:after="0"/>
        <w:jc w:val="left"/>
        <w:rPr>
          <w:rFonts w:ascii="Times New Roman" w:hAnsi="Times New Roman"/>
          <w:sz w:val="20"/>
        </w:rPr>
      </w:pPr>
      <w:bookmarkStart w:id="116" w:name="anxd45078_12"/>
      <w:bookmarkEnd w:id="116"/>
      <w:r>
        <w:rPr>
          <w:rFonts w:ascii="Times New Roman" w:hAnsi="Times New Roman"/>
          <w:sz w:val="20"/>
        </w:rPr>
        <w:t xml:space="preserve">2.8 </w:t>
      </w:r>
      <w:r>
        <w:rPr>
          <w:rFonts w:ascii="Times New Roman" w:hAnsi="Times New Roman"/>
          <w:sz w:val="20"/>
          <w:u w:val="single"/>
        </w:rPr>
        <w:t>Quorum</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law, the Certificate of Incorporation or these bylaws, the holders of at least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240" w:after="0"/>
        <w:jc w:val="left"/>
        <w:rPr>
          <w:rFonts w:ascii="Times New Roman" w:hAnsi="Times New Roman"/>
          <w:sz w:val="20"/>
        </w:rPr>
      </w:pPr>
      <w:bookmarkStart w:id="117" w:name="anxd45078_13"/>
      <w:bookmarkEnd w:id="117"/>
      <w:r>
        <w:rPr>
          <w:rFonts w:ascii="Times New Roman" w:hAnsi="Times New Roman"/>
          <w:sz w:val="20"/>
        </w:rPr>
        <w:t xml:space="preserve">2.9 </w:t>
      </w:r>
      <w:r>
        <w:rPr>
          <w:rFonts w:ascii="Times New Roman" w:hAnsi="Times New Roman"/>
          <w:sz w:val="20"/>
          <w:u w:val="single"/>
        </w:rPr>
        <w:t>Adjourned Meeting; Notice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 </w:t>
      </w:r>
    </w:p>
    <w:p>
      <w:pPr>
        <w:pStyle w:val="TextBody"/>
        <w:bidi w:val="0"/>
        <w:spacing w:before="240" w:after="0"/>
        <w:jc w:val="left"/>
        <w:rPr>
          <w:rFonts w:ascii="Times New Roman" w:hAnsi="Times New Roman"/>
          <w:sz w:val="20"/>
        </w:rPr>
      </w:pPr>
      <w:bookmarkStart w:id="118" w:name="anxd45078_14"/>
      <w:bookmarkEnd w:id="118"/>
      <w:r>
        <w:rPr>
          <w:rFonts w:ascii="Times New Roman" w:hAnsi="Times New Roman"/>
          <w:sz w:val="20"/>
        </w:rPr>
        <w:t xml:space="preserve">2.10 </w:t>
      </w:r>
      <w:r>
        <w:rPr>
          <w:rFonts w:ascii="Times New Roman" w:hAnsi="Times New Roman"/>
          <w:sz w:val="20"/>
          <w:u w:val="single"/>
        </w:rPr>
        <w:t>Conduct of Business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bookmarkStart w:id="119" w:name="anxd45078_15"/>
      <w:bookmarkEnd w:id="119"/>
      <w:r>
        <w:rPr>
          <w:rFonts w:ascii="Times New Roman" w:hAnsi="Times New Roman"/>
          <w:sz w:val="20"/>
        </w:rPr>
        <w:t xml:space="preserve">2.11 </w:t>
      </w:r>
      <w:r>
        <w:rPr>
          <w:rFonts w:ascii="Times New Roman" w:hAnsi="Times New Roman"/>
          <w:sz w:val="20"/>
          <w:u w:val="single"/>
        </w:rPr>
        <w:t>Voting</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otherwise provided in the Certificate of Incorporation, any Certificate of Designation relating to any class or series of preferred stock then in effect, these bylaws or the DGCL, each stockholder shall be entitled to one (1) vote for each share of capital stock held by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 </w:t>
      </w:r>
    </w:p>
    <w:p>
      <w:pPr>
        <w:pStyle w:val="TextBody"/>
        <w:bidi w:val="0"/>
        <w:spacing w:before="240" w:after="0"/>
        <w:jc w:val="left"/>
        <w:rPr>
          <w:rFonts w:ascii="Times New Roman" w:hAnsi="Times New Roman"/>
          <w:sz w:val="20"/>
        </w:rPr>
      </w:pPr>
      <w:bookmarkStart w:id="120" w:name="anxd45078_16"/>
      <w:bookmarkEnd w:id="120"/>
      <w:r>
        <w:rPr>
          <w:rFonts w:ascii="Times New Roman" w:hAnsi="Times New Roman"/>
          <w:sz w:val="20"/>
        </w:rPr>
        <w:t xml:space="preserve">2.12 </w:t>
      </w:r>
      <w:r>
        <w:rPr>
          <w:rFonts w:ascii="Times New Roman" w:hAnsi="Times New Roman"/>
          <w:sz w:val="20"/>
          <w:u w:val="single"/>
        </w:rPr>
        <w:t>Record Date for Stockholder Meetings and Other Purposes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bookmarkStart w:id="121" w:name="anxd45078_17"/>
      <w:bookmarkEnd w:id="121"/>
      <w:r>
        <w:rPr>
          <w:rFonts w:ascii="Times New Roman" w:hAnsi="Times New Roman"/>
          <w:sz w:val="20"/>
        </w:rPr>
        <w:t xml:space="preserve">2.13 </w:t>
      </w:r>
      <w:r>
        <w:rPr>
          <w:rFonts w:ascii="Times New Roman" w:hAnsi="Times New Roman"/>
          <w:sz w:val="20"/>
          <w:u w:val="single"/>
        </w:rPr>
        <w:t>Proxies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240" w:after="0"/>
        <w:jc w:val="left"/>
        <w:rPr>
          <w:rFonts w:ascii="Times New Roman" w:hAnsi="Times New Roman"/>
          <w:sz w:val="20"/>
        </w:rPr>
      </w:pPr>
      <w:bookmarkStart w:id="122" w:name="anxd45078_18"/>
      <w:bookmarkEnd w:id="122"/>
      <w:r>
        <w:rPr>
          <w:rFonts w:ascii="Times New Roman" w:hAnsi="Times New Roman"/>
          <w:sz w:val="20"/>
        </w:rPr>
        <w:t xml:space="preserve">2.14 </w:t>
      </w:r>
      <w:r>
        <w:rPr>
          <w:rFonts w:ascii="Times New Roman" w:hAnsi="Times New Roman"/>
          <w:sz w:val="20"/>
          <w:u w:val="single"/>
        </w:rPr>
        <w:t>List of Stockholders Entitled to Vote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240" w:after="0"/>
        <w:jc w:val="left"/>
        <w:rPr>
          <w:rFonts w:ascii="Times New Roman" w:hAnsi="Times New Roman"/>
          <w:sz w:val="20"/>
        </w:rPr>
      </w:pPr>
      <w:bookmarkStart w:id="123" w:name="anxd45078_19"/>
      <w:bookmarkEnd w:id="123"/>
      <w:r>
        <w:rPr>
          <w:rFonts w:ascii="Times New Roman" w:hAnsi="Times New Roman"/>
          <w:sz w:val="20"/>
        </w:rPr>
        <w:t xml:space="preserve">2.15 </w:t>
      </w:r>
      <w:r>
        <w:rPr>
          <w:rFonts w:ascii="Times New Roman" w:hAnsi="Times New Roman"/>
          <w:sz w:val="20"/>
          <w:u w:val="single"/>
        </w:rPr>
        <w:t>Inspectors of Election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240" w:after="0"/>
        <w:jc w:val="left"/>
        <w:rPr>
          <w:rFonts w:ascii="Times New Roman" w:hAnsi="Times New Roman"/>
          <w:sz w:val="20"/>
        </w:rPr>
      </w:pPr>
      <w:r>
        <w:rPr>
          <w:rFonts w:ascii="Times New Roman" w:hAnsi="Times New Roman"/>
          <w:sz w:val="20"/>
        </w:rPr>
        <w:t xml:space="preserve">Such inspectors shall: </w:t>
      </w:r>
    </w:p>
    <w:p>
      <w:pPr>
        <w:pStyle w:val="TextBody"/>
        <w:bidi w:val="0"/>
        <w:spacing w:before="240" w:after="0"/>
        <w:jc w:val="left"/>
        <w:rPr>
          <w:rFonts w:ascii="Times New Roman" w:hAnsi="Times New Roman"/>
          <w:sz w:val="20"/>
        </w:rPr>
      </w:pPr>
      <w:r>
        <w:rPr>
          <w:rFonts w:ascii="Times New Roman" w:hAnsi="Times New Roman"/>
          <w:sz w:val="20"/>
        </w:rPr>
        <w:t xml:space="preserve">(a) determine the number of shares outstanding and the voting power of each, the number of shares represented at the meeting and the validity of any proxies and ballots; </w:t>
      </w:r>
    </w:p>
    <w:p>
      <w:pPr>
        <w:pStyle w:val="TextBody"/>
        <w:bidi w:val="0"/>
        <w:spacing w:before="240" w:after="0"/>
        <w:jc w:val="left"/>
        <w:rPr>
          <w:rFonts w:ascii="Times New Roman" w:hAnsi="Times New Roman"/>
          <w:sz w:val="20"/>
        </w:rPr>
      </w:pPr>
      <w:r>
        <w:rPr>
          <w:rFonts w:ascii="Times New Roman" w:hAnsi="Times New Roman"/>
          <w:sz w:val="20"/>
        </w:rPr>
        <w:t xml:space="preserve">(b) count all votes or ballots; </w:t>
      </w:r>
    </w:p>
    <w:p>
      <w:pPr>
        <w:pStyle w:val="TextBody"/>
        <w:bidi w:val="0"/>
        <w:spacing w:before="240" w:after="0"/>
        <w:jc w:val="left"/>
        <w:rPr>
          <w:rFonts w:ascii="Times New Roman" w:hAnsi="Times New Roman"/>
          <w:sz w:val="20"/>
        </w:rPr>
      </w:pPr>
      <w:r>
        <w:rPr>
          <w:rFonts w:ascii="Times New Roman" w:hAnsi="Times New Roman"/>
          <w:sz w:val="20"/>
        </w:rPr>
        <w:t xml:space="preserve">(c) count and tabulate all votes; </w:t>
      </w:r>
    </w:p>
    <w:p>
      <w:pPr>
        <w:pStyle w:val="TextBody"/>
        <w:bidi w:val="0"/>
        <w:spacing w:before="240" w:after="0"/>
        <w:jc w:val="left"/>
        <w:rPr>
          <w:rFonts w:ascii="Times New Roman" w:hAnsi="Times New Roman"/>
          <w:sz w:val="20"/>
        </w:rPr>
      </w:pPr>
      <w:r>
        <w:rPr>
          <w:rFonts w:ascii="Times New Roman" w:hAnsi="Times New Roman"/>
          <w:sz w:val="20"/>
        </w:rPr>
        <w:t xml:space="preserve">(d) determine and retain for a reasonable period a record of the disposition of any challenges made to any determination by the inspector(s); and </w:t>
      </w:r>
    </w:p>
    <w:p>
      <w:pPr>
        <w:pStyle w:val="TextBody"/>
        <w:bidi w:val="0"/>
        <w:spacing w:before="240" w:after="0"/>
        <w:jc w:val="left"/>
        <w:rPr>
          <w:rFonts w:ascii="Times New Roman" w:hAnsi="Times New Roman"/>
          <w:sz w:val="20"/>
        </w:rPr>
      </w:pPr>
      <w:r>
        <w:rPr>
          <w:rFonts w:ascii="Times New Roman" w:hAnsi="Times New Roman"/>
          <w:sz w:val="20"/>
        </w:rPr>
        <w:t xml:space="preserve">(e) certify its or their determination of the number of shares represented at the meeting and its or their count of all votes and ballots. </w:t>
      </w:r>
    </w:p>
    <w:p>
      <w:pPr>
        <w:pStyle w:val="TextBody"/>
        <w:bidi w:val="0"/>
        <w:spacing w:before="240" w:after="0"/>
        <w:jc w:val="left"/>
        <w:rPr>
          <w:rFonts w:ascii="Times New Roman" w:hAnsi="Times New Roman"/>
          <w:sz w:val="20"/>
        </w:rPr>
      </w:pPr>
      <w:r>
        <w:rPr>
          <w:rFonts w:ascii="Times New Roman" w:hAnsi="Times New Roman"/>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240" w:after="0"/>
        <w:jc w:val="left"/>
        <w:rPr>
          <w:rFonts w:ascii="Times New Roman" w:hAnsi="Times New Roman"/>
          <w:sz w:val="20"/>
        </w:rPr>
      </w:pPr>
      <w:bookmarkStart w:id="124" w:name="anxd45078_20"/>
      <w:bookmarkEnd w:id="124"/>
      <w:r>
        <w:rPr>
          <w:rFonts w:ascii="Times New Roman" w:hAnsi="Times New Roman"/>
          <w:sz w:val="20"/>
        </w:rPr>
        <w:t xml:space="preserve">2.16 </w:t>
      </w:r>
      <w:r>
        <w:rPr>
          <w:rFonts w:ascii="Times New Roman" w:hAnsi="Times New Roman"/>
          <w:sz w:val="20"/>
          <w:u w:val="single"/>
        </w:rPr>
        <w:t>Delivery to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5" w:name="anxd45078_22"/>
      <w:bookmarkEnd w:id="125"/>
      <w:r>
        <w:rPr>
          <w:rFonts w:ascii="Times New Roman" w:hAnsi="Times New Roman"/>
          <w:b/>
          <w:sz w:val="20"/>
        </w:rPr>
        <w:t xml:space="preserve">Article III - Directors </w:t>
      </w:r>
    </w:p>
    <w:p>
      <w:pPr>
        <w:pStyle w:val="TextBody"/>
        <w:bidi w:val="0"/>
        <w:spacing w:before="240" w:after="0"/>
        <w:jc w:val="left"/>
        <w:rPr>
          <w:rFonts w:ascii="Times New Roman" w:hAnsi="Times New Roman"/>
          <w:sz w:val="20"/>
        </w:rPr>
      </w:pPr>
      <w:bookmarkStart w:id="126" w:name="anxd45078_23"/>
      <w:bookmarkEnd w:id="126"/>
      <w:r>
        <w:rPr>
          <w:rFonts w:ascii="Times New Roman" w:hAnsi="Times New Roman"/>
          <w:sz w:val="20"/>
        </w:rPr>
        <w:t xml:space="preserve">3.1 </w:t>
      </w:r>
      <w:r>
        <w:rPr>
          <w:rFonts w:ascii="Times New Roman" w:hAnsi="Times New Roman"/>
          <w:sz w:val="20"/>
          <w:u w:val="single"/>
        </w:rPr>
        <w:t>Powers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the Certificate of Incorporation or the DGCL, the business and affairs of the Corporation shall be managed by or under the direction of the Board. </w:t>
      </w:r>
    </w:p>
    <w:p>
      <w:pPr>
        <w:pStyle w:val="TextBody"/>
        <w:bidi w:val="0"/>
        <w:spacing w:before="240" w:after="0"/>
        <w:jc w:val="left"/>
        <w:rPr>
          <w:rFonts w:ascii="Times New Roman" w:hAnsi="Times New Roman"/>
          <w:sz w:val="20"/>
        </w:rPr>
      </w:pPr>
      <w:bookmarkStart w:id="127" w:name="anxd45078_24"/>
      <w:bookmarkEnd w:id="127"/>
      <w:r>
        <w:rPr>
          <w:rFonts w:ascii="Times New Roman" w:hAnsi="Times New Roman"/>
          <w:sz w:val="20"/>
        </w:rPr>
        <w:t xml:space="preserve">3.2 </w:t>
      </w:r>
      <w:r>
        <w:rPr>
          <w:rFonts w:ascii="Times New Roman" w:hAnsi="Times New Roman"/>
          <w:sz w:val="20"/>
          <w:u w:val="single"/>
        </w:rPr>
        <w:t>Number of Directors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240" w:after="0"/>
        <w:jc w:val="left"/>
        <w:rPr>
          <w:rFonts w:ascii="Times New Roman" w:hAnsi="Times New Roman"/>
          <w:sz w:val="20"/>
        </w:rPr>
      </w:pPr>
      <w:bookmarkStart w:id="128" w:name="anxd45078_25"/>
      <w:bookmarkEnd w:id="128"/>
      <w:r>
        <w:rPr>
          <w:rFonts w:ascii="Times New Roman" w:hAnsi="Times New Roman"/>
          <w:sz w:val="20"/>
        </w:rPr>
        <w:t xml:space="preserve">3.3 </w:t>
      </w:r>
      <w:r>
        <w:rPr>
          <w:rFonts w:ascii="Times New Roman" w:hAnsi="Times New Roman"/>
          <w:sz w:val="20"/>
          <w:u w:val="single"/>
        </w:rPr>
        <w:t>Election, Qualification and Term of Office of Directors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Section 3.4 of these bylaws, and subject to the Certificate of Incorporation, each director, including a director elected to fill a vacancy or newly created directorship, shall hold office until the expiration of the term for which such director was elected and until such director’s successor is elected and qualified or until such director’s earlier death, resignation, disqualification or removal. Directors need not be stockholders. The Certificate of Incorporation or these bylaws may prescribe qualifications for directors. </w:t>
      </w:r>
    </w:p>
    <w:p>
      <w:pPr>
        <w:pStyle w:val="TextBody"/>
        <w:bidi w:val="0"/>
        <w:spacing w:before="240" w:after="0"/>
        <w:jc w:val="left"/>
        <w:rPr>
          <w:rFonts w:ascii="Times New Roman" w:hAnsi="Times New Roman"/>
          <w:sz w:val="20"/>
        </w:rPr>
      </w:pPr>
      <w:bookmarkStart w:id="129" w:name="anxd45078_26"/>
      <w:bookmarkEnd w:id="129"/>
      <w:r>
        <w:rPr>
          <w:rFonts w:ascii="Times New Roman" w:hAnsi="Times New Roman"/>
          <w:sz w:val="20"/>
        </w:rPr>
        <w:t xml:space="preserve">3.4 </w:t>
      </w:r>
      <w:r>
        <w:rPr>
          <w:rFonts w:ascii="Times New Roman" w:hAnsi="Times New Roman"/>
          <w:sz w:val="20"/>
          <w:u w:val="single"/>
        </w:rPr>
        <w:t>Resignation and Vacancies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w:t>
      </w:r>
    </w:p>
    <w:p>
      <w:pPr>
        <w:pStyle w:val="TextBody"/>
        <w:bidi w:val="0"/>
        <w:spacing w:before="240" w:after="0"/>
        <w:jc w:val="left"/>
        <w:rPr>
          <w:rFonts w:ascii="Times New Roman" w:hAnsi="Times New Roman"/>
          <w:sz w:val="20"/>
        </w:rPr>
      </w:pPr>
      <w:bookmarkStart w:id="130" w:name="anxd45078_27"/>
      <w:bookmarkEnd w:id="130"/>
      <w:r>
        <w:rPr>
          <w:rFonts w:ascii="Times New Roman" w:hAnsi="Times New Roman"/>
          <w:sz w:val="20"/>
        </w:rPr>
        <w:t xml:space="preserve">3.5 </w:t>
      </w:r>
      <w:r>
        <w:rPr>
          <w:rFonts w:ascii="Times New Roman" w:hAnsi="Times New Roman"/>
          <w:sz w:val="20"/>
          <w:u w:val="single"/>
        </w:rPr>
        <w:t>Place of Meetings; Meetings by Telephone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may hold meetings, both regular and special,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 </w:t>
      </w:r>
    </w:p>
    <w:p>
      <w:pPr>
        <w:pStyle w:val="TextBody"/>
        <w:bidi w:val="0"/>
        <w:spacing w:before="240" w:after="0"/>
        <w:jc w:val="left"/>
        <w:rPr>
          <w:rFonts w:ascii="Times New Roman" w:hAnsi="Times New Roman"/>
          <w:sz w:val="20"/>
        </w:rPr>
      </w:pPr>
      <w:bookmarkStart w:id="131" w:name="anxd45078_28"/>
      <w:bookmarkEnd w:id="131"/>
      <w:r>
        <w:rPr>
          <w:rFonts w:ascii="Times New Roman" w:hAnsi="Times New Roman"/>
          <w:sz w:val="20"/>
        </w:rPr>
        <w:t xml:space="preserve">3.6 </w:t>
      </w:r>
      <w:r>
        <w:rPr>
          <w:rFonts w:ascii="Times New Roman" w:hAnsi="Times New Roman"/>
          <w:sz w:val="20"/>
          <w:u w:val="single"/>
        </w:rPr>
        <w:t>Regular Meetings</w:t>
      </w:r>
      <w:r>
        <w:rPr>
          <w:rFonts w:ascii="Times New Roman" w:hAnsi="Times New Roman"/>
          <w:sz w:val="20"/>
        </w:rPr>
        <w:t>.</w:t>
      </w:r>
    </w:p>
    <w:p>
      <w:pPr>
        <w:pStyle w:val="TextBody"/>
        <w:bidi w:val="0"/>
        <w:spacing w:before="240" w:after="0"/>
        <w:jc w:val="left"/>
        <w:rPr>
          <w:rFonts w:ascii="Times New Roman" w:hAnsi="Times New Roman"/>
          <w:sz w:val="20"/>
        </w:rPr>
      </w:pPr>
      <w:bookmarkStart w:id="132" w:name="anxd45078_29"/>
      <w:bookmarkEnd w:id="132"/>
      <w:r>
        <w:rPr>
          <w:rFonts w:ascii="Times New Roman" w:hAnsi="Times New Roman"/>
          <w:sz w:val="20"/>
        </w:rPr>
        <w:t xml:space="preserve">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Special Meetings; Notice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for any purpose or purposes may be called at any time by the Chairperson of the Board, the Chief Executive Officer, the President, the Secretary or a majority of the total number of directors constituting the Board.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of special meetings shall be: </w:t>
      </w:r>
    </w:p>
    <w:p>
      <w:pPr>
        <w:pStyle w:val="TextBody"/>
        <w:bidi w:val="0"/>
        <w:spacing w:before="240" w:after="0"/>
        <w:jc w:val="left"/>
        <w:rPr>
          <w:rFonts w:ascii="Times New Roman" w:hAnsi="Times New Roman"/>
          <w:sz w:val="20"/>
        </w:rPr>
      </w:pPr>
      <w:r>
        <w:rPr>
          <w:rFonts w:ascii="Times New Roman" w:hAnsi="Times New Roman"/>
          <w:sz w:val="20"/>
        </w:rPr>
        <w:t xml:space="preserve">(a) delivered personally by hand, by courier or by telephone; </w:t>
      </w:r>
    </w:p>
    <w:p>
      <w:pPr>
        <w:pStyle w:val="TextBody"/>
        <w:bidi w:val="0"/>
        <w:spacing w:before="240" w:after="0"/>
        <w:jc w:val="left"/>
        <w:rPr>
          <w:rFonts w:ascii="Times New Roman" w:hAnsi="Times New Roman"/>
          <w:sz w:val="20"/>
        </w:rPr>
      </w:pPr>
      <w:r>
        <w:rPr>
          <w:rFonts w:ascii="Times New Roman" w:hAnsi="Times New Roman"/>
          <w:sz w:val="20"/>
        </w:rPr>
        <w:t xml:space="preserve">(b) sent by United States first-class mail, postage prepaid; </w:t>
      </w:r>
    </w:p>
    <w:p>
      <w:pPr>
        <w:pStyle w:val="TextBody"/>
        <w:bidi w:val="0"/>
        <w:spacing w:before="240" w:after="0"/>
        <w:jc w:val="left"/>
        <w:rPr>
          <w:rFonts w:ascii="Times New Roman" w:hAnsi="Times New Roman"/>
          <w:sz w:val="20"/>
        </w:rPr>
      </w:pPr>
      <w:r>
        <w:rPr>
          <w:rFonts w:ascii="Times New Roman" w:hAnsi="Times New Roman"/>
          <w:sz w:val="20"/>
        </w:rPr>
        <w:t xml:space="preserve">(c) sent by facsimile or electronic mail; or </w:t>
      </w:r>
    </w:p>
    <w:p>
      <w:pPr>
        <w:pStyle w:val="TextBody"/>
        <w:bidi w:val="0"/>
        <w:spacing w:before="240" w:after="0"/>
        <w:jc w:val="left"/>
        <w:rPr>
          <w:rFonts w:ascii="Times New Roman" w:hAnsi="Times New Roman"/>
          <w:sz w:val="20"/>
        </w:rPr>
      </w:pPr>
      <w:r>
        <w:rPr>
          <w:rFonts w:ascii="Times New Roman" w:hAnsi="Times New Roman"/>
          <w:sz w:val="20"/>
        </w:rPr>
        <w:t xml:space="preserve">(d) sent by other means of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240" w:after="0"/>
        <w:jc w:val="left"/>
        <w:rPr>
          <w:rFonts w:ascii="Times New Roman" w:hAnsi="Times New Roman"/>
          <w:sz w:val="20"/>
        </w:rPr>
      </w:pPr>
      <w:r>
        <w:rPr>
          <w:rFonts w:ascii="Times New Roman" w:hAnsi="Times New Roman"/>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240" w:after="0"/>
        <w:jc w:val="left"/>
        <w:rPr>
          <w:rFonts w:ascii="Times New Roman" w:hAnsi="Times New Roman"/>
          <w:sz w:val="20"/>
        </w:rPr>
      </w:pPr>
      <w:bookmarkStart w:id="133" w:name="anxd45078_30"/>
      <w:bookmarkEnd w:id="133"/>
      <w:r>
        <w:rPr>
          <w:rFonts w:ascii="Times New Roman" w:hAnsi="Times New Roman"/>
          <w:sz w:val="20"/>
        </w:rPr>
        <w:t xml:space="preserve">3.8 </w:t>
      </w:r>
      <w:r>
        <w:rPr>
          <w:rFonts w:ascii="Times New Roman" w:hAnsi="Times New Roman"/>
          <w:sz w:val="20"/>
          <w:u w:val="single"/>
        </w:rPr>
        <w:t>Quorum</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bookmarkStart w:id="134" w:name="anxd45078_31"/>
      <w:bookmarkEnd w:id="134"/>
      <w:r>
        <w:rPr>
          <w:rFonts w:ascii="Times New Roman" w:hAnsi="Times New Roman"/>
          <w:sz w:val="20"/>
        </w:rPr>
        <w:t xml:space="preserve">3.9 </w:t>
      </w:r>
      <w:r>
        <w:rPr>
          <w:rFonts w:ascii="Times New Roman" w:hAnsi="Times New Roman"/>
          <w:sz w:val="20"/>
          <w:u w:val="single"/>
        </w:rPr>
        <w:t>Board Action without a Meeting</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240" w:after="0"/>
        <w:jc w:val="left"/>
        <w:rPr>
          <w:rFonts w:ascii="Times New Roman" w:hAnsi="Times New Roman"/>
          <w:sz w:val="20"/>
        </w:rPr>
      </w:pPr>
      <w:bookmarkStart w:id="135" w:name="anxd45078_32"/>
      <w:bookmarkEnd w:id="135"/>
      <w:r>
        <w:rPr>
          <w:rFonts w:ascii="Times New Roman" w:hAnsi="Times New Roman"/>
          <w:sz w:val="20"/>
        </w:rPr>
        <w:t xml:space="preserve">3.10 </w:t>
      </w:r>
      <w:r>
        <w:rPr>
          <w:rFonts w:ascii="Times New Roman" w:hAnsi="Times New Roman"/>
          <w:sz w:val="20"/>
          <w:u w:val="single"/>
        </w:rPr>
        <w:t>Fees and Compensation of Directors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480" w:after="0"/>
        <w:jc w:val="center"/>
        <w:rPr>
          <w:rFonts w:ascii="Times New Roman" w:hAnsi="Times New Roman"/>
          <w:b/>
          <w:sz w:val="20"/>
        </w:rPr>
      </w:pPr>
      <w:bookmarkStart w:id="136" w:name="anxd45078_33"/>
      <w:bookmarkEnd w:id="136"/>
      <w:r>
        <w:rPr>
          <w:rFonts w:ascii="Times New Roman" w:hAnsi="Times New Roman"/>
          <w:b/>
          <w:sz w:val="20"/>
        </w:rPr>
        <w:t xml:space="preserve">Article IV - Committees </w:t>
      </w:r>
    </w:p>
    <w:p>
      <w:pPr>
        <w:pStyle w:val="TextBody"/>
        <w:bidi w:val="0"/>
        <w:spacing w:before="240" w:after="0"/>
        <w:jc w:val="left"/>
        <w:rPr>
          <w:rFonts w:ascii="Times New Roman" w:hAnsi="Times New Roman"/>
          <w:sz w:val="20"/>
        </w:rPr>
      </w:pPr>
      <w:bookmarkStart w:id="137" w:name="anxd45078_34"/>
      <w:bookmarkEnd w:id="137"/>
      <w:r>
        <w:rPr>
          <w:rFonts w:ascii="Times New Roman" w:hAnsi="Times New Roman"/>
          <w:sz w:val="20"/>
        </w:rPr>
        <w:t xml:space="preserve">4.1 </w:t>
      </w:r>
      <w:r>
        <w:rPr>
          <w:rFonts w:ascii="Times New Roman" w:hAnsi="Times New Roman"/>
          <w:sz w:val="20"/>
          <w:u w:val="single"/>
        </w:rPr>
        <w:t>Committees of Directors</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w:t>
      </w:r>
    </w:p>
    <w:p>
      <w:pPr>
        <w:pStyle w:val="TextBody"/>
        <w:bidi w:val="0"/>
        <w:spacing w:before="240" w:after="0"/>
        <w:jc w:val="left"/>
        <w:rPr>
          <w:rFonts w:ascii="Times New Roman" w:hAnsi="Times New Roman"/>
          <w:sz w:val="20"/>
        </w:rPr>
      </w:pPr>
      <w:bookmarkStart w:id="138" w:name="anxd45078_35"/>
      <w:bookmarkEnd w:id="138"/>
      <w:r>
        <w:rPr>
          <w:rFonts w:ascii="Times New Roman" w:hAnsi="Times New Roman"/>
          <w:sz w:val="20"/>
        </w:rPr>
        <w:t xml:space="preserve">4.2 </w:t>
      </w:r>
      <w:r>
        <w:rPr>
          <w:rFonts w:ascii="Times New Roman" w:hAnsi="Times New Roman"/>
          <w:sz w:val="20"/>
          <w:u w:val="single"/>
        </w:rPr>
        <w:t>Committee Minutes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when required. </w:t>
      </w:r>
    </w:p>
    <w:p>
      <w:pPr>
        <w:pStyle w:val="TextBody"/>
        <w:bidi w:val="0"/>
        <w:spacing w:before="240" w:after="0"/>
        <w:jc w:val="left"/>
        <w:rPr>
          <w:rFonts w:ascii="Times New Roman" w:hAnsi="Times New Roman"/>
          <w:sz w:val="20"/>
        </w:rPr>
      </w:pPr>
      <w:bookmarkStart w:id="139" w:name="anxd45078_36"/>
      <w:bookmarkEnd w:id="139"/>
      <w:r>
        <w:rPr>
          <w:rFonts w:ascii="Times New Roman" w:hAnsi="Times New Roman"/>
          <w:sz w:val="20"/>
        </w:rPr>
        <w:t xml:space="preserve">4.3 </w:t>
      </w:r>
      <w:r>
        <w:rPr>
          <w:rFonts w:ascii="Times New Roman" w:hAnsi="Times New Roman"/>
          <w:sz w:val="20"/>
          <w:u w:val="single"/>
        </w:rPr>
        <w:t>Meetings and Actions of Committees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w:t>
      </w:r>
    </w:p>
    <w:p>
      <w:pPr>
        <w:pStyle w:val="TextBody"/>
        <w:bidi w:val="0"/>
        <w:spacing w:before="240" w:after="0"/>
        <w:jc w:val="left"/>
        <w:rPr>
          <w:rFonts w:ascii="Times New Roman" w:hAnsi="Times New Roman"/>
          <w:sz w:val="20"/>
        </w:rPr>
      </w:pPr>
      <w:r>
        <w:rPr>
          <w:rFonts w:ascii="Times New Roman" w:hAnsi="Times New Roman"/>
          <w:sz w:val="20"/>
        </w:rPr>
        <w:t xml:space="preserve">(a) Section 3.5 (place of meetings; meetings by telephone); </w:t>
      </w:r>
    </w:p>
    <w:p>
      <w:pPr>
        <w:pStyle w:val="TextBody"/>
        <w:bidi w:val="0"/>
        <w:spacing w:before="240" w:after="0"/>
        <w:jc w:val="left"/>
        <w:rPr>
          <w:rFonts w:ascii="Times New Roman" w:hAnsi="Times New Roman"/>
          <w:sz w:val="20"/>
        </w:rPr>
      </w:pPr>
      <w:r>
        <w:rPr>
          <w:rFonts w:ascii="Times New Roman" w:hAnsi="Times New Roman"/>
          <w:sz w:val="20"/>
        </w:rPr>
        <w:t xml:space="preserve">(b) Section 3.6 (regular meetings); </w:t>
      </w:r>
    </w:p>
    <w:p>
      <w:pPr>
        <w:pStyle w:val="TextBody"/>
        <w:bidi w:val="0"/>
        <w:spacing w:before="240" w:after="0"/>
        <w:jc w:val="left"/>
        <w:rPr>
          <w:rFonts w:ascii="Times New Roman" w:hAnsi="Times New Roman"/>
          <w:sz w:val="20"/>
        </w:rPr>
      </w:pPr>
      <w:r>
        <w:rPr>
          <w:rFonts w:ascii="Times New Roman" w:hAnsi="Times New Roman"/>
          <w:sz w:val="20"/>
        </w:rPr>
        <w:t xml:space="preserve">(c) Section 3.7 (special meetings; notice); </w:t>
      </w:r>
    </w:p>
    <w:p>
      <w:pPr>
        <w:pStyle w:val="TextBody"/>
        <w:bidi w:val="0"/>
        <w:spacing w:before="240" w:after="0"/>
        <w:jc w:val="left"/>
        <w:rPr>
          <w:rFonts w:ascii="Times New Roman" w:hAnsi="Times New Roman"/>
          <w:sz w:val="20"/>
        </w:rPr>
      </w:pPr>
      <w:r>
        <w:rPr>
          <w:rFonts w:ascii="Times New Roman" w:hAnsi="Times New Roman"/>
          <w:sz w:val="20"/>
        </w:rPr>
        <w:t xml:space="preserve">(d) Section 3.9 (board action without a meeting); and </w:t>
      </w:r>
    </w:p>
    <w:p>
      <w:pPr>
        <w:pStyle w:val="TextBody"/>
        <w:bidi w:val="0"/>
        <w:spacing w:before="240" w:after="0"/>
        <w:jc w:val="left"/>
        <w:rPr>
          <w:rFonts w:ascii="Times New Roman" w:hAnsi="Times New Roman"/>
          <w:sz w:val="20"/>
        </w:rPr>
      </w:pPr>
      <w:r>
        <w:rPr>
          <w:rFonts w:ascii="Times New Roman" w:hAnsi="Times New Roman"/>
          <w:sz w:val="20"/>
        </w:rPr>
        <w:t xml:space="preserve">(e) Section 7.13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with such changes in the context of those bylaws as are necessary to substitute the committee and its members for the Board and its members. </w:t>
      </w:r>
      <w:r>
        <w:rPr>
          <w:rFonts w:ascii="Times New Roman" w:hAnsi="Times New Roman"/>
          <w:i/>
          <w:sz w:val="20"/>
        </w:rPr>
        <w:t>However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time of regular meetings of committees may be determined either by resolution of the Board or by resolution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(ii) special meetings of committees may also be called by resolution of the Board or the Chairperson of the applicable committee; and </w:t>
      </w:r>
    </w:p>
    <w:p>
      <w:pPr>
        <w:pStyle w:val="TextBody"/>
        <w:bidi w:val="0"/>
        <w:spacing w:before="240" w:after="0"/>
        <w:jc w:val="left"/>
        <w:rPr>
          <w:rFonts w:ascii="Times New Roman" w:hAnsi="Times New Roman"/>
          <w:sz w:val="20"/>
        </w:rPr>
      </w:pPr>
      <w:r>
        <w:rPr>
          <w:rFonts w:ascii="Times New Roman" w:hAnsi="Times New Roman"/>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240" w:after="0"/>
        <w:jc w:val="left"/>
        <w:rPr>
          <w:rFonts w:ascii="Times New Roman" w:hAnsi="Times New Roman"/>
          <w:sz w:val="20"/>
        </w:rPr>
      </w:pPr>
      <w:bookmarkStart w:id="140" w:name="anxd45078_37"/>
      <w:bookmarkEnd w:id="140"/>
      <w:r>
        <w:rPr>
          <w:rFonts w:ascii="Times New Roman" w:hAnsi="Times New Roman"/>
          <w:sz w:val="20"/>
        </w:rPr>
        <w:t xml:space="preserve">4.4 </w:t>
      </w:r>
      <w:r>
        <w:rPr>
          <w:rFonts w:ascii="Times New Roman" w:hAnsi="Times New Roman"/>
          <w:sz w:val="20"/>
          <w:u w:val="single"/>
        </w:rPr>
        <w:t>Subcommittees.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1" w:name="anxd45078_38"/>
      <w:bookmarkEnd w:id="141"/>
      <w:r>
        <w:rPr>
          <w:rFonts w:ascii="Times New Roman" w:hAnsi="Times New Roman"/>
          <w:b/>
          <w:sz w:val="20"/>
        </w:rPr>
        <w:t xml:space="preserve">Article V - Officers </w:t>
      </w:r>
    </w:p>
    <w:p>
      <w:pPr>
        <w:pStyle w:val="TextBody"/>
        <w:bidi w:val="0"/>
        <w:spacing w:before="240" w:after="0"/>
        <w:jc w:val="left"/>
        <w:rPr>
          <w:rFonts w:ascii="Times New Roman" w:hAnsi="Times New Roman"/>
          <w:sz w:val="20"/>
        </w:rPr>
      </w:pPr>
      <w:bookmarkStart w:id="142" w:name="anxd45078_39"/>
      <w:bookmarkEnd w:id="142"/>
      <w:r>
        <w:rPr>
          <w:rFonts w:ascii="Times New Roman" w:hAnsi="Times New Roman"/>
          <w:sz w:val="20"/>
        </w:rPr>
        <w:t xml:space="preserve">5.1 </w:t>
      </w:r>
      <w:r>
        <w:rPr>
          <w:rFonts w:ascii="Times New Roman" w:hAnsi="Times New Roman"/>
          <w:sz w:val="20"/>
          <w:u w:val="single"/>
        </w:rPr>
        <w:t>Officers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240" w:after="0"/>
        <w:jc w:val="left"/>
        <w:rPr>
          <w:rFonts w:ascii="Times New Roman" w:hAnsi="Times New Roman"/>
          <w:sz w:val="20"/>
        </w:rPr>
      </w:pPr>
      <w:bookmarkStart w:id="143" w:name="anxd45078_40"/>
      <w:bookmarkEnd w:id="143"/>
      <w:r>
        <w:rPr>
          <w:rFonts w:ascii="Times New Roman" w:hAnsi="Times New Roman"/>
          <w:sz w:val="20"/>
        </w:rPr>
        <w:t xml:space="preserve">5.2 </w:t>
      </w:r>
      <w:r>
        <w:rPr>
          <w:rFonts w:ascii="Times New Roman" w:hAnsi="Times New Roman"/>
          <w:sz w:val="20"/>
          <w:u w:val="single"/>
        </w:rPr>
        <w:t>Appointment of Officers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appoint the officers of the Corporation, except such officers as may be appointed in accordance with the provisions of Section 5.3 of these bylaws. </w:t>
      </w:r>
    </w:p>
    <w:p>
      <w:pPr>
        <w:pStyle w:val="TextBody"/>
        <w:bidi w:val="0"/>
        <w:spacing w:before="240" w:after="0"/>
        <w:jc w:val="left"/>
        <w:rPr>
          <w:rFonts w:ascii="Times New Roman" w:hAnsi="Times New Roman"/>
          <w:sz w:val="20"/>
        </w:rPr>
      </w:pPr>
      <w:bookmarkStart w:id="144" w:name="anxd45078_41"/>
      <w:bookmarkEnd w:id="144"/>
      <w:r>
        <w:rPr>
          <w:rFonts w:ascii="Times New Roman" w:hAnsi="Times New Roman"/>
          <w:sz w:val="20"/>
        </w:rPr>
        <w:t xml:space="preserve">5.3 </w:t>
      </w:r>
      <w:r>
        <w:rPr>
          <w:rFonts w:ascii="Times New Roman" w:hAnsi="Times New Roman"/>
          <w:sz w:val="20"/>
          <w:u w:val="single"/>
        </w:rPr>
        <w:t>Subordinate Officers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240" w:after="0"/>
        <w:jc w:val="left"/>
        <w:rPr>
          <w:rFonts w:ascii="Times New Roman" w:hAnsi="Times New Roman"/>
          <w:sz w:val="20"/>
        </w:rPr>
      </w:pPr>
      <w:bookmarkStart w:id="145" w:name="anxd45078_42"/>
      <w:bookmarkEnd w:id="145"/>
      <w:r>
        <w:rPr>
          <w:rFonts w:ascii="Times New Roman" w:hAnsi="Times New Roman"/>
          <w:sz w:val="20"/>
        </w:rPr>
        <w:t xml:space="preserve">5.4 </w:t>
      </w:r>
      <w:r>
        <w:rPr>
          <w:rFonts w:ascii="Times New Roman" w:hAnsi="Times New Roman"/>
          <w:sz w:val="20"/>
          <w:u w:val="single"/>
        </w:rPr>
        <w:t>Removal and Resignation of Officers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left"/>
        <w:rPr>
          <w:rFonts w:ascii="Times New Roman" w:hAnsi="Times New Roman"/>
          <w:sz w:val="20"/>
        </w:rPr>
      </w:pPr>
      <w:bookmarkStart w:id="146" w:name="anxd45078_43"/>
      <w:bookmarkEnd w:id="146"/>
      <w:r>
        <w:rPr>
          <w:rFonts w:ascii="Times New Roman" w:hAnsi="Times New Roman"/>
          <w:sz w:val="20"/>
        </w:rPr>
        <w:t xml:space="preserve">5.5 </w:t>
      </w:r>
      <w:r>
        <w:rPr>
          <w:rFonts w:ascii="Times New Roman" w:hAnsi="Times New Roman"/>
          <w:sz w:val="20"/>
          <w:u w:val="single"/>
        </w:rPr>
        <w:t>Vacancies in Offices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or as provided in Section 5.2. </w:t>
      </w:r>
    </w:p>
    <w:p>
      <w:pPr>
        <w:pStyle w:val="TextBody"/>
        <w:bidi w:val="0"/>
        <w:spacing w:before="240" w:after="0"/>
        <w:jc w:val="left"/>
        <w:rPr>
          <w:rFonts w:ascii="Times New Roman" w:hAnsi="Times New Roman"/>
          <w:sz w:val="20"/>
        </w:rPr>
      </w:pPr>
      <w:bookmarkStart w:id="147" w:name="anxd45078_44"/>
      <w:bookmarkEnd w:id="147"/>
      <w:r>
        <w:rPr>
          <w:rFonts w:ascii="Times New Roman" w:hAnsi="Times New Roman"/>
          <w:sz w:val="20"/>
        </w:rPr>
        <w:t xml:space="preserve">5.6 </w:t>
      </w:r>
      <w:r>
        <w:rPr>
          <w:rFonts w:ascii="Times New Roman" w:hAnsi="Times New Roman"/>
          <w:sz w:val="20"/>
          <w:u w:val="single"/>
        </w:rPr>
        <w:t>Representation of Shares of Other Corporations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left"/>
        <w:rPr>
          <w:rFonts w:ascii="Times New Roman" w:hAnsi="Times New Roman"/>
          <w:sz w:val="20"/>
        </w:rPr>
      </w:pPr>
      <w:bookmarkStart w:id="148" w:name="anxd45078_45"/>
      <w:bookmarkEnd w:id="148"/>
      <w:r>
        <w:rPr>
          <w:rFonts w:ascii="Times New Roman" w:hAnsi="Times New Roman"/>
          <w:sz w:val="20"/>
        </w:rPr>
        <w:t xml:space="preserve">5.7 </w:t>
      </w:r>
      <w:r>
        <w:rPr>
          <w:rFonts w:ascii="Times New Roman" w:hAnsi="Times New Roman"/>
          <w:sz w:val="20"/>
          <w:u w:val="single"/>
        </w:rPr>
        <w:t>Authority and Duties of Officers</w:t>
      </w:r>
      <w:r>
        <w:rPr>
          <w:rFonts w:ascii="Times New Roman" w:hAnsi="Times New Roman"/>
          <w:sz w:val="20"/>
        </w:rPr>
        <w: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240" w:after="0"/>
        <w:jc w:val="left"/>
        <w:rPr>
          <w:rFonts w:ascii="Times New Roman" w:hAnsi="Times New Roman"/>
          <w:sz w:val="20"/>
        </w:rPr>
      </w:pPr>
      <w:bookmarkStart w:id="149" w:name="anxd45078_46"/>
      <w:bookmarkEnd w:id="149"/>
      <w:r>
        <w:rPr>
          <w:rFonts w:ascii="Times New Roman" w:hAnsi="Times New Roman"/>
          <w:sz w:val="20"/>
        </w:rPr>
        <w:t xml:space="preserve">5.8 </w:t>
      </w:r>
      <w:r>
        <w:rPr>
          <w:rFonts w:ascii="Times New Roman" w:hAnsi="Times New Roman"/>
          <w:sz w:val="20"/>
          <w:u w:val="single"/>
        </w:rPr>
        <w:t>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480" w:after="0"/>
        <w:jc w:val="center"/>
        <w:rPr>
          <w:rFonts w:ascii="Times New Roman" w:hAnsi="Times New Roman"/>
          <w:b/>
          <w:sz w:val="20"/>
        </w:rPr>
      </w:pPr>
      <w:bookmarkStart w:id="150" w:name="anxd45078_47"/>
      <w:bookmarkEnd w:id="150"/>
      <w:r>
        <w:rPr>
          <w:rFonts w:ascii="Times New Roman" w:hAnsi="Times New Roman"/>
          <w:b/>
          <w:sz w:val="20"/>
        </w:rPr>
        <w:t xml:space="preserve">Article VI - Records </w:t>
      </w:r>
    </w:p>
    <w:p>
      <w:pPr>
        <w:pStyle w:val="TextBody"/>
        <w:bidi w:val="0"/>
        <w:spacing w:before="240" w:after="0"/>
        <w:jc w:val="left"/>
        <w:rPr>
          <w:rFonts w:ascii="Times New Roman" w:hAnsi="Times New Roman"/>
          <w:sz w:val="20"/>
        </w:rPr>
      </w:pPr>
      <w:r>
        <w:rPr>
          <w:rFonts w:ascii="Times New Roman" w:hAnsi="Times New Roman"/>
          <w:sz w:val="20"/>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 </w:t>
      </w:r>
    </w:p>
    <w:p>
      <w:pPr>
        <w:pStyle w:val="TextBody"/>
        <w:bidi w:val="0"/>
        <w:spacing w:before="480" w:after="0"/>
        <w:jc w:val="center"/>
        <w:rPr>
          <w:rFonts w:ascii="Times New Roman" w:hAnsi="Times New Roman"/>
          <w:b/>
          <w:sz w:val="20"/>
        </w:rPr>
      </w:pPr>
      <w:bookmarkStart w:id="151" w:name="anxd45078_48"/>
      <w:bookmarkEnd w:id="151"/>
      <w:r>
        <w:rPr>
          <w:rFonts w:ascii="Times New Roman" w:hAnsi="Times New Roman"/>
          <w:b/>
          <w:sz w:val="20"/>
        </w:rPr>
        <w:t xml:space="preserve">Article VII - General Matters </w:t>
      </w:r>
    </w:p>
    <w:p>
      <w:pPr>
        <w:pStyle w:val="TextBody"/>
        <w:bidi w:val="0"/>
        <w:spacing w:before="240" w:after="0"/>
        <w:jc w:val="left"/>
        <w:rPr>
          <w:rFonts w:ascii="Times New Roman" w:hAnsi="Times New Roman"/>
          <w:sz w:val="20"/>
        </w:rPr>
      </w:pPr>
      <w:bookmarkStart w:id="152" w:name="anxd45078_49"/>
      <w:bookmarkEnd w:id="152"/>
      <w:r>
        <w:rPr>
          <w:rFonts w:ascii="Times New Roman" w:hAnsi="Times New Roman"/>
          <w:sz w:val="20"/>
        </w:rPr>
        <w:t xml:space="preserve">7.1 </w:t>
      </w:r>
      <w:r>
        <w:rPr>
          <w:rFonts w:ascii="Times New Roman" w:hAnsi="Times New Roman"/>
          <w:sz w:val="20"/>
          <w:u w:val="single"/>
        </w:rPr>
        <w:t>Execution of Corporate Contracts and Instruments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240" w:after="0"/>
        <w:jc w:val="left"/>
        <w:rPr>
          <w:rFonts w:ascii="Times New Roman" w:hAnsi="Times New Roman"/>
          <w:sz w:val="20"/>
        </w:rPr>
      </w:pPr>
      <w:bookmarkStart w:id="153" w:name="anxd45078_50"/>
      <w:bookmarkEnd w:id="153"/>
      <w:r>
        <w:rPr>
          <w:rFonts w:ascii="Times New Roman" w:hAnsi="Times New Roman"/>
          <w:sz w:val="20"/>
        </w:rPr>
        <w:t xml:space="preserve">7.2 </w:t>
      </w:r>
      <w:r>
        <w:rPr>
          <w:rFonts w:ascii="Times New Roman" w:hAnsi="Times New Roman"/>
          <w:sz w:val="20"/>
          <w:u w:val="single"/>
        </w:rPr>
        <w:t>Stock Certificates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240" w:after="0"/>
        <w:jc w:val="left"/>
        <w:rPr>
          <w:rFonts w:ascii="Times New Roman" w:hAnsi="Times New Roman"/>
          <w:sz w:val="20"/>
        </w:rPr>
      </w:pPr>
      <w:bookmarkStart w:id="154" w:name="anxd45078_51"/>
      <w:bookmarkEnd w:id="154"/>
      <w:r>
        <w:rPr>
          <w:rFonts w:ascii="Times New Roman" w:hAnsi="Times New Roman"/>
          <w:sz w:val="20"/>
        </w:rPr>
        <w:t xml:space="preserve">7.3 </w:t>
      </w:r>
      <w:r>
        <w:rPr>
          <w:rFonts w:ascii="Times New Roman" w:hAnsi="Times New Roman"/>
          <w:sz w:val="20"/>
          <w:u w:val="single"/>
        </w:rPr>
        <w:t>Special Designation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bookmarkStart w:id="155" w:name="anxd45078_52"/>
      <w:bookmarkEnd w:id="155"/>
      <w:r>
        <w:rPr>
          <w:rFonts w:ascii="Times New Roman" w:hAnsi="Times New Roman"/>
          <w:sz w:val="20"/>
        </w:rPr>
        <w:t xml:space="preserve">7.4 </w:t>
      </w:r>
      <w:r>
        <w:rPr>
          <w:rFonts w:ascii="Times New Roman" w:hAnsi="Times New Roman"/>
          <w:sz w:val="20"/>
          <w:u w:val="single"/>
        </w:rPr>
        <w:t>Lost Certificates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bookmarkStart w:id="156" w:name="anxd45078_53"/>
      <w:bookmarkEnd w:id="156"/>
      <w:r>
        <w:rPr>
          <w:rFonts w:ascii="Times New Roman" w:hAnsi="Times New Roman"/>
          <w:sz w:val="20"/>
        </w:rPr>
        <w:t xml:space="preserve">7.5 </w:t>
      </w:r>
      <w:r>
        <w:rPr>
          <w:rFonts w:ascii="Times New Roman" w:hAnsi="Times New Roman"/>
          <w:sz w:val="20"/>
          <w:u w:val="single"/>
        </w:rPr>
        <w:t>Shares Without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adopt a system of issuance, recordation and transfer of its shares of stock by electronic or other means not involving the issuance of certificates, provided, that the use of such system by the Corporation is permitted in accordance with applicable law. </w:t>
      </w:r>
    </w:p>
    <w:p>
      <w:pPr>
        <w:pStyle w:val="TextBody"/>
        <w:bidi w:val="0"/>
        <w:spacing w:before="240" w:after="0"/>
        <w:jc w:val="left"/>
        <w:rPr>
          <w:rFonts w:ascii="Times New Roman" w:hAnsi="Times New Roman"/>
          <w:sz w:val="20"/>
        </w:rPr>
      </w:pPr>
      <w:bookmarkStart w:id="157" w:name="anxd45078_54"/>
      <w:bookmarkEnd w:id="157"/>
      <w:r>
        <w:rPr>
          <w:rFonts w:ascii="Times New Roman" w:hAnsi="Times New Roman"/>
          <w:sz w:val="20"/>
        </w:rPr>
        <w:t xml:space="preserve">7.6 </w:t>
      </w:r>
      <w:r>
        <w:rPr>
          <w:rFonts w:ascii="Times New Roman" w:hAnsi="Times New Roman"/>
          <w:sz w:val="20"/>
          <w:u w:val="single"/>
        </w:rPr>
        <w:t>Construction; Definitions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240" w:after="0"/>
        <w:jc w:val="left"/>
        <w:rPr>
          <w:rFonts w:ascii="Times New Roman" w:hAnsi="Times New Roman"/>
          <w:sz w:val="20"/>
        </w:rPr>
      </w:pPr>
      <w:bookmarkStart w:id="158" w:name="anxd45078_55"/>
      <w:bookmarkEnd w:id="158"/>
      <w:r>
        <w:rPr>
          <w:rFonts w:ascii="Times New Roman" w:hAnsi="Times New Roman"/>
          <w:sz w:val="20"/>
        </w:rPr>
        <w:t xml:space="preserve">7.7 </w:t>
      </w:r>
      <w:r>
        <w:rPr>
          <w:rFonts w:ascii="Times New Roman" w:hAnsi="Times New Roman"/>
          <w:sz w:val="20"/>
          <w:u w:val="single"/>
        </w:rPr>
        <w:t>Dividends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Board, subject to any restrictions contained in either (i) the DGCL, (ii) the Certificate of Incorporation or (iii) any certificate of designation relating to any class or series of preferred stock of the Corporation then in effect, may declare and pay dividends upon the shares of its capital stock. Dividends may be paid in cash, in property or in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9" w:name="anxd45078_56"/>
      <w:bookmarkEnd w:id="159"/>
      <w:r>
        <w:rPr>
          <w:rFonts w:ascii="Times New Roman" w:hAnsi="Times New Roman"/>
          <w:sz w:val="20"/>
        </w:rPr>
        <w:t xml:space="preserve">7.8 </w:t>
      </w:r>
      <w:r>
        <w:rPr>
          <w:rFonts w:ascii="Times New Roman" w:hAnsi="Times New Roman"/>
          <w:sz w:val="20"/>
          <w:u w:val="single"/>
        </w:rPr>
        <w:t>Fiscal Year</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be fixed by resolution of the Board and may be changed by the Board. </w:t>
      </w:r>
    </w:p>
    <w:p>
      <w:pPr>
        <w:pStyle w:val="TextBody"/>
        <w:bidi w:val="0"/>
        <w:spacing w:before="240" w:after="0"/>
        <w:jc w:val="left"/>
        <w:rPr>
          <w:rFonts w:ascii="Times New Roman" w:hAnsi="Times New Roman"/>
          <w:sz w:val="20"/>
        </w:rPr>
      </w:pPr>
      <w:bookmarkStart w:id="160" w:name="anxd45078_57"/>
      <w:bookmarkEnd w:id="160"/>
      <w:r>
        <w:rPr>
          <w:rFonts w:ascii="Times New Roman" w:hAnsi="Times New Roman"/>
          <w:sz w:val="20"/>
        </w:rPr>
        <w:t xml:space="preserve">7.9 </w:t>
      </w:r>
      <w:r>
        <w:rPr>
          <w:rFonts w:ascii="Times New Roman" w:hAnsi="Times New Roman"/>
          <w:sz w:val="20"/>
          <w:u w:val="single"/>
        </w:rPr>
        <w:t>Seal</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240" w:after="0"/>
        <w:jc w:val="left"/>
        <w:rPr>
          <w:rFonts w:ascii="Times New Roman" w:hAnsi="Times New Roman"/>
          <w:sz w:val="20"/>
        </w:rPr>
      </w:pPr>
      <w:bookmarkStart w:id="161" w:name="anxd45078_58"/>
      <w:bookmarkEnd w:id="161"/>
      <w:r>
        <w:rPr>
          <w:rFonts w:ascii="Times New Roman" w:hAnsi="Times New Roman"/>
          <w:sz w:val="20"/>
        </w:rPr>
        <w:t xml:space="preserve">7.10 </w:t>
      </w:r>
      <w:r>
        <w:rPr>
          <w:rFonts w:ascii="Times New Roman" w:hAnsi="Times New Roman"/>
          <w:sz w:val="20"/>
          <w:u w:val="single"/>
        </w:rPr>
        <w:t>Transfer of Stock</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240" w:after="0"/>
        <w:jc w:val="left"/>
        <w:rPr>
          <w:rFonts w:ascii="Times New Roman" w:hAnsi="Times New Roman"/>
          <w:sz w:val="20"/>
        </w:rPr>
      </w:pPr>
      <w:bookmarkStart w:id="162" w:name="anxd45078_59"/>
      <w:bookmarkEnd w:id="162"/>
      <w:r>
        <w:rPr>
          <w:rFonts w:ascii="Times New Roman" w:hAnsi="Times New Roman"/>
          <w:sz w:val="20"/>
        </w:rPr>
        <w:t xml:space="preserve">7.11 </w:t>
      </w:r>
      <w:r>
        <w:rPr>
          <w:rFonts w:ascii="Times New Roman" w:hAnsi="Times New Roman"/>
          <w:sz w:val="20"/>
          <w:u w:val="single"/>
        </w:rPr>
        <w:t>Stock Transfer Agreements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bookmarkStart w:id="163" w:name="anxd45078_60"/>
      <w:bookmarkEnd w:id="163"/>
      <w:r>
        <w:rPr>
          <w:rFonts w:ascii="Times New Roman" w:hAnsi="Times New Roman"/>
          <w:sz w:val="20"/>
        </w:rPr>
        <w:t xml:space="preserve">7.12 </w:t>
      </w:r>
      <w:r>
        <w:rPr>
          <w:rFonts w:ascii="Times New Roman" w:hAnsi="Times New Roman"/>
          <w:sz w:val="20"/>
          <w:u w:val="single"/>
        </w:rPr>
        <w:t>Registered Stockholders</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 shall be entitled to recognize the exclusive right of a person registered on its books as the owner of shares to receive dividends and to vote as such owner; and </w:t>
      </w:r>
    </w:p>
    <w:p>
      <w:pPr>
        <w:pStyle w:val="TextBody"/>
        <w:bidi w:val="0"/>
        <w:spacing w:before="240" w:after="0"/>
        <w:jc w:val="left"/>
        <w:rPr>
          <w:rFonts w:ascii="Times New Roman" w:hAnsi="Times New Roman"/>
          <w:sz w:val="20"/>
        </w:rPr>
      </w:pPr>
      <w:r>
        <w:rPr>
          <w:rFonts w:ascii="Times New Roman" w:hAnsi="Times New Roman"/>
          <w:sz w:val="20"/>
        </w:rPr>
        <w:t xml:space="preserve">(b)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240" w:after="0"/>
        <w:jc w:val="left"/>
        <w:rPr>
          <w:rFonts w:ascii="Times New Roman" w:hAnsi="Times New Roman"/>
          <w:sz w:val="20"/>
        </w:rPr>
      </w:pPr>
      <w:bookmarkStart w:id="164" w:name="anxd45078_61"/>
      <w:bookmarkEnd w:id="164"/>
      <w:r>
        <w:rPr>
          <w:rFonts w:ascii="Times New Roman" w:hAnsi="Times New Roman"/>
          <w:sz w:val="20"/>
        </w:rPr>
        <w:t xml:space="preserve">7.13 </w:t>
      </w:r>
      <w:r>
        <w:rPr>
          <w:rFonts w:ascii="Times New Roman" w:hAnsi="Times New Roman"/>
          <w:sz w:val="20"/>
          <w:u w:val="single"/>
        </w:rPr>
        <w:t>Waiver of Notice</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5" w:name="anxd45078_62"/>
      <w:bookmarkEnd w:id="165"/>
      <w:r>
        <w:rPr>
          <w:rFonts w:ascii="Times New Roman" w:hAnsi="Times New Roman"/>
          <w:b/>
          <w:sz w:val="20"/>
        </w:rPr>
        <w:t xml:space="preserve">Article VIII - Notice </w:t>
      </w:r>
    </w:p>
    <w:p>
      <w:pPr>
        <w:pStyle w:val="TextBody"/>
        <w:bidi w:val="0"/>
        <w:spacing w:before="240" w:after="0"/>
        <w:jc w:val="left"/>
        <w:rPr>
          <w:rFonts w:ascii="Times New Roman" w:hAnsi="Times New Roman"/>
          <w:sz w:val="20"/>
        </w:rPr>
      </w:pPr>
      <w:bookmarkStart w:id="166" w:name="anxd45078_63"/>
      <w:bookmarkEnd w:id="166"/>
      <w:r>
        <w:rPr>
          <w:rFonts w:ascii="Times New Roman" w:hAnsi="Times New Roman"/>
          <w:sz w:val="20"/>
        </w:rPr>
        <w:t xml:space="preserve">8.1 </w:t>
      </w:r>
      <w:r>
        <w:rPr>
          <w:rFonts w:ascii="Times New Roman" w:hAnsi="Times New Roman"/>
          <w:sz w:val="20"/>
          <w:u w:val="single"/>
        </w:rPr>
        <w:t>Delivery of Notice; Notice by Electronic Transmission</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Any notice given pursuant to the preceding paragraph shall be deemed given: </w:t>
      </w:r>
    </w:p>
    <w:p>
      <w:pPr>
        <w:pStyle w:val="TextBody"/>
        <w:bidi w:val="0"/>
        <w:spacing w:before="120" w:after="0"/>
        <w:jc w:val="left"/>
        <w:rPr>
          <w:rFonts w:ascii="Times New Roman" w:hAnsi="Times New Roman"/>
          <w:sz w:val="20"/>
        </w:rPr>
      </w:pPr>
      <w:r>
        <w:rPr>
          <w:rFonts w:ascii="Times New Roman" w:hAnsi="Times New Roman"/>
          <w:sz w:val="20"/>
        </w:rPr>
        <w:t xml:space="preserve">(a) if by facsimile telecommunication, when directed to a number at which the stockholder has consented to receive notice; </w:t>
      </w:r>
    </w:p>
    <w:p>
      <w:pPr>
        <w:pStyle w:val="TextBody"/>
        <w:bidi w:val="0"/>
        <w:spacing w:before="240" w:after="0"/>
        <w:jc w:val="left"/>
        <w:rPr>
          <w:rFonts w:ascii="Times New Roman" w:hAnsi="Times New Roman"/>
          <w:sz w:val="20"/>
        </w:rPr>
      </w:pPr>
      <w:r>
        <w:rPr>
          <w:rFonts w:ascii="Times New Roman" w:hAnsi="Times New Roman"/>
          <w:sz w:val="20"/>
        </w:rPr>
        <w:t xml:space="preserve">(b) if by a posting on an electronic network together with separate notice to the stockholder of such specific posting, upon the later of (A) such posting and (B) the giving of such separate notice; and </w:t>
      </w:r>
    </w:p>
    <w:p>
      <w:pPr>
        <w:pStyle w:val="TextBody"/>
        <w:bidi w:val="0"/>
        <w:spacing w:before="240" w:after="0"/>
        <w:jc w:val="left"/>
        <w:rPr>
          <w:rFonts w:ascii="Times New Roman" w:hAnsi="Times New Roman"/>
          <w:sz w:val="20"/>
        </w:rPr>
      </w:pPr>
      <w:r>
        <w:rPr>
          <w:rFonts w:ascii="Times New Roman" w:hAnsi="Times New Roman"/>
          <w:sz w:val="20"/>
        </w:rPr>
        <w:t xml:space="preserve">(c) if by any other form of electronic transmission, when directed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480" w:after="0"/>
        <w:jc w:val="center"/>
        <w:rPr>
          <w:rFonts w:ascii="Times New Roman" w:hAnsi="Times New Roman"/>
          <w:b/>
          <w:sz w:val="20"/>
        </w:rPr>
      </w:pPr>
      <w:bookmarkStart w:id="167" w:name="anxd45078_64"/>
      <w:bookmarkEnd w:id="167"/>
      <w:r>
        <w:rPr>
          <w:rFonts w:ascii="Times New Roman" w:hAnsi="Times New Roman"/>
          <w:b/>
          <w:sz w:val="20"/>
        </w:rPr>
        <w:t xml:space="preserve">Article IX - Indemnification </w:t>
      </w:r>
    </w:p>
    <w:p>
      <w:pPr>
        <w:pStyle w:val="TextBody"/>
        <w:bidi w:val="0"/>
        <w:spacing w:before="240" w:after="0"/>
        <w:jc w:val="left"/>
        <w:rPr>
          <w:rFonts w:ascii="Times New Roman" w:hAnsi="Times New Roman"/>
          <w:sz w:val="20"/>
        </w:rPr>
      </w:pPr>
      <w:bookmarkStart w:id="168" w:name="anxd45078_65"/>
      <w:bookmarkEnd w:id="168"/>
      <w:r>
        <w:rPr>
          <w:rFonts w:ascii="Times New Roman" w:hAnsi="Times New Roman"/>
          <w:sz w:val="20"/>
        </w:rPr>
        <w:t xml:space="preserve">9.1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hAnsi="Times New Roman"/>
          <w:sz w:val="20"/>
          <w:u w:val="single"/>
        </w:rPr>
        <w:t>Proceeding</w:t>
      </w:r>
      <w:r>
        <w:rPr>
          <w:rFonts w:ascii="Times New Roman" w:hAnsi="Times New Roman"/>
          <w:sz w:val="20"/>
        </w:rPr>
        <w:t xml:space="preserve">”) by reason of the fact that he or she, or a person for whom he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240" w:after="0"/>
        <w:jc w:val="left"/>
        <w:rPr>
          <w:rFonts w:ascii="Times New Roman" w:hAnsi="Times New Roman"/>
          <w:sz w:val="20"/>
        </w:rPr>
      </w:pPr>
      <w:bookmarkStart w:id="169" w:name="anxd45078_66"/>
      <w:bookmarkEnd w:id="169"/>
      <w:r>
        <w:rPr>
          <w:rFonts w:ascii="Times New Roman" w:hAnsi="Times New Roman"/>
          <w:sz w:val="20"/>
        </w:rPr>
        <w:t xml:space="preserve">9.2 </w:t>
      </w:r>
      <w:r>
        <w:rPr>
          <w:rFonts w:ascii="Times New Roman" w:hAnsi="Times New Roman"/>
          <w:sz w:val="20"/>
          <w:u w:val="single"/>
        </w:rPr>
        <w:t>Indemnification of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240" w:after="0"/>
        <w:jc w:val="left"/>
        <w:rPr>
          <w:rFonts w:ascii="Times New Roman" w:hAnsi="Times New Roman"/>
          <w:sz w:val="20"/>
        </w:rPr>
      </w:pPr>
      <w:bookmarkStart w:id="170" w:name="anxd45078_67"/>
      <w:bookmarkEnd w:id="170"/>
      <w:r>
        <w:rPr>
          <w:rFonts w:ascii="Times New Roman" w:hAnsi="Times New Roman"/>
          <w:sz w:val="20"/>
        </w:rPr>
        <w:t xml:space="preserve">9.3 </w:t>
      </w:r>
      <w:r>
        <w:rPr>
          <w:rFonts w:ascii="Times New Roman" w:hAnsi="Times New Roman"/>
          <w:sz w:val="20"/>
          <w:u w:val="single"/>
        </w:rPr>
        <w:t>Prepayment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 </w:t>
      </w:r>
    </w:p>
    <w:p>
      <w:pPr>
        <w:pStyle w:val="TextBody"/>
        <w:bidi w:val="0"/>
        <w:spacing w:before="240" w:after="0"/>
        <w:jc w:val="left"/>
        <w:rPr>
          <w:rFonts w:ascii="Times New Roman" w:hAnsi="Times New Roman"/>
          <w:sz w:val="20"/>
        </w:rPr>
      </w:pPr>
      <w:bookmarkStart w:id="171" w:name="anxd45078_68"/>
      <w:bookmarkEnd w:id="171"/>
      <w:r>
        <w:rPr>
          <w:rFonts w:ascii="Times New Roman" w:hAnsi="Times New Roman"/>
          <w:sz w:val="20"/>
        </w:rPr>
        <w:t xml:space="preserve">9.4 </w:t>
      </w:r>
      <w:r>
        <w:rPr>
          <w:rFonts w:ascii="Times New Roman" w:hAnsi="Times New Roman"/>
          <w:sz w:val="20"/>
          <w:u w:val="single"/>
        </w:rPr>
        <w:t>Determination;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240" w:after="0"/>
        <w:jc w:val="left"/>
        <w:rPr>
          <w:rFonts w:ascii="Times New Roman" w:hAnsi="Times New Roman"/>
          <w:sz w:val="20"/>
        </w:rPr>
      </w:pPr>
      <w:bookmarkStart w:id="172" w:name="anxd45078_69"/>
      <w:bookmarkEnd w:id="172"/>
      <w:r>
        <w:rPr>
          <w:rFonts w:ascii="Times New Roman" w:hAnsi="Times New Roman"/>
          <w:sz w:val="20"/>
        </w:rPr>
        <w:t xml:space="preserve">9.5 </w:t>
      </w:r>
      <w:r>
        <w:rPr>
          <w:rFonts w:ascii="Times New Roman" w:hAnsi="Times New Roman"/>
          <w:sz w:val="20"/>
          <w:u w:val="single"/>
        </w:rPr>
        <w:t>Non-Exclusivity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240" w:after="0"/>
        <w:jc w:val="left"/>
        <w:rPr>
          <w:rFonts w:ascii="Times New Roman" w:hAnsi="Times New Roman"/>
          <w:sz w:val="20"/>
        </w:rPr>
      </w:pPr>
      <w:bookmarkStart w:id="173" w:name="anxd45078_70"/>
      <w:bookmarkEnd w:id="173"/>
      <w:r>
        <w:rPr>
          <w:rFonts w:ascii="Times New Roman" w:hAnsi="Times New Roman"/>
          <w:sz w:val="20"/>
        </w:rPr>
        <w:t xml:space="preserve">9.6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4" w:name="anxd45078_71"/>
      <w:bookmarkEnd w:id="174"/>
      <w:r>
        <w:rPr>
          <w:rFonts w:ascii="Times New Roman" w:hAnsi="Times New Roman"/>
          <w:sz w:val="20"/>
        </w:rPr>
        <w:t xml:space="preserve">9.7 </w:t>
      </w:r>
      <w:r>
        <w:rPr>
          <w:rFonts w:ascii="Times New Roman" w:hAnsi="Times New Roman"/>
          <w:sz w:val="20"/>
          <w:u w:val="single"/>
        </w:rPr>
        <w:t>Other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240" w:after="0"/>
        <w:jc w:val="left"/>
        <w:rPr>
          <w:rFonts w:ascii="Times New Roman" w:hAnsi="Times New Roman"/>
          <w:sz w:val="20"/>
        </w:rPr>
      </w:pPr>
      <w:bookmarkStart w:id="175" w:name="anxd45078_72"/>
      <w:bookmarkEnd w:id="175"/>
      <w:r>
        <w:rPr>
          <w:rFonts w:ascii="Times New Roman" w:hAnsi="Times New Roman"/>
          <w:sz w:val="20"/>
        </w:rPr>
        <w:t xml:space="preserve">9.8 </w:t>
      </w:r>
      <w:r>
        <w:rPr>
          <w:rFonts w:ascii="Times New Roman" w:hAnsi="Times New Roman"/>
          <w:sz w:val="20"/>
          <w:u w:val="single"/>
        </w:rPr>
        <w:t>Continuation of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240" w:after="0"/>
        <w:jc w:val="left"/>
        <w:rPr>
          <w:rFonts w:ascii="Times New Roman" w:hAnsi="Times New Roman"/>
          <w:sz w:val="20"/>
        </w:rPr>
      </w:pPr>
      <w:bookmarkStart w:id="176" w:name="anxd45078_73"/>
      <w:bookmarkEnd w:id="176"/>
      <w:r>
        <w:rPr>
          <w:rFonts w:ascii="Times New Roman" w:hAnsi="Times New Roman"/>
          <w:sz w:val="20"/>
        </w:rPr>
        <w:t xml:space="preserve">9.9 </w:t>
      </w:r>
      <w:r>
        <w:rPr>
          <w:rFonts w:ascii="Times New Roman" w:hAnsi="Times New Roman"/>
          <w:sz w:val="20"/>
          <w:u w:val="single"/>
        </w:rPr>
        <w:t>Amendment or Repeal;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480" w:after="0"/>
        <w:jc w:val="center"/>
        <w:rPr>
          <w:rFonts w:ascii="Times New Roman" w:hAnsi="Times New Roman"/>
          <w:b/>
          <w:sz w:val="20"/>
        </w:rPr>
      </w:pPr>
      <w:bookmarkStart w:id="177" w:name="anxd45078_74"/>
      <w:bookmarkEnd w:id="177"/>
      <w:r>
        <w:rPr>
          <w:rFonts w:ascii="Times New Roman" w:hAnsi="Times New Roman"/>
          <w:b/>
          <w:sz w:val="20"/>
        </w:rPr>
        <w:t xml:space="preserve">Article X - Amendments </w:t>
      </w:r>
    </w:p>
    <w:p>
      <w:pPr>
        <w:pStyle w:val="TextBody"/>
        <w:bidi w:val="0"/>
        <w:spacing w:before="240" w:after="0"/>
        <w:jc w:val="left"/>
        <w:rPr>
          <w:rFonts w:ascii="Times New Roman" w:hAnsi="Times New Roman"/>
          <w:sz w:val="20"/>
        </w:rPr>
      </w:pPr>
      <w:r>
        <w:rPr>
          <w:rFonts w:ascii="Times New Roman" w:hAnsi="Times New Roman"/>
          <w:sz w:val="20"/>
        </w:rPr>
        <w:t xml:space="preserve">The Board is expressly empowered to adopt, amend or repeal the bylaws of the Corporation. The stockholders also shall have power to adopt, amend or repeal the bylaws of the Corporation; provided, however,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 </w:t>
      </w:r>
    </w:p>
    <w:p>
      <w:pPr>
        <w:pStyle w:val="TextBody"/>
        <w:bidi w:val="0"/>
        <w:spacing w:before="480" w:after="0"/>
        <w:jc w:val="center"/>
        <w:rPr>
          <w:rFonts w:ascii="Times New Roman" w:hAnsi="Times New Roman"/>
          <w:b/>
          <w:sz w:val="20"/>
        </w:rPr>
      </w:pPr>
      <w:bookmarkStart w:id="178" w:name="anxd45078_75"/>
      <w:bookmarkEnd w:id="178"/>
      <w:r>
        <w:rPr>
          <w:rFonts w:ascii="Times New Roman" w:hAnsi="Times New Roman"/>
          <w:b/>
          <w:sz w:val="20"/>
        </w:rPr>
        <w:t xml:space="preserve">Article XI -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these bylaws, unless the context otherwise requires,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electronic transmission</w:t>
      </w:r>
      <w:r>
        <w:rPr>
          <w:rFonts w:ascii="Times New Roman" w:hAnsi="Times New Roman"/>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electronic mail</w:t>
      </w:r>
      <w:r>
        <w:rPr>
          <w:rFonts w:ascii="Times New Roman" w:hAnsi="Times New Roman"/>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electronic mail address</w:t>
      </w:r>
      <w:r>
        <w:rPr>
          <w:rFonts w:ascii="Times New Roman" w:hAnsi="Times New Roman"/>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person</w:t>
      </w:r>
      <w:r>
        <w:rPr>
          <w:rFonts w:ascii="Times New Roman" w:hAnsi="Times New Roman"/>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ARIAL" w:hAnsi="ARIAL"/>
          <w:b/>
          <w:sz w:val="20"/>
        </w:rPr>
      </w:pPr>
      <w:bookmarkStart w:id="179" w:name="toc45078_102"/>
      <w:bookmarkEnd w:id="179"/>
      <w:r>
        <w:rPr>
          <w:rFonts w:ascii="ARIAL" w:hAnsi="ARIAL"/>
          <w:b/>
          <w:sz w:val="20"/>
        </w:rPr>
        <w:t xml:space="preserve">Annex 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drawing>
                <wp:inline distT="0" distB="0" distL="0" distR="0">
                  <wp:extent cx="777240" cy="622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777240" cy="6223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i/>
                <w:sz w:val="10"/>
              </w:rPr>
            </w:pPr>
            <w:r>
              <w:rPr>
                <w:rFonts w:ascii="ARIAL" w:hAnsi="ARIAL"/>
                <w:i/>
                <w:sz w:val="10"/>
              </w:rPr>
              <w:t>WAVE LIFE SCIENCES LTD.</w:t>
            </w:r>
          </w:p>
          <w:p>
            <w:pPr>
              <w:pStyle w:val="TableContents"/>
              <w:bidi w:val="0"/>
              <w:spacing w:before="0" w:after="0"/>
              <w:jc w:val="left"/>
              <w:rPr>
                <w:rFonts w:ascii="ARIAL" w:hAnsi="ARIAL"/>
                <w:i/>
                <w:sz w:val="10"/>
              </w:rPr>
            </w:pPr>
            <w:r>
              <w:rPr>
                <w:rFonts w:ascii="ARIAL" w:hAnsi="ARIAL"/>
                <w:i/>
                <w:sz w:val="10"/>
              </w:rPr>
              <w:t>C/O 733 CONCORD AVENUE</w:t>
            </w:r>
          </w:p>
          <w:p>
            <w:pPr>
              <w:pStyle w:val="TableContents"/>
              <w:bidi w:val="0"/>
              <w:spacing w:before="0" w:after="0"/>
              <w:jc w:val="left"/>
              <w:rPr>
                <w:rFonts w:ascii="ARIAL" w:hAnsi="ARIAL"/>
                <w:i/>
                <w:sz w:val="10"/>
              </w:rPr>
            </w:pPr>
            <w:r>
              <w:rPr>
                <w:rFonts w:ascii="ARIAL" w:hAnsi="ARIAL"/>
                <w:i/>
                <w:sz w:val="10"/>
              </w:rPr>
              <w:t>CAMBRIDGE, MA 02138</w:t>
            </w:r>
          </w:p>
          <w:p>
            <w:pPr>
              <w:pStyle w:val="TableContents"/>
              <w:bidi w:val="0"/>
              <w:spacing w:before="0" w:after="20"/>
              <w:jc w:val="left"/>
              <w:rPr>
                <w:rFonts w:ascii="ARIAL" w:hAnsi="ARIAL"/>
                <w:i/>
                <w:sz w:val="10"/>
              </w:rPr>
            </w:pPr>
            <w:r>
              <w:rPr>
                <w:rFonts w:ascii="ARIAL" w:hAnsi="ARIAL"/>
                <w:i/>
                <w:sz w:val="10"/>
              </w:rPr>
              <w:t>ATTN: LINDA ROCKETT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drawing>
                <wp:inline distT="0" distB="0" distL="0" distR="0">
                  <wp:extent cx="2094230" cy="5257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2094230" cy="5257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4"/>
              </w:rPr>
            </w:pPr>
            <w:r>
              <w:rPr>
                <w:rFonts w:ascii="ARIAL" w:hAnsi="ARIAL"/>
                <w:b/>
                <w:sz w:val="14"/>
              </w:rPr>
              <w:t xml:space="preserve">VOTE BY MAIL or scan the QR Barcode above </w:t>
            </w:r>
          </w:p>
          <w:p>
            <w:pPr>
              <w:pStyle w:val="TableContents"/>
              <w:bidi w:val="0"/>
              <w:spacing w:before="0" w:after="20"/>
              <w:jc w:val="both"/>
              <w:rPr>
                <w:rFonts w:ascii="ARIAL" w:hAnsi="ARIAL"/>
                <w:sz w:val="14"/>
              </w:rPr>
            </w:pPr>
            <w:r>
              <w:rPr>
                <w:rFonts w:ascii="ARIAL" w:hAnsi="ARIAL"/>
                <w:sz w:val="14"/>
              </w:rPr>
              <w:t>Mark, sign and date your proxy card and return it in the postage-paid envelope we have provided or return it to Vote Processing, c/o Broadridge, 51 Mercedes Way, Edgewood, NY 11717.</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40" w:after="0"/>
        <w:jc w:val="left"/>
        <w:rPr>
          <w:rFonts w:ascii="ARIAL" w:hAnsi="ARIAL"/>
          <w:sz w:val="14"/>
        </w:rPr>
      </w:pPr>
      <w:r>
        <w:rPr>
          <w:rFonts w:ascii="ARIAL" w:hAnsi="ARIAL"/>
          <w:sz w:val="14"/>
        </w:rPr>
        <w:t xml:space="preserve">TO VOTE, MARK BLOCKS BELOW IN BLUE OR BLACK INK AS FOLLOWS: </w:t>
      </w:r>
    </w:p>
    <w:tbl>
      <w:tblPr>
        <w:tblW w:w="5000" w:type="pct"/>
        <w:jc w:val="center"/>
        <w:tblInd w:w="0" w:type="dxa"/>
        <w:tblLayout w:type="fixed"/>
        <w:tblCellMar>
          <w:top w:w="0" w:type="dxa"/>
          <w:left w:w="0" w:type="dxa"/>
          <w:bottom w:w="0" w:type="dxa"/>
          <w:right w:w="0" w:type="dxa"/>
        </w:tblCellMar>
      </w:tblPr>
      <w:tblGrid>
        <w:gridCol w:w="2276"/>
        <w:gridCol w:w="204"/>
        <w:gridCol w:w="2613"/>
        <w:gridCol w:w="204"/>
        <w:gridCol w:w="4908"/>
      </w:tblGrid>
      <w:tr>
        <w:trPr/>
        <w:tc>
          <w:tcPr>
            <w:tcW w:w="22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908" w:type="dxa"/>
            <w:tcBorders/>
            <w:vAlign w:val="center"/>
          </w:tcPr>
          <w:p>
            <w:pPr>
              <w:pStyle w:val="TableContents"/>
              <w:bidi w:val="0"/>
              <w:spacing w:before="0" w:after="283"/>
              <w:jc w:val="left"/>
              <w:rPr>
                <w:sz w:val="4"/>
                <w:szCs w:val="4"/>
              </w:rPr>
            </w:pPr>
            <w:r>
              <w:rPr>
                <w:sz w:val="4"/>
                <w:szCs w:val="4"/>
              </w:rPr>
            </w:r>
          </w:p>
        </w:tc>
      </w:tr>
      <w:tr>
        <w:trPr/>
        <w:tc>
          <w:tcPr>
            <w:tcW w:w="227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613" w:type="dxa"/>
            <w:tcBorders/>
          </w:tcPr>
          <w:p>
            <w:pPr>
              <w:pStyle w:val="TableContents"/>
              <w:bidi w:val="0"/>
              <w:spacing w:before="0" w:after="283"/>
              <w:jc w:val="right"/>
              <w:rPr/>
            </w:pPr>
            <w:r>
              <w:rPr/>
              <w:t>V92032-TBD   </w:t>
            </w:r>
          </w:p>
        </w:tc>
        <w:tc>
          <w:tcPr>
            <w:tcW w:w="204" w:type="dxa"/>
            <w:tcBorders/>
            <w:vAlign w:val="bottom"/>
          </w:tcPr>
          <w:p>
            <w:pPr>
              <w:pStyle w:val="TableContents"/>
              <w:bidi w:val="0"/>
              <w:spacing w:before="0" w:after="283"/>
              <w:jc w:val="left"/>
              <w:rPr/>
            </w:pPr>
            <w:r>
              <w:rPr/>
              <w:t>  </w:t>
            </w:r>
          </w:p>
        </w:tc>
        <w:tc>
          <w:tcPr>
            <w:tcW w:w="4908" w:type="dxa"/>
            <w:tcBorders/>
          </w:tcPr>
          <w:p>
            <w:pPr>
              <w:pStyle w:val="TableContents"/>
              <w:bidi w:val="0"/>
              <w:spacing w:before="0" w:after="283"/>
              <w:jc w:val="right"/>
              <w:rPr/>
            </w:pPr>
            <w:r>
              <w:rPr/>
              <w:t>KEEP THIS PORTION FOR YOUR RECORDS</w:t>
            </w:r>
          </w:p>
        </w:tc>
      </w:tr>
      <w:tr>
        <w:trPr/>
        <w:tc>
          <w:tcPr>
            <w:tcW w:w="10205" w:type="dxa"/>
            <w:gridSpan w:val="5"/>
            <w:tcBorders/>
          </w:tcPr>
          <w:p>
            <w:pPr>
              <w:pStyle w:val="TableContents"/>
              <w:bidi w:val="0"/>
              <w:spacing w:before="0" w:after="0"/>
              <w:jc w:val="both"/>
              <w:rPr/>
            </w:pPr>
            <w:r>
              <w:rPr/>
              <w:t xml:space="preserve">– – – – – – – – – – – – – – – – – – – – – – – – – – – – – – – – – – – – – – – – – – – – – – – – – – – – – – –  –  </w:t>
            </w:r>
          </w:p>
        </w:tc>
      </w:tr>
      <w:tr>
        <w:trPr/>
        <w:tc>
          <w:tcPr>
            <w:tcW w:w="5093" w:type="dxa"/>
            <w:gridSpan w:val="3"/>
            <w:tcBorders/>
          </w:tcPr>
          <w:p>
            <w:pPr>
              <w:pStyle w:val="TableContents"/>
              <w:bidi w:val="0"/>
              <w:spacing w:before="0" w:after="0"/>
              <w:jc w:val="left"/>
              <w:rPr/>
            </w:pPr>
            <w:r>
              <w:rPr/>
              <w:t> </w:t>
            </w:r>
          </w:p>
          <w:p>
            <w:pPr>
              <w:pStyle w:val="TableContents"/>
              <w:bidi w:val="0"/>
              <w:spacing w:before="0" w:after="20"/>
              <w:jc w:val="right"/>
              <w:rPr>
                <w:rFonts w:ascii="ARIAL" w:hAnsi="ARIAL"/>
                <w:b/>
                <w:sz w:val="16"/>
              </w:rPr>
            </w:pPr>
            <w:r>
              <w:rPr>
                <w:rFonts w:ascii="ARIAL" w:hAnsi="ARIAL"/>
                <w:b/>
                <w:sz w:val="16"/>
              </w:rPr>
              <w:t>THIS PROXY CARD IS VALID ONLY WHEN SIGNED AND DATED.  </w:t>
            </w:r>
          </w:p>
        </w:tc>
        <w:tc>
          <w:tcPr>
            <w:tcW w:w="204" w:type="dxa"/>
            <w:tcBorders/>
            <w:vAlign w:val="bottom"/>
          </w:tcPr>
          <w:p>
            <w:pPr>
              <w:pStyle w:val="TableContents"/>
              <w:bidi w:val="0"/>
              <w:spacing w:before="0" w:after="283"/>
              <w:jc w:val="left"/>
              <w:rPr/>
            </w:pPr>
            <w:r>
              <w:rPr/>
              <w:t>  </w:t>
            </w:r>
          </w:p>
        </w:tc>
        <w:tc>
          <w:tcPr>
            <w:tcW w:w="4908" w:type="dxa"/>
            <w:tcBorders/>
          </w:tcPr>
          <w:p>
            <w:pPr>
              <w:pStyle w:val="TableContents"/>
              <w:bidi w:val="0"/>
              <w:spacing w:before="0" w:after="0"/>
              <w:jc w:val="left"/>
              <w:rPr/>
            </w:pPr>
            <w:r>
              <w:rPr/>
              <w:t> </w:t>
            </w:r>
          </w:p>
          <w:p>
            <w:pPr>
              <w:pStyle w:val="TableContents"/>
              <w:bidi w:val="0"/>
              <w:spacing w:before="0" w:after="20"/>
              <w:jc w:val="right"/>
              <w:rPr>
                <w:rFonts w:ascii="ARIAL" w:hAnsi="ARIAL"/>
                <w:sz w:val="14"/>
              </w:rPr>
            </w:pPr>
            <w:r>
              <w:rPr>
                <w:rFonts w:ascii="ARIAL" w:hAnsi="ARIAL"/>
                <w:sz w:val="14"/>
              </w:rPr>
              <w:t>DETACH AND RETURN THIS PORTION ONLY</w:t>
            </w:r>
          </w:p>
        </w:tc>
      </w:tr>
      <w:tr>
        <w:trPr/>
        <w:tc>
          <w:tcPr>
            <w:tcW w:w="5093"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9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2" w:space="2" w:color="000000"/>
        </w:rPr>
      </w:pPr>
      <w:r>
        <w:rPr>
          <w:bdr w:val="single" w:sz="12" w:space="2" w:color="000000"/>
        </w:rPr>
        <w:t xml:space="preserve">  </w:t>
      </w:r>
      <w:r>
        <w:rPr>
          <w:rFonts w:ascii="ARIAL" w:hAnsi="ARIAL"/>
          <w:b/>
          <w:sz w:val="14"/>
          <w:bdr w:val="single" w:sz="12" w:space="2" w:color="000000"/>
        </w:rPr>
        <w:t xml:space="preserve">WAVE LIFE SCIENCES LTD. </w:t>
      </w:r>
    </w:p>
    <w:tbl>
      <w:tblPr>
        <w:tblW w:w="4900" w:type="pct"/>
        <w:jc w:val="right"/>
        <w:tblInd w:w="0" w:type="dxa"/>
        <w:tblLayout w:type="fixed"/>
        <w:tblCellMar>
          <w:top w:w="0" w:type="dxa"/>
          <w:left w:w="0" w:type="dxa"/>
          <w:bottom w:w="0" w:type="dxa"/>
          <w:right w:w="0" w:type="dxa"/>
        </w:tblCellMar>
      </w:tblPr>
      <w:tblGrid>
        <w:gridCol w:w="3844"/>
        <w:gridCol w:w="1019"/>
        <w:gridCol w:w="3765"/>
        <w:gridCol w:w="196"/>
        <w:gridCol w:w="819"/>
        <w:gridCol w:w="138"/>
        <w:gridCol w:w="219"/>
      </w:tblGrid>
      <w:tr>
        <w:trPr/>
        <w:tc>
          <w:tcPr>
            <w:tcW w:w="3844" w:type="dxa"/>
            <w:tcBorders/>
            <w:vAlign w:val="center"/>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44" w:type="dxa"/>
            <w:tcBorders/>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pPr>
            <w:r>
              <w:rPr/>
              <w:t>  </w:t>
            </w:r>
          </w:p>
        </w:tc>
        <w:tc>
          <w:tcPr>
            <w:tcW w:w="3765" w:type="dxa"/>
            <w:tcBorders/>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28" w:type="dxa"/>
            </w:tcMar>
            <w:vAlign w:val="bottom"/>
          </w:tcPr>
          <w:p>
            <w:pPr>
              <w:pStyle w:val="TableContents"/>
              <w:bidi w:val="0"/>
              <w:spacing w:before="0" w:after="283"/>
              <w:jc w:val="left"/>
              <w:rPr/>
            </w:pPr>
            <w:r>
              <w:rPr/>
              <w:t>  </w:t>
            </w:r>
          </w:p>
        </w:tc>
        <w:tc>
          <w:tcPr>
            <w:tcW w:w="819" w:type="dxa"/>
            <w:tcBorders>
              <w:top w:val="single" w:sz="16" w:space="0" w:color="000000"/>
              <w:right w:val="single" w:sz="16" w:space="0" w:color="000000"/>
            </w:tcBorders>
            <w:tcMar>
              <w:top w:w="28" w:type="dxa"/>
              <w:right w:w="28" w:type="dxa"/>
            </w:tcMa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pPr>
            <w:r>
              <w:rPr/>
              <w:t>  </w:t>
            </w:r>
          </w:p>
        </w:tc>
      </w:tr>
      <w:tr>
        <w:trPr/>
        <w:tc>
          <w:tcPr>
            <w:tcW w:w="8628" w:type="dxa"/>
            <w:gridSpan w:val="3"/>
            <w:tcBorders/>
          </w:tcPr>
          <w:p>
            <w:pPr>
              <w:pStyle w:val="TableContents"/>
              <w:bidi w:val="0"/>
              <w:spacing w:before="0" w:after="283"/>
              <w:jc w:val="center"/>
              <w:rPr>
                <w:b/>
                <w:color w:val="FF4338"/>
                <w:sz w:val="18"/>
              </w:rPr>
            </w:pPr>
            <w:r>
              <w:rPr>
                <w:b/>
                <w:color w:val="FF4338"/>
                <w:sz w:val="18"/>
              </w:rPr>
              <w:t>PRELIMINARY PROXY CARD - SUBJECT TO COMPLETION</w:t>
            </w:r>
          </w:p>
        </w:tc>
        <w:tc>
          <w:tcPr>
            <w:tcW w:w="196" w:type="dxa"/>
            <w:tcBorders/>
            <w:vAlign w:val="bottom"/>
          </w:tcPr>
          <w:p>
            <w:pPr>
              <w:pStyle w:val="TableContents"/>
              <w:bidi w:val="0"/>
              <w:spacing w:before="0" w:after="283"/>
              <w:jc w:val="left"/>
              <w:rPr/>
            </w:pPr>
            <w:r>
              <w:rPr/>
              <w:t>  </w:t>
            </w:r>
          </w:p>
        </w:tc>
        <w:tc>
          <w:tcPr>
            <w:tcW w:w="819" w:type="dxa"/>
            <w:tcBorders>
              <w:right w:val="single" w:sz="16" w:space="0" w:color="000000"/>
            </w:tcBorders>
            <w:tcMar>
              <w:right w:w="28" w:type="dxa"/>
            </w:tcMa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sz w:val="4"/>
                <w:szCs w:val="4"/>
              </w:rPr>
            </w:pPr>
            <w:r>
              <w:rPr>
                <w:sz w:val="4"/>
                <w:szCs w:val="4"/>
              </w:rPr>
            </w:r>
          </w:p>
        </w:tc>
      </w:tr>
      <w:tr>
        <w:trPr/>
        <w:tc>
          <w:tcPr>
            <w:tcW w:w="3844" w:type="dxa"/>
            <w:tcBorders/>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pPr>
            <w:r>
              <w:rPr/>
              <w:t>  </w:t>
            </w:r>
          </w:p>
        </w:tc>
        <w:tc>
          <w:tcPr>
            <w:tcW w:w="3765"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19" w:type="dxa"/>
            <w:tcBorders>
              <w:right w:val="single" w:sz="16" w:space="0" w:color="000000"/>
            </w:tcBorders>
            <w:tcMar>
              <w:right w:w="28" w:type="dxa"/>
            </w:tcMa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2" w:space="2" w:color="000000"/>
        </w:rPr>
      </w:pPr>
      <w:r>
        <w:rPr>
          <w:bdr w:val="single" w:sz="12" w:space="2" w:color="000000"/>
        </w:rPr>
        <w:t> </w:t>
      </w:r>
    </w:p>
    <w:tbl>
      <w:tblPr>
        <w:tblW w:w="5000" w:type="pct"/>
        <w:jc w:val="center"/>
        <w:tblInd w:w="0" w:type="dxa"/>
        <w:tblLayout w:type="fixed"/>
        <w:tblCellMar>
          <w:top w:w="0" w:type="dxa"/>
          <w:left w:w="0" w:type="dxa"/>
          <w:bottom w:w="0" w:type="dxa"/>
          <w:right w:w="0" w:type="dxa"/>
        </w:tblCellMar>
      </w:tblPr>
      <w:tblGrid>
        <w:gridCol w:w="7396"/>
        <w:gridCol w:w="153"/>
        <w:gridCol w:w="401"/>
        <w:gridCol w:w="153"/>
        <w:gridCol w:w="890"/>
        <w:gridCol w:w="153"/>
        <w:gridCol w:w="1059"/>
      </w:tblGrid>
      <w:tr>
        <w:trPr/>
        <w:tc>
          <w:tcPr>
            <w:tcW w:w="739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7396" w:type="dxa"/>
            <w:tcBorders/>
          </w:tcPr>
          <w:p>
            <w:pPr>
              <w:pStyle w:val="TableContents"/>
              <w:bidi w:val="0"/>
              <w:spacing w:before="0" w:after="0"/>
              <w:jc w:val="left"/>
              <w:rPr>
                <w:rFonts w:ascii="ARIAL" w:hAnsi="ARIAL"/>
                <w:b/>
                <w:sz w:val="12"/>
              </w:rPr>
            </w:pPr>
            <w:r>
              <w:rPr>
                <w:rFonts w:ascii="ARIAL" w:hAnsi="ARIAL"/>
                <w:b/>
                <w:sz w:val="12"/>
              </w:rPr>
              <w:t>The Board of Directors recommends a vote FOR the following proposal:</w:t>
            </w:r>
          </w:p>
        </w:tc>
        <w:tc>
          <w:tcPr>
            <w:tcW w:w="153" w:type="dxa"/>
            <w:tcBorders/>
            <w:vAlign w:val="bottom"/>
          </w:tcPr>
          <w:p>
            <w:pPr>
              <w:pStyle w:val="TableContents"/>
              <w:bidi w:val="0"/>
              <w:spacing w:before="0" w:after="283"/>
              <w:jc w:val="left"/>
              <w:rPr/>
            </w:pPr>
            <w:r>
              <w:rPr/>
              <w:t>  </w:t>
            </w:r>
          </w:p>
        </w:tc>
        <w:tc>
          <w:tcPr>
            <w:tcW w:w="401" w:type="dxa"/>
            <w:tcBorders/>
          </w:tcPr>
          <w:p>
            <w:pPr>
              <w:pStyle w:val="TableContents"/>
              <w:bidi w:val="0"/>
              <w:spacing w:before="0" w:after="283"/>
              <w:jc w:val="center"/>
              <w:rPr>
                <w:b/>
              </w:rPr>
            </w:pPr>
            <w:r>
              <w:rPr>
                <w:b/>
              </w:rPr>
              <w:t>For</w:t>
            </w:r>
          </w:p>
        </w:tc>
        <w:tc>
          <w:tcPr>
            <w:tcW w:w="153"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b/>
              </w:rPr>
            </w:pPr>
            <w:r>
              <w:rPr>
                <w:b/>
              </w:rPr>
              <w:t>Against</w:t>
            </w:r>
          </w:p>
        </w:tc>
        <w:tc>
          <w:tcPr>
            <w:tcW w:w="153" w:type="dxa"/>
            <w:tcBorders/>
            <w:vAlign w:val="bottom"/>
          </w:tcPr>
          <w:p>
            <w:pPr>
              <w:pStyle w:val="TableContents"/>
              <w:bidi w:val="0"/>
              <w:spacing w:before="0" w:after="283"/>
              <w:jc w:val="left"/>
              <w:rPr/>
            </w:pPr>
            <w:r>
              <w:rPr/>
              <w:t>  </w:t>
            </w:r>
          </w:p>
        </w:tc>
        <w:tc>
          <w:tcPr>
            <w:tcW w:w="1059" w:type="dxa"/>
            <w:tcBorders/>
          </w:tcPr>
          <w:p>
            <w:pPr>
              <w:pStyle w:val="TableContents"/>
              <w:bidi w:val="0"/>
              <w:spacing w:before="0" w:after="283"/>
              <w:jc w:val="left"/>
              <w:rPr>
                <w:b/>
              </w:rPr>
            </w:pPr>
            <w:r>
              <w:rPr>
                <w:b/>
              </w:rPr>
              <w:t>Abstain </w:t>
            </w:r>
          </w:p>
        </w:tc>
      </w:tr>
      <w:tr>
        <w:trPr>
          <w:trHeight w:val="120" w:hRule="atLeast"/>
        </w:trPr>
        <w:tc>
          <w:tcPr>
            <w:tcW w:w="7396" w:type="dxa"/>
            <w:tcBorders/>
            <w:vAlign w:val="center"/>
          </w:tcPr>
          <w:p>
            <w:pPr>
              <w:pStyle w:val="TableContents"/>
              <w:bidi w:val="0"/>
              <w:spacing w:before="0" w:after="283"/>
              <w:jc w:val="left"/>
              <w:rPr>
                <w:sz w:val="4"/>
                <w:szCs w:val="4"/>
              </w:rPr>
            </w:pPr>
            <w:r>
              <w:rPr>
                <w:sz w:val="4"/>
                <w:szCs w:val="4"/>
              </w:rPr>
            </w:r>
          </w:p>
        </w:tc>
        <w:tc>
          <w:tcPr>
            <w:tcW w:w="554" w:type="dxa"/>
            <w:gridSpan w:val="2"/>
            <w:tcBorders/>
            <w:vAlign w:val="center"/>
          </w:tcPr>
          <w:p>
            <w:pPr>
              <w:pStyle w:val="TableContents"/>
              <w:bidi w:val="0"/>
              <w:spacing w:before="0" w:after="283"/>
              <w:jc w:val="left"/>
              <w:rPr>
                <w:sz w:val="4"/>
                <w:szCs w:val="4"/>
              </w:rPr>
            </w:pPr>
            <w:r>
              <w:rPr>
                <w:sz w:val="4"/>
                <w:szCs w:val="4"/>
              </w:rPr>
            </w:r>
          </w:p>
        </w:tc>
        <w:tc>
          <w:tcPr>
            <w:tcW w:w="1043" w:type="dxa"/>
            <w:gridSpan w:val="2"/>
            <w:tcBorders/>
            <w:vAlign w:val="center"/>
          </w:tcPr>
          <w:p>
            <w:pPr>
              <w:pStyle w:val="TableContents"/>
              <w:bidi w:val="0"/>
              <w:spacing w:before="0" w:after="283"/>
              <w:jc w:val="left"/>
              <w:rPr>
                <w:sz w:val="4"/>
                <w:szCs w:val="4"/>
              </w:rPr>
            </w:pPr>
            <w:r>
              <w:rPr>
                <w:sz w:val="4"/>
                <w:szCs w:val="4"/>
              </w:rPr>
            </w:r>
          </w:p>
        </w:tc>
        <w:tc>
          <w:tcPr>
            <w:tcW w:w="1212" w:type="dxa"/>
            <w:gridSpan w:val="2"/>
            <w:tcBorders/>
            <w:vAlign w:val="center"/>
          </w:tcPr>
          <w:p>
            <w:pPr>
              <w:pStyle w:val="TableContents"/>
              <w:bidi w:val="0"/>
              <w:spacing w:before="0" w:after="283"/>
              <w:jc w:val="left"/>
              <w:rPr>
                <w:sz w:val="4"/>
                <w:szCs w:val="4"/>
              </w:rPr>
            </w:pPr>
            <w:r>
              <w:rPr>
                <w:sz w:val="4"/>
                <w:szCs w:val="4"/>
              </w:rPr>
            </w:r>
          </w:p>
        </w:tc>
      </w:tr>
      <w:tr>
        <w:trPr/>
        <w:tc>
          <w:tcPr>
            <w:tcW w:w="7396" w:type="dxa"/>
            <w:tcBorders/>
          </w:tcPr>
          <w:p>
            <w:pPr>
              <w:pStyle w:val="TableContents"/>
              <w:bidi w:val="0"/>
              <w:spacing w:before="0" w:after="0"/>
              <w:jc w:val="left"/>
              <w:rPr>
                <w:rFonts w:ascii="ARIAL" w:hAnsi="ARIAL"/>
                <w:sz w:val="12"/>
              </w:rPr>
            </w:pPr>
            <w:r>
              <w:rPr>
                <w:rFonts w:ascii="ARIAL" w:hAnsi="ARIAL"/>
                <w:sz w:val="12"/>
              </w:rPr>
              <w:t>1.  To approve the scheme of arrangement under Singapore law among Wave Life Sciences Ltd., a public company limited by shares incorporated under the laws of the Republic of Singapore (“Wave-Singapore”), the shareholders of Wave-Singapore and Wave Life Sciences, Inc., a Delaware corporation, subject to approval of the High Court of the Republic of Singapore, as set forth in Wave-Singapore’s notice of, and proxy statement relating to, the Special Meeting of Wave-Singapore shareholders.</w:t>
            </w:r>
          </w:p>
        </w:tc>
        <w:tc>
          <w:tcPr>
            <w:tcW w:w="153" w:type="dxa"/>
            <w:tcBorders/>
            <w:vAlign w:val="bottom"/>
          </w:tcPr>
          <w:p>
            <w:pPr>
              <w:pStyle w:val="TableContents"/>
              <w:bidi w:val="0"/>
              <w:spacing w:before="0" w:after="283"/>
              <w:jc w:val="left"/>
              <w:rPr/>
            </w:pPr>
            <w:r>
              <w:rPr/>
              <w:t>  </w:t>
            </w:r>
          </w:p>
        </w:tc>
        <w:tc>
          <w:tcPr>
            <w:tcW w:w="401" w:type="dxa"/>
            <w:tcBorders/>
          </w:tcPr>
          <w:p>
            <w:pPr>
              <w:pStyle w:val="TableContents"/>
              <w:bidi w:val="0"/>
              <w:spacing w:before="0" w:after="283"/>
              <w:jc w:val="center"/>
              <w:rPr/>
            </w:pPr>
            <w:r>
              <w:rPr/>
              <w:t>☐</w:t>
            </w:r>
          </w:p>
        </w:tc>
        <w:tc>
          <w:tcPr>
            <w:tcW w:w="153"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center"/>
              <w:rPr/>
            </w:pPr>
            <w:r>
              <w:rPr/>
              <w:t>☐</w:t>
            </w:r>
          </w:p>
        </w:tc>
        <w:tc>
          <w:tcPr>
            <w:tcW w:w="153" w:type="dxa"/>
            <w:tcBorders/>
            <w:vAlign w:val="bottom"/>
          </w:tcPr>
          <w:p>
            <w:pPr>
              <w:pStyle w:val="TableContents"/>
              <w:bidi w:val="0"/>
              <w:spacing w:before="0" w:after="283"/>
              <w:jc w:val="left"/>
              <w:rPr/>
            </w:pPr>
            <w:r>
              <w:rPr/>
              <w:t>  </w:t>
            </w:r>
          </w:p>
        </w:tc>
        <w:tc>
          <w:tcPr>
            <w:tcW w:w="1059" w:type="dxa"/>
            <w:tcBorders/>
          </w:tcPr>
          <w:p>
            <w:pPr>
              <w:pStyle w:val="TableContents"/>
              <w:bidi w:val="0"/>
              <w:spacing w:before="0" w:after="283"/>
              <w:jc w:val="center"/>
              <w:rPr/>
            </w:pPr>
            <w:r>
              <w:rPr/>
              <w:t>☐</w:t>
            </w:r>
          </w:p>
        </w:tc>
      </w:tr>
    </w:tbl>
    <w:p>
      <w:pPr>
        <w:pStyle w:val="TextBody"/>
        <w:bidi w:val="0"/>
        <w:spacing w:before="0" w:after="0"/>
        <w:jc w:val="left"/>
        <w:rPr>
          <w:bdr w:val="single" w:sz="12" w:space="2" w:color="000000"/>
        </w:rPr>
      </w:pPr>
      <w:r>
        <w:rPr>
          <w:bdr w:val="single" w:sz="12" w:space="2" w:color="000000"/>
        </w:rPr>
        <w:t> </w:t>
      </w:r>
    </w:p>
    <w:p>
      <w:pPr>
        <w:pStyle w:val="TextBody"/>
        <w:bidi w:val="0"/>
        <w:spacing w:before="480" w:after="0"/>
        <w:jc w:val="both"/>
        <w:rPr>
          <w:rFonts w:ascii="ARIAL" w:hAnsi="ARIAL"/>
          <w:sz w:val="12"/>
          <w:bdr w:val="single" w:sz="12" w:space="2" w:color="000000"/>
        </w:rPr>
      </w:pPr>
      <w:r>
        <w:rPr>
          <w:rFonts w:ascii="ARIAL" w:hAnsi="ARIAL"/>
          <w:sz w:val="12"/>
          <w:bdr w:val="single" w:sz="12" w:space="2" w:color="000000"/>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p>
    <w:p>
      <w:pPr>
        <w:pStyle w:val="TextBody"/>
        <w:bidi w:val="0"/>
        <w:spacing w:before="0" w:after="0"/>
        <w:jc w:val="left"/>
        <w:rPr>
          <w:bdr w:val="single" w:sz="12" w:space="2" w:color="000000"/>
        </w:rPr>
      </w:pPr>
      <w:r>
        <w:rPr>
          <w:bdr w:val="single" w:sz="12" w:space="2" w:color="000000"/>
        </w:rPr>
        <w:t> </w:t>
      </w:r>
    </w:p>
    <w:tbl>
      <w:tblPr>
        <w:tblW w:w="4800" w:type="pct"/>
        <w:jc w:val="center"/>
        <w:tblInd w:w="0" w:type="dxa"/>
        <w:tblLayout w:type="fixed"/>
        <w:tblCellMar>
          <w:top w:w="0" w:type="dxa"/>
          <w:left w:w="0" w:type="dxa"/>
          <w:bottom w:w="0" w:type="dxa"/>
          <w:right w:w="0" w:type="dxa"/>
        </w:tblCellMar>
      </w:tblPr>
      <w:tblGrid>
        <w:gridCol w:w="279"/>
        <w:gridCol w:w="92"/>
        <w:gridCol w:w="4191"/>
        <w:gridCol w:w="92"/>
        <w:gridCol w:w="682"/>
        <w:gridCol w:w="92"/>
        <w:gridCol w:w="953"/>
        <w:gridCol w:w="133"/>
        <w:gridCol w:w="1925"/>
        <w:gridCol w:w="91"/>
        <w:gridCol w:w="682"/>
        <w:gridCol w:w="92"/>
        <w:gridCol w:w="492"/>
      </w:tblGrid>
      <w:tr>
        <w:trPr/>
        <w:tc>
          <w:tcPr>
            <w:tcW w:w="279"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4191"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79" w:type="dxa"/>
            <w:tcBorders>
              <w:right w:val="single" w:sz="2" w:space="0" w:color="000000"/>
            </w:tcBorders>
            <w:tcMar>
              <w:right w:w="28" w:type="dxa"/>
            </w:tcMar>
          </w:tcPr>
          <w:p>
            <w:pPr>
              <w:pStyle w:val="TableContents"/>
              <w:bidi w:val="0"/>
              <w:spacing w:before="0" w:after="283"/>
              <w:jc w:val="left"/>
              <w:rPr/>
            </w:pPr>
            <w:r>
              <w:rPr/>
              <w:t> </w:t>
            </w:r>
          </w:p>
        </w:tc>
        <w:tc>
          <w:tcPr>
            <w:tcW w:w="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9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53" w:type="dxa"/>
            <w:tcBorders/>
          </w:tcPr>
          <w:p>
            <w:pPr>
              <w:pStyle w:val="TableContents"/>
              <w:bidi w:val="0"/>
              <w:spacing w:before="0" w:after="283"/>
              <w:jc w:val="left"/>
              <w:rPr>
                <w:sz w:val="4"/>
                <w:szCs w:val="4"/>
              </w:rPr>
            </w:pPr>
            <w:r>
              <w:rPr>
                <w:sz w:val="4"/>
                <w:szCs w:val="4"/>
              </w:rPr>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2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492" w:type="dxa"/>
            <w:tcBorders/>
          </w:tcPr>
          <w:p>
            <w:pPr>
              <w:pStyle w:val="TableContents"/>
              <w:bidi w:val="0"/>
              <w:spacing w:before="0" w:after="283"/>
              <w:jc w:val="left"/>
              <w:rPr>
                <w:sz w:val="4"/>
                <w:szCs w:val="4"/>
              </w:rPr>
            </w:pPr>
            <w:r>
              <w:rPr>
                <w:sz w:val="4"/>
                <w:szCs w:val="4"/>
              </w:rPr>
            </w:r>
          </w:p>
        </w:tc>
      </w:tr>
      <w:tr>
        <w:trPr/>
        <w:tc>
          <w:tcPr>
            <w:tcW w:w="27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4191" w:type="dxa"/>
            <w:tcBorders/>
          </w:tcPr>
          <w:p>
            <w:pPr>
              <w:pStyle w:val="TableContents"/>
              <w:bidi w:val="0"/>
              <w:spacing w:before="0" w:after="283"/>
              <w:jc w:val="left"/>
              <w:rPr/>
            </w:pPr>
            <w:r>
              <w:rPr/>
              <w:t>Signature [PLEASE SIGN WITHIN BOX]</w:t>
            </w:r>
          </w:p>
        </w:tc>
        <w:tc>
          <w:tcPr>
            <w:tcW w:w="92"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pPr>
            <w:r>
              <w:rPr/>
              <w:t>Date</w:t>
            </w:r>
          </w:p>
        </w:tc>
        <w:tc>
          <w:tcPr>
            <w:tcW w:w="92" w:type="dxa"/>
            <w:tcBorders/>
            <w:vAlign w:val="bottom"/>
          </w:tcPr>
          <w:p>
            <w:pPr>
              <w:pStyle w:val="TableContents"/>
              <w:bidi w:val="0"/>
              <w:spacing w:before="0" w:after="283"/>
              <w:jc w:val="left"/>
              <w:rPr/>
            </w:pPr>
            <w:r>
              <w:rPr/>
              <w:t> </w:t>
            </w:r>
          </w:p>
        </w:tc>
        <w:tc>
          <w:tcPr>
            <w:tcW w:w="953"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Signature (Joint Owners)</w:t>
            </w:r>
          </w:p>
        </w:tc>
        <w:tc>
          <w:tcPr>
            <w:tcW w:w="91" w:type="dxa"/>
            <w:tcBorders/>
            <w:vAlign w:val="bottom"/>
          </w:tcPr>
          <w:p>
            <w:pPr>
              <w:pStyle w:val="TableContents"/>
              <w:bidi w:val="0"/>
              <w:spacing w:before="0" w:after="283"/>
              <w:jc w:val="left"/>
              <w:rPr/>
            </w:pPr>
            <w:r>
              <w:rPr/>
              <w:t> </w:t>
            </w:r>
          </w:p>
        </w:tc>
        <w:tc>
          <w:tcPr>
            <w:tcW w:w="682" w:type="dxa"/>
            <w:tcBorders/>
          </w:tcPr>
          <w:p>
            <w:pPr>
              <w:pStyle w:val="TableContents"/>
              <w:bidi w:val="0"/>
              <w:spacing w:before="0" w:after="283"/>
              <w:jc w:val="left"/>
              <w:rPr/>
            </w:pPr>
            <w:r>
              <w:rPr/>
              <w:t>Date</w:t>
            </w:r>
          </w:p>
        </w:tc>
        <w:tc>
          <w:tcPr>
            <w:tcW w:w="92" w:type="dxa"/>
            <w:tcBorders/>
            <w:vAlign w:val="bottom"/>
          </w:tcPr>
          <w:p>
            <w:pPr>
              <w:pStyle w:val="TableContents"/>
              <w:bidi w:val="0"/>
              <w:spacing w:before="0" w:after="283"/>
              <w:jc w:val="left"/>
              <w:rPr/>
            </w:pPr>
            <w:r>
              <w:rPr/>
              <w:t> </w:t>
            </w:r>
          </w:p>
        </w:tc>
        <w:tc>
          <w:tcPr>
            <w:tcW w:w="49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Wave Life Sciences Ltd. </w:t>
      </w:r>
    </w:p>
    <w:p>
      <w:pPr>
        <w:pStyle w:val="TextBody"/>
        <w:bidi w:val="0"/>
        <w:spacing w:before="0" w:after="0"/>
        <w:jc w:val="center"/>
        <w:rPr>
          <w:rFonts w:ascii="ARIAL" w:hAnsi="ARIAL"/>
          <w:b/>
          <w:sz w:val="20"/>
        </w:rPr>
      </w:pPr>
      <w:r>
        <w:rPr>
          <w:rFonts w:ascii="ARIAL" w:hAnsi="ARIAL"/>
          <w:b/>
          <w:sz w:val="20"/>
        </w:rPr>
        <w:t xml:space="preserve">Special Meeting of Shareholders </w:t>
      </w:r>
    </w:p>
    <w:p>
      <w:pPr>
        <w:pStyle w:val="TextBody"/>
        <w:bidi w:val="0"/>
        <w:spacing w:before="240" w:after="0"/>
        <w:jc w:val="center"/>
        <w:rPr>
          <w:rFonts w:ascii="ARIAL" w:hAnsi="ARIAL"/>
          <w:sz w:val="18"/>
        </w:rPr>
      </w:pPr>
      <w:r>
        <w:rPr>
          <w:rFonts w:ascii="ARIAL" w:hAnsi="ARIAL"/>
          <w:sz w:val="18"/>
        </w:rPr>
        <w:t xml:space="preserve">[  ], 2026, [  ], Eastern Time </w:t>
      </w:r>
    </w:p>
    <w:p>
      <w:pPr>
        <w:pStyle w:val="TextBody"/>
        <w:bidi w:val="0"/>
        <w:spacing w:before="240" w:after="0"/>
        <w:jc w:val="center"/>
        <w:rPr>
          <w:rFonts w:ascii="ARIAL" w:hAnsi="ARIAL"/>
          <w:sz w:val="18"/>
        </w:rPr>
      </w:pPr>
      <w:r>
        <w:rPr>
          <w:rFonts w:ascii="ARIAL" w:hAnsi="ARIAL"/>
          <w:sz w:val="18"/>
        </w:rPr>
        <w:t xml:space="preserve">Wave Life Sciences Ltd. </w:t>
      </w:r>
    </w:p>
    <w:p>
      <w:pPr>
        <w:pStyle w:val="TextBody"/>
        <w:bidi w:val="0"/>
        <w:spacing w:before="0" w:after="0"/>
        <w:jc w:val="center"/>
        <w:rPr>
          <w:rFonts w:ascii="ARIAL" w:hAnsi="ARIAL"/>
          <w:sz w:val="18"/>
        </w:rPr>
      </w:pPr>
      <w:r>
        <w:rPr>
          <w:rFonts w:ascii="ARIAL" w:hAnsi="ARIAL"/>
          <w:sz w:val="18"/>
        </w:rPr>
        <w:t xml:space="preserve">733 Concord Avenue, Cambridge, MA 02138 </w:t>
      </w:r>
    </w:p>
    <w:p>
      <w:pPr>
        <w:pStyle w:val="TextBody"/>
        <w:bidi w:val="0"/>
        <w:spacing w:before="220" w:after="0"/>
        <w:jc w:val="center"/>
        <w:rPr>
          <w:rFonts w:ascii="ARIAL" w:hAnsi="ARIAL"/>
          <w:b/>
          <w:sz w:val="18"/>
        </w:rPr>
      </w:pPr>
      <w:r>
        <w:rPr>
          <w:rFonts w:ascii="ARIAL" w:hAnsi="ARIAL"/>
          <w:b/>
          <w:sz w:val="18"/>
        </w:rPr>
        <w:t xml:space="preserve">Upon arrival, please present this admission ticket </w:t>
      </w:r>
    </w:p>
    <w:p>
      <w:pPr>
        <w:pStyle w:val="TextBody"/>
        <w:bidi w:val="0"/>
        <w:spacing w:before="0" w:after="0"/>
        <w:jc w:val="center"/>
        <w:rPr>
          <w:rFonts w:ascii="ARIAL" w:hAnsi="ARIAL"/>
          <w:b/>
          <w:sz w:val="18"/>
        </w:rPr>
      </w:pPr>
      <w:r>
        <w:rPr>
          <w:rFonts w:ascii="ARIAL" w:hAnsi="ARIAL"/>
          <w:b/>
          <w:sz w:val="18"/>
        </w:rPr>
        <w:t xml:space="preserve">and photo identification at the registration desk. </w:t>
      </w:r>
    </w:p>
    <w:p>
      <w:pPr>
        <w:pStyle w:val="TextBody"/>
        <w:bidi w:val="0"/>
        <w:spacing w:before="0" w:after="0"/>
        <w:jc w:val="left"/>
        <w:rPr/>
      </w:pPr>
      <w:r>
        <w:rPr/>
        <w:t> </w:t>
      </w:r>
    </w:p>
    <w:tbl>
      <w:tblPr>
        <w:tblW w:w="3500" w:type="pct"/>
        <w:jc w:val="center"/>
        <w:tblInd w:w="0" w:type="dxa"/>
        <w:tblLayout w:type="fixed"/>
        <w:tblCellMar>
          <w:top w:w="0" w:type="dxa"/>
          <w:left w:w="0" w:type="dxa"/>
          <w:bottom w:w="0" w:type="dxa"/>
          <w:right w:w="0" w:type="dxa"/>
        </w:tblCellMar>
      </w:tblPr>
      <w:tblGrid>
        <w:gridCol w:w="7143"/>
      </w:tblGrid>
      <w:tr>
        <w:trPr/>
        <w:tc>
          <w:tcPr>
            <w:tcW w:w="7143" w:type="dxa"/>
            <w:tcBorders/>
            <w:vAlign w:val="center"/>
          </w:tcPr>
          <w:p>
            <w:pPr>
              <w:pStyle w:val="TableContents"/>
              <w:bidi w:val="0"/>
              <w:spacing w:before="0" w:after="283"/>
              <w:jc w:val="left"/>
              <w:rPr>
                <w:sz w:val="4"/>
                <w:szCs w:val="4"/>
              </w:rPr>
            </w:pPr>
            <w:r>
              <w:rPr>
                <w:sz w:val="4"/>
                <w:szCs w:val="4"/>
              </w:rPr>
            </w:r>
          </w:p>
        </w:tc>
      </w:tr>
      <w:tr>
        <w:trPr/>
        <w:tc>
          <w:tcPr>
            <w:tcW w:w="714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IMPORTANT NOTICE REGARDING THE AVAILABILITY OF PROXY MATERIALS</w:t>
            </w:r>
          </w:p>
          <w:p>
            <w:pPr>
              <w:pStyle w:val="TableContents"/>
              <w:bidi w:val="0"/>
              <w:spacing w:before="0" w:after="0"/>
              <w:jc w:val="center"/>
              <w:rPr>
                <w:rFonts w:ascii="ARIAL" w:hAnsi="ARIAL"/>
                <w:b/>
                <w:sz w:val="18"/>
              </w:rPr>
            </w:pPr>
            <w:r>
              <w:rPr>
                <w:rFonts w:ascii="ARIAL" w:hAnsi="ARIAL"/>
                <w:b/>
                <w:sz w:val="18"/>
              </w:rPr>
              <w:t>FOR THE SPECIAL MEETING OF SHAREHOLDERS:</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The Notice of Special Meeting and Proxy Statement are available for viewing, printing</w:t>
            </w:r>
          </w:p>
          <w:p>
            <w:pPr>
              <w:pStyle w:val="TableContents"/>
              <w:bidi w:val="0"/>
              <w:spacing w:before="0" w:after="0"/>
              <w:jc w:val="center"/>
              <w:rPr>
                <w:rFonts w:ascii="ARIAL" w:hAnsi="ARIAL"/>
                <w:sz w:val="18"/>
              </w:rPr>
            </w:pPr>
            <w:r>
              <w:rPr>
                <w:rFonts w:ascii="ARIAL" w:hAnsi="ARIAL"/>
                <w:sz w:val="18"/>
              </w:rPr>
              <w:t>and downloading at www.proxyvote.com.</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20" w:after="0"/>
        <w:jc w:val="center"/>
        <w:rPr>
          <w:rFonts w:ascii="ARIAL" w:hAnsi="ARIAL"/>
          <w:b/>
          <w:sz w:val="18"/>
        </w:rPr>
      </w:pPr>
      <w:r>
        <w:rPr>
          <w:rFonts w:ascii="ARIAL" w:hAnsi="ARIAL"/>
          <w:b/>
          <w:sz w:val="18"/>
        </w:rPr>
        <w:t xml:space="preserve">Vote by Mail </w:t>
      </w:r>
    </w:p>
    <w:p>
      <w:pPr>
        <w:pStyle w:val="TextBody"/>
        <w:bidi w:val="0"/>
        <w:spacing w:before="200" w:after="0"/>
        <w:jc w:val="center"/>
        <w:rPr>
          <w:rFonts w:ascii="ARIAL" w:hAnsi="ARIAL"/>
          <w:sz w:val="18"/>
        </w:rPr>
      </w:pPr>
      <w:r>
        <w:rPr>
          <w:rFonts w:ascii="ARIAL" w:hAnsi="ARIAL"/>
          <w:sz w:val="18"/>
        </w:rPr>
        <w:t xml:space="preserve">Whether or not you expect to attend the Special Meeting of Shareholders, please mark, </w:t>
      </w:r>
    </w:p>
    <w:p>
      <w:pPr>
        <w:pStyle w:val="TextBody"/>
        <w:bidi w:val="0"/>
        <w:spacing w:before="0" w:after="0"/>
        <w:jc w:val="center"/>
        <w:rPr>
          <w:rFonts w:ascii="ARIAL" w:hAnsi="ARIAL"/>
          <w:sz w:val="18"/>
        </w:rPr>
      </w:pPr>
      <w:r>
        <w:rPr>
          <w:rFonts w:ascii="ARIAL" w:hAnsi="ARIAL"/>
          <w:sz w:val="18"/>
        </w:rPr>
        <w:t xml:space="preserve">sign and date your proxy card and return it in the postage-paid envelope we have provided or return it to </w:t>
      </w:r>
    </w:p>
    <w:p>
      <w:pPr>
        <w:pStyle w:val="TextBody"/>
        <w:bidi w:val="0"/>
        <w:spacing w:before="0" w:after="0"/>
        <w:jc w:val="center"/>
        <w:rPr>
          <w:rFonts w:ascii="ARIAL" w:hAnsi="ARIAL"/>
          <w:sz w:val="18"/>
        </w:rPr>
      </w:pPr>
      <w:r>
        <w:rPr>
          <w:rFonts w:ascii="ARIAL" w:hAnsi="ARIAL"/>
          <w:sz w:val="18"/>
        </w:rPr>
        <w:t xml:space="preserve">Vote Processing, c/o Broadridge, 51 Mercedes Way, Edgewood, NY 11717. </w:t>
      </w:r>
    </w:p>
    <w:p>
      <w:pPr>
        <w:pStyle w:val="TextBody"/>
        <w:bidi w:val="0"/>
        <w:spacing w:before="200" w:after="0"/>
        <w:jc w:val="center"/>
        <w:rPr>
          <w:rFonts w:ascii="ARIAL" w:hAnsi="ARIAL"/>
          <w:sz w:val="18"/>
        </w:rPr>
      </w:pPr>
      <w:r>
        <w:rPr>
          <w:rFonts w:ascii="ARIAL" w:hAnsi="ARIAL"/>
          <w:sz w:val="18"/>
        </w:rPr>
        <w:t xml:space="preserve">YOUR PROXY CARD MUST BE RECEIVED AT THE ADDRESS ABOVE NOT LESS THAN 48 HOURS BEFORE THE TIME APPOINTED FOR HOLDING THE SPECIAL MEETING OF SHAREHOLDERS (OR WITHIN SUCH OTHER TIME AS MAY BE REQUIRED BY THE SINGAPORE COMPANIES ACT). </w:t>
      </w:r>
    </w:p>
    <w:p>
      <w:pPr>
        <w:pStyle w:val="TextBody"/>
        <w:bidi w:val="0"/>
        <w:spacing w:before="600" w:after="0"/>
        <w:jc w:val="both"/>
        <w:rPr/>
      </w:pPr>
      <w:r>
        <w:rPr/>
        <w:t xml:space="preserve">– – – – – – – – – – – – – – – – – – – – – – – – – – – – – – – – – – – – – – – – – – – – – – – – – – – – – – – – – </w:t>
      </w:r>
    </w:p>
    <w:p>
      <w:pPr>
        <w:pStyle w:val="TextBody"/>
        <w:bidi w:val="0"/>
        <w:spacing w:before="0" w:after="0"/>
        <w:jc w:val="right"/>
        <w:rPr>
          <w:rFonts w:ascii="ARIAL" w:hAnsi="ARIAL"/>
          <w:sz w:val="14"/>
        </w:rPr>
      </w:pPr>
      <w:r>
        <w:rPr>
          <w:rFonts w:ascii="ARIAL" w:hAnsi="ARIAL"/>
          <w:sz w:val="14"/>
        </w:rPr>
        <w:t xml:space="preserve">V92033-TBD  </w:t>
      </w:r>
    </w:p>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p>
    <w:p>
      <w:pPr>
        <w:pStyle w:val="TextBody"/>
        <w:pBdr/>
        <w:bidi w:val="0"/>
        <w:spacing w:before="0" w:after="0"/>
        <w:jc w:val="center"/>
        <w:rPr>
          <w:rFonts w:ascii="ARIAL" w:hAnsi="ARIAL"/>
          <w:b/>
          <w:sz w:val="24"/>
          <w:bdr w:val="single" w:sz="12" w:space="2" w:color="000000"/>
        </w:rPr>
      </w:pPr>
      <w:r>
        <w:rPr>
          <w:rFonts w:ascii="ARIAL" w:hAnsi="ARIAL"/>
          <w:b/>
          <w:sz w:val="24"/>
          <w:bdr w:val="single" w:sz="12" w:space="2" w:color="000000"/>
        </w:rPr>
        <w:t xml:space="preserve">WAVE LIFE SCIENCES LTD. (Incorporated in the Republic of Singapore;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Company Registration Number 201218209G)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Special Meeting of Shareholders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[ ], 2026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This proxy is solicited by the Board of Directors </w:t>
      </w:r>
    </w:p>
    <w:p>
      <w:pPr>
        <w:pStyle w:val="TextBody"/>
        <w:bidi w:val="0"/>
        <w:spacing w:before="200" w:after="0"/>
        <w:jc w:val="both"/>
        <w:rPr>
          <w:rFonts w:ascii="ARIAL" w:hAnsi="ARIAL"/>
          <w:sz w:val="20"/>
          <w:bdr w:val="single" w:sz="12" w:space="2" w:color="000000"/>
        </w:rPr>
      </w:pPr>
      <w:r>
        <w:rPr>
          <w:rFonts w:ascii="ARIAL" w:hAnsi="ARIAL"/>
          <w:sz w:val="20"/>
          <w:bdr w:val="single" w:sz="12" w:space="2" w:color="000000"/>
        </w:rPr>
        <w:t xml:space="preserve">Paul B. Bolno, M.D., MBA, and in his absence, Linda Rockett, Esq., each with the power of substitution and each with the full power to act alone, are hereby authorized as Proxies to represent and vote the ordinary shares of Wave Life Sciences Ltd. owned by the undersigned, with all the powers which the undersigned would possess if personally present, at the Special Meeting of Shareholders of Wave Life Sciences Ltd. to be held on [ ], 2026 or at any postponement or adjournment thereof. </w:t>
      </w:r>
    </w:p>
    <w:p>
      <w:pPr>
        <w:pStyle w:val="TextBody"/>
        <w:bidi w:val="0"/>
        <w:spacing w:before="200" w:after="0"/>
        <w:jc w:val="both"/>
        <w:rPr>
          <w:rFonts w:ascii="ARIAL" w:hAnsi="ARIAL"/>
          <w:b/>
          <w:sz w:val="20"/>
          <w:bdr w:val="single" w:sz="12" w:space="2" w:color="000000"/>
        </w:rPr>
      </w:pPr>
      <w:r>
        <w:rPr>
          <w:rFonts w:ascii="ARIAL" w:hAnsi="ARIAL"/>
          <w:b/>
          <w:sz w:val="20"/>
          <w:bdr w:val="single" w:sz="12" w:space="2" w:color="000000"/>
        </w:rPr>
        <w:t xml:space="preserve">Shares represented by this proxy will be voted by the Proxies as directed herein by the shareholder. If no such directions are indicated, this proxy will be voted in accordance with the Board of Directors’ recommendation. </w:t>
      </w:r>
    </w:p>
    <w:p>
      <w:pPr>
        <w:pStyle w:val="TextBody"/>
        <w:bidi w:val="0"/>
        <w:spacing w:before="200" w:after="0"/>
        <w:jc w:val="both"/>
        <w:rPr>
          <w:rFonts w:ascii="ARIAL" w:hAnsi="ARIAL"/>
          <w:sz w:val="20"/>
          <w:bdr w:val="single" w:sz="12" w:space="2" w:color="000000"/>
        </w:rPr>
      </w:pPr>
      <w:r>
        <w:rPr>
          <w:rFonts w:ascii="ARIAL" w:hAnsi="ARIAL"/>
          <w:sz w:val="20"/>
          <w:bdr w:val="single" w:sz="12" w:space="2" w:color="000000"/>
        </w:rPr>
        <w:t xml:space="preserve">In their discretion, the Proxies are authorized to vote upon such other business as may properly come before the Special Meeting of Shareholders or at any adjournment or postponement thereof. </w:t>
      </w:r>
    </w:p>
    <w:p>
      <w:pPr>
        <w:pStyle w:val="TextBody"/>
        <w:bidi w:val="0"/>
        <w:spacing w:before="600" w:after="0"/>
        <w:jc w:val="center"/>
        <w:rPr>
          <w:rFonts w:ascii="ARIAL" w:hAnsi="ARIAL"/>
          <w:b/>
          <w:color w:val="FF4338"/>
          <w:sz w:val="20"/>
          <w:bdr w:val="single" w:sz="12" w:space="2" w:color="000000"/>
        </w:rPr>
      </w:pPr>
      <w:r>
        <w:rPr>
          <w:rFonts w:ascii="ARIAL" w:hAnsi="ARIAL"/>
          <w:b/>
          <w:color w:val="FF4338"/>
          <w:sz w:val="20"/>
          <w:bdr w:val="single" w:sz="12" w:space="2" w:color="000000"/>
        </w:rPr>
        <w:t xml:space="preserve">PRELIMINARY PROXY CARD - SUBJECT TO COMPLETION </w:t>
      </w:r>
    </w:p>
    <w:p>
      <w:pPr>
        <w:pStyle w:val="TextBody"/>
        <w:pBdr/>
        <w:bidi w:val="0"/>
        <w:spacing w:before="400" w:after="0"/>
        <w:jc w:val="center"/>
        <w:rPr>
          <w:rFonts w:ascii="ARIAL" w:hAnsi="ARIAL"/>
          <w:b/>
          <w:sz w:val="20"/>
          <w:bdr w:val="single" w:sz="12" w:space="2" w:color="000000"/>
        </w:rPr>
      </w:pPr>
      <w:r>
        <w:rPr>
          <w:rFonts w:ascii="ARIAL" w:hAnsi="ARIAL"/>
          <w:b/>
          <w:sz w:val="20"/>
          <w:bdr w:val="single" w:sz="12" w:space="2" w:color="000000"/>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631574/000119312526073472/wve-20251231.htm" TargetMode="External"/><Relationship Id="rId5" Type="http://schemas.openxmlformats.org/officeDocument/2006/relationships/hyperlink" Target="http://www.sec.gov/Archives/edgar/data/../../../ix?doc=/Archives/edgar/data/0001631574/000119312526073437/d103046d8k.htm" TargetMode="External"/><Relationship Id="rId6" Type="http://schemas.openxmlformats.org/officeDocument/2006/relationships/hyperlink" Target="http://www.sec.gov/Archives/edgar/data/../../../ix?doc=/Archives/edgar/data/0001631574/000119312526125092/d17239d8k.htm" TargetMode="External"/><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148</Pages>
  <Words>77879</Words>
  <Characters>413969</Characters>
  <CharactersWithSpaces>492877</CharactersWithSpaces>
  <Paragraphs>4745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