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CORRIGAN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WAVE LIFE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733 CONCORD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Wave Life Sciences, Inc.</w:t>
              </w:r>
            </w:hyperlink>
            <w:r>
              <w:rPr/>
              <w:t xml:space="preserve"> [ </w:t>
            </w:r>
            <w:r>
              <w:rPr>
                <w:rFonts w:ascii="Times;serif" w:hAnsi="Times;serif"/>
                <w:color w:val="0000FF"/>
                <w:sz w:val="24"/>
                <w:shd w:fill="FFFFFF" w:val="clear"/>
              </w:rPr>
              <w:t>WVE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39,515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3.75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granted this restricted stock unit award (RSU) pursuant to the 2026 Non-Employee Director Compensation Policy. The RSU vests as to 100% of the shares on the earlier of the Company's 2027 annual meeting of stockholders or October 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was granted this option pursuant to the 2026 Non-Employee Director Compensation Policy. The option vests as to 100% of the shares on the earlier of the Company's 2027 annual meeting of stockholders or October 5,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August 7, 2026, Wave Life Sciences, Inc., a Delaware corporation, became the successor of Wave Life Sciences Ltd., a company organized under the laws of the Republic of Singapore ("Wave-Singapore"), pursuant to a scheme of arrangement under Singapore law under which all issued ordinary shares in the capital of Wave-Singapore were exchanged on a one-for-one basis for shares of common stock of Wave Life Sciences, Inc. (the "Redomiciliation"). The Redomiciliation had the effect of changing Wave-Singapore's domicile, but did not alter the proportionate interests of securityholders. 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Corrigan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wve-ex24_1.htm"/>
      <w:bookmarkStart w:id="3" w:name="kswveex24_1"/>
      <w:bookmarkEnd w:id="2"/>
      <w:bookmarkEnd w:id="3"/>
      <w:r>
        <w:rPr/>
        <w:t> </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POWER OF ATTORNEY</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Know all by these presents, that the undersigned hereby constitutes and appoints Linda Rockett, Paul B. Bolno and Lindsay Levine of Wave Life Sciences, Inc. (the “Company”) and John T. Rudy, Esq., Nishant M. Dharia, Esq., Samantha M. Silver, Esq., Patricia Garza Gonzalez, Esq., Maura Foley, Robyn Frattali, Erber Hernandez, Autumn Mays and Christopher Brown of Mintz, Levin, Cohn, Ferris, Glovsky and Popeo, P.C., signing singly, with full power of substitution, the undersigned's true and lawful attorney-in-fact to: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if directed by the undersigned, act as an account administrator for the undersigned’s Electronic Data Gathering and Retrieval (“EDGAR”) system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rFonts w:ascii="Times New Roman" w:hAnsi="Times New Roman"/>
          <w:color w:val="000000"/>
          <w:sz w:val="22"/>
        </w:rPr>
      </w:pPr>
      <w:r>
        <w:rPr>
          <w:rFonts w:ascii="Times New Roman" w:hAnsi="Times New Roman"/>
          <w:color w:val="000000"/>
          <w:sz w:val="22"/>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forms and authentication documents;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director and/or 10% shareholder of the Company, Forms 3, 4 and 5 in accordance with Section 16(a) of the Exchange Act and the rules thereunder;</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complete and execute any such Form 3, 4 or 5 and timely file such form with the SEC and any stock exchange or similar authority; and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rFonts w:ascii="Times New Roman" w:hAnsi="Times New Roman"/>
          <w:color w:val="000000"/>
          <w:sz w:val="22"/>
        </w:rPr>
      </w:pPr>
      <w:r>
        <w:rPr>
          <w:rFonts w:ascii="Times New Roman" w:hAnsi="Times New Roman"/>
          <w:color w:val="000000"/>
          <w:sz w:val="22"/>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this 4 day of August, 2026.</w:t>
      </w:r>
    </w:p>
    <w:p>
      <w:pPr>
        <w:pStyle w:val="TextBody"/>
        <w:bidi w:val="0"/>
        <w:jc w:val="left"/>
        <w:rPr/>
      </w:pPr>
      <w:r>
        <w:rPr/>
        <w:t> </w:t>
      </w:r>
    </w:p>
    <w:tbl>
      <w:tblPr>
        <w:tblW w:w="2108" w:type="dxa"/>
        <w:jc w:val="left"/>
        <w:tblInd w:w="0" w:type="dxa"/>
        <w:tblLayout w:type="fixed"/>
        <w:tblCellMar>
          <w:top w:w="28" w:type="dxa"/>
          <w:left w:w="28" w:type="dxa"/>
          <w:bottom w:w="28" w:type="dxa"/>
          <w:right w:w="28" w:type="dxa"/>
        </w:tblCellMar>
      </w:tblPr>
      <w:tblGrid>
        <w:gridCol w:w="161"/>
        <w:gridCol w:w="175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Mark Corrigan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Signature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838" w:type="dxa"/>
        <w:jc w:val="left"/>
        <w:tblInd w:w="0" w:type="dxa"/>
        <w:tblLayout w:type="fixed"/>
        <w:tblCellMar>
          <w:top w:w="28" w:type="dxa"/>
          <w:left w:w="28" w:type="dxa"/>
          <w:bottom w:w="28" w:type="dxa"/>
          <w:right w:w="28" w:type="dxa"/>
        </w:tblCellMar>
      </w:tblPr>
      <w:tblGrid>
        <w:gridCol w:w="161"/>
        <w:gridCol w:w="148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Mark Corrigan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 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0661" TargetMode="External"/><Relationship Id="rId5" Type="http://schemas.openxmlformats.org/officeDocument/2006/relationships/hyperlink" Target="http://www.sec.gov/cgi-bin/browse-edgar?action=getcompany&amp;CIK=00016315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1579</Words>
  <Characters>8548</Characters>
  <CharactersWithSpaces>10046</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