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279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7926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10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1">
        <w:r>
          <w:rPr>
            <w:rFonts w:ascii="Arial" w:cs="Arial" w:eastAsia="Arial" w:hAnsi="Arial"/>
            <w:sz w:val="21"/>
            <w:szCs w:val="21"/>
            <w:u w:val="single" w:color="auto"/>
            <w:color w:val="0000EE"/>
          </w:rPr>
          <w:t>GUERCIOLINI ROBERTO</w:t>
        </w:r>
      </w:hyperlink>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ind w:left="8" w:hanging="8"/>
        <w:spacing w:after="0" w:line="262" w:lineRule="auto"/>
        <w:tabs>
          <w:tab w:leader="none" w:pos="158" w:val="left"/>
        </w:tabs>
        <w:numPr>
          <w:ilvl w:val="0"/>
          <w:numId w:val="1"/>
        </w:numPr>
        <w:rPr>
          <w:rFonts w:ascii="Arial" w:cs="Arial" w:eastAsia="Arial" w:hAnsi="Arial"/>
          <w:sz w:val="12"/>
          <w:szCs w:val="12"/>
          <w:color w:val="auto"/>
        </w:rPr>
      </w:pPr>
      <w:r>
        <w:rPr>
          <w:rFonts w:ascii="Arial" w:cs="Arial" w:eastAsia="Arial" w:hAnsi="Arial"/>
          <w:sz w:val="12"/>
          <w:szCs w:val="12"/>
          <w:color w:val="auto"/>
        </w:rPr>
        <w:t>Date of Event Requiring Statement (Month/Day/Year)</w:t>
      </w:r>
    </w:p>
    <w:p>
      <w:pPr>
        <w:ind w:left="8"/>
        <w:spacing w:after="0"/>
        <w:rPr>
          <w:sz w:val="20"/>
          <w:szCs w:val="20"/>
          <w:color w:val="auto"/>
        </w:rPr>
      </w:pPr>
      <w:r>
        <w:rPr>
          <w:rFonts w:ascii="Arial" w:cs="Arial" w:eastAsia="Arial" w:hAnsi="Arial"/>
          <w:sz w:val="18"/>
          <w:szCs w:val="18"/>
          <w:color w:val="0000FF"/>
        </w:rPr>
        <w:t>11/10/2015</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Wave Life Sciences Ltd.</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WVE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3">
            <w:col w:w="2772" w:space="720"/>
            <w:col w:w="1228"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WAVE LIFE SCIENCES LTD.,</w:t>
      </w:r>
    </w:p>
    <w:p>
      <w:pPr>
        <w:spacing w:after="0" w:line="86"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733 CONCORD AVE.</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4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40" w:type="dxa"/>
            <w:vAlign w:val="bottom"/>
          </w:tcPr>
          <w:p>
            <w:pPr>
              <w:ind w:left="40"/>
              <w:spacing w:after="0"/>
              <w:rPr>
                <w:sz w:val="20"/>
                <w:szCs w:val="20"/>
                <w:color w:val="auto"/>
              </w:rPr>
            </w:pPr>
            <w:r>
              <w:rPr>
                <w:rFonts w:ascii="Arial" w:cs="Arial" w:eastAsia="Arial" w:hAnsi="Arial"/>
                <w:sz w:val="18"/>
                <w:szCs w:val="18"/>
                <w:color w:val="0000FF"/>
              </w:rPr>
              <w:t>CAMBRIDGE MA</w:t>
            </w:r>
          </w:p>
        </w:tc>
        <w:tc>
          <w:tcPr>
            <w:tcW w:w="820" w:type="dxa"/>
            <w:vAlign w:val="bottom"/>
          </w:tcPr>
          <w:p>
            <w:pPr>
              <w:jc w:val="right"/>
              <w:spacing w:after="0"/>
              <w:rPr>
                <w:sz w:val="20"/>
                <w:szCs w:val="20"/>
                <w:color w:val="auto"/>
              </w:rPr>
            </w:pPr>
            <w:r>
              <w:rPr>
                <w:rFonts w:ascii="Arial" w:cs="Arial" w:eastAsia="Arial" w:hAnsi="Arial"/>
                <w:sz w:val="18"/>
                <w:szCs w:val="18"/>
                <w:color w:val="0000FF"/>
              </w:rPr>
              <w:t>02138</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66"/>
        <w:spacing w:after="0"/>
        <w:rPr>
          <w:sz w:val="20"/>
          <w:szCs w:val="20"/>
          <w:color w:val="auto"/>
        </w:rPr>
      </w:pPr>
      <w:r>
        <w:rPr>
          <w:rFonts w:ascii="Arial" w:cs="Arial" w:eastAsia="Arial" w:hAnsi="Arial"/>
          <w:sz w:val="18"/>
          <w:szCs w:val="18"/>
          <w:color w:val="0000FF"/>
        </w:rPr>
        <w:t>See Remarks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2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Share Option (Right to Buy)</w:t>
            </w:r>
          </w:p>
        </w:tc>
        <w:tc>
          <w:tcPr>
            <w:tcW w:w="900" w:type="dxa"/>
            <w:vAlign w:val="bottom"/>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03/22/2025</w:t>
            </w:r>
          </w:p>
        </w:tc>
        <w:tc>
          <w:tcPr>
            <w:tcW w:w="1860" w:type="dxa"/>
            <w:vAlign w:val="bottom"/>
          </w:tcPr>
          <w:p>
            <w:pPr>
              <w:ind w:left="460"/>
              <w:spacing w:after="0"/>
              <w:rPr>
                <w:sz w:val="20"/>
                <w:szCs w:val="20"/>
                <w:color w:val="auto"/>
              </w:rPr>
            </w:pPr>
            <w:r>
              <w:rPr>
                <w:rFonts w:ascii="Arial" w:cs="Arial" w:eastAsia="Arial" w:hAnsi="Arial"/>
                <w:sz w:val="18"/>
                <w:szCs w:val="18"/>
                <w:color w:val="0000FF"/>
              </w:rPr>
              <w:t>Ordinary Shares</w:t>
            </w:r>
          </w:p>
        </w:tc>
        <w:tc>
          <w:tcPr>
            <w:tcW w:w="920" w:type="dxa"/>
            <w:vAlign w:val="bottom"/>
          </w:tcPr>
          <w:p>
            <w:pPr>
              <w:jc w:val="right"/>
              <w:ind w:right="7"/>
              <w:spacing w:after="0"/>
              <w:rPr>
                <w:sz w:val="20"/>
                <w:szCs w:val="20"/>
                <w:color w:val="auto"/>
              </w:rPr>
            </w:pPr>
            <w:r>
              <w:rPr>
                <w:rFonts w:ascii="Arial" w:cs="Arial" w:eastAsia="Arial" w:hAnsi="Arial"/>
                <w:sz w:val="18"/>
                <w:szCs w:val="18"/>
                <w:color w:val="0000FF"/>
              </w:rPr>
              <w:t>108,617</w:t>
            </w:r>
          </w:p>
        </w:tc>
        <w:tc>
          <w:tcPr>
            <w:tcW w:w="880" w:type="dxa"/>
            <w:vAlign w:val="bottom"/>
          </w:tcPr>
          <w:p>
            <w:pPr>
              <w:ind w:left="240"/>
              <w:spacing w:after="0"/>
              <w:rPr>
                <w:sz w:val="20"/>
                <w:szCs w:val="20"/>
                <w:color w:val="auto"/>
              </w:rPr>
            </w:pPr>
            <w:r>
              <w:rPr>
                <w:rFonts w:ascii="Arial" w:cs="Arial" w:eastAsia="Arial" w:hAnsi="Arial"/>
                <w:sz w:val="18"/>
                <w:szCs w:val="18"/>
                <w:color w:val="0000FF"/>
              </w:rPr>
              <w:t>2.474</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Share Option (Right to Buy)</w:t>
            </w:r>
          </w:p>
        </w:tc>
        <w:tc>
          <w:tcPr>
            <w:tcW w:w="900" w:type="dxa"/>
            <w:vAlign w:val="bottom"/>
          </w:tcPr>
          <w:p>
            <w:pPr>
              <w:ind w:left="380"/>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03/22/2025</w:t>
            </w:r>
          </w:p>
        </w:tc>
        <w:tc>
          <w:tcPr>
            <w:tcW w:w="1860" w:type="dxa"/>
            <w:vAlign w:val="bottom"/>
          </w:tcPr>
          <w:p>
            <w:pPr>
              <w:ind w:left="460"/>
              <w:spacing w:after="0"/>
              <w:rPr>
                <w:sz w:val="20"/>
                <w:szCs w:val="20"/>
                <w:color w:val="auto"/>
              </w:rPr>
            </w:pPr>
            <w:r>
              <w:rPr>
                <w:rFonts w:ascii="Arial" w:cs="Arial" w:eastAsia="Arial" w:hAnsi="Arial"/>
                <w:sz w:val="18"/>
                <w:szCs w:val="18"/>
                <w:color w:val="0000FF"/>
              </w:rPr>
              <w:t>Ordinary Shares</w:t>
            </w:r>
          </w:p>
        </w:tc>
        <w:tc>
          <w:tcPr>
            <w:tcW w:w="920" w:type="dxa"/>
            <w:vAlign w:val="bottom"/>
          </w:tcPr>
          <w:p>
            <w:pPr>
              <w:jc w:val="right"/>
              <w:ind w:right="47"/>
              <w:spacing w:after="0"/>
              <w:rPr>
                <w:sz w:val="20"/>
                <w:szCs w:val="20"/>
                <w:color w:val="auto"/>
              </w:rPr>
            </w:pPr>
            <w:r>
              <w:rPr>
                <w:rFonts w:ascii="Arial" w:cs="Arial" w:eastAsia="Arial" w:hAnsi="Arial"/>
                <w:sz w:val="18"/>
                <w:szCs w:val="18"/>
                <w:color w:val="0000FF"/>
              </w:rPr>
              <w:t>12,629</w:t>
            </w:r>
          </w:p>
        </w:tc>
        <w:tc>
          <w:tcPr>
            <w:tcW w:w="880" w:type="dxa"/>
            <w:vAlign w:val="bottom"/>
          </w:tcPr>
          <w:p>
            <w:pPr>
              <w:ind w:left="240"/>
              <w:spacing w:after="0"/>
              <w:rPr>
                <w:sz w:val="20"/>
                <w:szCs w:val="20"/>
                <w:color w:val="auto"/>
              </w:rPr>
            </w:pPr>
            <w:r>
              <w:rPr>
                <w:rFonts w:ascii="Arial" w:cs="Arial" w:eastAsia="Arial" w:hAnsi="Arial"/>
                <w:sz w:val="18"/>
                <w:szCs w:val="18"/>
                <w:color w:val="0000FF"/>
              </w:rPr>
              <w:t>2.474</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The share option will vest as to 25% of the shares underlying such option on March 10, 2016 and the remaining shares will vest in thirty-six equal monthly installments thereafter.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The share option will vest as to 25% of the shares underlying such option on March 10, 2016 and the remaining shares will vest in thirty-six equal monthly installments thereafter.</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Senior Vice President, Head of Early Development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Roberto Guerciolini</w:t>
            </w: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11/10/2015</w:t>
            </w:r>
          </w:p>
        </w:tc>
      </w:tr>
      <w:tr>
        <w:trPr>
          <w:trHeight w:val="20"/>
        </w:trPr>
        <w:tc>
          <w:tcPr>
            <w:tcW w:w="1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Know all by these present, that the undersigned hereby constitutes and appoints each of Matthew Gardella, Marc Mantell, Kanasha Herbert, Matthew Tikonoff, Sarita Malakar, Daniel Wilcox, Jacqueline Cannata, Anne Leland and Brenda Meyette of Mintz, Levin, Cohn, Ferris, Glovsky and Popeo, P.C., signing singly, with full power of substitution, the undersigned's true and lawful attorney-in-fact to:</w:t>
      </w:r>
    </w:p>
    <w:p>
      <w:pPr>
        <w:spacing w:after="0" w:line="210" w:lineRule="exact"/>
        <w:rPr>
          <w:sz w:val="20"/>
          <w:szCs w:val="20"/>
          <w:color w:val="auto"/>
        </w:rPr>
      </w:pPr>
    </w:p>
    <w:p>
      <w:pPr>
        <w:ind w:left="1700" w:right="2739" w:hanging="849"/>
        <w:spacing w:after="0" w:line="235" w:lineRule="auto"/>
        <w:tabs>
          <w:tab w:leader="none" w:pos="17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forms and authentication documents for EDGAR Filing Access;</w:t>
      </w:r>
    </w:p>
    <w:p>
      <w:pPr>
        <w:spacing w:after="0" w:line="208" w:lineRule="exact"/>
        <w:rPr>
          <w:rFonts w:ascii="Courier New" w:cs="Courier New" w:eastAsia="Courier New" w:hAnsi="Courier New"/>
          <w:sz w:val="18"/>
          <w:szCs w:val="18"/>
          <w:color w:val="auto"/>
        </w:rPr>
      </w:pPr>
    </w:p>
    <w:p>
      <w:pPr>
        <w:ind w:left="1700" w:right="1999" w:hanging="849"/>
        <w:spacing w:after="0" w:line="268" w:lineRule="auto"/>
        <w:tabs>
          <w:tab w:leader="none" w:pos="17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director and/or 10% shareholder of WAVE Life Sciences Pte. Ltd. (or its successor, WAVE Life Sciences Ltd., as the case may be) (the "Company"), forms and authentication documents for EDGAR Filing</w:t>
      </w:r>
    </w:p>
    <w:p>
      <w:pPr>
        <w:ind w:left="1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Access;</w:t>
      </w:r>
    </w:p>
    <w:p>
      <w:pPr>
        <w:spacing w:after="0" w:line="207" w:lineRule="exact"/>
        <w:rPr>
          <w:rFonts w:ascii="Courier New" w:cs="Courier New" w:eastAsia="Courier New" w:hAnsi="Courier New"/>
          <w:sz w:val="16"/>
          <w:szCs w:val="16"/>
          <w:color w:val="auto"/>
        </w:rPr>
      </w:pPr>
    </w:p>
    <w:p>
      <w:pPr>
        <w:ind w:left="1700" w:right="1879" w:hanging="849"/>
        <w:spacing w:after="0" w:line="236" w:lineRule="auto"/>
        <w:tabs>
          <w:tab w:leader="none" w:pos="17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forms and authentication documents;</w:t>
      </w:r>
    </w:p>
    <w:p>
      <w:pPr>
        <w:spacing w:after="0" w:line="208" w:lineRule="exact"/>
        <w:rPr>
          <w:rFonts w:ascii="Courier New" w:cs="Courier New" w:eastAsia="Courier New" w:hAnsi="Courier New"/>
          <w:sz w:val="18"/>
          <w:szCs w:val="18"/>
          <w:color w:val="auto"/>
        </w:rPr>
      </w:pPr>
    </w:p>
    <w:p>
      <w:pPr>
        <w:ind w:left="1700" w:right="2319" w:hanging="849"/>
        <w:spacing w:after="0" w:line="237" w:lineRule="auto"/>
        <w:tabs>
          <w:tab w:leader="none" w:pos="17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director and/or 10% shareholder of the Company, Forms 3, 4 and 5 (including any amendments thereto) in accordance with Section 16(a) of the Securities Exchange Act of 1934, as amended, and the rules thereunder (collectively, the "Exchange Act");</w:t>
      </w:r>
    </w:p>
    <w:p>
      <w:pPr>
        <w:spacing w:after="0" w:line="209" w:lineRule="exact"/>
        <w:rPr>
          <w:rFonts w:ascii="Courier New" w:cs="Courier New" w:eastAsia="Courier New" w:hAnsi="Courier New"/>
          <w:sz w:val="18"/>
          <w:szCs w:val="18"/>
          <w:color w:val="auto"/>
        </w:rPr>
      </w:pPr>
    </w:p>
    <w:p>
      <w:pPr>
        <w:ind w:left="1700" w:right="1879" w:hanging="849"/>
        <w:spacing w:after="0" w:line="237" w:lineRule="auto"/>
        <w:tabs>
          <w:tab w:leader="none" w:pos="17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prepare, complete and execute any amendment or amendments thereto, and timely file such form with the U.S.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left="1700" w:right="1879" w:hanging="849"/>
        <w:spacing w:after="0" w:line="237" w:lineRule="auto"/>
        <w:tabs>
          <w:tab w:leader="none" w:pos="17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4" w:lineRule="exact"/>
        <w:rPr>
          <w:sz w:val="20"/>
          <w:szCs w:val="20"/>
          <w:color w:val="auto"/>
        </w:rPr>
      </w:pPr>
    </w:p>
    <w:p>
      <w:pPr>
        <w:ind w:right="1779" w:firstLine="843"/>
        <w:spacing w:after="0" w:line="269"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 (i) any liability for the undersigned's responsibility to comply with the requirements of the Exchange Act, (ii) any liability of the undersigned for any failure to comply with such requirements or</w:t>
      </w:r>
    </w:p>
    <w:p>
      <w:pPr>
        <w:spacing w:after="0" w:line="194" w:lineRule="exact"/>
        <w:rPr>
          <w:sz w:val="20"/>
          <w:szCs w:val="20"/>
          <w:color w:val="auto"/>
        </w:rPr>
      </w:pPr>
    </w:p>
    <w:p>
      <w:pPr>
        <w:ind w:right="2199" w:firstLine="8"/>
        <w:spacing w:after="0" w:line="235" w:lineRule="auto"/>
        <w:tabs>
          <w:tab w:leader="none" w:pos="63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obligation or liability of the undersigned for profit disgorgement under Section 16(b) of the Exchange Act.</w:t>
      </w:r>
    </w:p>
    <w:p>
      <w:pPr>
        <w:spacing w:after="0" w:line="208" w:lineRule="exact"/>
        <w:rPr>
          <w:sz w:val="20"/>
          <w:szCs w:val="20"/>
          <w:color w:val="auto"/>
        </w:rPr>
      </w:pPr>
    </w:p>
    <w:p>
      <w:pPr>
        <w:ind w:right="1779" w:firstLine="843"/>
        <w:spacing w:after="0" w:line="272"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and execute authentication documents with respect to the undersigned's EDGAR Filing Access or to file Forms 3, 4 and 5 with respect to the undersigned's holdings of and transactions in securities issued by the Company, unless earlier revoked by the undersigned in a signed writing delivered to the foregoing attorneys-in-fact.</w:t>
      </w:r>
    </w:p>
    <w:p>
      <w:pPr>
        <w:spacing w:after="0" w:line="186"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the date set forth below.</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Signature:/s/ Roberto Guerciolini</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Name: Roberto Guerciolini, M.D.</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Date: November 4, 2015</w:t>
      </w:r>
    </w:p>
    <w:p>
      <w:pPr>
        <w:sectPr>
          <w:pgSz w:w="11900" w:h="16838" w:orient="portrait"/>
          <w:cols w:equalWidth="0" w:num="1">
            <w:col w:w="10219"/>
          </w:cols>
          <w:pgMar w:left="240" w:top="136" w:right="1440" w:bottom="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2"/>
    </w:lvl>
  </w:abstractNum>
  <w:abstractNum w:abstractNumId="1">
    <w:nsid w:val="46E87CCD"/>
    <w:multiLevelType w:val="hybridMultilevel"/>
    <w:lvl w:ilvl="0">
      <w:lvlJc w:val="left"/>
      <w:lvlText w:val="%1."/>
      <w:numFmt w:val="decimal"/>
      <w:start w:val="4"/>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X"/>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86837" TargetMode="External"/><Relationship Id="rId12" Type="http://schemas.openxmlformats.org/officeDocument/2006/relationships/hyperlink" Target="http://www.sec.gov/cgi-bin/browse-edgar?action=getcompany&amp;CIK=00016315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2019-12-23T15:43:31Z</dcterms:created>
  <dcterms:modified xsi:type="dcterms:W3CDTF">2019-12-23T15:43:31Z</dcterms:modified>
</cp:coreProperties>
</file>