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60325</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69215</wp:posOffset>
            </wp:positionV>
            <wp:extent cx="240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180" w:right="2920" w:hanging="4172"/>
        <w:spacing w:after="0" w:line="264" w:lineRule="auto"/>
        <w:tabs>
          <w:tab w:leader="none" w:pos="51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2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406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b w:val="1"/>
                <w:bCs w:val="1"/>
                <w:color w:val="auto"/>
                <w:w w:val="93"/>
              </w:rPr>
              <w:t>For the transition period from</w:t>
            </w:r>
          </w:p>
        </w:tc>
        <w:tc>
          <w:tcPr>
            <w:tcW w:w="500" w:type="dxa"/>
            <w:vAlign w:val="bottom"/>
            <w:tcBorders>
              <w:bottom w:val="single" w:sz="8" w:color="auto"/>
            </w:tcBorders>
          </w:tcPr>
          <w:p>
            <w:pPr>
              <w:spacing w:after="0"/>
              <w:rPr>
                <w:sz w:val="16"/>
                <w:szCs w:val="16"/>
                <w:color w:val="auto"/>
              </w:rPr>
            </w:pPr>
          </w:p>
        </w:tc>
        <w:tc>
          <w:tcPr>
            <w:tcW w:w="160" w:type="dxa"/>
            <w:vAlign w:val="bottom"/>
          </w:tcPr>
          <w:p>
            <w:pPr>
              <w:ind w:left="40"/>
              <w:spacing w:after="0"/>
              <w:rPr>
                <w:sz w:val="20"/>
                <w:szCs w:val="20"/>
                <w:color w:val="auto"/>
              </w:rPr>
            </w:pPr>
            <w:r>
              <w:rPr>
                <w:rFonts w:ascii="Arial" w:cs="Arial" w:eastAsia="Arial" w:hAnsi="Arial"/>
                <w:sz w:val="15"/>
                <w:szCs w:val="15"/>
                <w:b w:val="1"/>
                <w:bCs w:val="1"/>
                <w:color w:val="auto"/>
                <w:w w:val="70"/>
              </w:rPr>
              <w:t>to</w:t>
            </w:r>
          </w:p>
        </w:tc>
      </w:tr>
      <w:tr>
        <w:trPr>
          <w:trHeight w:val="244"/>
        </w:trPr>
        <w:tc>
          <w:tcPr>
            <w:tcW w:w="2780" w:type="dxa"/>
            <w:vAlign w:val="bottom"/>
            <w:gridSpan w:val="3"/>
          </w:tcPr>
          <w:p>
            <w:pPr>
              <w:ind w:left="560"/>
              <w:spacing w:after="0"/>
              <w:rPr>
                <w:sz w:val="20"/>
                <w:szCs w:val="20"/>
                <w:color w:val="auto"/>
              </w:rPr>
            </w:pPr>
            <w:r>
              <w:rPr>
                <w:rFonts w:ascii="Arial" w:cs="Arial" w:eastAsia="Arial" w:hAnsi="Arial"/>
                <w:sz w:val="16"/>
                <w:szCs w:val="16"/>
                <w:b w:val="1"/>
                <w:bCs w:val="1"/>
                <w:color w:val="auto"/>
                <w:w w:val="91"/>
              </w:rPr>
              <w:t>Commission File No. 001-37627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55245</wp:posOffset>
            </wp:positionV>
            <wp:extent cx="240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9825"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-167005</wp:posOffset>
            </wp:positionV>
            <wp:extent cx="308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8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WAVE LIFE SCIENCES LTD.</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52070</wp:posOffset>
            </wp:positionV>
            <wp:extent cx="2409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w w:val="89"/>
              </w:rPr>
              <w:t>Singapore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tcPr>
          <w:p>
            <w:pPr>
              <w:jc w:val="center"/>
              <w:ind w:right="906"/>
              <w:spacing w:after="0"/>
              <w:rPr>
                <w:sz w:val="20"/>
                <w:szCs w:val="20"/>
                <w:color w:val="auto"/>
              </w:rPr>
            </w:pPr>
            <w:r>
              <w:rPr>
                <w:rFonts w:ascii="Arial" w:cs="Arial" w:eastAsia="Arial" w:hAnsi="Arial"/>
                <w:sz w:val="16"/>
                <w:szCs w:val="16"/>
                <w:b w:val="1"/>
                <w:bCs w:val="1"/>
                <w:color w:val="auto"/>
                <w:w w:val="93"/>
              </w:rPr>
              <w:t>Not applicable</w:t>
            </w:r>
          </w:p>
        </w:tc>
      </w:tr>
      <w:tr>
        <w:trPr>
          <w:trHeight w:val="149"/>
        </w:trPr>
        <w:tc>
          <w:tcPr>
            <w:tcW w:w="920" w:type="dxa"/>
            <w:vAlign w:val="bottom"/>
          </w:tcPr>
          <w:p>
            <w:pPr>
              <w:spacing w:after="0"/>
              <w:rPr>
                <w:sz w:val="12"/>
                <w:szCs w:val="12"/>
                <w:color w:val="auto"/>
              </w:rPr>
            </w:pPr>
          </w:p>
        </w:tc>
        <w:tc>
          <w:tcPr>
            <w:tcW w:w="5640" w:type="dxa"/>
            <w:vAlign w:val="bottom"/>
            <w:gridSpan w:val="3"/>
          </w:tcPr>
          <w:p>
            <w:pPr>
              <w:jc w:val="center"/>
              <w:ind w:right="1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80" w:type="dxa"/>
            <w:vAlign w:val="bottom"/>
          </w:tcPr>
          <w:p>
            <w:pPr>
              <w:jc w:val="center"/>
              <w:ind w:right="88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920" w:type="dxa"/>
            <w:vAlign w:val="bottom"/>
          </w:tcPr>
          <w:p>
            <w:pPr>
              <w:spacing w:after="0"/>
              <w:rPr>
                <w:sz w:val="16"/>
                <w:szCs w:val="16"/>
                <w:color w:val="auto"/>
              </w:rPr>
            </w:pPr>
          </w:p>
        </w:tc>
        <w:tc>
          <w:tcPr>
            <w:tcW w:w="56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tcPr>
          <w:p>
            <w:pPr>
              <w:jc w:val="center"/>
              <w:ind w:right="906"/>
              <w:spacing w:after="0"/>
              <w:rPr>
                <w:sz w:val="20"/>
                <w:szCs w:val="20"/>
                <w:color w:val="auto"/>
              </w:rPr>
            </w:pPr>
            <w:r>
              <w:rPr>
                <w:rFonts w:ascii="Arial" w:cs="Arial" w:eastAsia="Arial" w:hAnsi="Arial"/>
                <w:sz w:val="14"/>
                <w:szCs w:val="14"/>
                <w:b w:val="1"/>
                <w:bCs w:val="1"/>
                <w:color w:val="auto"/>
                <w:w w:val="96"/>
              </w:rPr>
              <w:t>Identification No.)</w:t>
            </w:r>
          </w:p>
        </w:tc>
      </w:tr>
      <w:tr>
        <w:trPr>
          <w:trHeight w:val="214"/>
        </w:trPr>
        <w:tc>
          <w:tcPr>
            <w:tcW w:w="920" w:type="dxa"/>
            <w:vAlign w:val="bottom"/>
          </w:tcPr>
          <w:p>
            <w:pPr>
              <w:spacing w:after="0"/>
              <w:rPr>
                <w:sz w:val="18"/>
                <w:szCs w:val="18"/>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w w:val="93"/>
              </w:rPr>
              <w:t>7 Straits View #12-00, Marina One East Tower</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94"/>
        </w:trPr>
        <w:tc>
          <w:tcPr>
            <w:tcW w:w="920" w:type="dxa"/>
            <w:vAlign w:val="bottom"/>
          </w:tcPr>
          <w:p>
            <w:pPr>
              <w:spacing w:after="0"/>
              <w:rPr>
                <w:sz w:val="16"/>
                <w:szCs w:val="16"/>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w w:val="89"/>
              </w:rPr>
              <w:t>Singapore</w:t>
            </w:r>
          </w:p>
        </w:tc>
        <w:tc>
          <w:tcPr>
            <w:tcW w:w="3940" w:type="dxa"/>
            <w:vAlign w:val="bottom"/>
            <w:gridSpan w:val="3"/>
          </w:tcPr>
          <w:p>
            <w:pPr>
              <w:jc w:val="center"/>
              <w:ind w:left="3"/>
              <w:spacing w:after="0"/>
              <w:rPr>
                <w:sz w:val="20"/>
                <w:szCs w:val="20"/>
                <w:color w:val="auto"/>
              </w:rPr>
            </w:pPr>
            <w:r>
              <w:rPr>
                <w:rFonts w:ascii="Arial" w:cs="Arial" w:eastAsia="Arial" w:hAnsi="Arial"/>
                <w:sz w:val="16"/>
                <w:szCs w:val="16"/>
                <w:b w:val="1"/>
                <w:bCs w:val="1"/>
                <w:color w:val="auto"/>
                <w:w w:val="93"/>
              </w:rPr>
              <w:t>018936</w:t>
            </w:r>
          </w:p>
        </w:tc>
      </w:tr>
      <w:tr>
        <w:trPr>
          <w:trHeight w:val="186"/>
        </w:trPr>
        <w:tc>
          <w:tcPr>
            <w:tcW w:w="920" w:type="dxa"/>
            <w:vAlign w:val="bottom"/>
          </w:tcPr>
          <w:p>
            <w:pPr>
              <w:spacing w:after="0"/>
              <w:rPr>
                <w:sz w:val="16"/>
                <w:szCs w:val="16"/>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tcPr>
          <w:p>
            <w:pPr>
              <w:jc w:val="center"/>
              <w:ind w:right="906"/>
              <w:spacing w:after="0"/>
              <w:rPr>
                <w:sz w:val="20"/>
                <w:szCs w:val="20"/>
                <w:color w:val="auto"/>
              </w:rPr>
            </w:pPr>
            <w:r>
              <w:rPr>
                <w:rFonts w:ascii="Arial" w:cs="Arial" w:eastAsia="Arial" w:hAnsi="Arial"/>
                <w:sz w:val="14"/>
                <w:szCs w:val="14"/>
                <w:b w:val="1"/>
                <w:bCs w:val="1"/>
                <w:color w:val="auto"/>
                <w:w w:val="92"/>
              </w:rPr>
              <w:t>(Zip code)</w:t>
            </w:r>
          </w:p>
        </w:tc>
      </w:tr>
      <w:tr>
        <w:trPr>
          <w:trHeight w:val="205"/>
        </w:trPr>
        <w:tc>
          <w:tcPr>
            <w:tcW w:w="6560" w:type="dxa"/>
            <w:vAlign w:val="bottom"/>
            <w:gridSpan w:val="4"/>
          </w:tcPr>
          <w:p>
            <w:pPr>
              <w:jc w:val="center"/>
              <w:ind w:left="4785"/>
              <w:spacing w:after="0"/>
              <w:rPr>
                <w:sz w:val="20"/>
                <w:szCs w:val="20"/>
                <w:color w:val="auto"/>
              </w:rPr>
            </w:pPr>
            <w:r>
              <w:rPr>
                <w:rFonts w:ascii="Arial" w:cs="Arial" w:eastAsia="Arial" w:hAnsi="Arial"/>
                <w:sz w:val="16"/>
                <w:szCs w:val="16"/>
                <w:b w:val="1"/>
                <w:bCs w:val="1"/>
                <w:color w:val="auto"/>
                <w:w w:val="91"/>
              </w:rPr>
              <w:t>+65 6236 3388</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86"/>
        </w:trPr>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gridSpan w:val="5"/>
          </w:tcPr>
          <w:p>
            <w:pPr>
              <w:jc w:val="center"/>
              <w:ind w:right="282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9"/>
        </w:trPr>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gridSpan w:val="5"/>
          </w:tcPr>
          <w:p>
            <w:pPr>
              <w:jc w:val="center"/>
              <w:ind w:right="280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4"/>
        </w:trPr>
        <w:tc>
          <w:tcPr>
            <w:tcW w:w="920" w:type="dxa"/>
            <w:vAlign w:val="bottom"/>
          </w:tcPr>
          <w:p>
            <w:pPr>
              <w:spacing w:after="0"/>
              <w:rPr>
                <w:sz w:val="15"/>
                <w:szCs w:val="15"/>
                <w:color w:val="auto"/>
              </w:rPr>
            </w:pPr>
          </w:p>
        </w:tc>
        <w:tc>
          <w:tcPr>
            <w:tcW w:w="56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3"/>
              </w:rPr>
              <w:t>Title of Each Class</w:t>
            </w:r>
          </w:p>
        </w:tc>
        <w:tc>
          <w:tcPr>
            <w:tcW w:w="60" w:type="dxa"/>
            <w:vAlign w:val="bottom"/>
          </w:tcPr>
          <w:p>
            <w:pPr>
              <w:spacing w:after="0"/>
              <w:rPr>
                <w:sz w:val="15"/>
                <w:szCs w:val="15"/>
                <w:color w:val="auto"/>
              </w:rPr>
            </w:pPr>
          </w:p>
        </w:tc>
        <w:tc>
          <w:tcPr>
            <w:tcW w:w="3880" w:type="dxa"/>
            <w:vAlign w:val="bottom"/>
            <w:gridSpan w:val="2"/>
          </w:tcPr>
          <w:p>
            <w:pPr>
              <w:ind w:left="6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55"/>
        </w:trPr>
        <w:tc>
          <w:tcPr>
            <w:tcW w:w="920" w:type="dxa"/>
            <w:vAlign w:val="bottom"/>
          </w:tcPr>
          <w:p>
            <w:pPr>
              <w:spacing w:after="0"/>
              <w:rPr>
                <w:sz w:val="13"/>
                <w:szCs w:val="13"/>
                <w:color w:val="auto"/>
              </w:rPr>
            </w:pPr>
          </w:p>
        </w:tc>
        <w:tc>
          <w:tcPr>
            <w:tcW w:w="39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$0 Par Value Ordinary Shares</w:t>
            </w: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tcPr>
          <w:p>
            <w:pPr>
              <w:jc w:val="center"/>
              <w:ind w:right="926"/>
              <w:spacing w:after="0" w:line="155" w:lineRule="exact"/>
              <w:rPr>
                <w:sz w:val="20"/>
                <w:szCs w:val="20"/>
                <w:color w:val="auto"/>
              </w:rPr>
            </w:pPr>
            <w:r>
              <w:rPr>
                <w:rFonts w:ascii="Arial" w:cs="Arial" w:eastAsia="Arial" w:hAnsi="Arial"/>
                <w:sz w:val="14"/>
                <w:szCs w:val="14"/>
                <w:b w:val="1"/>
                <w:bCs w:val="1"/>
                <w:color w:val="auto"/>
                <w:w w:val="95"/>
              </w:rPr>
              <w:t>The Nasdaq Global Market</w:t>
            </w:r>
          </w:p>
        </w:tc>
      </w:tr>
      <w:tr>
        <w:trPr>
          <w:trHeight w:val="210"/>
        </w:trPr>
        <w:tc>
          <w:tcPr>
            <w:tcW w:w="920" w:type="dxa"/>
            <w:vAlign w:val="bottom"/>
          </w:tcPr>
          <w:p>
            <w:pPr>
              <w:spacing w:after="0"/>
              <w:rPr>
                <w:sz w:val="18"/>
                <w:szCs w:val="18"/>
                <w:color w:val="auto"/>
              </w:rPr>
            </w:pPr>
          </w:p>
        </w:tc>
        <w:tc>
          <w:tcPr>
            <w:tcW w:w="95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r>
      <w:tr>
        <w:trPr>
          <w:trHeight w:val="87"/>
        </w:trPr>
        <w:tc>
          <w:tcPr>
            <w:tcW w:w="3820" w:type="dxa"/>
            <w:vAlign w:val="bottom"/>
            <w:gridSpan w:val="2"/>
          </w:tcPr>
          <w:p>
            <w:pPr>
              <w:spacing w:after="0"/>
              <w:rPr>
                <w:sz w:val="7"/>
                <w:szCs w:val="7"/>
                <w:color w:val="auto"/>
              </w:rPr>
            </w:pPr>
          </w:p>
        </w:tc>
        <w:tc>
          <w:tcPr>
            <w:tcW w:w="274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r>
      <w:tr>
        <w:trPr>
          <w:trHeight w:val="204"/>
        </w:trPr>
        <w:tc>
          <w:tcPr>
            <w:tcW w:w="6560" w:type="dxa"/>
            <w:vAlign w:val="bottom"/>
            <w:gridSpan w:val="4"/>
          </w:tcPr>
          <w:p>
            <w:pPr>
              <w:spacing w:after="0"/>
              <w:rPr>
                <w:sz w:val="20"/>
                <w:szCs w:val="20"/>
                <w:color w:val="auto"/>
              </w:rPr>
            </w:pPr>
            <w:r>
              <w:rPr>
                <w:rFonts w:ascii="Arial" w:cs="Arial" w:eastAsia="Arial" w:hAnsi="Arial"/>
                <w:sz w:val="14"/>
                <w:szCs w:val="14"/>
                <w:color w:val="auto"/>
                <w:w w:val="90"/>
              </w:rPr>
              <w:t>Indicate by check mark if the registrant is a well-known seasoned issuer, as defined in Rule 405 of the Securities Act.</w:t>
            </w:r>
          </w:p>
        </w:tc>
        <w:tc>
          <w:tcPr>
            <w:tcW w:w="60" w:type="dxa"/>
            <w:vAlign w:val="bottom"/>
          </w:tcPr>
          <w:p>
            <w:pPr>
              <w:spacing w:after="0"/>
              <w:rPr>
                <w:sz w:val="17"/>
                <w:szCs w:val="17"/>
                <w:color w:val="auto"/>
              </w:rPr>
            </w:pPr>
          </w:p>
        </w:tc>
        <w:tc>
          <w:tcPr>
            <w:tcW w:w="388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6560" w:type="dxa"/>
            <w:vAlign w:val="bottom"/>
            <w:gridSpan w:val="4"/>
          </w:tcPr>
          <w:p>
            <w:pPr>
              <w:spacing w:after="0"/>
              <w:rPr>
                <w:sz w:val="20"/>
                <w:szCs w:val="20"/>
                <w:color w:val="auto"/>
              </w:rPr>
            </w:pPr>
            <w:r>
              <w:rPr>
                <w:rFonts w:ascii="Arial" w:cs="Arial" w:eastAsia="Arial" w:hAnsi="Arial"/>
                <w:sz w:val="14"/>
                <w:szCs w:val="14"/>
                <w:color w:val="auto"/>
                <w:w w:val="96"/>
              </w:rPr>
              <w:t>Indicate by check mark if the registrant is not required to file reports pursuant to Section 13 or 15(d) of the Act.</w:t>
            </w:r>
          </w:p>
        </w:tc>
        <w:tc>
          <w:tcPr>
            <w:tcW w:w="394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176"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98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160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498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760" w:type="dxa"/>
            <w:vAlign w:val="bottom"/>
          </w:tcPr>
          <w:p>
            <w:pPr>
              <w:ind w:left="160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80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760" w:type="dxa"/>
            <w:vAlign w:val="bottom"/>
          </w:tcPr>
          <w:p>
            <w:pPr>
              <w:ind w:left="160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ind w:right="1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238" w:lineRule="auto"/>
        <w:rPr>
          <w:sz w:val="20"/>
          <w:szCs w:val="20"/>
          <w:color w:val="auto"/>
        </w:rPr>
      </w:pPr>
      <w:r>
        <w:rPr>
          <w:rFonts w:ascii="Arial" w:cs="Arial" w:eastAsia="Arial" w:hAnsi="Arial"/>
          <w:sz w:val="14"/>
          <w:szCs w:val="14"/>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30, 2017) was $288,724,657. The number of outstanding ordinary shares of the registrant as of March 1, 2018 was 27,992,244.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33655</wp:posOffset>
            </wp:positionV>
            <wp:extent cx="2409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140"/>
        <w:spacing w:after="0" w:line="234" w:lineRule="auto"/>
        <w:rPr>
          <w:sz w:val="20"/>
          <w:szCs w:val="20"/>
          <w:color w:val="auto"/>
        </w:rPr>
      </w:pPr>
      <w:r>
        <w:rPr>
          <w:rFonts w:ascii="Arial" w:cs="Arial" w:eastAsia="Arial" w:hAnsi="Arial"/>
          <w:sz w:val="14"/>
          <w:szCs w:val="14"/>
          <w:color w:val="auto"/>
        </w:rPr>
        <w:t>If the Registrant’s Definitive Proxy Statement relating to the 2018 Annual General Meeting of Shareholders (the “Proxy Statement”) is filed with the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Company will file an amendment to this Annual Report within such 120-day period that will contain the information required to be included or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2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9"/>
              </w:rPr>
              <w:t>WAVE LIFE SCIENCES LTD.</w:t>
            </w:r>
          </w:p>
        </w:tc>
        <w:tc>
          <w:tcPr>
            <w:tcW w:w="8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2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9"/>
              </w:rPr>
              <w:t>ANNUAL REPORT ON FORM 10-K</w:t>
            </w:r>
          </w:p>
        </w:tc>
        <w:tc>
          <w:tcPr>
            <w:tcW w:w="8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2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r>
      <w:tr>
        <w:trPr>
          <w:trHeight w:val="392"/>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2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86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Risk Factors</w:t>
              </w:r>
            </w:hyperlink>
          </w:p>
        </w:tc>
        <w:tc>
          <w:tcPr>
            <w:tcW w:w="7760" w:type="dxa"/>
            <w:vAlign w:val="bottom"/>
            <w:gridSpan w:val="1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Unresolved Staff Comments</w:t>
              </w:r>
            </w:hyperlink>
          </w:p>
        </w:tc>
        <w:tc>
          <w:tcPr>
            <w:tcW w:w="6620" w:type="dxa"/>
            <w:vAlign w:val="bottom"/>
            <w:gridSpan w:val="11"/>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Properties</w:t>
              </w:r>
            </w:hyperlink>
          </w:p>
        </w:tc>
        <w:tc>
          <w:tcPr>
            <w:tcW w:w="7940" w:type="dxa"/>
            <w:vAlign w:val="bottom"/>
            <w:gridSpan w:val="1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Legal Proceedings</w:t>
              </w:r>
            </w:hyperlink>
          </w:p>
        </w:tc>
        <w:tc>
          <w:tcPr>
            <w:tcW w:w="7340" w:type="dxa"/>
            <w:vAlign w:val="bottom"/>
            <w:gridSpan w:val="1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868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Mine Safety Disclosures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412"/>
        </w:trPr>
        <w:tc>
          <w:tcPr>
            <w:tcW w:w="1880" w:type="dxa"/>
            <w:vAlign w:val="bottom"/>
            <w:gridSpan w:val="7"/>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8680" w:type="dxa"/>
            <w:vAlign w:val="bottom"/>
            <w:gridSpan w:val="21"/>
          </w:tcPr>
          <w:p>
            <w:pPr>
              <w:spacing w:after="0" w:line="196"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Market for Registrant’s Common Equity, Related Stockholder Matters and Issuer Purchases of Equity Securities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680" w:type="dxa"/>
            <w:vAlign w:val="bottom"/>
            <w:gridSpan w:val="2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222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Financial Statements and Supplementary Data</w:t>
              </w:r>
            </w:hyperlink>
          </w:p>
        </w:tc>
        <w:tc>
          <w:tcPr>
            <w:tcW w:w="534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8680" w:type="dxa"/>
            <w:vAlign w:val="bottom"/>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Changes in and Disagreements with Accountants on Accounting and Financial Disclosure</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20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8680" w:type="dxa"/>
            <w:vAlign w:val="bottom"/>
            <w:gridSpan w:val="2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41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III</w:t>
              </w:r>
            </w:hyperlink>
          </w:p>
        </w:tc>
        <w:tc>
          <w:tcPr>
            <w:tcW w:w="11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86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458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20"/>
        </w:trPr>
        <w:tc>
          <w:tcPr>
            <w:tcW w:w="4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Security Ownership of Certain Beneficial Owners and Management and Related Stockholder Matters</w:t>
              </w:r>
            </w:hyperlink>
          </w:p>
        </w:tc>
        <w:tc>
          <w:tcPr>
            <w:tcW w:w="138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Certain Relationships and Related Transactions, and Director Independence</w:t>
              </w:r>
            </w:hyperlink>
          </w:p>
        </w:tc>
        <w:tc>
          <w:tcPr>
            <w:tcW w:w="322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8680" w:type="dxa"/>
            <w:vAlign w:val="bottom"/>
            <w:gridSpan w:val="21"/>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Principal Accounting Fees and Services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412"/>
        </w:trPr>
        <w:tc>
          <w:tcPr>
            <w:tcW w:w="1880" w:type="dxa"/>
            <w:vAlign w:val="bottom"/>
            <w:gridSpan w:val="7"/>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8680" w:type="dxa"/>
            <w:vAlign w:val="bottom"/>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Exhibits, Financial Statement Schedules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Form 10-K Summary</w:t>
              </w:r>
            </w:hyperlink>
          </w:p>
        </w:tc>
        <w:tc>
          <w:tcPr>
            <w:tcW w:w="5780" w:type="dxa"/>
            <w:vAlign w:val="bottom"/>
            <w:gridSpan w:val="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440" w:type="dxa"/>
            <w:vAlign w:val="bottom"/>
          </w:tcPr>
          <w:p>
            <w:pPr>
              <w:spacing w:after="0"/>
              <w:rPr>
                <w:sz w:val="17"/>
                <w:szCs w:val="17"/>
                <w:color w:val="auto"/>
              </w:rPr>
            </w:pPr>
          </w:p>
        </w:tc>
        <w:tc>
          <w:tcPr>
            <w:tcW w:w="7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Signatures</w:t>
              </w:r>
            </w:hyperlink>
          </w:p>
        </w:tc>
        <w:tc>
          <w:tcPr>
            <w:tcW w:w="6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the “Exchange Act,” that involve substantial risks and uncertainties.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on Form 10-K, such statements are based on a combination of facts and factors currently known by us and our expectations of the future, about which we cannot be certain. Forward-looking statements include statements about our ability to fund our working capital requirements; our success, cost and timing of our product development activities and clinical trials; the timing of, and our ability to, obtain and maintain regulatory approvals for any of our product candidates;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and developments and projections relating to our competitors in the industry. You should refer to the “Risk Factors” section of this Annual Report to Form 10-K and in our other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Annual Report on Form 10-K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undertake no obligation to publicly update any forward-looking statements, whether as a result of new information, future events or otherwise, except as required by law.</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used in this Annual Report on Form 10-K, unless otherwise stated or the context otherwise indicates, references to “Wave,” the “Company,” “we,” “our,” “us” or similar terms refer to Wave Life Sciences Ltd. and our wholly-owned subsidiaries.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 biotechnology company with an innovative and proprietary synthetic chemistry drug development platform that we are using to rationally design, develop and commercialize a broad pipeline of first-in-class or best-in-class nucleic acid therapeutic candidates for genetically defined diseases. Nucleic acid therapeutics are a growing and innovative class of drugs that have the potential to address diseases that have historically been difficult to treat with small molecule drugs or biologics. Nucleic acid therapeutics, or oligonucleotides, are comprised of a sequence of nucleotides that are linked together by a backbone of chemical bonds. We are initially developing oligonucleotides that target genetic defects to either reduce the expression of disease-promoting proteins or transform the production of dysfunctional mutant proteins into the production of functional proteins.</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nucleic acid therapeutics we are developing are stereopure. A stereopure oligonucleotide is comprised of molecules with atoms precisely arranged in three-dimensional orientations at each linkage. We believe that controlling the position of the sulfur atom following phosphorothioate (“PS”) modification, as described below, will optimize the pharmacological profile of our therapeutics by maximizing therapeutic effect while minimizing the potential for side effects and safety risks. The stereopure therapies we are developing differ from the mixture-based nucleic acid therapeutics currently on the market or in development by others. In nucleic acid therapeutics, the modification of the backbone of oligonucleotides with a PS linkage is a common alteration, where one non-bridging oxygen is replaced with a sulfur atom at each phosphate. In PS-modified oligonucleotides, each linkage creates a chiral center that has three-dimensional properties that can either have an “Sp” orientation or an “Rp” orientation. A chiral center is an atom that is bonded to a defined set of pendant groups arranged in a three-dimensional space in a way that is not superimposable on its mirror image. In traditionally synthesized PS-modified oligonucleotides, chiral configurations are not purposefully designed or controlled, creating mixtures of many thousands of molecules, each having distinct three-dimensional atomic arrangements. Such variations may convey differing pharmacological properties, with some constituent molecules producing therapeutic effects and others being less beneficial or even contributing to undesirable side effects.</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preclinical studies have demonstrated that our stereopure nucleic acid therapeutics may achieve superior pharmacological properties compared with mixture-based nucleic acid therapeutics. Our platform is designed to enable us to rationally design, optimize and produce stereopure nucleic acid therapeutics, which were previously thought to be too difficult to make and too expensive to manufacture. Through proprietary rational design, we are also able to develop phosphodiester/phosphorothioate (“PO/PS”) modified combinations in our nucleic acids, allowing for judicious and specific use of PS modifications, with the ability to reduce the number of PS linkages in a molecule. We believe this ability to selectively employ PS modification where desired may provide further control over pharmacodynamics and may improve the safety of our product candidates. Further, our platform has the potential to design therapies that use any of the major molecular mechanisms employed by nucleic acid therapeutics, including antisense, ribonucleic acid interference (“RNAi”), splicing and exon skipping, as described below.</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goal is to develop and commercialize disease-modifying drugs for indications with a high degree of unmet medical need in genetically defined diseases. We are focused on designing single-stranded nucleic acid therapeutics that can distribute broadly within the human body, allowing us to target diseases across multiple organ systems and tissues, through both systemic and local administration. Our initial focus for our clinical development programs is in neurology, which we broadly define as genetic diseases within the central nervous system (“CNS”) and neuromuscular system. We have initiated clinical trials of our two lead programs in Huntington’s disease (“HD”) and our lead program in Duchenne muscular dystrophy (“DMD”) targeting exon 51. In 2018, we expect to initiate three additional development programs, targeting exon 53 in DMD and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in amyotrophic lateral sclerosis (“ALS”) and frontotemporal dementia (“FTD”). In addition to neurology, we continue to advance discovery research in ophthalmologic and hepatic diseases. We are also leveraging our platform to explore the next generation of stereopure nucleic acid therapeutics that have the potential to selectively target certain cell types. We believe that we are well positioned to achieve our goals and attain our objective of becoming a fully integrated biotechnology company because our team is comprised of leaders in the field of nucleic acid therapeutics, including world renowned scientists, leading researchers and executives with proven track records in drug discovery, development and commercialization of innovative therapeutics.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February 2018, we entered into a global strategic collaboration (the “Takeda Collaboration”) that provides Takeda Pharmaceutical Company Limited (“Takeda”) with the option to co-develop and co-commercialize our CNS development programs in HD, ALS and FTD, as well as a discovery-stage program targeting </w:t>
      </w:r>
      <w:r>
        <w:rPr>
          <w:rFonts w:ascii="Arial" w:cs="Arial" w:eastAsia="Arial" w:hAnsi="Arial"/>
          <w:sz w:val="18"/>
          <w:szCs w:val="18"/>
          <w:i w:val="1"/>
          <w:iCs w:val="1"/>
          <w:color w:val="auto"/>
        </w:rPr>
        <w:t>ATXN3</w:t>
      </w:r>
      <w:r>
        <w:rPr>
          <w:rFonts w:ascii="Arial" w:cs="Arial" w:eastAsia="Arial" w:hAnsi="Arial"/>
          <w:sz w:val="18"/>
          <w:szCs w:val="18"/>
          <w:color w:val="auto"/>
        </w:rPr>
        <w:t xml:space="preserve"> for the treatment of spinocerebellar ataxia type 3 (“SCA3”). In addition, Takeda has the right to license multiple preclinical programs for CNS indications including Alzheimer’s disease (“AD”) and Parkinson’s disease (“PD”). Subject to customary closing conditions, including the expiration or early termination of the applicable waiting period under the Hart-Scott-Rodino Antitrust Improvements Act of 1976 (the “HSR Act”), the Takeda Collaboration is expected to become effective during Q1 2018. A description of the Takeda Collaboration is included under “</w:t>
      </w:r>
      <w:r>
        <w:rPr>
          <w:rFonts w:ascii="Arial" w:cs="Arial" w:eastAsia="Arial" w:hAnsi="Arial"/>
          <w:sz w:val="18"/>
          <w:szCs w:val="18"/>
          <w:i w:val="1"/>
          <w:iCs w:val="1"/>
          <w:color w:val="auto"/>
        </w:rPr>
        <w:t>Business –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and Research Collaborations – Our Partnerships</w:t>
      </w:r>
      <w:r>
        <w:rPr>
          <w:rFonts w:ascii="Arial" w:cs="Arial" w:eastAsia="Arial" w:hAnsi="Arial"/>
          <w:sz w:val="18"/>
          <w:szCs w:val="18"/>
          <w:color w:val="auto"/>
        </w:rPr>
        <w:t>.”</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continue to independently advance development programs and research in neuromuscular diseases, including our lead programs for the treatment of DMD. We also have ongoing programs to further leverage our stereochemistry platform in other therapeutic areas, including ophthalmology, with our wholly-owned discovery programs and hepatic diseases in collaboration with Pfizer.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152400</wp:posOffset>
            </wp:positionV>
            <wp:extent cx="6089015" cy="3053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89015"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00" w:right="580" w:hanging="514"/>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U.S. prevalence and addressable population by target based on publicly available data and are approximate; for Huntington’s disease, numbers approximate manifest and pre-manifest populations, respectively</w:t>
      </w:r>
    </w:p>
    <w:p>
      <w:pPr>
        <w:spacing w:after="0" w:line="1" w:lineRule="exact"/>
        <w:rPr>
          <w:rFonts w:ascii="Arial" w:cs="Arial" w:eastAsia="Arial" w:hAnsi="Arial"/>
          <w:sz w:val="18"/>
          <w:szCs w:val="18"/>
          <w:color w:val="auto"/>
        </w:rPr>
      </w:pPr>
    </w:p>
    <w:p>
      <w:pPr>
        <w:ind w:left="900" w:hanging="51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 four-year term, Wave and Takeda may collaborate on up to six preclinical targets at any one time</w:t>
      </w:r>
    </w:p>
    <w:p>
      <w:pPr>
        <w:spacing w:after="0" w:line="9" w:lineRule="exact"/>
        <w:rPr>
          <w:rFonts w:ascii="Arial" w:cs="Arial" w:eastAsia="Arial" w:hAnsi="Arial"/>
          <w:sz w:val="18"/>
          <w:szCs w:val="18"/>
          <w:color w:val="auto"/>
        </w:rPr>
      </w:pPr>
    </w:p>
    <w:p>
      <w:pPr>
        <w:ind w:left="900" w:hanging="51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Pfizer has nominated two undisclosed targets in addition to APOC3</w:t>
      </w:r>
    </w:p>
    <w:p>
      <w:pPr>
        <w:spacing w:after="0" w:line="9" w:lineRule="exact"/>
        <w:rPr>
          <w:rFonts w:ascii="Arial" w:cs="Arial" w:eastAsia="Arial" w:hAnsi="Arial"/>
          <w:sz w:val="18"/>
          <w:szCs w:val="18"/>
          <w:color w:val="auto"/>
        </w:rPr>
      </w:pPr>
    </w:p>
    <w:p>
      <w:pPr>
        <w:ind w:left="900" w:right="80" w:hanging="514"/>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Wave’s collaboration agreement with Takeda is not effective until satisfaction of customary closing conditions, including the requirements of the Hart-Scott-Rodino Antitrust Improvements Act of 1976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regarding our programs are set forth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 CNS</w:t>
      </w:r>
    </w:p>
    <w:p>
      <w:pPr>
        <w:spacing w:after="0" w:line="117" w:lineRule="exact"/>
        <w:rPr>
          <w:sz w:val="20"/>
          <w:szCs w:val="20"/>
          <w:color w:val="auto"/>
        </w:rPr>
      </w:pPr>
    </w:p>
    <w:p>
      <w:pPr>
        <w:ind w:left="620" w:hanging="504"/>
        <w:spacing w:after="0" w:line="255"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HD, we are advancing two separate programs, WVE-120101 and WVE-120102, each targeting a disease-associated single nucleotide polymorphism (“SNP”) within the huntingtin gene (“HTT”): rs362307 (“HTT SNP1”) and rs362331 (“HTT SNP2”), respectively. SNPs are naturally occurring variations within a given genetic sequence and in certain instances can be used to distinguish between two related copies of a gene where only one is associated with the expression of a disease-causing protein. We have shown that by targeting HTT SNP1 and HTT SNP2 in preclinical models, the production of disease-causing proteins associated with HD can be reduced. In July 2017, we initiated PRECISION-HD1 and PRECISION-HD2, global Phase 1b/2a clinical trials for WVE-120101 and WVE-120102, respectively. We expect top-line data from these trials in H1 2019.</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 w:name="page6"/>
    <w:bookmarkEnd w:id="5"/>
    <w:p>
      <w:pPr>
        <w:ind w:left="620" w:right="300" w:hanging="504"/>
        <w:spacing w:after="0" w:line="31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ALS and FTD, we are advancing WVE-3972-01, which targets the transcript containing the GGGGCC (“G4C2”) expansion in the C9ORF72 gene. The G4C2 expansion in the C9ORF72 gene is the most common cause of familial ALS and FTD and is a strong genetic risk factor for non-inherited (sporadic) forms of ALS and FTD. We expect to initiate clinical trials of WVE-3972-01 in ALS and FTD in Q4 2018.</w:t>
      </w:r>
    </w:p>
    <w:p>
      <w:pPr>
        <w:spacing w:after="0" w:line="38" w:lineRule="exact"/>
        <w:rPr>
          <w:rFonts w:ascii="Arial" w:cs="Arial" w:eastAsia="Arial" w:hAnsi="Arial"/>
          <w:sz w:val="16"/>
          <w:szCs w:val="16"/>
          <w:color w:val="auto"/>
        </w:rPr>
      </w:pPr>
    </w:p>
    <w:p>
      <w:pPr>
        <w:ind w:left="620" w:hanging="50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SCA3, we expect to have a candidate targeting ATXN3 identified by the end of 2018.</w:t>
      </w:r>
    </w:p>
    <w:p>
      <w:pPr>
        <w:spacing w:after="0" w:line="117" w:lineRule="exact"/>
        <w:rPr>
          <w:rFonts w:ascii="Arial" w:cs="Arial" w:eastAsia="Arial" w:hAnsi="Arial"/>
          <w:sz w:val="18"/>
          <w:szCs w:val="18"/>
          <w:color w:val="auto"/>
        </w:rPr>
      </w:pPr>
    </w:p>
    <w:p>
      <w:pPr>
        <w:ind w:left="620" w:right="160" w:hanging="504"/>
        <w:spacing w:after="0" w:line="286"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Upon satisfaction of customary closing conditions, we will collaborate with Takeda to advance genetically defined targets for the treatment of CNS disorders, including AD and PD. Under the terms of the agreement, we may collaborate with Takeda on up to six preclinical programs at any one time, during a four-year term. Takeda is entitled to exclusively license multiple preclinical programs during the term.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Neurology: Muscle</w:t>
      </w:r>
    </w:p>
    <w:p>
      <w:pPr>
        <w:spacing w:after="0" w:line="117" w:lineRule="exact"/>
        <w:rPr>
          <w:sz w:val="20"/>
          <w:szCs w:val="20"/>
          <w:color w:val="auto"/>
        </w:rPr>
      </w:pPr>
    </w:p>
    <w:p>
      <w:pPr>
        <w:ind w:left="620" w:right="120" w:hanging="504"/>
        <w:spacing w:after="0" w:line="25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 DMD, we are advancing WVE-210201, which targets exon 51, a region within the precursor messenger RNA (“pre-mRNA”) that is transcribed from the </w:t>
      </w:r>
      <w:r>
        <w:rPr>
          <w:rFonts w:ascii="Arial" w:cs="Arial" w:eastAsia="Arial" w:hAnsi="Arial"/>
          <w:sz w:val="18"/>
          <w:szCs w:val="18"/>
          <w:i w:val="1"/>
          <w:iCs w:val="1"/>
          <w:color w:val="auto"/>
        </w:rPr>
        <w:t>dystrophin</w:t>
      </w:r>
      <w:r>
        <w:rPr>
          <w:rFonts w:ascii="Arial" w:cs="Arial" w:eastAsia="Arial" w:hAnsi="Arial"/>
          <w:sz w:val="18"/>
          <w:szCs w:val="18"/>
          <w:color w:val="auto"/>
        </w:rPr>
        <w:t xml:space="preserve"> gene (also referred to as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DMD is a genetic disorder caused by mutations in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that results in dysfunctional dystrophin protein. In November 2017, we initiated a global Phase 1 clinical trial of WVE-210201 administered intravenously. Safety data from the Phase 1 clinical trial are anticipated in Q3 2018.</w:t>
      </w:r>
    </w:p>
    <w:p>
      <w:pPr>
        <w:spacing w:after="0" w:line="78" w:lineRule="exact"/>
        <w:rPr>
          <w:rFonts w:ascii="Arial" w:cs="Arial" w:eastAsia="Arial" w:hAnsi="Arial"/>
          <w:sz w:val="18"/>
          <w:szCs w:val="18"/>
          <w:color w:val="auto"/>
        </w:rPr>
      </w:pPr>
    </w:p>
    <w:p>
      <w:pPr>
        <w:ind w:left="620" w:right="100" w:hanging="504"/>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also are advancing programs targeting additional </w:t>
      </w:r>
      <w:r>
        <w:rPr>
          <w:rFonts w:ascii="Arial" w:cs="Arial" w:eastAsia="Arial" w:hAnsi="Arial"/>
          <w:sz w:val="18"/>
          <w:szCs w:val="18"/>
          <w:i w:val="1"/>
          <w:iCs w:val="1"/>
          <w:color w:val="auto"/>
        </w:rPr>
        <w:t>DMD</w:t>
      </w:r>
      <w:r>
        <w:rPr>
          <w:rFonts w:ascii="Arial" w:cs="Arial" w:eastAsia="Arial" w:hAnsi="Arial"/>
          <w:sz w:val="18"/>
          <w:szCs w:val="18"/>
          <w:color w:val="auto"/>
        </w:rPr>
        <w:t xml:space="preserve"> exons. In September 2017, we announced that our next DMD development program will target exon 53, and we expect to initiate clinical trials in Q1 2019. In addition, we are exploring subcutaneous administration for all of our DMD programs.</w:t>
      </w:r>
    </w:p>
    <w:p>
      <w:pPr>
        <w:spacing w:after="0" w:line="73" w:lineRule="exact"/>
        <w:rPr>
          <w:rFonts w:ascii="Arial" w:cs="Arial" w:eastAsia="Arial" w:hAnsi="Arial"/>
          <w:sz w:val="18"/>
          <w:szCs w:val="18"/>
          <w:color w:val="auto"/>
        </w:rPr>
      </w:pPr>
    </w:p>
    <w:p>
      <w:pPr>
        <w:ind w:left="620" w:hanging="504"/>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initiated research to identify potential targets for additional neuromuscular diseases.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Ophthalmology</w:t>
      </w:r>
    </w:p>
    <w:p>
      <w:pPr>
        <w:spacing w:after="0" w:line="117" w:lineRule="exact"/>
        <w:rPr>
          <w:sz w:val="20"/>
          <w:szCs w:val="20"/>
          <w:color w:val="auto"/>
        </w:rPr>
      </w:pPr>
    </w:p>
    <w:p>
      <w:pPr>
        <w:ind w:left="620" w:right="40" w:hanging="504"/>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 genetic ophthalmologic diseases, we have conducted preclinical research into the development of stereopure compounds and tested the hypothesis that controlling the chirality of PS linkages in the backbones of oligonucleotides will provide benefits in potency, distribution and duration of effect in the eye. In these studies, we have employed </w:t>
      </w:r>
      <w:r>
        <w:rPr>
          <w:rFonts w:ascii="Arial" w:cs="Arial" w:eastAsia="Arial" w:hAnsi="Arial"/>
          <w:sz w:val="18"/>
          <w:szCs w:val="18"/>
          <w:i w:val="1"/>
          <w:iCs w:val="1"/>
          <w:color w:val="auto"/>
        </w:rPr>
        <w:t>MALAT1</w:t>
      </w:r>
      <w:r>
        <w:rPr>
          <w:rFonts w:ascii="Arial" w:cs="Arial" w:eastAsia="Arial" w:hAnsi="Arial"/>
          <w:sz w:val="18"/>
          <w:szCs w:val="18"/>
          <w:color w:val="auto"/>
        </w:rPr>
        <w:t xml:space="preserve"> as a surrogate target. We have evaluated lead stereopure oligonucleotides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following single intravitreal injection in mouse and non-human primate (“NHP”) eyes.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Hepatic</w:t>
      </w:r>
    </w:p>
    <w:p>
      <w:pPr>
        <w:spacing w:after="0" w:line="117" w:lineRule="exact"/>
        <w:rPr>
          <w:sz w:val="20"/>
          <w:szCs w:val="20"/>
          <w:color w:val="auto"/>
        </w:rPr>
      </w:pPr>
    </w:p>
    <w:p>
      <w:pPr>
        <w:ind w:left="620" w:hanging="504"/>
        <w:spacing w:after="0" w:line="255"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collaborating with Pfizer to advance genetically defined targets for the treatment of metabolic diseases, bringing together our proprietary drug development platform across antisense and single-stranded RNAi modalities, along with GalNAc and Pfizer’s hepatic targeting technology for delivery to the liver. Under the terms of the agreement, Pfizer may select, and we will advance, up to five targets from discovery through the selection of clinical candidates, at which point Pfizer may elect to exclusively license the programs and undertake further development and potential commercialization. Two targets were declared upon initiation of the agreement, including Apolipoprotein C-III (“APOC3”). In Q3 2016, Pfizer nominated its third target. Per the terms of the agreement amended in November 2017, Pfizer is entitled to nominate up to two additional targets by May 2018.</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R&amp;D Platform and Proprietary Technology</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believe that our proprietary synthetic chemistry platform is an engine for nucleic acid drug development and places us in a unique position to deliver medicines to patient populations where no meaningful therapies are available. We believe that, in combination with our candidate discovery, design and selection process, our platform technology can potentially be applied to treat a significant number of indications, which span multiple therapeutic areas and are addressable by employing the most suited modality based on the biology and our empirical evidence.</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novel platform technology enables the development of PO/PS-modified nucleic acid therapeutics in which stereochemistry is precisely controlled. This degree of control enables us to both rationally design and synthesize therapeutically optimized, stereopure nucleic acids. Prior to the development of our technology, it was not possible to synthesize stereopure nucleic acids with position-specific PS modifications, meaning drugs where the configuration of each chiral PS linkage is precisely controlled during chemical synthesis, at scale. Our unique approach also enables us to use rational drug design, whereby we either employ the conventional wisdom of small-molecule drug development or discover new design principles that govern nucleic acids and apply these insights to therapeutic development. After identifying a target sequence, we determine the most suitable modality, such as RNAi, antisense or exon skipping, and we precisely control the stereochemistry of our oligonucleotides based on the target and the modality. We believe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right="100"/>
        <w:spacing w:after="0" w:line="264" w:lineRule="auto"/>
        <w:rPr>
          <w:sz w:val="20"/>
          <w:szCs w:val="20"/>
          <w:color w:val="auto"/>
        </w:rPr>
      </w:pPr>
      <w:r>
        <w:rPr>
          <w:rFonts w:ascii="Arial" w:cs="Arial" w:eastAsia="Arial" w:hAnsi="Arial"/>
          <w:sz w:val="18"/>
          <w:szCs w:val="18"/>
          <w:color w:val="auto"/>
        </w:rPr>
        <w:t>that our rational and methodical approach enables the optimization of several key elements of drug design, including stability, specificity, activity and immunogenicity. We believe that our platform technology can be broadly applied as it is not limited to a particular chemistry or nucleotide sequence, thereby creating opportunities to optimize it across a larger number of therapeutic areas.</w:t>
      </w:r>
    </w:p>
    <w:p>
      <w:pPr>
        <w:spacing w:after="0" w:line="18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also believe that we have a strong intellectual property position relating to the development and commercialization of our stereopure nucleic acid therapeutic candidates.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for both proprietary methods and reagents, as well as various chemical methodologies that enable production of such stereopure oligonucleotide compositions. In addition, our portfolio includes filings designed to protect methods of using stereopure oligonucleotide compositions and filings designed to protect particular stereopure oligonucleotide products, such as those having a particular sequence, pattern of nucleoside and/or backbone modification, pattern of backbone linkages and/or a pattern of backbone chiral centers.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are leveraging our innovative and proprietary synthetic chemistry drug development platform to design, develop and commercialize optimized disease-modifying nucleic acid therapeutics for indications with a high degree of unmet medical need in genetically defined diseases. We are focused on designing single-stranded nucleic acid therapeutics that can distribute broadly within the human body, allowing us to target diseases across multiple organ systems and tissues, through both systemic and local administration. Our initial programs are focused in neurology and are aimed at addressing HD, DMD, ALS and FTD. In parallel to our neurology programs, we are exploring additional therapeutic areas that may benefit from the application of our platform.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key components of our strategy are as follows:</w:t>
      </w:r>
    </w:p>
    <w:p>
      <w:pPr>
        <w:spacing w:after="0" w:line="117" w:lineRule="exact"/>
        <w:rPr>
          <w:sz w:val="20"/>
          <w:szCs w:val="20"/>
          <w:color w:val="auto"/>
        </w:rPr>
      </w:pPr>
    </w:p>
    <w:p>
      <w:pPr>
        <w:ind w:left="640" w:hanging="510"/>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Maintain and extend our leadership in oligonucleotides</w:t>
      </w:r>
      <w:r>
        <w:rPr>
          <w:rFonts w:ascii="Arial" w:cs="Arial" w:eastAsia="Arial" w:hAnsi="Arial"/>
          <w:sz w:val="18"/>
          <w:szCs w:val="18"/>
          <w:color w:val="auto"/>
        </w:rPr>
        <w:t>. We intend to establish a dominant position in the field of oligonucleotides, advancing basic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pharmacology using stereochemistry across multiple therapeutic modalities and target classes. Our efforts are already revealing structure-activity relationships amongst chemical modification, stereochemistry and pharmacology that may allow us to tune the activity of our oligonucleotides in a previously unexplored modality-specific manner.</w:t>
      </w:r>
    </w:p>
    <w:p>
      <w:pPr>
        <w:spacing w:after="0" w:line="78" w:lineRule="exact"/>
        <w:rPr>
          <w:rFonts w:ascii="Arial" w:cs="Arial" w:eastAsia="Arial" w:hAnsi="Arial"/>
          <w:sz w:val="18"/>
          <w:szCs w:val="18"/>
          <w:color w:val="auto"/>
        </w:rPr>
      </w:pPr>
    </w:p>
    <w:p>
      <w:pPr>
        <w:ind w:left="640" w:right="60" w:hanging="510"/>
        <w:spacing w:after="0" w:line="279"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Rapidly advance our clinical development programs. </w:t>
      </w:r>
      <w:r>
        <w:rPr>
          <w:rFonts w:ascii="Arial" w:cs="Arial" w:eastAsia="Arial" w:hAnsi="Arial"/>
          <w:sz w:val="17"/>
          <w:szCs w:val="17"/>
          <w:color w:val="auto"/>
        </w:rPr>
        <w:t>We are advancing three programs currently in clinical development: WVE-120101 and WVE-120102, targeting HTT SNP1 and HTT SNP2, respectively, in HD, and WVE-210201 targeting exon 51 in DMD. We expect to deliver safety data from our Phase 1 trial in DMD in Q3 2018 and top-line data from our two Phase 1b/2a trials in HD in H1 2019. We intend to initiate clinical trials of WVE-3972-01 in ALS and FTD in Q4 2018 and of our program targeting exon 53 in DMD in Q1 2019.</w:t>
      </w:r>
    </w:p>
    <w:p>
      <w:pPr>
        <w:spacing w:after="0" w:line="63" w:lineRule="exact"/>
        <w:rPr>
          <w:rFonts w:ascii="Arial" w:cs="Arial" w:eastAsia="Arial" w:hAnsi="Arial"/>
          <w:sz w:val="17"/>
          <w:szCs w:val="17"/>
          <w:color w:val="auto"/>
        </w:rPr>
      </w:pPr>
    </w:p>
    <w:p>
      <w:pPr>
        <w:ind w:left="640" w:right="200" w:hanging="510"/>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 our leadership in neurology. </w:t>
      </w:r>
      <w:r>
        <w:rPr>
          <w:rFonts w:ascii="Arial" w:cs="Arial" w:eastAsia="Arial" w:hAnsi="Arial"/>
          <w:sz w:val="18"/>
          <w:szCs w:val="18"/>
          <w:color w:val="auto"/>
        </w:rPr>
        <w:t>We are committed to transforming the care of rare genetic diseases in neurology, which we broadly define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CNS and the neuromuscular system. Our current neurology development programs offer a foundation from which to transform our company into a fully integrated commercial organization. We also believe there are additional areas within neurology, specifically neurodegenerative movement disorders, neuromuscular diseases beyond DMD and neurodegenerative dementias, that we can uniquely address with our chemistry platform to reach underserved patient populations.</w:t>
      </w:r>
    </w:p>
    <w:p>
      <w:pPr>
        <w:spacing w:after="0" w:line="80" w:lineRule="exact"/>
        <w:rPr>
          <w:rFonts w:ascii="Arial" w:cs="Arial" w:eastAsia="Arial" w:hAnsi="Arial"/>
          <w:sz w:val="18"/>
          <w:szCs w:val="18"/>
          <w:color w:val="auto"/>
        </w:rPr>
      </w:pPr>
    </w:p>
    <w:p>
      <w:pPr>
        <w:ind w:left="640" w:right="20" w:hanging="510"/>
        <w:spacing w:after="0" w:line="279"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pipeline. </w:t>
      </w:r>
      <w:r>
        <w:rPr>
          <w:rFonts w:ascii="Arial" w:cs="Arial" w:eastAsia="Arial" w:hAnsi="Arial"/>
          <w:sz w:val="17"/>
          <w:szCs w:val="17"/>
          <w:color w:val="auto"/>
        </w:rPr>
        <w:t>We remain intent on making disciplined investments in our platform to enable a sustainable discovery and development engine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future growth. We believe our platform will yield optimized nucleic acid therapeutic candidates to deepen our pipeline in neurologic and hepatic diseases, as well as to allow us to broaden our pipeline into additional therapeutic areas, such as ophthalmology. We will continue to pursue these investments through wholly-owned programs as well as through potential partnerships and collaborations.</w:t>
      </w:r>
    </w:p>
    <w:p>
      <w:pPr>
        <w:spacing w:after="0" w:line="63" w:lineRule="exact"/>
        <w:rPr>
          <w:rFonts w:ascii="Arial" w:cs="Arial" w:eastAsia="Arial" w:hAnsi="Arial"/>
          <w:sz w:val="17"/>
          <w:szCs w:val="17"/>
          <w:color w:val="auto"/>
        </w:rPr>
      </w:pPr>
    </w:p>
    <w:p>
      <w:pPr>
        <w:ind w:left="640" w:right="100" w:hanging="510"/>
        <w:spacing w:after="0" w:line="25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manufacturing leadership in stereopure oligonucleotides. </w:t>
      </w:r>
      <w:r>
        <w:rPr>
          <w:rFonts w:ascii="Arial" w:cs="Arial" w:eastAsia="Arial" w:hAnsi="Arial"/>
          <w:sz w:val="18"/>
          <w:szCs w:val="18"/>
          <w:color w:val="auto"/>
        </w:rPr>
        <w:t>We expect that our manufacturing capabilities based in our Lexington,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Massachusetts facility, and our growing internal expertise in current good manufacturing practices (“cGMP”), specifically for stereopure oligonucleotides, will better facilitate our growth and enhances our ability to secure drug product for current and future development activities and, potentially, commercial-scale manufacturing. In July 2017, we took occupancy of the approximately 90,000 square foot multi-use Lexington facility and began manufacturing production in Q4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Nucleic Acid Therapeutics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majority of traditional therapeutics, such as small molecule drugs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we believe that directing medicines to the RNA, which is critical to the production of proteins, rather than to the proteins themselves, has the potential to significantly increase the number of druggable targets.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Nucleic acid therapeutics are an innovative class of drugs that can modulate the function of target RNAs to ultimately affect the production of disease-associated proteins or prevent the accumulation of pathogenic RNA species, which are emerging as important factors in human disease. Nucleic acid therapeutics can regulate protein and RNA via several different molecular mechanisms. These mechanisms can be broadly categorized as silencing, those that promote degradation of the target RNA, including antisense and RNAi; splicing, those that involve binding to the target RNA and modulating its function by promoting exon skipping; and RNA-guided gene editing.</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unique capability of nucleic acid therapeutics to address a wide range of genomic targets that impact multiple therapeutic areas creates potentially significant market opportunities for us to develop drugs to treat a broad spectrum of human diseases, including diseases where no medicines currently exist or for which existing treatments are not optimal.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nucleic acid therapeutics we are currently developing employ the following molecular mechanisms:</w:t>
      </w:r>
    </w:p>
    <w:p>
      <w:pPr>
        <w:spacing w:after="0" w:line="113" w:lineRule="exact"/>
        <w:rPr>
          <w:sz w:val="20"/>
          <w:szCs w:val="20"/>
          <w:color w:val="auto"/>
        </w:rPr>
      </w:pPr>
    </w:p>
    <w:p>
      <w:pPr>
        <w:jc w:val="both"/>
        <w:ind w:left="640" w:hanging="510"/>
        <w:spacing w:after="0" w:line="289"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Antisense</w:t>
      </w:r>
      <w:r>
        <w:rPr>
          <w:rFonts w:ascii="Arial" w:cs="Arial" w:eastAsia="Arial" w:hAnsi="Arial"/>
          <w:sz w:val="17"/>
          <w:szCs w:val="17"/>
          <w:color w:val="auto"/>
        </w:rPr>
        <w:t>, which uses a therapeutic oligonucleotide designed to bind to a specific sequence in a target RNA strand that encodes a disease-associated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protein or pathogenic RNA. The resulting two-stranded molecule (“duplex”) is then recognized by a cellular enzyme called RNase H, which cleaves, or cuts, the target RNA in the duplex, thereby preventing the disease-associated protein from being made.</w:t>
      </w:r>
    </w:p>
    <w:p>
      <w:pPr>
        <w:spacing w:after="0" w:line="50" w:lineRule="exact"/>
        <w:rPr>
          <w:rFonts w:ascii="Arial" w:cs="Arial" w:eastAsia="Arial" w:hAnsi="Arial"/>
          <w:sz w:val="17"/>
          <w:szCs w:val="17"/>
          <w:color w:val="auto"/>
        </w:rPr>
      </w:pPr>
    </w:p>
    <w:p>
      <w:pPr>
        <w:ind w:left="640" w:right="340" w:hanging="510"/>
        <w:spacing w:after="0" w:line="266"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RNA interference </w:t>
      </w:r>
      <w:r>
        <w:rPr>
          <w:rFonts w:ascii="Arial" w:cs="Arial" w:eastAsia="Arial" w:hAnsi="Arial"/>
          <w:sz w:val="18"/>
          <w:szCs w:val="18"/>
          <w:color w:val="auto"/>
        </w:rPr>
        <w:t>(“RNAi”), which uses a therapeutic oligonucleotide designed to recognize a specific sequence and engages RNAi machinery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the RNA-induced silencing complex (“RISC”) to silence a target RNA that is either pathogenic itself or encodes a disease-associated protein, thereby preventing the accumulation of the pathogenic species (RNA or protein).</w:t>
      </w:r>
    </w:p>
    <w:p>
      <w:pPr>
        <w:spacing w:after="0" w:line="68" w:lineRule="exact"/>
        <w:rPr>
          <w:rFonts w:ascii="Arial" w:cs="Arial" w:eastAsia="Arial" w:hAnsi="Arial"/>
          <w:sz w:val="18"/>
          <w:szCs w:val="18"/>
          <w:color w:val="auto"/>
        </w:rPr>
      </w:pPr>
    </w:p>
    <w:p>
      <w:pPr>
        <w:ind w:left="640" w:right="620" w:hanging="510"/>
        <w:spacing w:after="0" w:line="28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Splicing</w:t>
      </w:r>
      <w:r>
        <w:rPr>
          <w:rFonts w:ascii="Arial" w:cs="Arial" w:eastAsia="Arial" w:hAnsi="Arial"/>
          <w:sz w:val="18"/>
          <w:szCs w:val="18"/>
          <w:color w:val="auto"/>
        </w:rPr>
        <w:t>, which is the processing of a nascent pre-mRNA transcript into messenger RNA (“mRNA”) by removing introns and joining exons</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w:t>
      </w:r>
    </w:p>
    <w:p>
      <w:pPr>
        <w:spacing w:after="0" w:line="53" w:lineRule="exact"/>
        <w:rPr>
          <w:rFonts w:ascii="Arial" w:cs="Arial" w:eastAsia="Arial" w:hAnsi="Arial"/>
          <w:sz w:val="18"/>
          <w:szCs w:val="18"/>
          <w:color w:val="auto"/>
        </w:rPr>
      </w:pPr>
    </w:p>
    <w:p>
      <w:pPr>
        <w:ind w:left="640" w:right="80" w:hanging="510"/>
        <w:spacing w:after="0" w:line="258"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Exon skipping</w:t>
      </w:r>
      <w:r>
        <w:rPr>
          <w:rFonts w:ascii="Arial" w:cs="Arial" w:eastAsia="Arial" w:hAnsi="Arial"/>
          <w:sz w:val="18"/>
          <w:szCs w:val="18"/>
          <w:color w:val="auto"/>
        </w:rPr>
        <w:t>, which uses a therapeutic oligonucleotide designed to bind to a particular sequence within a target pre-mRNA and direct the cellular</w:t>
      </w:r>
      <w:r>
        <w:rPr>
          <w:rFonts w:ascii="Arial" w:cs="Arial" w:eastAsia="Arial" w:hAnsi="Arial"/>
          <w:sz w:val="18"/>
          <w:szCs w:val="18"/>
          <w:b w:val="1"/>
          <w:bCs w:val="1"/>
          <w:color w:val="auto"/>
        </w:rPr>
        <w:t xml:space="preserve"> </w:t>
      </w:r>
      <w:r>
        <w:rPr>
          <w:rFonts w:ascii="Arial" w:cs="Arial" w:eastAsia="Arial" w:hAnsi="Arial"/>
          <w:sz w:val="18"/>
          <w:szCs w:val="18"/>
          <w:color w:val="auto"/>
        </w:rPr>
        <w:t>machinery to delete, or splice out, certain specific regions of that RNA. Often, the underlying mutation in the target RNA leads to a “stop” instruction, so that, absent the therapeutic oligonucleotide, non-productive mRNA yields no functional protein. Use of the exon-skipping modality permits the cellular machinery to correct the “stop” instruction and assemble a partially functional protein, thereby mitigating or alleviating the disease that would otherwise result.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of Nucleic Acid Therapeutics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Nucleic acid therapeutics are largely comprised of chemically modified, short-length RNA or deoxyribonucleic acid (“DNA”) strands, commonly known as oligonucleotides. Oligonucleotides are comprised of a sequence of nucleotides—the building blocks of RNA and DNA—that are linked together by a backbone of chemical bonds. In nucleic acid molecules that have not been modified for therapeutic use, the nucleotides are linked by phosphodiester (“PO”) bonds,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144780</wp:posOffset>
            </wp:positionV>
            <wp:extent cx="4545330" cy="168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4533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distributed in the human body, are rapidly cleared by the kidneys and are taken up poorly by targeted cells. The industry has employed chemical modifications of the nucleotides and PO bonds that improve the stability, biodistribution and cellular uptake of nucleic acid therapeutics.</w:t>
      </w:r>
    </w:p>
    <w:p>
      <w:pPr>
        <w:spacing w:after="0" w:line="166"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phosphorothioate (“PS”) modification was one of the earliest and remains one of the most common backbone modifications used in nucleic acid therapeutics. When introducing a PS modification, one of the nonbridging oxygen (O) atoms bonded to a phosphorus (P) atom is replaced with a sulfur (S) atom. This modification improves the stability of oligonucleotides by making them less susceptible to enzymatic degradation. Further, PS bond-containing oligonucleotides increase binding to plasma proteins, which improves biodistribution by preventing rapid renal excretion of these molecules.</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Whereas traditional chemistry platforms for nucleic acid therapeutics require the full replacement of the naturally occurring PO with PS, we can judiciously use a combination of PO and PS in our stereopure nucleic acids. We believe this flexibility to selectively employ PS modifications only where desired may provide control over pharmacodynamics and may improve the safety of our drugs.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Nucleic acid therapeutics are a relatively “new” class of drugs from the perspective of regulatory approvals. The first U.S. Food and Drug Administration (“FDA”) approval of a nucleic acid therapeutic occurred in 1998, and the most recent was in 2016. Nucleic acid therapeutic candidates that employ PS modifications are being developed by several different companies. PS modification is accepted as a state-of-the-art advancement in the field. We believe that PS modification will remain a key component of nucleic acid therapeutic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 Modification Results in Complex Drug Mixtures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 consequence of introducing PS modifications into an oligonucleotide is that it also introduces a chiral center at each phosphorus, creating stereoisomers designated as either an “Sp” or “Rp” isomer. As shown below, these stereoisomers have identical chemical compositions but different three-dimensional arrangements of their atoms and consequently different chemical and biological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141605</wp:posOffset>
            </wp:positionV>
            <wp:extent cx="4193540" cy="156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935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ind w:right="300"/>
        <w:spacing w:after="0" w:line="273" w:lineRule="auto"/>
        <w:rPr>
          <w:sz w:val="20"/>
          <w:szCs w:val="20"/>
          <w:color w:val="auto"/>
        </w:rPr>
      </w:pPr>
      <w:r>
        <w:rPr>
          <w:rFonts w:ascii="Arial" w:cs="Arial" w:eastAsia="Arial" w:hAnsi="Arial"/>
          <w:sz w:val="17"/>
          <w:szCs w:val="17"/>
          <w:color w:val="auto"/>
        </w:rPr>
        <w:t>The isomeric configuration at each PS modification is random (either Rp or Sp) during conventional nucleic acid therapeutic synthesis. Because oligonucleotides contain a string of nucleotides with associated PS modifications, the synthesis process generates a complex mixture containing many stereoisomers. Specifically, each PS linkage doubles the number of stereoisomers in the product, so that a conventional preparation of a PS-containing oligonucleotide contains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As shown below, a conventional, fully PS-modified oligonucleotide (20 nucleotides in length, 19 PS modifications) is a mixture of over 500,000 stereoisomers, each having the same nucleotide sequence but differing in the stereochemistry along their backbones.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139700</wp:posOffset>
            </wp:positionV>
            <wp:extent cx="3035935" cy="1818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3593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Stereoisomers can possess different chemical and pharmacological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6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Prior to the development of our technology, it was not possible to create stereopure PS-modified nucleic acid therapeutics, meaning drugs where the configuration of each chiral PS linkage is precisely controlled during chemical synthesis. Moreover, because of the sheer number of stereoisomers present in a mixture, it would be impractical, if not impossible, to physically isolate the most therapeutically optimal stereoisomer from within a mixture. For these reasons, all PS-modified nucleic acid therapeutics currently on the market and in development by others are mixtures of many stereoisomers, which we believe are not optimized for stability, catalytic activity, efficacy or toxicity.</w:t>
      </w:r>
    </w:p>
    <w:p>
      <w:pPr>
        <w:spacing w:after="0" w:line="162"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In small molecule therapeutics, U.S. regulators have long sought to eliminate the risks potentially posed by drug mixtures containing multiple stereoisomers. Since 1992, the FDA has recommended full molecular characterization of stereoisomers within small-molecule drug mixtures. Historically, it has not been possible to achieve such characterization for nucleic acid therapeutic drug mixtures, which can contain tens of thousands to millions of distinct pharmacological entities. Based on our published and ongoing preclinical studies, we believe that we can design and synthesize stereopure PS-modified nucleic acid therapeutics that demonstrate superior pharmacological properties compared with mixture-based nucleic acid therapeutics. We believe that our drug development platform has the potential to set a new industry standard for the molecular characterization of complex nucleic acid therapeutic drug mixtures.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Controlling Stereochemistry and Employing Rational Design in Nucleic Acid Therapeutics</w:t>
      </w:r>
    </w:p>
    <w:p>
      <w:pPr>
        <w:spacing w:after="0" w:line="81"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 xml:space="preserve">We have developed proprietary chemistry that enables the development of PO/PS-modified nucleic acid therapeutics in which stereochemistry is precisely controlled. This degree of control enables us to both rationally design and synthesize optimized stereopure nucleic acid therapeutics. We have published both our proprietary chemistry platform and its application to synthesize stereopure oligonucleotides in </w:t>
      </w:r>
      <w:r>
        <w:rPr>
          <w:rFonts w:ascii="Arial" w:cs="Arial" w:eastAsia="Arial" w:hAnsi="Arial"/>
          <w:sz w:val="18"/>
          <w:szCs w:val="18"/>
          <w:i w:val="1"/>
          <w:iCs w:val="1"/>
          <w:color w:val="auto"/>
        </w:rPr>
        <w:t>Nature Biotechnology</w:t>
      </w:r>
      <w:r>
        <w:rPr>
          <w:rFonts w:ascii="Arial" w:cs="Arial" w:eastAsia="Arial" w:hAnsi="Arial"/>
          <w:sz w:val="18"/>
          <w:szCs w:val="18"/>
          <w:color w:val="auto"/>
        </w:rPr>
        <w:t xml:space="preserve"> (Iwamoto N, et al. Nature Biotechnol. 2017;35(9):845-851).</w:t>
      </w:r>
    </w:p>
    <w:p>
      <w:pPr>
        <w:spacing w:after="0" w:line="163"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 xml:space="preserve">We have discovered and expect to continuously elaborate on the relationships between the chemical makeup of an oligonucleotide, including the three-dimensional orientation or arrangement of its atoms, and its pharmacology (i.e., stability of the drug, activity against the target, specificity for the target and immunogenicity of the drug). Our initial findings relating the stereochemical make up of oligonucleotides to their pharmacology were also featured in our </w:t>
      </w:r>
      <w:r>
        <w:rPr>
          <w:rFonts w:ascii="Arial" w:cs="Arial" w:eastAsia="Arial" w:hAnsi="Arial"/>
          <w:sz w:val="18"/>
          <w:szCs w:val="18"/>
          <w:i w:val="1"/>
          <w:iCs w:val="1"/>
          <w:color w:val="auto"/>
        </w:rPr>
        <w:t xml:space="preserve">Nature Biotechnology </w:t>
      </w:r>
      <w:r>
        <w:rPr>
          <w:rFonts w:ascii="Arial" w:cs="Arial" w:eastAsia="Arial" w:hAnsi="Arial"/>
          <w:sz w:val="18"/>
          <w:szCs w:val="18"/>
          <w:color w:val="auto"/>
        </w:rPr>
        <w:t>publication. In addition, we have defined relationships between various 2’-sugar modifications to the nucleotide (such as methoxy,</w:t>
      </w:r>
      <w:r>
        <w:rPr>
          <w:rFonts w:ascii="Arial" w:cs="Arial" w:eastAsia="Arial" w:hAnsi="Arial"/>
          <w:sz w:val="18"/>
          <w:szCs w:val="18"/>
          <w:i w:val="1"/>
          <w:iCs w:val="1"/>
          <w:color w:val="auto"/>
        </w:rPr>
        <w:t xml:space="preserve"> </w:t>
      </w:r>
      <w:r>
        <w:rPr>
          <w:rFonts w:ascii="Arial" w:cs="Arial" w:eastAsia="Arial" w:hAnsi="Arial"/>
          <w:sz w:val="18"/>
          <w:szCs w:val="18"/>
          <w:color w:val="auto"/>
        </w:rPr>
        <w:t>methoxyethyl, fluoro, locked), and the stereochemistry of the backbone that enhances oligonucleotide pharmacology, providing an enhanced therapeutic profile.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140"/>
        <w:spacing w:after="0" w:line="219" w:lineRule="auto"/>
        <w:rPr>
          <w:sz w:val="20"/>
          <w:szCs w:val="20"/>
          <w:color w:val="auto"/>
        </w:rPr>
      </w:pPr>
      <w:r>
        <w:rPr>
          <w:rFonts w:ascii="Arial" w:cs="Arial" w:eastAsia="Arial" w:hAnsi="Arial"/>
          <w:sz w:val="18"/>
          <w:szCs w:val="18"/>
          <w:color w:val="auto"/>
        </w:rPr>
        <w:t>Our rational process for designing stereopure oligonucleotides combining chemistry, stereochemistry and natural phosphate linkages allows us to selectively optimize for the molecular mechanism in order to generate best-in-class nucleic acid therapeutics. We are using these ongoing discoveries to guide our drug development activities that we believe will lead to drugs that can be dosed at lower concentrations, less frequently, or both, as well as with improved therapeutic profiles.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Approach</w:t>
      </w:r>
    </w:p>
    <w:p>
      <w:pPr>
        <w:spacing w:after="0" w:line="8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We believe that our innovative and proprietary synthetic chemistry drug development platform is a significant advance in the development of nucleic acid therapeutics. The advantages of our approach include:</w:t>
      </w:r>
    </w:p>
    <w:p>
      <w:pPr>
        <w:spacing w:after="0" w:line="54" w:lineRule="exact"/>
        <w:rPr>
          <w:sz w:val="20"/>
          <w:szCs w:val="20"/>
          <w:color w:val="auto"/>
        </w:rPr>
      </w:pPr>
    </w:p>
    <w:p>
      <w:pPr>
        <w:ind w:left="620" w:right="180" w:hanging="504"/>
        <w:spacing w:after="0" w:line="241"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rationally design drugs with optimized pharmacological properties</w:t>
      </w:r>
      <w:r>
        <w:rPr>
          <w:rFonts w:ascii="Arial" w:cs="Arial" w:eastAsia="Arial" w:hAnsi="Arial"/>
          <w:sz w:val="16"/>
          <w:szCs w:val="16"/>
          <w:color w:val="auto"/>
        </w:rPr>
        <w:t>. Our platform reduces susceptibility to enzymatic degradation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renal clearance compared with traditional oligonucleotide therapeutics (stereomixtures or stereorandom oligonucleotides), and optimizes their interactions with proteins that mediate their activity, as well as those that affect their safety and tolerability. Our ability to improve pharmacological stability and reduce clearance can enhance the biodistribution of single-stranded oligonucleotides to multiple tissues following systemic administration without the need for additional delivery technology. Our ability to improve activity against and selectivity for our intended target mRNA, which in combination with stability, translates into improved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target engagement and durability of response.</w:t>
      </w:r>
    </w:p>
    <w:p>
      <w:pPr>
        <w:spacing w:after="0" w:line="52" w:lineRule="exact"/>
        <w:rPr>
          <w:rFonts w:ascii="Arial" w:cs="Arial" w:eastAsia="Arial" w:hAnsi="Arial"/>
          <w:sz w:val="16"/>
          <w:szCs w:val="16"/>
          <w:color w:val="auto"/>
        </w:rPr>
      </w:pPr>
    </w:p>
    <w:p>
      <w:pPr>
        <w:ind w:left="620" w:right="240" w:hanging="504"/>
        <w:spacing w:after="0" w:line="22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Broad applicability</w:t>
      </w:r>
      <w:r>
        <w:rPr>
          <w:rFonts w:ascii="Arial" w:cs="Arial" w:eastAsia="Arial" w:hAnsi="Arial"/>
          <w:sz w:val="18"/>
          <w:szCs w:val="18"/>
          <w:color w:val="auto"/>
        </w:rPr>
        <w:t>. Our platform is applicable to nucleic acid therapeutics acting via multiple molecular mechanisms, including antisense, RNAi,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exon skipping, splicing, RNA-guided gene editing, microRNA and others, and is compatible with a broad range of chemical modifications and targeting moieties.</w:t>
      </w:r>
    </w:p>
    <w:p>
      <w:pPr>
        <w:spacing w:after="0" w:line="55" w:lineRule="exact"/>
        <w:rPr>
          <w:rFonts w:ascii="Arial" w:cs="Arial" w:eastAsia="Arial" w:hAnsi="Arial"/>
          <w:sz w:val="18"/>
          <w:szCs w:val="18"/>
          <w:color w:val="auto"/>
        </w:rPr>
      </w:pPr>
    </w:p>
    <w:p>
      <w:pPr>
        <w:ind w:left="620" w:right="220" w:hanging="504"/>
        <w:spacing w:after="0" w:line="219"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production of stereopure nucleic acid therapeutics</w:t>
      </w:r>
      <w:r>
        <w:rPr>
          <w:rFonts w:ascii="Arial" w:cs="Arial" w:eastAsia="Arial" w:hAnsi="Arial"/>
          <w:sz w:val="18"/>
          <w:szCs w:val="18"/>
          <w:color w:val="auto"/>
        </w:rPr>
        <w:t>. Our scientists have developed expertise in the techniques required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 supplies of PS-modified, stereopure nucleic acid therapeutic materials for our preclinical and planned clinical activities. In addition, we believe we have the intellectual property position and know-how necessary to protect, advance and scale these production processes to support our clinical trials and potential future commercial supply.</w:t>
      </w:r>
    </w:p>
    <w:p>
      <w:pPr>
        <w:spacing w:after="0" w:line="54" w:lineRule="exact"/>
        <w:rPr>
          <w:rFonts w:ascii="Arial" w:cs="Arial" w:eastAsia="Arial" w:hAnsi="Arial"/>
          <w:sz w:val="18"/>
          <w:szCs w:val="18"/>
          <w:color w:val="auto"/>
        </w:rPr>
      </w:pPr>
    </w:p>
    <w:p>
      <w:pPr>
        <w:ind w:left="620" w:hanging="504"/>
        <w:spacing w:after="0" w:line="259"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and Manufacturing. </w:t>
      </w:r>
      <w:r>
        <w:rPr>
          <w:rFonts w:ascii="Arial" w:cs="Arial" w:eastAsia="Arial" w:hAnsi="Arial"/>
          <w:sz w:val="16"/>
          <w:szCs w:val="16"/>
          <w:color w:val="auto"/>
        </w:rPr>
        <w:t>Our manufacturing process and technical expertise in designing stereopure oligonucleotides is unique in nucleic acid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We believe that our scalable synthesis processes will allow us to meet demand for cGMP-qualified clinical trial supply, as well as the potential for commercial manufacturing at a cost of goods and potential cost-per-patient that are comparable to traditional methods.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Chemistry – Proof of Concept</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In preclinical models, which we believe are predictive of human biology, we have demonstrated that stereochemistry and pharmacology are directly related, and that these relationships inform the rational design and production of nucleic acid therapeutics. In proof-of-concept studies, we have used our platform to design and synthesize diverse sets of oligonucleotides, which allowed us to characterize and compare the behavior of various stereoisomers. These preclinical studies, some of which have been published in </w:t>
      </w:r>
      <w:r>
        <w:rPr>
          <w:rFonts w:ascii="Arial" w:cs="Arial" w:eastAsia="Arial" w:hAnsi="Arial"/>
          <w:sz w:val="16"/>
          <w:szCs w:val="16"/>
          <w:i w:val="1"/>
          <w:iCs w:val="1"/>
          <w:color w:val="auto"/>
        </w:rPr>
        <w:t>Nature Biotechnology</w:t>
      </w:r>
      <w:r>
        <w:rPr>
          <w:rFonts w:ascii="Arial" w:cs="Arial" w:eastAsia="Arial" w:hAnsi="Arial"/>
          <w:sz w:val="16"/>
          <w:szCs w:val="16"/>
          <w:color w:val="auto"/>
        </w:rPr>
        <w:t xml:space="preserve">, have demonstrated that by controlling stereochemistry, we can optimize multiple aspects of pharmacology, including stability, catalytic activity, efficacy, specificity, immunogenicity and enhanced delivery, which in turn, we believe will lead to an enhanced therapeutic profile. As with any drug under development, we cannot be certain that the same favorable pharmacological properties we have observed in preclinical studies for our stereopure nucleic acid therapeutics will translate to humans. See </w:t>
      </w:r>
      <w:r>
        <w:rPr>
          <w:rFonts w:ascii="Arial" w:cs="Arial" w:eastAsia="Arial" w:hAnsi="Arial"/>
          <w:sz w:val="16"/>
          <w:szCs w:val="16"/>
          <w:i w:val="1"/>
          <w:iCs w:val="1"/>
          <w:color w:val="auto"/>
        </w:rPr>
        <w:t>“Risk Factors – Risks Related to the Discovery,</w:t>
      </w:r>
    </w:p>
    <w:p>
      <w:pPr>
        <w:spacing w:after="0" w:line="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i w:val="1"/>
          <w:iCs w:val="1"/>
          <w:color w:val="auto"/>
        </w:rPr>
        <w:t xml:space="preserve">Manufacturing, Development and Commercialization of Our Product Candidates” </w:t>
      </w:r>
      <w:r>
        <w:rPr>
          <w:rFonts w:ascii="Arial" w:cs="Arial" w:eastAsia="Arial" w:hAnsi="Arial"/>
          <w:sz w:val="18"/>
          <w:szCs w:val="18"/>
          <w:color w:val="auto"/>
        </w:rPr>
        <w:t>for a discussion of the risks associated with the development of</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pharmaceuticals, and nucleic acid therapeutics in particular.</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i w:val="1"/>
          <w:iCs w:val="1"/>
          <w:color w:val="auto"/>
        </w:rPr>
        <w:t>Nature Biotechnology</w:t>
      </w:r>
      <w:r>
        <w:rPr>
          <w:rFonts w:ascii="Arial" w:cs="Arial" w:eastAsia="Arial" w:hAnsi="Arial"/>
          <w:sz w:val="16"/>
          <w:szCs w:val="16"/>
          <w:color w:val="auto"/>
        </w:rPr>
        <w:t xml:space="preserve"> paper, we describe our studies using stereopure oligonucleotides and oligonucleotide mixtures based on mipomersen. We studied mipomersen because, at that time, it was the only systemically administered nucleic acid therapeutic approved for commercialization, and documents from the regulatory bodies that evaluated mipomersen for marketing approval were publicly available. Mipomersen (currently marketed by Kastle Therapeutics and formerly marketed by Sanofi Genzyme, under the brand name Kynamro</w:t>
      </w:r>
      <w:r>
        <w:rPr>
          <w:rFonts w:ascii="Arial" w:cs="Arial" w:eastAsia="Arial" w:hAnsi="Arial"/>
          <w:sz w:val="13"/>
          <w:szCs w:val="13"/>
          <w:color w:val="auto"/>
        </w:rPr>
        <w:t>®</w:t>
      </w:r>
      <w:r>
        <w:rPr>
          <w:rFonts w:ascii="Arial" w:cs="Arial" w:eastAsia="Arial" w:hAnsi="Arial"/>
          <w:sz w:val="16"/>
          <w:szCs w:val="16"/>
          <w:color w:val="auto"/>
        </w:rPr>
        <w:t>) is approved for the treatment of homozygous familial hypercholesterolemia and is designed to silence production of Apolipoprotein B (“APOB”) via an antisense mechanism. Although mipomersen received marketing authorization in the United States in 2012, concerns about the drug’s tolerability and liver and cardiovascular safety led the European Medicines Agency (“EMA”) to refuse to grant marketing authorization for the drug in the European Union. One of the EMA’s central concerns about mipomersen was that a high proportion of patients stopped taking the drug within two years, mainly due to side effects such as flu-like symptoms, injection-site reactions and liver toxicity. The EMA considered these side effects important because mipomersen is intended for long-term treatment to maintain its cholesterol-lowering effect.</w:t>
      </w:r>
    </w:p>
    <w:p>
      <w:pPr>
        <w:spacing w:after="0" w:line="16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Mipomersen, an oligonucleotide containing 20 nucleotides and 19 PS modifications, is synthesized by traditional oligonucleotide chemistry; thus, it is actually a mixture of over 500,000 different stereoisomers (2</w:t>
      </w:r>
      <w:r>
        <w:rPr>
          <w:rFonts w:ascii="Arial" w:cs="Arial" w:eastAsia="Arial" w:hAnsi="Arial"/>
          <w:sz w:val="13"/>
          <w:szCs w:val="13"/>
          <w:color w:val="auto"/>
        </w:rPr>
        <w:t>19</w:t>
      </w:r>
      <w:r>
        <w:rPr>
          <w:rFonts w:ascii="Arial" w:cs="Arial" w:eastAsia="Arial" w:hAnsi="Arial"/>
          <w:sz w:val="16"/>
          <w:szCs w:val="16"/>
          <w:color w:val="auto"/>
        </w:rPr>
        <w:t xml:space="preserve"> = 524,288). We rationally designed and synthesized individual stereoisomers of mipomersen, each having position-specific and distinct stereochemistry, and conducted studies comparing these defined stereoisomers with the mipomersen stereomixture.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Stability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investigated the relationship between stereochemistry and stability by exposing our panel of individual stereoisomers and the stereomixture to metabolic enzymes, including nucleases, in rat liver homogenate or rat serum. We incubated each stereoisomer or the stereomixture separately in rat whole-liver homogenate for five days at physiological temperature and measured the percentage of each full-length stereoisomer and the stereomixture remaining daily. We found that stereochemistry had a profound impact on oligonucleotide stability.</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shown in the graph below, by day five, less than 15% of the stereomixture (mipomersen) remained. By contrast at day five, over 50% of our stereopure isomers 1, 2, 3 and 4 remained, with isomer 1 showing minimal degradation, indicating that these individual stereopure isomers have greater stability than the stereomixture. The mipomersen stereomixture, however, was more stable than several other stereoisomers (i.e., 5,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131445</wp:posOffset>
            </wp:positionV>
            <wp:extent cx="4467860" cy="2229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6786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obtained similar results when we assessed the stability of the stereomixture and selected stereoisomers in rat serum. Overall, we found that increasing the proportion of Sp isomers increased the stability of the oligonucleotides.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Catalytic Activity</w:t>
      </w:r>
    </w:p>
    <w:p>
      <w:pPr>
        <w:spacing w:after="0" w:line="117"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We investigated the relationship between stereochemistry and catalytic activity, which, in the case of the antisense modality, is a measure of the efficiency with which the drug leads to the knockdown of the target. In the human body, antisense drugs like mipomersen rely on the enzyme RNase H to degrade or knockdown the target mRNA. Yielding efficient RNase H catalytic activity is an essential pharmacological feature for drugs like mipomersen.</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We evaluated the catalytic activity of the same panel of stereoisomers described above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enzymatic assays using human RNase H. We added RNase H to pre-formed duplexes containing the stereoisomers or the stereomixture bound to the target </w:t>
      </w:r>
      <w:r>
        <w:rPr>
          <w:rFonts w:ascii="Arial" w:cs="Arial" w:eastAsia="Arial" w:hAnsi="Arial"/>
          <w:sz w:val="16"/>
          <w:szCs w:val="16"/>
          <w:i w:val="1"/>
          <w:iCs w:val="1"/>
          <w:color w:val="auto"/>
        </w:rPr>
        <w:t>APOB</w:t>
      </w:r>
      <w:r>
        <w:rPr>
          <w:rFonts w:ascii="Arial" w:cs="Arial" w:eastAsia="Arial" w:hAnsi="Arial"/>
          <w:sz w:val="16"/>
          <w:szCs w:val="16"/>
          <w:color w:val="auto"/>
        </w:rPr>
        <w:t xml:space="preserve"> mRNA, and we assessed the relative rates of target RNA degradation. To do this, we stopped the reactions at designated time points and quantified the amount of full-length </w:t>
      </w:r>
      <w:r>
        <w:rPr>
          <w:rFonts w:ascii="Arial" w:cs="Arial" w:eastAsia="Arial" w:hAnsi="Arial"/>
          <w:sz w:val="16"/>
          <w:szCs w:val="16"/>
          <w:i w:val="1"/>
          <w:iCs w:val="1"/>
          <w:color w:val="auto"/>
        </w:rPr>
        <w:t>APOB</w:t>
      </w:r>
      <w:r>
        <w:rPr>
          <w:rFonts w:ascii="Arial" w:cs="Arial" w:eastAsia="Arial" w:hAnsi="Arial"/>
          <w:sz w:val="16"/>
          <w:szCs w:val="16"/>
          <w:color w:val="auto"/>
        </w:rPr>
        <w:t xml:space="preserve"> mRNA remaining.</w:t>
      </w:r>
    </w:p>
    <w:p>
      <w:pPr>
        <w:spacing w:after="0" w:line="14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As shown below, the catalytic activity of the stereoisomers and the stereomixture differed considerably, as demonstrated by their efficiency in reducing the amount of the full-length target remaining over time. Certain stereoisomers, most notably stereoisomer 4, was far more catalytically active than the stereomixture as well as other stereoisomers. Importantly, stereoisomer 4 contains a pattern of PS stereochemistry denoted 3’-SpSpRp-5’ (“SSR”). We also identified stereoisomers with distinct patterns of PS stereochemistry that were less catalytically active than the stereomixture, most notably isomer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124460</wp:posOffset>
            </wp:positionV>
            <wp:extent cx="5265420" cy="2632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6542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Based on these and other data, we have established key design principles (i.e., the SSR motif) relating stereochemistry to RNase H catalytic activity. These principles can now be applied across antisense therapeutics and are compatible with a broad range of additional chemical modifications to the drug molecule.</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these studies and others, we believe we can synthesize stereopure versions of any PS-modified nucleic acid therapeutic that possesses increased stability and catalytic activity, independent of nucleotide sequence.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Efficacy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We assessed whether improved stability and catalytic activity of our stereoisomers would translate into greater efficacy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pharmacological study. We administered our panel of stereoisomers and the stereomixture to transgenic mice that express human </w:t>
      </w:r>
      <w:r>
        <w:rPr>
          <w:rFonts w:ascii="Arial" w:cs="Arial" w:eastAsia="Arial" w:hAnsi="Arial"/>
          <w:sz w:val="18"/>
          <w:szCs w:val="18"/>
          <w:i w:val="1"/>
          <w:iCs w:val="1"/>
          <w:color w:val="auto"/>
        </w:rPr>
        <w:t>APOB</w:t>
      </w:r>
      <w:r>
        <w:rPr>
          <w:rFonts w:ascii="Arial" w:cs="Arial" w:eastAsia="Arial" w:hAnsi="Arial"/>
          <w:sz w:val="18"/>
          <w:szCs w:val="18"/>
          <w:color w:val="auto"/>
        </w:rPr>
        <w:t>. This validated animal model was included in the preclinical package used for the regulatory approval of mipomersen in the United States.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We injected mice twice weekly with 10 mg/kg of stereoisomer 3, stereoisomer 5, or the stereomixture over a four-week period. We measured APOB protein levels in the serum weekly for six weeks. This treatment protocol and study design replicates the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study that was included in the regulatory submission for mipomersen.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ind w:right="80"/>
        <w:spacing w:after="0" w:line="297" w:lineRule="auto"/>
        <w:rPr>
          <w:sz w:val="20"/>
          <w:szCs w:val="20"/>
          <w:color w:val="auto"/>
        </w:rPr>
      </w:pPr>
      <w:r>
        <w:rPr>
          <w:rFonts w:ascii="Arial" w:cs="Arial" w:eastAsia="Arial" w:hAnsi="Arial"/>
          <w:sz w:val="16"/>
          <w:szCs w:val="16"/>
          <w:color w:val="auto"/>
        </w:rPr>
        <w:t xml:space="preserve">In the experiment, stereoisomer 3, which demonstrated increased catalytic activity and stability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compared with the stereomixture and stereoisomer 5, led to greater reduction in serum APOB protein than either the stereomixture or stereoisomer 5. These data are illustrated in the graph below, where levels of APOB in serum, expressed as a percentage of APOB at baseline, is plotted with respect to time (days). Knockdown of APOB by the stereomixture (mipomersen) and stereoisomer 5 decreased dramatically following final dose (after day 28). In contrast, stereoisomer 3 demonstrated efficient and sustained target engagement, as evidenced by the magnitude and duration of knockdown, which persisted for over two weeks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264160</wp:posOffset>
            </wp:positionV>
            <wp:extent cx="5213985" cy="2607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To demonstrate that stereochemistry can be deployed as a generalizable feature, we applied our design to an antisense nucleic acid with a different sequence and chemistry. In this experiment, we generated a single stereopure stereoisomer, containing the SSR motif, and compared it with a stereorandom isomer of the same sequence. Both were designed to target </w:t>
      </w:r>
      <w:r>
        <w:rPr>
          <w:rFonts w:ascii="Arial" w:cs="Arial" w:eastAsia="Arial" w:hAnsi="Arial"/>
          <w:sz w:val="16"/>
          <w:szCs w:val="16"/>
          <w:i w:val="1"/>
          <w:iCs w:val="1"/>
          <w:color w:val="auto"/>
        </w:rPr>
        <w:t>APOC3</w:t>
      </w:r>
      <w:r>
        <w:rPr>
          <w:rFonts w:ascii="Arial" w:cs="Arial" w:eastAsia="Arial" w:hAnsi="Arial"/>
          <w:sz w:val="16"/>
          <w:szCs w:val="16"/>
          <w:color w:val="auto"/>
        </w:rPr>
        <w:t xml:space="preserve"> mRNA, which is predominately expressed in the liver. These isomers were also chemically modified with a GalNAc moiety, which improves their access to the liver. To demonstrate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durability of response, we administered the isomers to mice harboring a human </w:t>
      </w:r>
      <w:r>
        <w:rPr>
          <w:rFonts w:ascii="Arial" w:cs="Arial" w:eastAsia="Arial" w:hAnsi="Arial"/>
          <w:sz w:val="16"/>
          <w:szCs w:val="16"/>
          <w:i w:val="1"/>
          <w:iCs w:val="1"/>
          <w:color w:val="auto"/>
        </w:rPr>
        <w:t>APOC3</w:t>
      </w:r>
      <w:r>
        <w:rPr>
          <w:rFonts w:ascii="Arial" w:cs="Arial" w:eastAsia="Arial" w:hAnsi="Arial"/>
          <w:sz w:val="16"/>
          <w:szCs w:val="16"/>
          <w:color w:val="auto"/>
        </w:rPr>
        <w:t xml:space="preserve"> transgene (B6.Cg-Tg(APOC3)2Bres/J), and we assessed knockdown activity by measuring serum APOC3 protein. Similar to the results shown above, the stereopure isomer led to more efficient knockdown of APOC3 (ED</w:t>
      </w:r>
      <w:r>
        <w:rPr>
          <w:rFonts w:ascii="Arial" w:cs="Arial" w:eastAsia="Arial" w:hAnsi="Arial"/>
          <w:sz w:val="13"/>
          <w:szCs w:val="13"/>
          <w:color w:val="auto"/>
        </w:rPr>
        <w:t>50</w:t>
      </w:r>
      <w:r>
        <w:rPr>
          <w:rFonts w:ascii="Arial" w:cs="Arial" w:eastAsia="Arial" w:hAnsi="Arial"/>
          <w:sz w:val="16"/>
          <w:szCs w:val="16"/>
          <w:color w:val="auto"/>
        </w:rPr>
        <w:t>=0.3 mg/kg for stereopure vs. ED</w:t>
      </w:r>
      <w:r>
        <w:rPr>
          <w:rFonts w:ascii="Arial" w:cs="Arial" w:eastAsia="Arial" w:hAnsi="Arial"/>
          <w:sz w:val="13"/>
          <w:szCs w:val="13"/>
          <w:color w:val="auto"/>
        </w:rPr>
        <w:t>50</w:t>
      </w:r>
      <w:r>
        <w:rPr>
          <w:rFonts w:ascii="Arial" w:cs="Arial" w:eastAsia="Arial" w:hAnsi="Arial"/>
          <w:sz w:val="16"/>
          <w:szCs w:val="16"/>
          <w:color w:val="auto"/>
        </w:rPr>
        <w:t>=~2.0 mg/kg for the stereorandom isomer) (left panel in figure below) that persisted much longer than that for the stereorandom isomer (right panel in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132080</wp:posOffset>
            </wp:positionV>
            <wp:extent cx="5385435" cy="2032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8543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These data demonstrate that two pharmacological properties that we can control through stereochemistry, increasing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stability with Sp isomers and increasing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catalytic activity with the SSR motif, translate to improvements in important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pharmacological properties, including target engagement and durability of response. In addition to these findings, we have also observed significant target engagement of our stereoisomers in numerous tissues, including eye, liver, muscle and CNS.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Specificity</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By controlling stereochemistry, we have discovered that we can change the pattern of RNase H cleavage in the target mRNA that is caused by PS-modified antisense. Indeed, we can use stereochemistry to direct cleavage toward specific positions within the target. This precision control enables us to design PS-modified nucleic acids that can direct RNase H to differentiate between two very similar targets. This level of specificity is desirable in cases where cleavage of one target is expected to have disease-modifying impacts, but cleavage of a closely related target is undesirable or potentially unsafe.</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For example, HD is caused by mutations in one allele (which is one of two or more versions of a gene) of 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resulting in the production of a disease-causing protein, while the other allele encodes a healthy protein. By optimizing stereochemistry, we can direct cleavage towards the mutated </w:t>
      </w:r>
      <w:r>
        <w:rPr>
          <w:rFonts w:ascii="Arial" w:cs="Arial" w:eastAsia="Arial" w:hAnsi="Arial"/>
          <w:sz w:val="18"/>
          <w:szCs w:val="18"/>
          <w:i w:val="1"/>
          <w:iCs w:val="1"/>
          <w:color w:val="auto"/>
        </w:rPr>
        <w:t>HTT</w:t>
      </w:r>
      <w:r>
        <w:rPr>
          <w:rFonts w:ascii="Arial" w:cs="Arial" w:eastAsia="Arial" w:hAnsi="Arial"/>
          <w:sz w:val="18"/>
          <w:szCs w:val="18"/>
          <w:color w:val="auto"/>
        </w:rPr>
        <w:t xml:space="preserve"> allele based on a single-nucleotide difference between the disease-causing allele and the normal allele.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the experiment illustrated below, we performed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RNase H enzymatic reactions similar to those presented previously. As before, we added RNase H to stereopure oligonucleotides or stereorandom oligonucleotides that were duplexed with mutant or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We stopped the reactions at designated time points and quantified the amount of full-length mutant or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remaining. The stereorandom oligonucleotide (left panel) caused substantial reductions in both the mutant and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whereas the optimized stereopure oligonucleotide (right panel) preferentially cleaved mutant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while largely sparing the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146050</wp:posOffset>
            </wp:positionV>
            <wp:extent cx="6165850" cy="2907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6585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We believe that our ability to use stereochemistry to precisely control the RNase H cleavage patterns resulting from PS-modified nucleic acids allows us to mitigate unwanted activity </w:t>
      </w:r>
      <w:r>
        <w:rPr>
          <w:rFonts w:ascii="Arial" w:cs="Arial" w:eastAsia="Arial" w:hAnsi="Arial"/>
          <w:sz w:val="18"/>
          <w:szCs w:val="18"/>
          <w:i w:val="1"/>
          <w:iCs w:val="1"/>
          <w:color w:val="auto"/>
        </w:rPr>
        <w:t>in vivo</w:t>
      </w:r>
      <w:r>
        <w:rPr>
          <w:rFonts w:ascii="Arial" w:cs="Arial" w:eastAsia="Arial" w:hAnsi="Arial"/>
          <w:sz w:val="18"/>
          <w:szCs w:val="18"/>
          <w:color w:val="auto"/>
        </w:rPr>
        <w:t>. This affords us a unique position to make allele-specific targeting (meaning the preferential interaction of an oligonucleotide with RNA transcribed from only one allele of a given gene) possible.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Through these preclinical studies, we have demonstrated the ability to use stereochemistry to precisely control cleavage and reduce off-target cleavage. We believe these findings can be applied in the design of nucleic acid therapies for a range of disease targets.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Immunogenicity</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investigated the relationship between stereochemistry and immunogenicity, which is the ability of a substance to activate an immune response. Immune activation has been observed with PS-modified oligonucleotides in preclinical toxicology studies. Flu-like symptoms and injection-site reactions in clinical studies are believed to be immune mediated.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5" w:name="page16"/>
    <w:bookmarkEnd w:id="15"/>
    <w:p>
      <w:pPr>
        <w:spacing w:after="0" w:line="273" w:lineRule="auto"/>
        <w:rPr>
          <w:sz w:val="20"/>
          <w:szCs w:val="20"/>
          <w:color w:val="auto"/>
        </w:rPr>
      </w:pPr>
      <w:r>
        <w:rPr>
          <w:rFonts w:ascii="Arial" w:cs="Arial" w:eastAsia="Arial" w:hAnsi="Arial"/>
          <w:sz w:val="17"/>
          <w:szCs w:val="17"/>
          <w:color w:val="auto"/>
        </w:rPr>
        <w:t>Using NHP serum, we analyzed the activation of the complement system following exposure to our panel of individual stereopure isomers and the parent stereomixture. We incubated each isomer and stereomixture at physiological temperature in NHP serum from three individual animals. We removed samples from these incubations at designated times, and we assessed complement activation by measuring the increase in the amount of protein C3a. Protein C3a is formed when the complement system is activated and complement component 3 is cleaved. C3a levels in serum increase in direct proportion to the amount of pathway activation. We quantified serum C3a levels using the enzyme-linked immunosorbent assay (“ELISA”) analytical method, a technique used to determine the amount of a specific protein present in a biological sample.</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shown below, the stereoisomers and the stereomixture yielded different levels of complement pathway activation as measured by C3a production. Certain stereoisomers, such as stereoisomers 1 and 2, showed less than half of the C3a production compared with the stereomixture (shown in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119380</wp:posOffset>
            </wp:positionV>
            <wp:extent cx="5377180" cy="2435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7718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6" w:name="page17"/>
    <w:bookmarkEnd w:id="16"/>
    <w:p>
      <w:pPr>
        <w:spacing w:after="0" w:line="272" w:lineRule="auto"/>
        <w:rPr>
          <w:sz w:val="20"/>
          <w:szCs w:val="20"/>
          <w:color w:val="auto"/>
        </w:rPr>
      </w:pPr>
      <w:r>
        <w:rPr>
          <w:rFonts w:ascii="Arial" w:cs="Arial" w:eastAsia="Arial" w:hAnsi="Arial"/>
          <w:sz w:val="17"/>
          <w:szCs w:val="17"/>
          <w:color w:val="auto"/>
        </w:rPr>
        <w:t>We have also assayed immune activation of stereoisomers and the parent stereomixture in a human TLR9 reporter assay (left panel below) and a human peripheral blood mononuclear cell (“PBMC”) cytokine panel (right panel below, IL-6 and MIP-1β are key cytokines in B-cell and macrophage activation, respectively). In the TLR9 assay, the 5’methylcytosine (“5mC”)-modified stereomixture activated TLR9 activity, whereas our stereopure isomer did not. Similarly, the 5mC-modified stereomixture (Isomer-1) led to IL-6 and MIP-1β secretion from PBMCs, where our stereopure isomer (Isomer-2) did not. Prior research has indicated that 5mC and 2’-modifications to a nucleic acid therapeutic containing the immune-activating CpG motif are sufficient to limit immune activation. However, substantial immune activation persists even when these modifications are incorporated, as seen in these experiments. Our chemistry platform allows us to design stereoisomers that yield notably less activation of the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139065</wp:posOffset>
            </wp:positionV>
            <wp:extent cx="5814695" cy="1903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469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Based on these studies, we believe that it is possible to modulate complement activation and potentially reduce the immunogenicity of PS-modified oligonucleotides by controlling stereochemistry.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Enhanced Delivery</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have also investigated the relationship between stereochemistry and cellular uptake, which is the ability of nucleic acid therapeutics to penetrate cells and access the appropriate subcellular compartment (i.e., the nucleus) for them to engage with their intended target. Designing oligonucleotides that enter cells at sufficient concentrations to provide a therapeutic effect has been a challenge for the nucleic acid therapeutics field.</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As shown below, we performed an intracellular trafficking assay using differentiating myoblast cell lines to compare the cellular localization of stereopure and stereorandom oligonucleotides </w:t>
      </w:r>
      <w:r>
        <w:rPr>
          <w:rFonts w:ascii="Arial" w:cs="Arial" w:eastAsia="Arial" w:hAnsi="Arial"/>
          <w:sz w:val="18"/>
          <w:szCs w:val="18"/>
          <w:i w:val="1"/>
          <w:iCs w:val="1"/>
          <w:color w:val="auto"/>
        </w:rPr>
        <w:t>in vitro</w:t>
      </w:r>
      <w:r>
        <w:rPr>
          <w:rFonts w:ascii="Arial" w:cs="Arial" w:eastAsia="Arial" w:hAnsi="Arial"/>
          <w:sz w:val="18"/>
          <w:szCs w:val="18"/>
          <w:color w:val="auto"/>
        </w:rPr>
        <w:t>. We washed and fixed treated cells and detected the oligonucleotides using a ViewRNA assay and an immunofluorescence microscope with deconvolution capabilities. Z-stacks were taken to eliminate artifacts. We compared the number of oligonucleotide foci (red, left panel below) in the nucleus (blue) of cultured cells that we treated with either a stereorandom oligonucleotide or one of our stereopure oligonucleotides. We detected substantially more foci per nucleus for our stereopure oligonucleotide compared with a stereorandom oligonucleotide of comparable sequence (right panel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148590</wp:posOffset>
            </wp:positionV>
            <wp:extent cx="5394325" cy="2212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9432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Initial Therapeutic Programs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Our most advanced therapeutic programs are in neurology, which we broadly define as genetic diseases within the CNS and neuromuscular system. Within neurology, we are focused on HD, DMD, ALS, FTD and we have initiated discovery research in SCA3. We have initiated clinical trials of our two lead programs in HD and our lead program in DMD targeting exon 51. In 2018, we expect to initiate three additional development programs, targeting exon 53 in DMD and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in ALS and FTD. As a component of our neurology focus, we continue to advance research to identify potential candidates for the treatment of SCA3 and explore additional targets relevant to CNS and neuromuscular disorders.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below for more information on these programs and the respective diseases we are targeting.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HD is a rare hereditary neurodegenerative disease that results in early death and for which there is no cure. HD is caused by a mutation (i.e. an expanded CAG triplet repeat) in 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which results in production of mutant HTT (“mHTT”) protein. Accumulation of mHTT protein causes progressive loss of neurons in the brain, and can lead to neuronal cell death, causing cognitive, psychiatric and motor disability. HD patients still possess wild-type (healthy) HTT (“wtHTT”) protein, which is believed to be critical for neuronal function. Accordingly, suppression of wtHTT may have detrimental long-term consequences. Absence of wtHTT protein has been shown to be embryonically lethal in mice.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Symptoms of HD typically appear between the ages of 30 and 50 and worsen over the next 10 to 20 years. Many describe the symptoms of HD as similar to having ALS, PD and AD simultaneously. Patients experience a reduction in motor function and psychological disturbances. Life expectancy after symptom onset is approximately 20 years. In the most symptomatic stages, often lasting over ten years, affected persons become fully dependent upon others to manage all activities of daily living; they lose the ability to make decisions, feed themselves and walk, often requiring premature placement in a long-term care facility. It is estimated that approximately 30,000 people in the United States have symptomatic HD and more than 200,000 others have a 50% risk for inheriting the disorder from their affected parent.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are no approved treatments that can reverse or slow HD progression. Current pharmacological therapies only address HD symptoms. Antipsychotics are used to manage depression, irritability and chorea (involuntary movements). Xenazine</w:t>
      </w:r>
      <w:r>
        <w:rPr>
          <w:rFonts w:ascii="Arial" w:cs="Arial" w:eastAsia="Arial" w:hAnsi="Arial"/>
          <w:sz w:val="15"/>
          <w:szCs w:val="15"/>
          <w:color w:val="auto"/>
        </w:rPr>
        <w:t>®</w:t>
      </w:r>
      <w:r>
        <w:rPr>
          <w:rFonts w:ascii="Arial" w:cs="Arial" w:eastAsia="Arial" w:hAnsi="Arial"/>
          <w:sz w:val="18"/>
          <w:szCs w:val="18"/>
          <w:color w:val="auto"/>
        </w:rPr>
        <w:t xml:space="preserve"> (tetrabenazine) and Austedo</w:t>
      </w:r>
      <w:r>
        <w:rPr>
          <w:rFonts w:ascii="Arial" w:cs="Arial" w:eastAsia="Arial" w:hAnsi="Arial"/>
          <w:sz w:val="15"/>
          <w:szCs w:val="15"/>
          <w:color w:val="auto"/>
        </w:rPr>
        <w:t>TM</w:t>
      </w:r>
      <w:r>
        <w:rPr>
          <w:rFonts w:ascii="Arial" w:cs="Arial" w:eastAsia="Arial" w:hAnsi="Arial"/>
          <w:sz w:val="18"/>
          <w:szCs w:val="18"/>
          <w:color w:val="auto"/>
        </w:rPr>
        <w:t xml:space="preserve"> (deutetrabenazine) are the only two therapies approved for the treatment of chorea associated with HD in the United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Our Programs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advanced two investigational stereopure oligonucleotides into clinical trials, WVE-120101 and WVE-120102, which target SNPs associated with the mutant allele of 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The precise targeting of the mutant allele by stereopure oligonucleotides should allow discrimination and selective silencing of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transcripts that lead to the production of the mHTT protein associated with disease manifestations, while leaving wild-type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transcripts and protein relatively intact (see figure below).</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WVE-120101 and WVE-120102 are designed to selectively target HTT SNP1 and HTT SNP2 on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allele, respectively. These are two of the most common SNPs associated with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allele, which are believed to encompass up to 70% of the HD patient population. If approved, WVE-120101 and WVE-120102 would be the first allele-specific disease-modifying therapies for HD patients. Our allele-specific approach may also enable us to address the pre-manifest HD patient population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144780</wp:posOffset>
            </wp:positionV>
            <wp:extent cx="3481705" cy="2701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8170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July 2017, we initiated our clinical trial program for HD, PRECISION-HD. PRECISION-HD1 and PRECISION-HD2 are global Phase 1b/2a clinical trials for WVE-120101 and WVE-120102, respectively. We expect top-line data from these clinical trials in H1 2019. PRECISION-HD1 and PRECISION-HD2 are multicenter, randomized, double-blind, placebo-controlled studies that primarily evaluate the safety and tolerability of single and multiple doses of WVE-120101 and WVE-120102, respectively, administered intrathecally in early manifest HD patients. Additional exploratory objectives include assessing the impact that each compound has on levels of mHTT protein, as well as evaluating potential clinical effects and impact on brain atrophy as measured by magnetic resonance imaging. We intend to enroll approximately 50 patients globally in each of the two studies at multiple clinical trial sites. In 2016 and 2017, we were granted orphan drug designation under the Orphan Drug Act by the FDA for our product candidates, WVE-120101 and WVE-120102, respectively, for the treatment of HD.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9" w:name="page20"/>
    <w:bookmarkEnd w:id="19"/>
    <w:p>
      <w:pPr>
        <w:ind w:right="20"/>
        <w:spacing w:after="0" w:line="259" w:lineRule="auto"/>
        <w:rPr>
          <w:sz w:val="20"/>
          <w:szCs w:val="20"/>
          <w:color w:val="auto"/>
        </w:rPr>
      </w:pPr>
      <w:r>
        <w:rPr>
          <w:rFonts w:ascii="Arial" w:cs="Arial" w:eastAsia="Arial" w:hAnsi="Arial"/>
          <w:sz w:val="18"/>
          <w:szCs w:val="18"/>
          <w:color w:val="auto"/>
        </w:rPr>
        <w:t>In our preclinical studies, as shown below, the stereopure oligonucleotide WVE-120101 (circles) or a stereorandom oligonucleotide (triangles) were bound to wt</w:t>
      </w:r>
      <w:r>
        <w:rPr>
          <w:rFonts w:ascii="Arial" w:cs="Arial" w:eastAsia="Arial" w:hAnsi="Arial"/>
          <w:sz w:val="18"/>
          <w:szCs w:val="18"/>
          <w:i w:val="1"/>
          <w:iCs w:val="1"/>
          <w:color w:val="auto"/>
        </w:rPr>
        <w:t>HTT</w:t>
      </w:r>
      <w:r>
        <w:rPr>
          <w:rFonts w:ascii="Arial" w:cs="Arial" w:eastAsia="Arial" w:hAnsi="Arial"/>
          <w:sz w:val="18"/>
          <w:szCs w:val="18"/>
          <w:color w:val="auto"/>
        </w:rPr>
        <w:t xml:space="preserve"> or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and incubated with human RNase H (left panel). WVE-120101 produced greater knockdown of m</w:t>
      </w:r>
      <w:r>
        <w:rPr>
          <w:rFonts w:ascii="Arial" w:cs="Arial" w:eastAsia="Arial" w:hAnsi="Arial"/>
          <w:sz w:val="18"/>
          <w:szCs w:val="18"/>
          <w:i w:val="1"/>
          <w:iCs w:val="1"/>
          <w:color w:val="auto"/>
        </w:rPr>
        <w:t>HTT</w:t>
      </w:r>
      <w:r>
        <w:rPr>
          <w:rFonts w:ascii="Arial" w:cs="Arial" w:eastAsia="Arial" w:hAnsi="Arial"/>
          <w:sz w:val="18"/>
          <w:szCs w:val="18"/>
          <w:color w:val="auto"/>
        </w:rPr>
        <w:t xml:space="preserve"> compared with the stereorandom oligonucleotide. In addition, WVE-120101 was selective for m</w:t>
      </w:r>
      <w:r>
        <w:rPr>
          <w:rFonts w:ascii="Arial" w:cs="Arial" w:eastAsia="Arial" w:hAnsi="Arial"/>
          <w:sz w:val="18"/>
          <w:szCs w:val="18"/>
          <w:i w:val="1"/>
          <w:iCs w:val="1"/>
          <w:color w:val="auto"/>
        </w:rPr>
        <w:t>HTT</w:t>
      </w:r>
      <w:r>
        <w:rPr>
          <w:rFonts w:ascii="Arial" w:cs="Arial" w:eastAsia="Arial" w:hAnsi="Arial"/>
          <w:sz w:val="18"/>
          <w:szCs w:val="18"/>
          <w:color w:val="auto"/>
        </w:rPr>
        <w:t xml:space="preserve"> over wt</w:t>
      </w:r>
      <w:r>
        <w:rPr>
          <w:rFonts w:ascii="Arial" w:cs="Arial" w:eastAsia="Arial" w:hAnsi="Arial"/>
          <w:sz w:val="18"/>
          <w:szCs w:val="18"/>
          <w:i w:val="1"/>
          <w:iCs w:val="1"/>
          <w:color w:val="auto"/>
        </w:rPr>
        <w:t>HTT,</w:t>
      </w:r>
      <w:r>
        <w:rPr>
          <w:rFonts w:ascii="Arial" w:cs="Arial" w:eastAsia="Arial" w:hAnsi="Arial"/>
          <w:sz w:val="18"/>
          <w:szCs w:val="18"/>
          <w:color w:val="auto"/>
        </w:rPr>
        <w:t xml:space="preserve"> producing relatively little knockdown of wt</w:t>
      </w:r>
      <w:r>
        <w:rPr>
          <w:rFonts w:ascii="Arial" w:cs="Arial" w:eastAsia="Arial" w:hAnsi="Arial"/>
          <w:sz w:val="18"/>
          <w:szCs w:val="18"/>
          <w:i w:val="1"/>
          <w:iCs w:val="1"/>
          <w:color w:val="auto"/>
        </w:rPr>
        <w:t>HTT</w:t>
      </w:r>
      <w:r>
        <w:rPr>
          <w:rFonts w:ascii="Arial" w:cs="Arial" w:eastAsia="Arial" w:hAnsi="Arial"/>
          <w:sz w:val="18"/>
          <w:szCs w:val="18"/>
          <w:color w:val="auto"/>
        </w:rPr>
        <w:t>. The stereorandom oligonucleotide was not selective and knocked down both wt</w:t>
      </w:r>
      <w:r>
        <w:rPr>
          <w:rFonts w:ascii="Arial" w:cs="Arial" w:eastAsia="Arial" w:hAnsi="Arial"/>
          <w:sz w:val="18"/>
          <w:szCs w:val="18"/>
          <w:i w:val="1"/>
          <w:iCs w:val="1"/>
          <w:color w:val="auto"/>
        </w:rPr>
        <w:t>HTT</w:t>
      </w:r>
      <w:r>
        <w:rPr>
          <w:rFonts w:ascii="Arial" w:cs="Arial" w:eastAsia="Arial" w:hAnsi="Arial"/>
          <w:sz w:val="18"/>
          <w:szCs w:val="18"/>
          <w:color w:val="auto"/>
        </w:rPr>
        <w:t xml:space="preserve"> and m</w:t>
      </w:r>
      <w:r>
        <w:rPr>
          <w:rFonts w:ascii="Arial" w:cs="Arial" w:eastAsia="Arial" w:hAnsi="Arial"/>
          <w:sz w:val="18"/>
          <w:szCs w:val="18"/>
          <w:i w:val="1"/>
          <w:iCs w:val="1"/>
          <w:color w:val="auto"/>
        </w:rPr>
        <w:t>HTT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144780</wp:posOffset>
            </wp:positionV>
            <wp:extent cx="5471160" cy="2461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7116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Using NHP serum, we analyzed the activation of the complement system following exposure to a panel of stereopure oligonucleotides and the parent stereorandom oligonucleotide, which were designed to target </w:t>
      </w:r>
      <w:r>
        <w:rPr>
          <w:rFonts w:ascii="Arial" w:cs="Arial" w:eastAsia="Arial" w:hAnsi="Arial"/>
          <w:sz w:val="18"/>
          <w:szCs w:val="18"/>
          <w:i w:val="1"/>
          <w:iCs w:val="1"/>
          <w:color w:val="auto"/>
        </w:rPr>
        <w:t>HTT</w:t>
      </w:r>
      <w:r>
        <w:rPr>
          <w:rFonts w:ascii="Arial" w:cs="Arial" w:eastAsia="Arial" w:hAnsi="Arial"/>
          <w:sz w:val="18"/>
          <w:szCs w:val="18"/>
          <w:color w:val="auto"/>
        </w:rPr>
        <w:t xml:space="preserve">. Each oligonucleotide was incubated at physiological temperature in NHP serum from three individual animals. Samples were removed at the indicated times, and complement activation was measured by the increase in C3a levels using the ELISA analytical method. As shown above (right panel), certain stereopure oligonucleotides and the stereorandom oligonucleotide demonstrated increased production of C3a; however, there was no production of C3a following exposure to WVE-120101, which also discriminated between wild-type and mutant </w:t>
      </w:r>
      <w:r>
        <w:rPr>
          <w:rFonts w:ascii="Arial" w:cs="Arial" w:eastAsia="Arial" w:hAnsi="Arial"/>
          <w:sz w:val="18"/>
          <w:szCs w:val="18"/>
          <w:i w:val="1"/>
          <w:iCs w:val="1"/>
          <w:color w:val="auto"/>
        </w:rPr>
        <w:t>HTT.</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WVE-120101 was tested for potency and selectivity of knocking down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in a cellular reporter assay. WVE-120101 targeting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was co-transfected into HEK293 cells with two reporter plasmids: a plasmid with V5-tagged full-length </w:t>
      </w:r>
      <w:r>
        <w:rPr>
          <w:rFonts w:ascii="Arial" w:cs="Arial" w:eastAsia="Arial" w:hAnsi="Arial"/>
          <w:sz w:val="18"/>
          <w:szCs w:val="18"/>
          <w:i w:val="1"/>
          <w:iCs w:val="1"/>
          <w:color w:val="auto"/>
        </w:rPr>
        <w:t>HTT</w:t>
      </w:r>
      <w:r>
        <w:rPr>
          <w:rFonts w:ascii="Arial" w:cs="Arial" w:eastAsia="Arial" w:hAnsi="Arial"/>
          <w:sz w:val="18"/>
          <w:szCs w:val="18"/>
          <w:color w:val="auto"/>
        </w:rPr>
        <w:t xml:space="preserve"> containing the U-variant SNP1 (mutant) and a plasmid with FLAG-tagged full-length HTT containing the C-variant SNP1 (wild-type). Knockdown of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and mHTT protein was determined by quantitative reverse transcription PCR (RT-qPCR) and Western blot analysis, respectively. All results were normalized to a non-specific stereorandom oligonucleotide as a control. As shown below, WVE-120101 potently reduced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(left panel) and mHTT protein (right panel), and exhibited significant selectivity for m</w:t>
      </w:r>
      <w:r>
        <w:rPr>
          <w:rFonts w:ascii="Arial" w:cs="Arial" w:eastAsia="Arial" w:hAnsi="Arial"/>
          <w:sz w:val="18"/>
          <w:szCs w:val="18"/>
          <w:i w:val="1"/>
          <w:iCs w:val="1"/>
          <w:color w:val="auto"/>
        </w:rPr>
        <w:t>HTT</w:t>
      </w:r>
      <w:r>
        <w:rPr>
          <w:rFonts w:ascii="Arial" w:cs="Arial" w:eastAsia="Arial" w:hAnsi="Arial"/>
          <w:sz w:val="18"/>
          <w:szCs w:val="18"/>
          <w:color w:val="auto"/>
        </w:rPr>
        <w:t xml:space="preserve"> at all doses tested. This study demonstrates the ability to knock down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allele while leaving the wt</w:t>
      </w:r>
      <w:r>
        <w:rPr>
          <w:rFonts w:ascii="Arial" w:cs="Arial" w:eastAsia="Arial" w:hAnsi="Arial"/>
          <w:sz w:val="18"/>
          <w:szCs w:val="18"/>
          <w:i w:val="1"/>
          <w:iCs w:val="1"/>
          <w:color w:val="auto"/>
        </w:rPr>
        <w:t>HTT</w:t>
      </w:r>
      <w:r>
        <w:rPr>
          <w:rFonts w:ascii="Arial" w:cs="Arial" w:eastAsia="Arial" w:hAnsi="Arial"/>
          <w:sz w:val="18"/>
          <w:szCs w:val="18"/>
          <w:color w:val="auto"/>
        </w:rPr>
        <w:t xml:space="preserve"> (healthy) allele relatively unaffected.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146685</wp:posOffset>
            </wp:positionV>
            <wp:extent cx="4965700" cy="2341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657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spacing w:after="0" w:line="272" w:lineRule="auto"/>
        <w:rPr>
          <w:sz w:val="20"/>
          <w:szCs w:val="20"/>
          <w:color w:val="auto"/>
        </w:rPr>
      </w:pPr>
      <w:r>
        <w:rPr>
          <w:rFonts w:ascii="Arial" w:cs="Arial" w:eastAsia="Arial" w:hAnsi="Arial"/>
          <w:sz w:val="17"/>
          <w:szCs w:val="17"/>
          <w:color w:val="auto"/>
        </w:rPr>
        <w:t xml:space="preserve">Following these promising preclinical experiments, we investigated distribution characteristics of WVE-120101 in NHPs. Based on our preclinical studies, we believe stereochemistry enables improved protein binding and distribution. The figure below demonstrates meaningful distribution of WVE-120101 in an NHP study. In this preclinical study, we employed an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hybridization (“ISH”) ViewRNA assay. The ViewRNA assay provides us with the ability to stain oligonucleotides, allowing increased visibility and understanding of the distribution of WVE-120101 in the brain. As shown below, we found perinuclear and nuclear distribution of WVE-120101 (red) in NHP gray matter structures following intrathecal administration. The NHP ViewRNA assay demonstrated broad tissue distribution, including in the cortex and striatum. These findings are encouraging as we believe that distribution and penetration into several areas of the brain will be critical for the successful treatment of 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207645</wp:posOffset>
            </wp:positionV>
            <wp:extent cx="5702935" cy="1526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2935" cy="152654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Red dots are WVE-120101 oligonucleotide.</w:t>
      </w:r>
    </w:p>
    <w:p>
      <w:pPr>
        <w:ind w:left="40"/>
        <w:spacing w:after="0"/>
        <w:rPr>
          <w:sz w:val="20"/>
          <w:szCs w:val="20"/>
          <w:color w:val="auto"/>
        </w:rPr>
      </w:pPr>
      <w:r>
        <w:rPr>
          <w:rFonts w:ascii="Arial" w:cs="Arial" w:eastAsia="Arial" w:hAnsi="Arial"/>
          <w:sz w:val="11"/>
          <w:szCs w:val="11"/>
          <w:color w:val="auto"/>
        </w:rPr>
        <w:t>Arrow points to nuclear and perinuclear distribution of WVE- 120101 in cingulate cortex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Red dots are WVE-120102 oligonucleotide.</w:t>
      </w:r>
    </w:p>
    <w:p>
      <w:pPr>
        <w:spacing w:after="0"/>
        <w:rPr>
          <w:sz w:val="20"/>
          <w:szCs w:val="20"/>
          <w:color w:val="auto"/>
        </w:rPr>
      </w:pPr>
      <w:r>
        <w:rPr>
          <w:rFonts w:ascii="Arial" w:cs="Arial" w:eastAsia="Arial" w:hAnsi="Arial"/>
          <w:sz w:val="11"/>
          <w:szCs w:val="11"/>
          <w:color w:val="auto"/>
        </w:rPr>
        <w:t>Arrow points to nuclear and perinuclear distribution of WVE-120102 in caudate nucleus</w:t>
      </w:r>
    </w:p>
    <w:p>
      <w:pPr>
        <w:spacing w:after="0" w:line="200" w:lineRule="exact"/>
        <w:rPr>
          <w:sz w:val="20"/>
          <w:szCs w:val="20"/>
          <w:color w:val="auto"/>
        </w:rPr>
      </w:pPr>
    </w:p>
    <w:p>
      <w:pPr>
        <w:sectPr>
          <w:pgSz w:w="11900" w:h="16838" w:orient="portrait"/>
          <w:cols w:equalWidth="0" w:num="2">
            <w:col w:w="5100" w:space="720"/>
            <w:col w:w="5600"/>
          </w:cols>
          <w:pgMar w:left="240" w:top="341"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Preclinical studies on WVE-120102 showed similar results with regard to RNase H-mediated activity, m</w:t>
      </w:r>
      <w:r>
        <w:rPr>
          <w:rFonts w:ascii="Arial" w:cs="Arial" w:eastAsia="Arial" w:hAnsi="Arial"/>
          <w:sz w:val="16"/>
          <w:szCs w:val="16"/>
          <w:i w:val="1"/>
          <w:iCs w:val="1"/>
          <w:color w:val="auto"/>
        </w:rPr>
        <w:t>HTT</w:t>
      </w:r>
      <w:r>
        <w:rPr>
          <w:rFonts w:ascii="Arial" w:cs="Arial" w:eastAsia="Arial" w:hAnsi="Arial"/>
          <w:sz w:val="16"/>
          <w:szCs w:val="16"/>
          <w:color w:val="auto"/>
        </w:rPr>
        <w:t xml:space="preserve"> allele specificity, and distribution in NHP brain.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DMD is a rare, genetic progressive neuromuscular disorder caused by mutations in the </w:t>
      </w:r>
      <w:r>
        <w:rPr>
          <w:rFonts w:ascii="Arial" w:cs="Arial" w:eastAsia="Arial" w:hAnsi="Arial"/>
          <w:sz w:val="17"/>
          <w:szCs w:val="17"/>
          <w:i w:val="1"/>
          <w:iCs w:val="1"/>
          <w:color w:val="auto"/>
        </w:rPr>
        <w:t>DMD</w:t>
      </w:r>
      <w:r>
        <w:rPr>
          <w:rFonts w:ascii="Arial" w:cs="Arial" w:eastAsia="Arial" w:hAnsi="Arial"/>
          <w:sz w:val="17"/>
          <w:szCs w:val="17"/>
          <w:color w:val="auto"/>
        </w:rPr>
        <w:t xml:space="preserve"> gene on the X chromosome that affects approximately one in 3,500 newborn boys around the world (approximately 20,000 new cases annually). The dystrophin protein is part of a protein complex called the dystrophin-associated protein complex that acts as an anchor, connecting each muscle cell’s structural framework with a lattice of proteins and other molecules outside the cell through the muscle cell membrane. The dystrophin-associated protein complex protects the muscle from injury during contraction and relaxation. Patients with DMD typically develop muscle weakness in the early years of life and become wheelchair-bound in their early teens. As the disease progresses, DMD patients typically develop respiratory, orthopedic and cardiac complications. Cardiomyopathy and breathing difficulties usually begin by the age of 20, and few individuals with DMD live beyond their thirties.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While there are approved therapies for DMD, there is no cure, and there continues to be significant unmet medical need. In most countries, corticosteroids are the standard drug therapy, which slows the progression of muscle weakness and delays loss of ambulation by two to three years. In February 2017, the FDA approved Emflaza (deflazacort), the first corticosteroid approved as a treatment in the United States for DMD patients older than five years of age.</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2016, Sarepta Therapeutics’ Exondys 51™ </w:t>
      </w:r>
      <w:r>
        <w:rPr>
          <w:rFonts w:ascii="Arial" w:cs="Arial" w:eastAsia="Arial" w:hAnsi="Arial"/>
          <w:sz w:val="16"/>
          <w:szCs w:val="16"/>
          <w:i w:val="1"/>
          <w:iCs w:val="1"/>
          <w:color w:val="auto"/>
        </w:rPr>
        <w:t>(</w:t>
      </w:r>
      <w:r>
        <w:rPr>
          <w:rFonts w:ascii="Arial" w:cs="Arial" w:eastAsia="Arial" w:hAnsi="Arial"/>
          <w:sz w:val="16"/>
          <w:szCs w:val="16"/>
          <w:color w:val="auto"/>
        </w:rPr>
        <w:t xml:space="preserve">eteplirsen) received accelerated approval in the United States. The FDA concluded that the data submitted demonstrated an increase in dystrophin production that is reasonably likely to confer clinical benefit in some patients with DMD, who have a confirmed mutation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amenable to exon 51 skipping. According to U.S. accelerated approval guidelines, no clinical benefit needs to be established at the time of FDA approval, and no clinical benefit of eteplirsen has yet been established. Thus, consistent with the FDA’s accelerated approval regulations, eteplirsen is being evaluated in a post-marketing approval clinical trial to verify and describe the drug’s clinical benefit. The required clinical trial is designed to assess whether eteplirsen improves motor function of DMD patients, who have a confirmed mutation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amenable to exon 51 skipping. Another exon-skipping nucleic acid therapeutic candidate for DMD, BioMarin Pharmaceutical’s drisapersen, received a complete response letter (“CRL”) from the FDA in January 2016, indicating that the review cycle was complete and that the application was not ready for approval in its present form.</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In 2014, PTC Therapeutics’ Translarna™ (ataluren) was the first disease-modifying treatment to receive conditional approval by the EMA for the treatment of ambulatory DMD patients over 5 years of age who have a nonsense mutation (12% of DMD cases) in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In 2016, the EMA did not allow ataluren to convert to full marketing authorization, rather it granted a renewal of the conditional approval.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Our Programs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our interactions with the DMD patient community and DMD patient advocacy groups, we believe that there continues to be a significant unmet medical need in DMD patients despite the availability of eteplirsen in the United States and ataluren in the European Union. We initiated a global Phase 1 clinical trial in WVE-210201, our investigational stereopure oligonucleotide, in November 2017. Approximately 13% of DMD patients have genetic mutations that are amenable to treatment with exon 51 skipping therapy. In addition, we are advancing our next DMD development program of a stereopure oligonucleotide for patients amenable to exon 53 skipping. Available data indicate that a molecule that skips exon 53 could address approximately 8% of DMD patients. We expect to initiate clinical trials of our exon 53 program in Q1 2019. In addition, we are exploring subcutaneous formulations for all of our DMD programs.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WVE-210201 was selected for clinical development, in part, based on its ability to demonstrate high exon 51 skipping efficiency and dystrophin protein restoration in patient-derived muscle cells. Efficiency at skipping exon 51 was determined by quantitative RT-PCR following exposure to equal concentrations of oligonucleotides. As shown below, WVE-210201 demonstrated dose-dependent and more potent increases in exon skipping efficiency compared with analogs of eteplirsen and drisapersen.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144780</wp:posOffset>
            </wp:positionV>
            <wp:extent cx="4519295" cy="32848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1929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22" w:name="page23"/>
    <w:bookmarkEnd w:id="22"/>
    <w:p>
      <w:pPr>
        <w:spacing w:after="0" w:line="264" w:lineRule="auto"/>
        <w:rPr>
          <w:sz w:val="20"/>
          <w:szCs w:val="20"/>
          <w:color w:val="auto"/>
        </w:rPr>
      </w:pPr>
      <w:r>
        <w:rPr>
          <w:rFonts w:ascii="Arial" w:cs="Arial" w:eastAsia="Arial" w:hAnsi="Arial"/>
          <w:sz w:val="18"/>
          <w:szCs w:val="18"/>
          <w:color w:val="auto"/>
        </w:rPr>
        <w:t>Using patient-derived muscle cells, we analyzed WVE-210201’s impact on protein expression by Western blot after gymnotic uptake, meaning delivery of drug candidate to the cell in the absence of any carriers or conjugation. Results show that WVE-210201 induced a clear dose-dependent restoration of dystrophin protein expression (Western blot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141605</wp:posOffset>
            </wp:positionV>
            <wp:extent cx="4116705" cy="3327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1670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40"/>
          </w:cols>
          <w:pgMar w:left="240" w:top="341" w:right="519" w:bottom="1440" w:gutter="0" w:footer="0" w:header="0"/>
        </w:sectPr>
      </w:pPr>
    </w:p>
    <w:bookmarkStart w:id="23" w:name="page24"/>
    <w:bookmarkEnd w:id="23"/>
    <w:p>
      <w:pPr>
        <w:ind w:right="60"/>
        <w:spacing w:after="0" w:line="257" w:lineRule="auto"/>
        <w:rPr>
          <w:sz w:val="20"/>
          <w:szCs w:val="20"/>
          <w:color w:val="auto"/>
        </w:rPr>
      </w:pPr>
      <w:r>
        <w:rPr>
          <w:rFonts w:ascii="Arial" w:cs="Arial" w:eastAsia="Arial" w:hAnsi="Arial"/>
          <w:sz w:val="18"/>
          <w:szCs w:val="18"/>
          <w:color w:val="auto"/>
        </w:rPr>
        <w:t xml:space="preserve">At a 10 µM concentration of each compound (WVE-210201, other Wave isomers and analogs of drisapersen and eteplirsen), we quantified the extent of dystrophin protein restoration </w:t>
      </w:r>
      <w:r>
        <w:rPr>
          <w:rFonts w:ascii="Arial" w:cs="Arial" w:eastAsia="Arial" w:hAnsi="Arial"/>
          <w:sz w:val="18"/>
          <w:szCs w:val="18"/>
          <w:i w:val="1"/>
          <w:iCs w:val="1"/>
          <w:color w:val="auto"/>
        </w:rPr>
        <w:t>in vitro</w:t>
      </w:r>
      <w:r>
        <w:rPr>
          <w:rFonts w:ascii="Arial" w:cs="Arial" w:eastAsia="Arial" w:hAnsi="Arial"/>
          <w:sz w:val="18"/>
          <w:szCs w:val="18"/>
          <w:color w:val="auto"/>
        </w:rPr>
        <w:t>, and found that WVE-210201 and other Wave isomers (WV-isomer 2 and WV-isomer 3) restored dystrophin protein expression to between 50% and 100% of that in normal skeletal lysates (Western blot shown below). Specifically, WVE-210201 restored dystrophin protein expression to 52% of the levels found in normal skeletal muscle tissue lysates versus the approximate 1% restoration observed with other exon-skipping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146050</wp:posOffset>
            </wp:positionV>
            <wp:extent cx="4116705" cy="332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670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confirmed target engagement of WVE-210201 in an NHP study. We dosed animals with five 30 mg/kg weekly subcutaneous injections of WVE-210201 over four weeks. Tissue samples were collected two days after the final dose, and nested PCR was performed to assess the presence of skipped RNA transcripts. As shown below, we detected skipped transcripts in all treated muscles that we assessed (right panel), indicating that WVE-210201 successfully engaged with </w:t>
      </w:r>
      <w:r>
        <w:rPr>
          <w:rFonts w:ascii="Arial" w:cs="Arial" w:eastAsia="Arial" w:hAnsi="Arial"/>
          <w:sz w:val="18"/>
          <w:szCs w:val="18"/>
          <w:i w:val="1"/>
          <w:iCs w:val="1"/>
          <w:color w:val="auto"/>
        </w:rPr>
        <w:t>DMD</w:t>
      </w:r>
      <w:r>
        <w:rPr>
          <w:rFonts w:ascii="Arial" w:cs="Arial" w:eastAsia="Arial" w:hAnsi="Arial"/>
          <w:sz w:val="18"/>
          <w:szCs w:val="18"/>
          <w:color w:val="auto"/>
        </w:rPr>
        <w:t xml:space="preserve"> pre-mRNA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281940</wp:posOffset>
            </wp:positionV>
            <wp:extent cx="5659755" cy="2710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975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24" w:name="page25"/>
    <w:bookmarkEnd w:id="24"/>
    <w:p>
      <w:pPr>
        <w:ind w:right="140"/>
        <w:spacing w:after="0" w:line="264" w:lineRule="auto"/>
        <w:rPr>
          <w:sz w:val="20"/>
          <w:szCs w:val="20"/>
          <w:color w:val="auto"/>
        </w:rPr>
      </w:pPr>
      <w:r>
        <w:rPr>
          <w:rFonts w:ascii="Arial" w:cs="Arial" w:eastAsia="Arial" w:hAnsi="Arial"/>
          <w:sz w:val="18"/>
          <w:szCs w:val="18"/>
          <w:color w:val="auto"/>
        </w:rPr>
        <w:t>As conventional oligonucleotides tend to accumulate in the liver and kidney, we also assessed the accumulation of WVE-210201 in the liver and kidney of a dystrophin-deficient mouse model (mdx-23 mice) after a single intravenous 30 mg/kg dose. As shown below, there was significantly less accumulation of WVE-210201 in these tissues up to eight days after dosing compared with an analog of drisapersen.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141605</wp:posOffset>
            </wp:positionV>
            <wp:extent cx="4056380" cy="2872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5638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WVE-210201 is being studied in a global multicenter, double-blind, placebo-controlled Phase 1 clinical trial. The objective of this clinical trial is to evaluate the safety, tolerability and plasma concentrations of single ascending doses of WVE-210201 administered intravenously in DMD patients who have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mutations that are amenable to exon 51 skipping therapies. The trial is expected to enroll up to 40 patients between the ages of 5 and 18 years, and the inclusion criteria allow for participation of both ambulatory and non-ambulatory patients, as well as patients who were previously treated with eteplirsen, following an appropriate washout period. Intravenous doses tested in the Phase 1 trial will escalate through a range expected to be clinically relevant. In the United States, we are required to provide data from preclinical studies to the FDA in order to progress to the highest-dose cohorts and planned multi-dose studies.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Safety data from the Phase 1 clinical trial for WVE-210201 are expected in Q3 2018 and will facilitate the rapid transition to a double-blind, placebo-controlled, multi-dose efficacy study in which dystrophin expression and clinical outcomes will be assessed. The clinical program is designed to allow patient participants from the Phase 1 trial to enroll in an open-label extension study in which dosing with WVE-210201 will continue. The open-label extension study and the planned efficacy study are intended to follow the Phase 1 trial and are expected to include an interim efficacy readout of dystrophin expression from muscle biopsies in H2 2019.</w:t>
      </w:r>
    </w:p>
    <w:p>
      <w:pPr>
        <w:spacing w:after="0" w:line="188"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We are leveraging our stereochemistry platform to advance investigational therapies targeting additional DMD-related exons. In September 2017, we announced that our next DMD development program will target exon 53, and we expect to initiate clinical trials in Q1 2019.</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 xml:space="preserve">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research studies using exon 53-skipping candidates, we have shown that several of our stereopure isomers (WVE 53 Compounds A-D, shown below) induce dose-dependent increases in pre-mRNA skipping in DMD patient-derived myoblasts carrying a deletion of exons 45–52. In these experiments, cells were exposed to stereopure isomers for four days under gymnotic conditions. These initial data, using un-optimized stereopure isomers, show that we can achieve ~20% skipping.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144780</wp:posOffset>
            </wp:positionV>
            <wp:extent cx="4056380" cy="2872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056380" cy="287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Amyotrophic Lateral Sclerosis and Frontotemporal Dementia</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 hexanucleotide G</w:t>
      </w:r>
      <w:r>
        <w:rPr>
          <w:rFonts w:ascii="Arial" w:cs="Arial" w:eastAsia="Arial" w:hAnsi="Arial"/>
          <w:sz w:val="15"/>
          <w:szCs w:val="15"/>
          <w:color w:val="auto"/>
        </w:rPr>
        <w:t>4</w:t>
      </w:r>
      <w:r>
        <w:rPr>
          <w:rFonts w:ascii="Arial" w:cs="Arial" w:eastAsia="Arial" w:hAnsi="Arial"/>
          <w:sz w:val="18"/>
          <w:szCs w:val="18"/>
          <w:color w:val="auto"/>
        </w:rPr>
        <w:t>C</w:t>
      </w:r>
      <w:r>
        <w:rPr>
          <w:rFonts w:ascii="Arial" w:cs="Arial" w:eastAsia="Arial" w:hAnsi="Arial"/>
          <w:sz w:val="15"/>
          <w:szCs w:val="15"/>
          <w:color w:val="auto"/>
        </w:rPr>
        <w:t>2</w:t>
      </w:r>
      <w:r>
        <w:rPr>
          <w:rFonts w:ascii="Arial" w:cs="Arial" w:eastAsia="Arial" w:hAnsi="Arial"/>
          <w:sz w:val="18"/>
          <w:szCs w:val="18"/>
          <w:color w:val="auto"/>
        </w:rPr>
        <w:t xml:space="preserve"> expansion found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is the most common cause of familial ALS and FTD and is a strong genetic risk factor for non-inherited (sporadic) forms of ALS and FTD. Some patients exhibit characteristics of both ALS and FTD, indicating that these diseases form part of a continuum of neurological disease with some overlap in symptoms between them.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Background and Market Opportunity</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ALS is a neurodegenerative disease characterized by the progression and degeneration of motor neurons in the brain and spinal cord. Diagnosis may take up to 12 months and is made clinically by assessing the signs of upper and lower motor neuron degeneration in the same region of the body. Patients initially present with limb-onset disease (approximately 70% of patients), bulbar-onset disease (approximately 25% of patients) or with initial trunk or respiratory involvement (approximately 5% of patients). Age of onset is generally in the mid-to-late 50’s, and median survival is three years; however, up to 24% of patients survive for five to ten years. Survival in patients with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ALS may be shorter than in patients with sporadic ALS.</w:t>
      </w:r>
    </w:p>
    <w:p>
      <w:pPr>
        <w:spacing w:after="0" w:line="158"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In the United States and Europe combined, there are approximately three to five ALS patients per 100,000 people. This translates to approximately 13,000 diagnosed patients in the United States, although the total prevalence may be around 20,000. There are one or two newly diagnosed cases of ALS per year, per 100,000 people in the United States and Europe combined, resulting in approximately 5,000 newly diagnosed patients in the United States each year.</w:t>
      </w:r>
    </w:p>
    <w:p>
      <w:pPr>
        <w:ind w:right="220"/>
        <w:spacing w:after="0" w:line="323" w:lineRule="auto"/>
        <w:rPr>
          <w:sz w:val="20"/>
          <w:szCs w:val="20"/>
          <w:color w:val="auto"/>
        </w:rPr>
      </w:pPr>
      <w:r>
        <w:rPr>
          <w:rFonts w:ascii="Arial" w:cs="Arial" w:eastAsia="Arial" w:hAnsi="Arial"/>
          <w:sz w:val="16"/>
          <w:szCs w:val="16"/>
          <w:color w:val="auto"/>
        </w:rPr>
        <w:t xml:space="preserve">While the majority of ALS cases are sporadic, approximately 10% of cases are found to be familial in nature. The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gene mutation is currently the most common demonstrated mutation related to ALS and is present in approximately 40% of familial ALS and 8-10% of sporadic ALS patients.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Current Treatments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significant unmet need for the treatment of ALS. Two drugs are currently approved in the United States for the treatment of ALS. Rilutek</w:t>
      </w:r>
      <w:r>
        <w:rPr>
          <w:rFonts w:ascii="Arial" w:cs="Arial" w:eastAsia="Arial" w:hAnsi="Arial"/>
          <w:sz w:val="15"/>
          <w:szCs w:val="15"/>
          <w:color w:val="auto"/>
        </w:rPr>
        <w:t>®</w:t>
      </w:r>
      <w:r>
        <w:rPr>
          <w:rFonts w:ascii="Arial" w:cs="Arial" w:eastAsia="Arial" w:hAnsi="Arial"/>
          <w:sz w:val="18"/>
          <w:szCs w:val="18"/>
          <w:color w:val="auto"/>
        </w:rPr>
        <w:t xml:space="preserve"> (riluzole), an inhibitor of glutamate release, was approved in 1995 for the treatment of patients with ALS. It was demonstrated to extend survival by three to six months. Radicava® (edaravone) was approved in 2017 for the treatment of ALS. Administration of edaravone resulted in a significantly smaller decline in the ALS Functional Ration Scale-Revised (ALSFRS-R) through six months of treatment.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FTD Background and Market Opportunity</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FTD is a neurodegenerative disorder of the frontal and anterior temporal lobes of the brain. It is characterized by changes in personality, cognition (e.g., language impairment and executive dysfunction), and behavior (e.g., disinhibition, apathy and compulsivity). Diagnostic criteria categorize FTD into either the behavioral variant (approximately 60% of patients) or speech/language variant (approximately 40% of patients) based on the primary symptom observed at presentation; however, FTD results in dementia in all patients. The majority of FTD associated with the G</w:t>
      </w:r>
      <w:r>
        <w:rPr>
          <w:rFonts w:ascii="Arial" w:cs="Arial" w:eastAsia="Arial" w:hAnsi="Arial"/>
          <w:sz w:val="14"/>
          <w:szCs w:val="14"/>
          <w:color w:val="auto"/>
        </w:rPr>
        <w:t>4</w:t>
      </w:r>
      <w:r>
        <w:rPr>
          <w:rFonts w:ascii="Arial" w:cs="Arial" w:eastAsia="Arial" w:hAnsi="Arial"/>
          <w:sz w:val="17"/>
          <w:szCs w:val="17"/>
          <w:color w:val="auto"/>
        </w:rPr>
        <w:t>C</w:t>
      </w:r>
      <w:r>
        <w:rPr>
          <w:rFonts w:ascii="Arial" w:cs="Arial" w:eastAsia="Arial" w:hAnsi="Arial"/>
          <w:sz w:val="14"/>
          <w:szCs w:val="14"/>
          <w:color w:val="auto"/>
        </w:rPr>
        <w:t>2</w:t>
      </w:r>
      <w:r>
        <w:rPr>
          <w:rFonts w:ascii="Arial" w:cs="Arial" w:eastAsia="Arial" w:hAnsi="Arial"/>
          <w:sz w:val="17"/>
          <w:szCs w:val="17"/>
          <w:color w:val="auto"/>
        </w:rPr>
        <w:t xml:space="preserve"> expansion in the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gene is categorized as the behavioral variant. FTD frequently has an onset in mid-life, and death typically occurs within three to 14 years of onset. FTD is the second most common form of early-onset dementia in people under the age of 65, after AD.</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FTD,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mutations appear in 38% of familial cases and 6% of sporadic cases. FTD affects approximately 55,000 people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FTD Current Treatments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are currently no disease-modifying therapies approved for the treatment of FTD. Treatment to date has involved use of medications for symptomatic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WVE-3972-01 is an investigational oligonucleotide that was designed to preferentially knockdown G</w:t>
      </w:r>
      <w:r>
        <w:rPr>
          <w:rFonts w:ascii="Arial" w:cs="Arial" w:eastAsia="Arial" w:hAnsi="Arial"/>
          <w:sz w:val="13"/>
          <w:szCs w:val="13"/>
          <w:color w:val="auto"/>
        </w:rPr>
        <w:t>4</w:t>
      </w:r>
      <w:r>
        <w:rPr>
          <w:rFonts w:ascii="Arial" w:cs="Arial" w:eastAsia="Arial" w:hAnsi="Arial"/>
          <w:sz w:val="16"/>
          <w:szCs w:val="16"/>
          <w:color w:val="auto"/>
        </w:rPr>
        <w:t>C</w:t>
      </w:r>
      <w:r>
        <w:rPr>
          <w:rFonts w:ascii="Arial" w:cs="Arial" w:eastAsia="Arial" w:hAnsi="Arial"/>
          <w:sz w:val="13"/>
          <w:szCs w:val="13"/>
          <w:color w:val="auto"/>
        </w:rPr>
        <w:t>2</w:t>
      </w:r>
      <w:r>
        <w:rPr>
          <w:rFonts w:ascii="Arial" w:cs="Arial" w:eastAsia="Arial" w:hAnsi="Arial"/>
          <w:sz w:val="16"/>
          <w:szCs w:val="16"/>
          <w:color w:val="auto"/>
        </w:rPr>
        <w:t xml:space="preserve"> repeat-containing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mRNA transcripts, which are associated with ALS and FTD. Expansion of the G</w:t>
      </w:r>
      <w:r>
        <w:rPr>
          <w:rFonts w:ascii="Arial" w:cs="Arial" w:eastAsia="Arial" w:hAnsi="Arial"/>
          <w:sz w:val="13"/>
          <w:szCs w:val="13"/>
          <w:color w:val="auto"/>
        </w:rPr>
        <w:t>4</w:t>
      </w:r>
      <w:r>
        <w:rPr>
          <w:rFonts w:ascii="Arial" w:cs="Arial" w:eastAsia="Arial" w:hAnsi="Arial"/>
          <w:sz w:val="16"/>
          <w:szCs w:val="16"/>
          <w:color w:val="auto"/>
        </w:rPr>
        <w:t>C</w:t>
      </w:r>
      <w:r>
        <w:rPr>
          <w:rFonts w:ascii="Arial" w:cs="Arial" w:eastAsia="Arial" w:hAnsi="Arial"/>
          <w:sz w:val="13"/>
          <w:szCs w:val="13"/>
          <w:color w:val="auto"/>
        </w:rPr>
        <w:t>2</w:t>
      </w:r>
      <w:r>
        <w:rPr>
          <w:rFonts w:ascii="Arial" w:cs="Arial" w:eastAsia="Arial" w:hAnsi="Arial"/>
          <w:sz w:val="16"/>
          <w:szCs w:val="16"/>
          <w:color w:val="auto"/>
        </w:rPr>
        <w:t xml:space="preserve"> repeat alters the normal expression of the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gene and causes the production of repeat-containing RNAs. These RNAs accumulate in cellular nuclei in the form of RNA foci and can be translated into dipeptide repeat (“DPR”) proteins. Neuronal degeneration associated with the expression of the repeat expansion is hypothesized to arise either from a toxic loss-of-function mechanism due to a reduction in C9ORF72 protein or a toxic RNA gain-of-function mechanism through the accumulation of RNA foci and/or DPRs in the brain and spinal cord.</w:t>
      </w:r>
    </w:p>
    <w:p>
      <w:pPr>
        <w:spacing w:after="0" w:line="158"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By targeting the mRNA transcripts that contain the G</w:t>
      </w:r>
      <w:r>
        <w:rPr>
          <w:rFonts w:ascii="Arial" w:cs="Arial" w:eastAsia="Arial" w:hAnsi="Arial"/>
          <w:sz w:val="15"/>
          <w:szCs w:val="15"/>
          <w:color w:val="auto"/>
        </w:rPr>
        <w:t>4</w:t>
      </w:r>
      <w:r>
        <w:rPr>
          <w:rFonts w:ascii="Arial" w:cs="Arial" w:eastAsia="Arial" w:hAnsi="Arial"/>
          <w:sz w:val="18"/>
          <w:szCs w:val="18"/>
          <w:color w:val="auto"/>
        </w:rPr>
        <w:t>C</w:t>
      </w:r>
      <w:r>
        <w:rPr>
          <w:rFonts w:ascii="Arial" w:cs="Arial" w:eastAsia="Arial" w:hAnsi="Arial"/>
          <w:sz w:val="15"/>
          <w:szCs w:val="15"/>
          <w:color w:val="auto"/>
        </w:rPr>
        <w:t>2</w:t>
      </w:r>
      <w:r>
        <w:rPr>
          <w:rFonts w:ascii="Arial" w:cs="Arial" w:eastAsia="Arial" w:hAnsi="Arial"/>
          <w:sz w:val="18"/>
          <w:szCs w:val="18"/>
          <w:color w:val="auto"/>
        </w:rPr>
        <w:t xml:space="preserve"> expansion found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WVE</w:t>
      </w:r>
      <w:r>
        <w:rPr>
          <w:rFonts w:ascii="MS PGothic" w:cs="MS PGothic" w:eastAsia="MS PGothic" w:hAnsi="MS PGothic"/>
          <w:sz w:val="18"/>
          <w:szCs w:val="18"/>
          <w:color w:val="auto"/>
        </w:rPr>
        <w:t>‑</w:t>
      </w:r>
      <w:r>
        <w:rPr>
          <w:rFonts w:ascii="Arial" w:cs="Arial" w:eastAsia="Arial" w:hAnsi="Arial"/>
          <w:sz w:val="18"/>
          <w:szCs w:val="18"/>
          <w:color w:val="auto"/>
        </w:rPr>
        <w:t>3972</w:t>
      </w:r>
      <w:r>
        <w:rPr>
          <w:rFonts w:ascii="MS PGothic" w:cs="MS PGothic" w:eastAsia="MS PGothic" w:hAnsi="MS PGothic"/>
          <w:sz w:val="18"/>
          <w:szCs w:val="18"/>
          <w:color w:val="auto"/>
        </w:rPr>
        <w:t>‑</w:t>
      </w:r>
      <w:r>
        <w:rPr>
          <w:rFonts w:ascii="Arial" w:cs="Arial" w:eastAsia="Arial" w:hAnsi="Arial"/>
          <w:sz w:val="18"/>
          <w:szCs w:val="18"/>
          <w:color w:val="auto"/>
        </w:rPr>
        <w:t>01 has the potential to reduce both RNA-based and protein-based toxicity, thereby impacting the disease course and slowing the progression of ALS or FTD. As WVE-3972-01 preferentially targets the transcripts containing the G</w:t>
      </w:r>
      <w:r>
        <w:rPr>
          <w:rFonts w:ascii="Arial" w:cs="Arial" w:eastAsia="Arial" w:hAnsi="Arial"/>
          <w:sz w:val="15"/>
          <w:szCs w:val="15"/>
          <w:color w:val="auto"/>
        </w:rPr>
        <w:t>4</w:t>
      </w:r>
      <w:r>
        <w:rPr>
          <w:rFonts w:ascii="Arial" w:cs="Arial" w:eastAsia="Arial" w:hAnsi="Arial"/>
          <w:sz w:val="18"/>
          <w:szCs w:val="18"/>
          <w:color w:val="auto"/>
        </w:rPr>
        <w:t>C</w:t>
      </w:r>
      <w:r>
        <w:rPr>
          <w:rFonts w:ascii="Arial" w:cs="Arial" w:eastAsia="Arial" w:hAnsi="Arial"/>
          <w:sz w:val="15"/>
          <w:szCs w:val="15"/>
          <w:color w:val="auto"/>
        </w:rPr>
        <w:t>2</w:t>
      </w:r>
      <w:r>
        <w:rPr>
          <w:rFonts w:ascii="Arial" w:cs="Arial" w:eastAsia="Arial" w:hAnsi="Arial"/>
          <w:sz w:val="18"/>
          <w:szCs w:val="18"/>
          <w:color w:val="auto"/>
        </w:rPr>
        <w:t xml:space="preserve"> expansion, it is designed to minimize the impact on normal C9ORF72 protein levels in patients, thereby reducing potential on-target risk.</w:t>
      </w:r>
    </w:p>
    <w:p>
      <w:pPr>
        <w:spacing w:after="0" w:line="20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Our data suggest that preferential targeting of repeat-containing transcripts using WVE-3972-01 may be a viable therapeutic approach for the treatment of ALS and FTD associated with </w:t>
      </w:r>
      <w:r>
        <w:rPr>
          <w:rFonts w:ascii="Arial" w:cs="Arial" w:eastAsia="Arial" w:hAnsi="Arial"/>
          <w:sz w:val="16"/>
          <w:szCs w:val="16"/>
          <w:i w:val="1"/>
          <w:iCs w:val="1"/>
          <w:color w:val="auto"/>
        </w:rPr>
        <w:t>C9ORF72</w:t>
      </w:r>
      <w:r>
        <w:rPr>
          <w:rFonts w:ascii="Arial" w:cs="Arial" w:eastAsia="Arial" w:hAnsi="Arial"/>
          <w:sz w:val="16"/>
          <w:szCs w:val="16"/>
          <w:color w:val="auto"/>
        </w:rPr>
        <w:t>-repeat expansions. We expect to initiate clinical trials of WVE-3972-01 in ALS and FTD in Q4 2018.</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7" w:name="page28"/>
    <w:bookmarkEnd w:id="27"/>
    <w:p>
      <w:pPr>
        <w:spacing w:after="0" w:line="297" w:lineRule="auto"/>
        <w:rPr>
          <w:sz w:val="20"/>
          <w:szCs w:val="20"/>
          <w:color w:val="auto"/>
        </w:rPr>
      </w:pPr>
      <w:r>
        <w:rPr>
          <w:rFonts w:ascii="Arial" w:cs="Arial" w:eastAsia="Arial" w:hAnsi="Arial"/>
          <w:sz w:val="16"/>
          <w:szCs w:val="16"/>
          <w:color w:val="auto"/>
        </w:rPr>
        <w:t>WVE-3972-01 preferentially reduces G</w:t>
      </w:r>
      <w:r>
        <w:rPr>
          <w:rFonts w:ascii="Arial" w:cs="Arial" w:eastAsia="Arial" w:hAnsi="Arial"/>
          <w:sz w:val="13"/>
          <w:szCs w:val="13"/>
          <w:color w:val="auto"/>
        </w:rPr>
        <w:t>4</w:t>
      </w:r>
      <w:r>
        <w:rPr>
          <w:rFonts w:ascii="Arial" w:cs="Arial" w:eastAsia="Arial" w:hAnsi="Arial"/>
          <w:sz w:val="16"/>
          <w:szCs w:val="16"/>
          <w:color w:val="auto"/>
        </w:rPr>
        <w:t>C</w:t>
      </w:r>
      <w:r>
        <w:rPr>
          <w:rFonts w:ascii="Arial" w:cs="Arial" w:eastAsia="Arial" w:hAnsi="Arial"/>
          <w:sz w:val="13"/>
          <w:szCs w:val="13"/>
          <w:color w:val="auto"/>
        </w:rPr>
        <w:t>2</w:t>
      </w:r>
      <w:r>
        <w:rPr>
          <w:rFonts w:ascii="Arial" w:cs="Arial" w:eastAsia="Arial" w:hAnsi="Arial"/>
          <w:sz w:val="16"/>
          <w:szCs w:val="16"/>
          <w:color w:val="auto"/>
        </w:rPr>
        <w:t xml:space="preserve">-repeat containing transcript levels in several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 For example, as shown below, administration of WVE-3972-01 to C9ORF72-ALS patient-derived induced pluripotent stem cell (iPSC) neurons under gymnotic conditions showed preferential knock down of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repeat-containing transcripts relative to total transcripts. A clear dose-dependent decrease in repeat-containing transcripts was observed, with a calculated IC</w:t>
      </w:r>
      <w:r>
        <w:rPr>
          <w:rFonts w:ascii="Arial" w:cs="Arial" w:eastAsia="Arial" w:hAnsi="Arial"/>
          <w:sz w:val="13"/>
          <w:szCs w:val="13"/>
          <w:color w:val="auto"/>
        </w:rPr>
        <w:t>50</w:t>
      </w:r>
      <w:r>
        <w:rPr>
          <w:rFonts w:ascii="Arial" w:cs="Arial" w:eastAsia="Arial" w:hAnsi="Arial"/>
          <w:sz w:val="16"/>
          <w:szCs w:val="16"/>
          <w:color w:val="auto"/>
        </w:rPr>
        <w:t xml:space="preserve"> of 0.4 μM. In contrast, total transcripts were only slightly reduced and only at the highest doses tested, with a maximal reduction of 42% at 10 μM. Notably, approximately 20% of the reduction in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total transcripts can be attributed to the reduction in the repeat-containing transcripts.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109220</wp:posOffset>
            </wp:positionV>
            <wp:extent cx="4776470" cy="2298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7647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Importantly, WVE-3972-01 led to preferential knockdown of repeat-containing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transcripts in a mouse model. In the transgenic model, mice express the human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from a bacterial artificial chromosome (“BAC”). In these mice, WVE-3972-01 engaged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across cell types in regions of the CNS critically implicated in ALS. The figure below shows that our stereopure oligonucleotides (stereopure) led to preferential reduction of repeat-containing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transcripts (right panel) in the spinal cord compared with all transcripts (left panel) in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transgenic mice. The stereorandom oligonucleotide (random) was neither selective for the repeat-containing transcripts nor as potent as the stereopure oligonucleotides against repeat-containing transcripts.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148590</wp:posOffset>
            </wp:positionV>
            <wp:extent cx="5917565" cy="26244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75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 xml:space="preserve">In addition,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models, WVE-3972-01 produced substantial reductions in DPR proteins and RNA foci, which remained low through eight weeks, the last observed time point (shown in the figures below). DPR proteins were reduced 76% and 87% in the spinal cord and the cortex, respectively. RNA foci were reduced by 70% in the spinal cord. These data have been replicated in blinded preclinical studies in an independent laboratory through our collaboration with Dr. Robert H. Brown, Jr., the Leo P. and Theresa M. LaChance Chair in Medical Research and Chair of the Department of Neurology at the University of Massachusetts Medical School (“UMMS”), Worcester,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146050</wp:posOffset>
            </wp:positionV>
            <wp:extent cx="6165850" cy="6089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65850" cy="608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Spinocerebellar ataxia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SCA3 is a rare, hereditary (autosomal dominant) progressive neurodegenerative disorder that results in a lack of muscle control and coordination of the upper and lower extremities. Signs and symptoms of SCA3 may begin between childhood and late adulthood, and they vary greatly. Symptoms may include progressive clumsiness in the arms and legs, spasticity, difficulty with gait, and impaired speaking, swallowing and eye movements. Symptoms of the disease worsen over time, eventually leading to paralysis. Some patients with SCA3 develop dystonia or symptoms similar to those of PD, including twitching of the face or tongue, and nerve damage (neuropathy). Life expectancy ranges from the mid-30s (more severe forms) to a nearly normal life expectancy for those with milder forms of the disease.</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SCA3 is caused by a CAG-repeat expansion in the </w:t>
      </w:r>
      <w:r>
        <w:rPr>
          <w:rFonts w:ascii="Arial" w:cs="Arial" w:eastAsia="Arial" w:hAnsi="Arial"/>
          <w:sz w:val="18"/>
          <w:szCs w:val="18"/>
          <w:i w:val="1"/>
          <w:iCs w:val="1"/>
          <w:color w:val="auto"/>
        </w:rPr>
        <w:t>ATXN3</w:t>
      </w:r>
      <w:r>
        <w:rPr>
          <w:rFonts w:ascii="Arial" w:cs="Arial" w:eastAsia="Arial" w:hAnsi="Arial"/>
          <w:sz w:val="18"/>
          <w:szCs w:val="18"/>
          <w:color w:val="auto"/>
        </w:rPr>
        <w:t xml:space="preserve"> gene, resulting in an abnormally long polyglutamine stretch in the encoded ataxin-3 protein. Mutant ataxin-3 protein is thought to cause widespread neuronal loss in the brain and spinal cord, likely through a toxic gain-of-function mechanism. SCA3 is the most common dominantly inherited form of ataxia. The prevalence of SCA3 is believed to be one to two cases in 100,000 people with significant geographic and ethnic variations.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There are currently no disease-modifying therapies approved for treatment of SCA3. Treatment to date has involved the use of medications for symptomatic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 xml:space="preserve">We have initiated research to identify potential candidates targeting </w:t>
      </w:r>
      <w:r>
        <w:rPr>
          <w:rFonts w:ascii="Arial" w:cs="Arial" w:eastAsia="Arial" w:hAnsi="Arial"/>
          <w:sz w:val="17"/>
          <w:szCs w:val="17"/>
          <w:i w:val="1"/>
          <w:iCs w:val="1"/>
          <w:color w:val="auto"/>
        </w:rPr>
        <w:t>ATXN3</w:t>
      </w:r>
      <w:r>
        <w:rPr>
          <w:rFonts w:ascii="Arial" w:cs="Arial" w:eastAsia="Arial" w:hAnsi="Arial"/>
          <w:sz w:val="17"/>
          <w:szCs w:val="17"/>
          <w:color w:val="auto"/>
        </w:rPr>
        <w:t xml:space="preserve"> for the treatment of SCA3. Early research suggests there are multiple target sites for oligonucleotides that allow us to knock down the </w:t>
      </w:r>
      <w:r>
        <w:rPr>
          <w:rFonts w:ascii="Arial" w:cs="Arial" w:eastAsia="Arial" w:hAnsi="Arial"/>
          <w:sz w:val="17"/>
          <w:szCs w:val="17"/>
          <w:i w:val="1"/>
          <w:iCs w:val="1"/>
          <w:color w:val="auto"/>
        </w:rPr>
        <w:t>ATXN3</w:t>
      </w:r>
      <w:r>
        <w:rPr>
          <w:rFonts w:ascii="Arial" w:cs="Arial" w:eastAsia="Arial" w:hAnsi="Arial"/>
          <w:sz w:val="17"/>
          <w:szCs w:val="17"/>
          <w:color w:val="auto"/>
        </w:rPr>
        <w:t xml:space="preserve"> gene in allele-specific or non-discriminatory ways. Further studies are in progress to assess the efficacy and benefits of each of these approaches. We expect to have a candidate identified by the end of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Franchises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believe that our platform will drive the discovery and advancement of stereopure therapeutic candidates in our initial focus area of neurology and additional therapeutic areas. We continue to explore ways that our multi-modality chemistry may be optimized to address a multitude of rare genetic diseases. Based on our design principles, we have demonstrated our ability to rapidly design and select lead therapeutic candidates with optimized pharmacological properties in preclinical studies. Outside of neurology, we have early-stage discovery programs focused on screening activities and lead optimization for potential drug candidates in ophthalmologic and hepatic diseases. We intend to continue to advance these discovery programs and explore opportunities to expand to other areas independently and through collaborations and partnerships.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are advancing the development of stereopure compounds to target genetic ophthalmologic diseases, with initial emphasis on retinal diseases. Our discovery research has tested the hypothesis that controlling the chirality of PS linkages in the backbones of oligonucleotides will provide a benefit in potency, distribution and duration of effect in the eye. In these studies, we have employed </w:t>
      </w:r>
      <w:r>
        <w:rPr>
          <w:rFonts w:ascii="Arial" w:cs="Arial" w:eastAsia="Arial" w:hAnsi="Arial"/>
          <w:sz w:val="17"/>
          <w:szCs w:val="17"/>
          <w:i w:val="1"/>
          <w:iCs w:val="1"/>
          <w:color w:val="auto"/>
        </w:rPr>
        <w:t>MALAT1</w:t>
      </w:r>
      <w:r>
        <w:rPr>
          <w:rFonts w:ascii="Arial" w:cs="Arial" w:eastAsia="Arial" w:hAnsi="Arial"/>
          <w:sz w:val="17"/>
          <w:szCs w:val="17"/>
          <w:color w:val="auto"/>
        </w:rPr>
        <w:t xml:space="preserve"> as a surrogate target. We generated stereopure compounds targeting the long non-coding </w:t>
      </w:r>
      <w:r>
        <w:rPr>
          <w:rFonts w:ascii="Arial" w:cs="Arial" w:eastAsia="Arial" w:hAnsi="Arial"/>
          <w:sz w:val="17"/>
          <w:szCs w:val="17"/>
          <w:i w:val="1"/>
          <w:iCs w:val="1"/>
          <w:color w:val="auto"/>
        </w:rPr>
        <w:t>MALAT1</w:t>
      </w:r>
      <w:r>
        <w:rPr>
          <w:rFonts w:ascii="Arial" w:cs="Arial" w:eastAsia="Arial" w:hAnsi="Arial"/>
          <w:sz w:val="17"/>
          <w:szCs w:val="17"/>
          <w:color w:val="auto"/>
        </w:rPr>
        <w:t xml:space="preserve"> RNA and evaluated them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iCell neurons under gymnotic conditions. We then evaluated lead stereopure oligonucleotides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following single intravitreal injection (5 µg and 50 µg) in the mouse eye. We are assessing reduction of </w:t>
      </w:r>
      <w:r>
        <w:rPr>
          <w:rFonts w:ascii="Arial" w:cs="Arial" w:eastAsia="Arial" w:hAnsi="Arial"/>
          <w:sz w:val="17"/>
          <w:szCs w:val="17"/>
          <w:i w:val="1"/>
          <w:iCs w:val="1"/>
          <w:color w:val="auto"/>
        </w:rPr>
        <w:t>MALAT1</w:t>
      </w:r>
      <w:r>
        <w:rPr>
          <w:rFonts w:ascii="Arial" w:cs="Arial" w:eastAsia="Arial" w:hAnsi="Arial"/>
          <w:sz w:val="17"/>
          <w:szCs w:val="17"/>
          <w:color w:val="auto"/>
        </w:rPr>
        <w:t xml:space="preserve"> RNA by qPCR, levels and distribution of oligonucleotides by hybridization ELISA and IHC, and duration of effect over a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156845</wp:posOffset>
            </wp:positionV>
            <wp:extent cx="6114415" cy="2049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successfully delivered stereopure </w:t>
      </w:r>
      <w:r>
        <w:rPr>
          <w:rFonts w:ascii="Arial" w:cs="Arial" w:eastAsia="Arial" w:hAnsi="Arial"/>
          <w:sz w:val="16"/>
          <w:szCs w:val="16"/>
          <w:i w:val="1"/>
          <w:iCs w:val="1"/>
          <w:color w:val="auto"/>
        </w:rPr>
        <w:t>MALAT1</w:t>
      </w:r>
      <w:r>
        <w:rPr>
          <w:rFonts w:ascii="Arial" w:cs="Arial" w:eastAsia="Arial" w:hAnsi="Arial"/>
          <w:sz w:val="16"/>
          <w:szCs w:val="16"/>
          <w:color w:val="auto"/>
        </w:rPr>
        <w:t xml:space="preserve"> oligonucleotides under gymnotic conditions to iCell neurons with our best-performing compounds exhibiting IC</w:t>
      </w:r>
      <w:r>
        <w:rPr>
          <w:rFonts w:ascii="Arial" w:cs="Arial" w:eastAsia="Arial" w:hAnsi="Arial"/>
          <w:sz w:val="13"/>
          <w:szCs w:val="13"/>
          <w:color w:val="auto"/>
        </w:rPr>
        <w:t>50</w:t>
      </w:r>
      <w:r>
        <w:rPr>
          <w:rFonts w:ascii="Arial" w:cs="Arial" w:eastAsia="Arial" w:hAnsi="Arial"/>
          <w:sz w:val="16"/>
          <w:szCs w:val="16"/>
          <w:color w:val="auto"/>
        </w:rPr>
        <w:t xml:space="preserve"> values approximately 24-fold lower than those of stereorandom oligonucleotides. In the back of the eye (shown in the figure above), the stereorandom oligonucleotide (SR+, 50 µg) produced a 75% knockdown of </w:t>
      </w:r>
      <w:r>
        <w:rPr>
          <w:rFonts w:ascii="Arial" w:cs="Arial" w:eastAsia="Arial" w:hAnsi="Arial"/>
          <w:sz w:val="16"/>
          <w:szCs w:val="16"/>
          <w:i w:val="1"/>
          <w:iCs w:val="1"/>
          <w:color w:val="auto"/>
        </w:rPr>
        <w:t>MALAT1</w:t>
      </w:r>
      <w:r>
        <w:rPr>
          <w:rFonts w:ascii="Arial" w:cs="Arial" w:eastAsia="Arial" w:hAnsi="Arial"/>
          <w:sz w:val="16"/>
          <w:szCs w:val="16"/>
          <w:color w:val="auto"/>
        </w:rPr>
        <w:t xml:space="preserve"> mRNA, which was maintained for two weeks. At one month, this fell to a 50% reduction, and at three months, a 53% reduction. At the same dose (Stereopure, 50 µg), the stereopure oligonucleotide achieved an 85% reduction in </w:t>
      </w:r>
      <w:r>
        <w:rPr>
          <w:rFonts w:ascii="Arial" w:cs="Arial" w:eastAsia="Arial" w:hAnsi="Arial"/>
          <w:sz w:val="16"/>
          <w:szCs w:val="16"/>
          <w:i w:val="1"/>
          <w:iCs w:val="1"/>
          <w:color w:val="auto"/>
        </w:rPr>
        <w:t>MALAT1</w:t>
      </w:r>
      <w:r>
        <w:rPr>
          <w:rFonts w:ascii="Arial" w:cs="Arial" w:eastAsia="Arial" w:hAnsi="Arial"/>
          <w:sz w:val="16"/>
          <w:szCs w:val="16"/>
          <w:color w:val="auto"/>
        </w:rPr>
        <w:t xml:space="preserve"> mRNA as early as seven days post-single intravitreal injection, which was maintained at one month. At three months post-dose, a 62% reduction persisted. At a 10-fold lower dose (5 µg), the stereopure oligonucleotide still exhibited greater knockdown of </w:t>
      </w:r>
      <w:r>
        <w:rPr>
          <w:rFonts w:ascii="Arial" w:cs="Arial" w:eastAsia="Arial" w:hAnsi="Arial"/>
          <w:sz w:val="16"/>
          <w:szCs w:val="16"/>
          <w:i w:val="1"/>
          <w:iCs w:val="1"/>
          <w:color w:val="auto"/>
        </w:rPr>
        <w:t>MALAT1</w:t>
      </w:r>
      <w:r>
        <w:rPr>
          <w:rFonts w:ascii="Arial" w:cs="Arial" w:eastAsia="Arial" w:hAnsi="Arial"/>
          <w:sz w:val="16"/>
          <w:szCs w:val="16"/>
          <w:color w:val="auto"/>
        </w:rPr>
        <w:t xml:space="preserve"> RNA through one month (70 % vs. 50% knockdown) and three months (62% vs. 53%) than the stereorandom oligonucleotide. In summary, a 10-fold enhancement in potency was achieved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with a stereopure oligonucleotide compared with a stereorandom oligonucleotide, and this effect was sustained through three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Similar results were observed in the front of the eye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169545</wp:posOffset>
            </wp:positionV>
            <wp:extent cx="6062980" cy="2049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6298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1" w:name="page32"/>
    <w:bookmarkEnd w:id="31"/>
    <w:p>
      <w:pPr>
        <w:ind w:right="540"/>
        <w:spacing w:after="0" w:line="308" w:lineRule="auto"/>
        <w:rPr>
          <w:sz w:val="20"/>
          <w:szCs w:val="20"/>
          <w:color w:val="auto"/>
        </w:rPr>
      </w:pPr>
      <w:r>
        <w:rPr>
          <w:rFonts w:ascii="Arial" w:cs="Arial" w:eastAsia="Arial" w:hAnsi="Arial"/>
          <w:sz w:val="17"/>
          <w:szCs w:val="17"/>
          <w:color w:val="auto"/>
        </w:rPr>
        <w:t xml:space="preserve">In a preliminary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 in NHPs, the stereopure oligonucleotide achieved a clear dose-dependent knockdown of </w:t>
      </w:r>
      <w:r>
        <w:rPr>
          <w:rFonts w:ascii="Arial" w:cs="Arial" w:eastAsia="Arial" w:hAnsi="Arial"/>
          <w:sz w:val="17"/>
          <w:szCs w:val="17"/>
          <w:i w:val="1"/>
          <w:iCs w:val="1"/>
          <w:color w:val="auto"/>
        </w:rPr>
        <w:t>MALAT1</w:t>
      </w:r>
      <w:r>
        <w:rPr>
          <w:rFonts w:ascii="Arial" w:cs="Arial" w:eastAsia="Arial" w:hAnsi="Arial"/>
          <w:sz w:val="17"/>
          <w:szCs w:val="17"/>
          <w:color w:val="auto"/>
        </w:rPr>
        <w:t xml:space="preserve"> mRNA in three separate eye tissues (retina/choroid/sclera, iris and cornea) one week following a single intravitreal injection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119380</wp:posOffset>
            </wp:positionV>
            <wp:extent cx="6062980" cy="2049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298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studies support the hypothesis that stereopure compounds can be designed to increase the potency, distribution and duration of effect in the eye compared with stereorandom oligonucleotides. Additional research is being conducted to develop stereopure oligonucleotides against specific genetic targets to treat diseases of the eye, including retinal diseases.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Hepatic</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collaboration with Pfizer continues to make progress toward developing genetically targeted therapies for the treatment of metabolic liver diseases, such as nonalcoholic steatohepatitis. The collaboration has accelerated the application of our stereochemistry platform across antisense and RNAi modalities with the incorporation of GalNAc and Pfizer’s hepatic-targeting technology to address metabolic diseases of the liver. As part of the collaboration, three targets have been declared, including APOC3. Our stereopure GalNAc-conjugated APOC3 antisense oligonucleotide demonstrated a potency equivalent to state-of-the-art GalNAc-conjugated double-strand RNAi with a median effective dose of 0.3mg/kg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addition, our stereopure GalNAc-conjugated APOC3 antisense oligonucleotide demonstrated a 7- to 10-fold improvement in potency and an increase in durability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compared with stereorandom GalNAc-conjugated APOC3 antisense oligonucleotides. In November 2017, we achieved a milestone under our collaboration with Pfizer by demonstrating significant activity of stereopure GalNAc-conjugated APOC3 antisense oligonucleotides over stereorandom oligonucleotides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and meeting other milestone criteria.</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Licensing Arrangements and Research Collaborations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business strategy is to develop and commercialize a broad pipeline of nucleic acid therapies. As part of this strategy, we have entered into, and may enter into new partnership and collaboration agreements as a means of advancing our own nucleic acid therapeutic programs, investing in third-party technologies to further strengthen our drug development platform and leveraging external partnerships to extend the reach of our drug development platform in therapeutic areas where our chemistry platform demonstrates a competitive advantage.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2018, Wave Life Sciences USA, Inc. and Wave Life Sciences UK Limited (collectively as used in this description, “we”), two of our direct, wholly-owned subsidiaries, entered into a Collaboration and License Agreement (the “Takeda Collaboration Agreement”) with Takeda. Subject to customary closing conditions, including the expiration or early termination of the applicable waiting period under the HSR Act, the Takeda Collaboration Agreement is expected to become effective during Q1 2018.</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terms of the Takeda Collaboration Agreement, we and Takeda have agreed to collaborate on the research, development and commercialization of oligonucleotide therapeutics for disorders of the CNS. The collaboration provides Takeda with the option to globally co-develop and commercialize programs targeting HD, ALS, FTD and SCA3, (collectively, the “Category 1 Programs”), which we will have the right to co-commercialize in the United States. In addition, Takeda will have the right to exclusively license multiple preclinical programs for CNS disorders, including AD and PD (collectively, the “Category 2 Programs”).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With respect to Category 1 Programs, we will be responsible for researching and developing products and companion diagnostics for Category 1 Programs through completion of the first proof of mechanism study for such products. Takeda will have an exclusive option for each target and all associated products and companion diagnostics for such target, which it may exercise at any time through completion of the proof of mechanism study. If Takeda exercises this option, we will receive an opt-in payment and will lead manufacturing and joint clinical co-development activities; Takeda will lead joint co-commercial activities in the United States and all commercial activities outside of the United States. Global costs and potential profits will be shared 50:50 and we will be eligible to receive development and commercial milestone payments. In addition to its 50% profit share, we are eligible to receive option exercise fees and development and commercial milestone payments for each of the Category 1 Programs.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With respect to Category 2 Programs, we have granted Takeda the right to exclusively license multiple preclinical programs during a four-year research term (subject to limited extension for programs that were initiated prior to the expiration of the research term, in accordance with the Takeda Collaboration Agreement). During that term, the parties may collaborate on preclinical programs for up to six targets at any one time. We will be responsible for researching and preclinically developing products and companion diagnostics directed to the agreed upon targets through completion of IND-enabling studies in the first major market country. Thereafter, Takeda will have an exclusive worldwide license to develop and commercialize products and companion diagnostics directed to such targets, subject to our retained rights to lead manufacturing activities for products directed to such targets. Takeda will fund our research and preclinical activities in the amount of $60 million during the research term and will reimburse us for any collaboration-budgeted research and preclinical expenses incurred by us that exceed that amount. We are also eligible to receive tiered high single-digit to mid-teen royalties on Takeda’s global commercial sales of products from each Category 2 Program.</w:t>
      </w:r>
    </w:p>
    <w:p>
      <w:pPr>
        <w:spacing w:after="0" w:line="18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addition to the research support funding of $60 million over four years and the profit and loss sharing and royalty payments described above, Takeda will make an upfront payment of $110 million and an upfront equity investment of $60 million when the Takeda Collaboration Agreement takes effect.</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Under the Takeda Collaboration Agreement, each party grants to the other party specific intellectual property licenses to enable the other party to perform its obligations and exercise its rights under the Takeda Collaboration Agreement, including license grants to enable each party to conduct research, development and commercialization activities pursuant to the terms of the Takeda Collaboration Agreement.</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term of the Takeda Collaboration Agreement runs from the date on which the closing has occurred under the share purchase agreement for the Takeda Equity Investment (as described below), which is conditioned upon the expiration or early termination of the applicable waiting period under the HSR Act, and, unless terminated earlier, will continue until the date on which: (i) with respect to each Category 1 Program target for which Takeda does not exercise its option, expiration or termination of the development program with respect to such target; (ii) with respect to each Category 1 Program target for which Takeda exercises its option, the date on which neither party is researching, developing or manufacturing any products or companion diagnostics directed to such target; or (iii) with respect to each Category 2 Program target, the date on which royalties are no longer payable with respect to products directed to such target.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line="253" w:lineRule="auto"/>
        <w:rPr>
          <w:sz w:val="20"/>
          <w:szCs w:val="20"/>
          <w:color w:val="auto"/>
        </w:rPr>
      </w:pPr>
      <w:r>
        <w:rPr>
          <w:rFonts w:ascii="Arial" w:cs="Arial" w:eastAsia="Arial" w:hAnsi="Arial"/>
          <w:sz w:val="18"/>
          <w:szCs w:val="18"/>
          <w:color w:val="auto"/>
        </w:rPr>
        <w:t>Takeda may terminate the Takeda Collaboration Agreement for convenience on 180 days’ notice, in its entirety or on target-by-target basis. Subject to certain exceptions, each party has the right to terminate the Takeda Collaboration Agreement on a target-by-target basis if the other party or, a third party related to such party, challenges the patentability, enforceability or validity of any patents within the licensed technology that cover any product or companion diagnostic that is subject to the Takeda Collaboration Agreement. In the event of any material breach of the Takeda Collaboration Agreement by a party, subject to cure rights, the other party may terminate the Takeda Collaboration Agreement in its entirety if the breach relates to all targets or on a target-by-target basis if the breach relates to a specific target. In the event that Takeda and its affiliates cease development, manufacturing and commercialization activities with respect to compounds or products subject to the Takeda Collaboration Agreement and directed to a particular target, we may terminate the Takeda Collaboration Agreement with respect to such target. Either party may terminate the Takeda Collaboration Agreement for the other party’s insolvency. In certain termination circumstances, we would receive a license from Takeda to continue researching, developing and manufacturing certain products, and companion diagnostics.</w:t>
      </w:r>
    </w:p>
    <w:p>
      <w:pPr>
        <w:spacing w:after="0" w:line="19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Simultaneously with our entry into the Takeda Collaboration Agreement, we entered into a share purchase agreement with Takeda pursuant to which we agreed to sell to Takeda 1,096,892 of our ordinary shares at a purchase price of $54.70 per share, for an aggregate purchase price of approximately $60.0 million (the “Takeda Equity Investment”). Subject to customary closing conditions, including the expiration or early termination of the applicable waiting period under the HSR Act, the Takeda Equity Investment is expected to close during Q1 2018. The shares being purchased by Takeda are subject to lock-up and standstill restrictions and carry certain registration rights, customary for transactions of this kind.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May 2016, we entered into a research, license and option agreement with Pfizer Inc. (the “Pfizer Collaboration Agreement”). Pursuant to the terms of the Pfizer Collaboration Agreement, we and Pfizer agreed to collaborate on the discovery, development and commercialization of stereopure oligonucleotide therapeutics for up to five programs (the “Pfizer Programs”), each directed at a genetically-defined hepatic target selected by Pfizer (the “Pfizer Collaboration”). Under the terms of the agreements we entered into with Pfizer and its affiliate, Pfizer paid us $40.0 million upfront, $30.0 million of which took the form of an equity investment in our ordinary shares, as described below. Subject to option exercises by Pfizer, we may earn potential research, development and commercial milestone payments, plus royalties, tiered up to low double-digits, on sales of any products that may result from the Pfizer Collaboration.</w:t>
      </w:r>
    </w:p>
    <w:p>
      <w:pPr>
        <w:spacing w:after="0" w:line="2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Under the Pfizer Collaboration Agreement, the parties agreed to collaborate during the four-year research term. During the research term, we are responsible to use our commercially reasonable efforts to advance up to five programs through to the selection of clinical candidates. At that stage, Pfizer may elect to license any of these programs exclusively and to have exclusive rights to undertake the clinical development of the clinical candidates into products and the potential commercialization of any such products thereafter. In addition, under the Pfizer Collaboration, we receive a non-exclusive, royalty-bearing sublicensable license to use Pfizer’s hepatic targeting technology in any of our own hepatic programs that are outside the scope of the collaboration (the “Wave Programs”). If we use Pfizer’s technology on our programs, Pfizer is eligible to receive potential development and commercial milestone payments from us. Pfizer is also eligible to receive tiered royalties on sales of any products that include Pfizer’s hepatic targeting technology.</w:t>
      </w:r>
    </w:p>
    <w:p>
      <w:pPr>
        <w:spacing w:after="0" w:line="16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of the date of the filing of this Annual Report on Form 10-K for the fiscal year ended December 31, 2017 with the Securities and Exchange Commission (“SEC”), Pfizer had declared three hepatic targets, including APOC3 and two undisclosed programs and has until May 2018 to declare up to two additional hepatic targets. Also in connection with the Pfizer Collaboration, Pfizer agreed that it will be subject to certain standstill restrictions customary for transactions of this kind. The term of the Pfizer Collaboration Agreement runs from the effective date until the date of the last to expire payment obligations with respect to each Pfizer Program and with respect to each Wave Program, and expires on a program-by-program basis accordingly.</w:t>
      </w:r>
    </w:p>
    <w:p>
      <w:pPr>
        <w:spacing w:after="0" w:line="18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Simultaneously with the entry into the Pfizer Collaboration Agreement with Pfizer, we entered into a share purchase agreement with C.P. Pharmaceuticals International C.V., an affiliate of Pfizer (the “Pfizer affiliate”). Pursuant to the terms of the share purchase agreement, the Pfizer affiliate purchased 1,875,000 of our ordinary shares at a purchase price of $16.00 per share, for an aggregate purchase price of $30.0 million. The shares purchased by the Pfizer affiliate are subject to lock-up restrictions and carry certain registration rights outlined in the share purchase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Max-Planck-Innovation GmbH</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June 2015, we entered into an agreement with Max-Planck-Innovation GmbH (“MI”), pursuant to which we obtained a co-exclusive royalty-bearing, worldwide license, with the right to sublicense, research, develop, manufacture and commercialize products in all fields of use under certain patent rights owned by Max-Planck-Gesellschaft (“MPG”), and patent rights owned by UMMS, which has been granted to us by MI, a wholly-owned subsidiary of MPG, acting as MPG’s technology transfer agency and UMMS’s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ind w:right="180"/>
        <w:spacing w:after="0" w:line="277" w:lineRule="auto"/>
        <w:rPr>
          <w:sz w:val="20"/>
          <w:szCs w:val="20"/>
          <w:color w:val="auto"/>
        </w:rPr>
      </w:pPr>
      <w:r>
        <w:rPr>
          <w:rFonts w:ascii="Arial" w:cs="Arial" w:eastAsia="Arial" w:hAnsi="Arial"/>
          <w:sz w:val="18"/>
          <w:szCs w:val="18"/>
          <w:color w:val="auto"/>
        </w:rPr>
        <w:t>authorized licensing agency for such patents. MPG and MI are collectively referred to herein as Max-Planck. Our license is one of two maximum allowable co-exclusive licenses for these patents, the other of which is currently held by Ionis.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patent rights under this license are to patent filings that relate to certain sequence and structural features of single-stranded RNA molecules that mediate target-specific RNA interference, and include both filings that are owned by Max-Planck and arose from research conducted by Thomas Tuschl, Ph.D. and his colleagues at the Max-Planck-Institute for Biophysical Chemistry, and also an issued U.S. patent owned by the University of Massachusetts (“UMASS”), that prevailed in an interference with one of the Max-Planck filings and was subsequently included, through a separate agreement between Max-Planck and UMASS, within the portfolio that Max-Planck is authorized to license. The Max-Planck licensed patent portfolio includes issued U.S. and Canadian patents, and pending U.S. and European patent applications, each of which has a projected 20-year term that extends into 2023.</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may unilaterally terminate the license agreement upon 90 days’ prior written notice and payment of all accrued amounts owing to Max-Planck. Max-Planck may terminate the agreement upon 30 days’ prior written notice if we challenge the validity of its patents, upon 30 days’ prior written notice if we undergo a change of control and cannot demonstrate that we will maintain a development and commercialization program that is substantially similar or greater in scope than the program prior to the change of control event, or in the event of our material breach which remains uncured after 60 days of receiving written notice of such breach (or 45 days in the case of nonpayment). Absent early termination, the agreement will automatically terminate upon the later of the expiration or abandonment of all issued patents and filed patent applications with the patent rights covered by the agreement or April 28,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Oxford; Professor Matthew Wood’s Laboratory</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Since April 2015, we have been collaborating with Dr. Matthew J.A. Wood, Professor of Neuroscience at the University of Oxford and Co-Director of the Oxford Centre for Neuromuscular Science under a translational research collaboration agreement with The Chancellor, Masters, and Scholars of the University of Oxford (“Oxford”). Dr. Wood’s research is in the field of degenerative disorders of the nervous system and muscle. His laboratory’s main focus is the investigation of novel therapeutic approaches using short nucleic acids to target mRNA. His team has been investigating the potential of single-stranded antisense oligonucleotides for the modification of mRNA splicing, for example in DMD. In October 2016 we extended our research collaboration for an additional 27 months in order for Oxford to characterize our proprietary isomers in murine models to further improve the pharmacology of oligonucleotides using our novel chemistries and to discover biomarkers associated with disease progression and pharmacological activity for the treatment of DMD. Under this collaboration, we are exploring additional exon targets, including exon 45 and exon 44 beyond our lead DMD programs, which target exon 51 and exon 53. In October 2017, we expanded our research collaboration with Oxford beyond DMD to include spinal muscular atrophy, with a term of 18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Dundee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Since September 2015, we have been conducting research in collaboration with the University of Dundee (“Dundee”) that involves characterizing our proprietary isomers in order to improve the pharmacology of oligonucleotides for the treatment of keratin disorders. We and Dundee have received a five-year grant to support a collaborative research project entitled ‘Delivering gene silencing therapy to the epidermic and ocular surface,’ effective March 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Massachusetts Medical School</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Since January 2017, we have been conducting research in collaboration with Dr. Robert H. Brown, Jr., the Leo P. and Theresa M. LaChance Chair in Medical Research and Chair of the Department of Neurology at UMMS, an internationally known researcher and physician in the field. Our research collaboration with UMMS is focused on characterizing our proprietary isomers in order to improve the pharmacology of oligonucleotides for the treatment of ALS and FTD, and investigating the mechanisms of action of specific and efficient knockdown of the targeted mutant </w:t>
      </w:r>
      <w:r>
        <w:rPr>
          <w:rFonts w:ascii="Arial" w:cs="Arial" w:eastAsia="Arial" w:hAnsi="Arial"/>
          <w:sz w:val="17"/>
          <w:szCs w:val="17"/>
          <w:i w:val="1"/>
          <w:iCs w:val="1"/>
          <w:color w:val="auto"/>
        </w:rPr>
        <w:t>C9ORF7</w:t>
      </w:r>
      <w:r>
        <w:rPr>
          <w:rFonts w:ascii="Arial" w:cs="Arial" w:eastAsia="Arial" w:hAnsi="Arial"/>
          <w:sz w:val="17"/>
          <w:szCs w:val="17"/>
          <w:color w:val="auto"/>
        </w:rPr>
        <w:t>2 mRNA.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ReadCoor</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Since April 2017, we have been collaborating with ReadCoor, Inc. (“ReadCoor”) to develop a registry of brain cell network maps and advance our chemistry for targeted drug delivery to the brain. ReadCoor is a company focused on leading the next generation of ‘omics by delivering the first panomic spatial sequencing platform to researchers, clinicians and pharmaceutical and diagnostics companies. The collaboration leverages ReadCoor’s proprietary FISSEQ (Florescent In-Situ Sequencing) platform designed to provide critical spatial data by combining next generation sequencing and three-dimensional imaging.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provide internal cGMP manufacturing capabilities and increase control and visibility of our drug product supply chain, we entered into a lease in September 2016 for a multi-use facility of approximately 90,000 square feet in Lexington, Massachusetts and immediately initiated the build out of manufacturing space and related capabilities. In addition to manufacturing space, the Lexington facility includes additional laboratory and office space to support our growth. This facility supplements our existing Cambridge, Massachusetts laboratory and office space headquarters, enhances our ability to secure drug product for current and future development activities and may provide commercial-scale manufacturing capabilities. In July 2017, we took occupancy of the Lexington facility and began manufacturing production in Q4 2017.</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believe that we have sufficient manufacturing capacity through our third-party contract manufacturers and our internal manufacturing facility to meet our current research, clinical and early-stage commercial needs. We believe that the addition of our internal cGMP manufacturing capabilities, together with the supply capacity we have established externally will be sufficient to meet our anticipated manufacturing needs for the next several years. We monitor the availability of capacity for the manufacture of drug substance and drug product and believe that our supply agreements with our contract manufacturers and the lead times for new supply agreements would allow us to access additional capacity if needed. We believe that our products can be manufactured at scale and with production and procurement efficiencies that will result in commercially competitive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Since commencing operations, we have dedicated a significant portion of our resources to research and development activities, including the development of our core platform technology and our therapeutic programs. We incurred research and development expenses of $79.3 million, $40.8 million and $9.1 million during the fiscal years ended December 31, 2017, 2016 and 2015, respectively.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anticipate that a significant portion of our operating expenses will continue to be related to research and development as we continue to advance our therapeutic programs.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own or have rights to worldwide patent filings that protect our proprietary technologies for making stereopure oligonucleotide compositions, and that also protect the compositions themselves, as well as methods of using them, including in the treatment of diseases. As of March 1, 2018, our portfolio includes at least 12 issued U.S. patents, at least 37 issued foreign patents, and pending applications in at least 37 jurisdictions. The information contained in this </w:t>
      </w:r>
      <w:r>
        <w:rPr>
          <w:rFonts w:ascii="Arial" w:cs="Arial" w:eastAsia="Arial" w:hAnsi="Arial"/>
          <w:sz w:val="18"/>
          <w:szCs w:val="18"/>
          <w:i w:val="1"/>
          <w:iCs w:val="1"/>
          <w:color w:val="auto"/>
        </w:rPr>
        <w:t xml:space="preserve">“Business – Intellectual Property” </w:t>
      </w:r>
      <w:r>
        <w:rPr>
          <w:rFonts w:ascii="Arial" w:cs="Arial" w:eastAsia="Arial" w:hAnsi="Arial"/>
          <w:sz w:val="18"/>
          <w:szCs w:val="18"/>
          <w:color w:val="auto"/>
        </w:rPr>
        <w:t>subsection is current as of March 1, 2018.</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Synthetic Methodologies</w:t>
      </w:r>
    </w:p>
    <w:p>
      <w:pPr>
        <w:spacing w:after="0" w:line="13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patent portfolio includes multiple families that protect synthetic methodologies and/or key reagents for generating stereopure oligonucleotide compositions. Certain synthetic methodologies and/or key reagents are covered by families originally filed by the University of Tokyo. We have obtained exclusive rights to these families, which include two issued Japanese patents that have terms that extend to 2022-2025.</w:t>
      </w:r>
    </w:p>
    <w:p>
      <w:pPr>
        <w:spacing w:after="0" w:line="2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Additional synthetic methodologies and/or reagents are protected by families that we own. Certain families have 20-year expiration dates that range from 2029 to 2037. Some of these families have issued patents in several jurisdictions, including in major relevant jurisdictions such as the United States, Europe, and/or Japan; all have pending applications either at the international stage or in multiple jurisdictions.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also co-own with the University of Tokyo certain filings that are directed to certain methods and/or reagents for synthesizing oligonucleotides; their 20-year expiration dates fall in 2031.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Stereopure Oligonucleotide Compositions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Certain of our patent filings protect stereopure compositions, particularly of therapeutically relevant oligonucleotides. Some such filings are directed to compositions whose oligonucleotides are characterized by particular patterns of chemical modification (including modifications of bases, sugars and/or internucleotidic linkages) and/or of internucleotidic linkage stereochemistry. Certain patent filings describe specific compositions designed for use in the treatment of particular diseases (e.g., HD, DMD). Several of our patent filings directed to stereopure compositions have entered national stage prosecution in multiple jurisdictions; others are in the international stage. Certain filings offer 20-year protection terms that extend into 2033-2037.</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We also co-own with Shin Nippon Biomedical Laboratories, Ltd. various patent families that relate to stereopure oligonucleotide adjuvant compositions and have entered national stage prosecution in multiple jurisdictions; these have 20-year terms extending to 2033-2035.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Filings</w:t>
      </w:r>
    </w:p>
    <w:p>
      <w:pPr>
        <w:spacing w:after="0" w:line="11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 Intellectual Property Law</w:t>
      </w:r>
    </w:p>
    <w:p>
      <w:pPr>
        <w:spacing w:after="0" w:line="1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34 of the Singapore Patents Act provides that a person residing in Singapore is required to obtain written authorization from the Singapore Registrar of Patents before filing an application for a patent for an invention outside of Singapore, unless all of the following conditions have been satisfied: (a) the person has filed an application for a patent for the same invention in the Singapore Registry of Patents at least two months before the filing of the patent application outside Singapore, and (b) the Singapore Registrar of Patents has not, in respect of this patent application, given directions to prohibit or restrict the publication of information contained in the patent application or its communication to any persons or description of persons pursuant to Section 33 of the Singapore Patents Act, or if the Singapore Registrar of Patents has given any such directions, all such directions have been revoked. A violation of Section 34 is a criminal offense punishable by a fine not exceeding S$5,000, or imprisonment for a term not exceeding two years, or both. There have been some instances where we have undertaken filings outside of Singapore, and there may be instances where we undertake such filings in the future, without first obtaining written authorization from the Singapore Registrar of Patents. When this has happened in the past, we have notified the Registrar and the Registrar has offered a compound of the offences against payment of a sum of S$50 in each of these cases. Under Singapore law, the Registrar has discretion to offer a compound of such offences against payment of a sum of money of up to S$2,000.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biotechnology and pharmaceutical marketplace is characterized by rapidly advancing technologies, intense competition and a strong emphasis on proprietary products. While we believe that our expertise in nucleic acid therapeutics,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nucleic acid therapeutics, but any product candidates that we successfully develop and commercialize will compete with existing therapies and new therapies that may become available in the future.</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are no approved treatments available to slow the progression of HD. We believe, based on publicly available information, that Roche and Ionis (Phase</w:t>
      </w:r>
    </w:p>
    <w:p>
      <w:pPr>
        <w:spacing w:after="0" w:line="46" w:lineRule="exact"/>
        <w:rPr>
          <w:sz w:val="20"/>
          <w:szCs w:val="20"/>
          <w:color w:val="auto"/>
        </w:rPr>
      </w:pPr>
    </w:p>
    <w:p>
      <w:pPr>
        <w:ind w:right="280" w:firstLine="8"/>
        <w:spacing w:after="0" w:line="261"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an investigational drug in clinical development and several companies have ongoing preclinical programs in HD, including Sangamo Biosciences, ProQR, Nuredis, uniQure, Spark Therapeutics and Voyager Therapeutics.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number of companies are developing drugs to treat symptoms associated with HD, including Teva Pharmaceutical Industries (Phase 2), Vaccinex (Phase 2), Prana Biotechnology (Phase 2), Omeros Corporation (Phase 2), Stealth BioTherapeutics (Phase 2) and Azevan Pharmaceuticals (Phase 2), among others.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Sarepta Therapeutics’ eteplirsen, an exon skipping nucleic acid therapeutic, was approved by the FDA for the treatment of DMD in the United States in September 2016. The FDA concluded that the data submitted demonstrated an increase in dystrophin production that is reasonably likely to predict clinical benefit in some patients with DMD who have a confirmed mutation of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amenable to exon 51 skipping. No clinical benefit of eteplirsen has been established. Thus, in accordance with the U.S. accelerated approval regulations, the FDA is requiring Sarepta to conduct a clinical trial to verify and describe the drug’s clinical benefit. The required study is designed to assess whether eteplirsen improves motor function of DMD patients with a confirmed mutation of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amenable to exon 51 skipping. If the trial fails to verify clinical benefit, the FDA could initiate proceedings to withdraw approval of the drug. Sarepta has submitted a market authorization application in the European Union and anticipates a decision from the EMA’s Committee for Medicinal Products for Human Use.</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PTC Therapeutics, conditional market authorization has been granted in Europe for ataluren for the treatment of nonsense mutation DMD for ambulatory patients who are five years of age or older. In October 2017, PTC Therapeutics received a CRL from the FDA declining to approve their NDA for ataluren. PTC Therapeutics filed a formal dispute resolution request with the FDA appealing this decision. In February 2018, the FDA reiterated their prior position and denied PTC Therapeutics’ appeal and recommended a possible path forward for ataluren based on the accelerated approval pathway. In addition, BioMarin Pharmaceutical’s drisapersen is an exon-skipping nucleic acid therapeutic candidate for DMD for which the FDA issued a CRL in January 2016 indicating that the review cycle was complete and that the NDA was not ready for approval in its present form.</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believe, based on publicly available information, that a number of other companies are developing drugs that may alter the progression of the disease. Those with programs in clinical development include Roche (Phase 3), Catabasis Pharmaceuticals (Phase 3), Intalfarmaco (Phase 3), Pfizer (Phase 2 and Phase 1), Summit Therapeutics (Phase 2), FibroGen (Phase 2), Capricor Therapeutics (Phase 2), Sarepta Therapeutics (Phase 3 and Phase 1) and Solid Biosciences (Phase 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Amyotrophic Lateral Sclerosis and Frontotemporal Dementia</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There are two treatments approved in the United States for the treatment of ALS, riluzole, approved in 1995, and edaravone, approved in 2017. There are a number of companies with potential therapeutics for the treatment of ALS in clinical development, including AB Sciences (Phase 3), Cytokinetics (Phase 2), Orphazyme (Phase 2), BrainStorm Cell Therapeutics (Phase 2), Genentech (Phase 1) and Biogen and Ionis (Phase 1). Currently, there are no investigational therapies in clinical development specifically targeting </w:t>
      </w:r>
      <w:r>
        <w:rPr>
          <w:rFonts w:ascii="Arial" w:cs="Arial" w:eastAsia="Arial" w:hAnsi="Arial"/>
          <w:sz w:val="18"/>
          <w:szCs w:val="18"/>
          <w:i w:val="1"/>
          <w:iCs w:val="1"/>
          <w:color w:val="auto"/>
        </w:rPr>
        <w:t>C9ORF72</w:t>
      </w:r>
      <w:r>
        <w:rPr>
          <w:rFonts w:ascii="Arial" w:cs="Arial" w:eastAsia="Arial" w:hAnsi="Arial"/>
          <w:sz w:val="18"/>
          <w:szCs w:val="18"/>
          <w:color w:val="auto"/>
        </w:rPr>
        <w:t>.</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There are no approved treatments available to slow the progression of FTD. Few companies have investigational therapies in clinical development specifically for FTD. Ionis (Phase 1) and AlzProtect (Phase 1) appear to be including FTD in their broader AD or tauopathies clinical development plans.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the FDA’s refusal to approve pending applications, a clinical hold, warning letters, recall or seizure of products, partial or total suspension of production, withdrawal of the product from the market, injunctions, fines, civil penalties or criminal prosecution.</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FDA approval is required before any new drug, such as a new molecular or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73" w:lineRule="exact"/>
        <w:rPr>
          <w:sz w:val="20"/>
          <w:szCs w:val="20"/>
          <w:color w:val="auto"/>
        </w:rPr>
      </w:pPr>
    </w:p>
    <w:p>
      <w:pPr>
        <w:ind w:left="1160" w:right="32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in compliance with applicable FDA good laboratory practice regulations and other requirements (“GLPs”);</w:t>
      </w:r>
    </w:p>
    <w:p>
      <w:pPr>
        <w:spacing w:after="0" w:line="62" w:lineRule="exact"/>
        <w:rPr>
          <w:rFonts w:ascii="Arial" w:cs="Arial" w:eastAsia="Arial" w:hAnsi="Arial"/>
          <w:sz w:val="18"/>
          <w:szCs w:val="18"/>
          <w:color w:val="auto"/>
        </w:rPr>
      </w:pPr>
    </w:p>
    <w:p>
      <w:pPr>
        <w:ind w:left="1160" w:right="54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(“IND”) for human clinical testing which must become effective before human clinical trials may begin in the United States;</w:t>
      </w:r>
    </w:p>
    <w:p>
      <w:pPr>
        <w:spacing w:after="0" w:line="62" w:lineRule="exact"/>
        <w:rPr>
          <w:rFonts w:ascii="Arial" w:cs="Arial" w:eastAsia="Arial" w:hAnsi="Arial"/>
          <w:sz w:val="18"/>
          <w:szCs w:val="18"/>
          <w:color w:val="auto"/>
        </w:rPr>
      </w:pPr>
    </w:p>
    <w:p>
      <w:pPr>
        <w:ind w:left="1160" w:right="34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site where a clinical trial will be performed before the trial may be initiated at that site;</w:t>
      </w:r>
    </w:p>
    <w:p>
      <w:pPr>
        <w:spacing w:after="0" w:line="62" w:lineRule="exact"/>
        <w:rPr>
          <w:rFonts w:ascii="Arial" w:cs="Arial" w:eastAsia="Arial" w:hAnsi="Arial"/>
          <w:sz w:val="18"/>
          <w:szCs w:val="18"/>
          <w:color w:val="auto"/>
        </w:rPr>
      </w:pPr>
    </w:p>
    <w:p>
      <w:pPr>
        <w:ind w:left="1160" w:right="2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safety and substantial evidence of effectiveness of the proposed product candidate for each intended use;</w:t>
      </w:r>
    </w:p>
    <w:p>
      <w:pPr>
        <w:spacing w:after="0" w:line="62" w:lineRule="exact"/>
        <w:rPr>
          <w:rFonts w:ascii="Arial" w:cs="Arial" w:eastAsia="Arial" w:hAnsi="Arial"/>
          <w:sz w:val="18"/>
          <w:szCs w:val="18"/>
          <w:color w:val="auto"/>
        </w:rPr>
      </w:pPr>
    </w:p>
    <w:p>
      <w:pPr>
        <w:ind w:left="1160" w:right="28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thorough characterization of the product candidate and establishment of acceptable standards to assure its purity, identity, strength, quality, and stability in compliance with current cGMPs;</w:t>
      </w:r>
    </w:p>
    <w:p>
      <w:pPr>
        <w:spacing w:after="0" w:line="62" w:lineRule="exact"/>
        <w:rPr>
          <w:rFonts w:ascii="Arial" w:cs="Arial" w:eastAsia="Arial" w:hAnsi="Arial"/>
          <w:sz w:val="18"/>
          <w:szCs w:val="18"/>
          <w:color w:val="auto"/>
        </w:rPr>
      </w:pPr>
    </w:p>
    <w:p>
      <w:pPr>
        <w:ind w:left="1160" w:right="76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facility or facilities at which the product is manufactured to assess compliance with cGMPs;</w:t>
      </w:r>
    </w:p>
    <w:p>
      <w:pPr>
        <w:spacing w:after="0" w:line="62" w:lineRule="exact"/>
        <w:rPr>
          <w:rFonts w:ascii="Arial" w:cs="Arial" w:eastAsia="Arial" w:hAnsi="Arial"/>
          <w:sz w:val="18"/>
          <w:szCs w:val="18"/>
          <w:color w:val="auto"/>
        </w:rPr>
      </w:pPr>
    </w:p>
    <w:p>
      <w:pPr>
        <w:ind w:left="1160" w:right="260" w:hanging="517"/>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one or more clinical trial site(s) or the sponsor’s site and/or contract research organization responsible for conduct of key clinical trials in accordance with GCP;</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which must be accepted for filing by the FDA;</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an FDA advisory committee review, if applicable;</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user fees, if applicable; and</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manufacturing development, preclinical and clinical testing, and review process requires substantial time, effort and financial resources. Manufacturing development includes laboratory evaluation of product chemistry, formulation, development of manufacturing and control procedures, evaluation of stability, and the establishment of procedures to ensure continued product quality.</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Preclinical tests include animal studies to assess the toxicity and other safety characteristics of the product candidate, as well as other important aspects of drug pharmacology. The results of preclinical tests, together with manufacturing information, analytical data and a proposed clinical trial protocol and other information, are submitted as part of an IND to the FDA. Preclinical testing will often continue after the IND is submitted. The IND automatically becomes effective 30 days after receipt by the FDA, unless the FDA, within the 30-day time period, places the clinical trial on a clinical hold. In such a case, the IND sponsor must resolve all outstanding concerns before the clinical trial can begin. As a result, our submission of an IND may not result in FDA authorization to commence a clinical trial. A separate submission to an existing IND must also be made for each successive clinical trial conducted during product development, or if changes are made in trial design. Even if the IND becomes effective and the trial proceeds without initial FDA objection, the FDA may stop the trial at a later time if it has concerns, such as if unacceptable safety risks arise.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right="180"/>
        <w:spacing w:after="0" w:line="257" w:lineRule="auto"/>
        <w:rPr>
          <w:sz w:val="20"/>
          <w:szCs w:val="20"/>
          <w:color w:val="auto"/>
        </w:rPr>
      </w:pPr>
      <w:r>
        <w:rPr>
          <w:rFonts w:ascii="Arial" w:cs="Arial" w:eastAsia="Arial" w:hAnsi="Arial"/>
          <w:sz w:val="18"/>
          <w:szCs w:val="18"/>
          <w:color w:val="auto"/>
        </w:rPr>
        <w:t>Further, an independent IRB at each site proposing to conduct the clinical trial must review and approve the plan for any clinical trial and informed consent information for subjects before the trial commences at that site and it must perform an ongoing review of the research on an annual basis until the trial is completed. The FDA or the sponsor may suspend a clinical trial at any time on various grounds, including a finding that the subjects or patients are being exposed to an unacceptable health risk or that the trials are not being conducted in accordance with GCPs, and an IRB may also suspend a clinical trial at its site for similar reasons.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Clinical trials involve the administration of the product candidate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a clinical trial. For purposes of an NDA submission, human clinical trials are typically conducted in the following sequential phases, which may overlap or be combined:</w:t>
      </w:r>
    </w:p>
    <w:p>
      <w:pPr>
        <w:spacing w:after="0" w:line="46" w:lineRule="exact"/>
        <w:rPr>
          <w:sz w:val="20"/>
          <w:szCs w:val="20"/>
          <w:color w:val="auto"/>
        </w:rPr>
      </w:pPr>
    </w:p>
    <w:p>
      <w:pPr>
        <w:ind w:left="1160" w:right="760" w:hanging="517"/>
        <w:spacing w:after="0" w:line="308"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product is initially introduced into healthy human subjects or patients and tested for safety, dose tolerance, absorption,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spacing w:after="0" w:line="38" w:lineRule="exact"/>
        <w:rPr>
          <w:rFonts w:ascii="Arial" w:cs="Arial" w:eastAsia="Arial" w:hAnsi="Arial"/>
          <w:sz w:val="17"/>
          <w:szCs w:val="17"/>
          <w:color w:val="auto"/>
        </w:rPr>
      </w:pPr>
    </w:p>
    <w:p>
      <w:pPr>
        <w:ind w:left="1160" w:right="320" w:hanging="517"/>
        <w:spacing w:after="0" w:line="312" w:lineRule="auto"/>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The product is administered to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38" w:lineRule="exact"/>
        <w:rPr>
          <w:rFonts w:ascii="Arial" w:cs="Arial" w:eastAsia="Arial" w:hAnsi="Arial"/>
          <w:sz w:val="16"/>
          <w:szCs w:val="16"/>
          <w:color w:val="auto"/>
        </w:rPr>
      </w:pPr>
    </w:p>
    <w:p>
      <w:pPr>
        <w:ind w:left="1160" w:right="180" w:hanging="517"/>
        <w:spacing w:after="0" w:line="279"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are commonly referred to as pivotal studies. When Phase 2 evaluations demonstrate that a dose range of the product appears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 effective and has an acceptable safety profile, trials are undertaken in larger patient populations to further evaluate dosage, to obtain substantial evidence of clinical efficacy and safety, generally at multiple, geographically-dispersed clinical trial sites, to establish the overall risk-benefit relationship of the product and to provide adequate information for approval of the product.</w:t>
      </w:r>
    </w:p>
    <w:p>
      <w:pPr>
        <w:spacing w:after="0" w:line="63" w:lineRule="exact"/>
        <w:rPr>
          <w:rFonts w:ascii="Arial" w:cs="Arial" w:eastAsia="Arial" w:hAnsi="Arial"/>
          <w:sz w:val="17"/>
          <w:szCs w:val="17"/>
          <w:color w:val="auto"/>
        </w:rPr>
      </w:pPr>
    </w:p>
    <w:p>
      <w:pPr>
        <w:ind w:left="1160" w:right="300" w:hanging="517"/>
        <w:spacing w:after="0" w:line="264"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In some cases, the FDA may condition approval of an NDA for a product candidate on the sponsor’s agreement to conduct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clinical trials to further assess the product’s safety and effectiveness after NDA approval. Such post-approval trials are typically referred to as Phase 4 studies.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results of product development, preclinical studies and clinical trials are submitted to the FDA as part of an NDA. NDAs must also contain extensive information relating to the product’s pharmacology, chemistry, manufacturing and controls and proposed labeling, among other things.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some products, the FDA may require a Risk Evaluation and Mitigation Strategy (“REMS”), which could include measures imposed by the FDA such as programs to communicate risk outside of labeling, prescribing restrictions, or certain restrictions on distribution and use.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federal law, the submission of most NDAs is subject to a substantial application user fee, and the manufacturer and/or sponsor under an approved NDA are also subject to annual Prescription Drug User Fee Act (“PDUFA”) program fees. 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Any resubmitted application is also subject to 60-day review before the FDA accepts it for filing.</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Once the submission has been accepted for filing, the FDA begins an in-depth review. Under the PDUFA, first the FDA agrees to specific performance goals for NDA review time through a two-tiered classification system, Standard Review and Priority Review. Standard Review for an NDA for a new molecular entity (“NME”) has a goal of being completed within a ten-month timeframe from FDA filing of the application. A Priority Review designation is given to products intended for serious conditions that provide a significant improvement in safety or effectiveness, such as providing a treatment where no adequate therapy exists. The goal for completing a Priority Review for an NME NDA is six months from filing.</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review process may be extended by the FDA by three months from the goal date to consider certain information or obtain clarification regarding information already provided in the submission. The FDA may refer applications for novel products or products which present difficult questions of safety or efficacy to an advisory committee for review, evaluation and recommendation as to whether the application should be approved and under what conditions. The FDA is not bound by the recommendation of an advisory committee, but it considers such recommendations carefully when making decisions.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Before approving an NDA, the FDA may inspect the facility or facilities where the product is manufactured. The FDA will not approve an application unless it determines that the manufacturing processes and facilities are in compliance with cGMP. The FDA may also inspect one or more of the clinical sites where pivotal trials were conducted and the contract research organization facilities with oversight of the trial, in order to ensure compliance with GCP and the integrity of the study data.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160"/>
        <w:spacing w:after="0" w:line="297" w:lineRule="auto"/>
        <w:rPr>
          <w:sz w:val="20"/>
          <w:szCs w:val="20"/>
          <w:color w:val="auto"/>
        </w:rPr>
      </w:pPr>
      <w:r>
        <w:rPr>
          <w:rFonts w:ascii="Arial" w:cs="Arial" w:eastAsia="Arial" w:hAnsi="Arial"/>
          <w:sz w:val="16"/>
          <w:szCs w:val="16"/>
          <w:color w:val="auto"/>
        </w:rPr>
        <w:t>After the FDA evaluates the NDA it may issue an approval letter or a CRL, to indicate that the review cycle for an application is complete and that the application is not ready for approval. CRLs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product with specific prescribing information for specific indications.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power to prevent or limit further marketing of a product based on the results of these post-marketing programs. Products may be marketed only for the approved indications and in accordance with the provisions of the approved label, and, even if the FDA approves a product, the FDA may limit the approved indications for use for the product or impose other conditions, including labeling or distribution restrictions or other risk- management mechanisms, such as a Boxed Warning, which highlights a serious safety concern that should be mitigated under a REMS program. Further, if there are any modifications to the product, including changes in indications, labeling, or manufacturing processes or facilities, a company is generally required to submit and obtain FDA approval of a supplemental NDA, which may require the company to develop additional data or conduct additional preclinical studies and clinical trials.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and Approval</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various programs, including Fast Track, priority review, and accelerated approval, which are intended to expedite or simplify the process for reviewing drugs, and/or provide for approval on the basis of surrogate endpoints. Even if a drug qualifies for one or more of these programs, the FDA may later decide that the drug no longer meets the conditions for qualification or that the time period for FDA review or approval will not be shortened. Drugs that may be eligible for these programs are those for serious or life-threatening conditions, generally those with the potential to address unmet medical needs, or that offer meaningful benefits over existing treatments. For example, Fast Track is a process designed to facilitate the development, and expedite the review, of drugs to treat serious diseases and fill an unmet medical need. Priority review, which is requested at the time of NDA submission, is designed to give drugs that offer major advances in treatment, or provide a treatment where no adequate therapy exists, an initial review within six months from the time of filing as compared to a standard review time of ten months. Although Fast Track and priority review do not affect the standards for approval, the FDA will attempt to facilitate early and frequent meetings with a sponsor of a Fast Track designated drug and expedite review of the application for a drug designated for priority review. Accelerated approval provides an earlier approval of drugs to treat serious diseases, and that fill an unmet medical need based on a surrogate endpoint. As a condition of accelerated approval, the FDA will require that a sponsor of a drug receiving accelerated approval perform post-marketing clinical trials to confirm that the drug confers a clinical benefit for the patient.</w:t>
      </w:r>
    </w:p>
    <w:p>
      <w:pPr>
        <w:spacing w:after="0" w:line="18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the Food and Drug Administration Safety and Innovation Act (“FDASIA”), one of the expedited programs added is that for Breakthrough Therapy. A Breakthrough Therapy designation is designed to expedite the development and review of drugs that are intended to treat a serious condition where preliminary clinical evidence indicates that the drug may demonstrate substantial improvement over available therapy on a clinically significant endpoint(s). A drug that receives Breakthrough Therapy designation is eligible for all Fast Track designation features, intensive guidance on an efficient drug development program, beginning as early as Phase 1 and commitment from the FDA involving senior managers.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Once an NDA is approved, a product will be subject to continuing regulation by the FDA, including, among other things, requirements relating to safety surveillance and adverse event reporting, periodic reporting, continued cGMP compliance and quality oversight, compliance with post-marketing commitments, recordkeeping, advertising and promotion, and reporting manufacturing and labeling changes, as applicable.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some state agencies, and are subject to periodic unannounced inspections by the FDA for assessment of compliance with cGMPs. Changes to the manufacturing process are strictly regulated and often require prior FDA approval before being implemented. FDA regulations also require investigation and correction, and sometimes notification of, any deviations from cGMP. These regulations impose reporting and documentation requirements on the sponsor and any third-party manufacturers that we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ind w:right="100"/>
        <w:spacing w:after="0" w:line="259"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Discovery of previously unknown problems with a product, including adverse events of unlisted severity or frequency, or with manufacturing processes, or failure to comply with regulatory requirements such as noncompliance with cGMP or failure to correct previously identified inspection findings, may result in, among other things:</w:t>
      </w:r>
    </w:p>
    <w:p>
      <w:pPr>
        <w:spacing w:after="0" w:line="79" w:lineRule="exact"/>
        <w:rPr>
          <w:sz w:val="20"/>
          <w:szCs w:val="20"/>
          <w:color w:val="auto"/>
        </w:rPr>
      </w:pPr>
    </w:p>
    <w:p>
      <w:pPr>
        <w:ind w:left="1160" w:right="120" w:hanging="517"/>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field alerts, restrictions on the marketing or manufacturing of the product, product recalls, or complete withdrawal of the product from the market;</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 using the product or other products manufactured at the same facility;</w:t>
      </w:r>
    </w:p>
    <w:p>
      <w:pPr>
        <w:spacing w:after="0" w:line="117" w:lineRule="exact"/>
        <w:rPr>
          <w:rFonts w:ascii="Arial" w:cs="Arial" w:eastAsia="Arial" w:hAnsi="Arial"/>
          <w:sz w:val="18"/>
          <w:szCs w:val="18"/>
          <w:color w:val="auto"/>
        </w:rPr>
      </w:pPr>
    </w:p>
    <w:p>
      <w:pPr>
        <w:ind w:left="1160" w:right="180" w:hanging="517"/>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consent decrees, or the imposition of civil or criminal penalties.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While physicians may generally prescribe a drug for off-label uses, manufacturers may only promote the drug in accordance with the data provided in the approved product label. The FDA and other agencies actively enforce the laws and regulations prohibiting the promotion of off-label uses, and a company that is found to have promoted false and misleading information about the product may be subject to significant liability, both at the federal and state levels.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FDA has authority to require a REMS from manufacturers to ensure that the benefits of a drug or biological product outweigh its risks. In determining whether a REMS is necessary, the FDA may consider the size of the population likely to use the drug, the seriousness of the disease or condition to be treated, the expected benefit of the drug, the duration of treatment, the seriousness of known or potential adverse events, and whether the drug is a NME. If the FDA determines a REMS is necessary, the drug sponsor must agree to the REMS plan at the time of approval, or at a later date should significant new risk information come to light. A REMS may be required to include various elements, such as a medication guide, a communication plan to educate healthcare providers of the drug’s risks, limitations on who may prescribe or dispense the drug, or other elements to assure safe use that the FDA deems necessary to assure the benefits of use of the drug outweigh its risks. In addition, the REMS must include a timetable to assess the strategy, often at 18 months, 3 years, and 7 years after the strategy’s approval. The FDA may also impose a REMS requirement on a drug already on the market if the FDA determines, based on new safety information, that a REMS is necessary to ensure that the drug’s benefits outweigh its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After the FDA grants orphan drug designation, the identity of the drug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6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If an orphan drug-designated product subsequently receives FDA approval for the disease for which it was designed, the product will be entitled to seven years of product exclusivity, which means that the FDA may not approve any other applications to market the same drug for the same indication, except in very limited circumstances, for seven years. If a competitor obtains approval of the same drug, as defined by the FDA, or if our product candidate is determined to be the same drug as a competitor’s product for the same indication or disease, the competitor’s exclusivity could block the approval of our product candidate in the designated orphan indication for seven years, unless our product is demonstrated to be clinically superior to the competitor’s drug.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Pediatric Use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Best Pharmaceuticals for Children Act (“BPCA”) provides NDA holders a six-month period of exclusivity attached to any other exclusivity listed with FDA—patent or non-patent—for a drug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and agreement by the applicant to perform the requested studies and the submission to the FDA, completion of the studies in accordance with the written request, and the acceptance by the FDA, of the reports of the requested studies within the statutory timeframe. Applications under the BPCA are treated as priority applications.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In addition, 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unless the sponsor has received a deferral or waiver from the FDA. Unless otherwise required by regulation, PREA does not apply to any drug for an indication for which orphan designation has been granted.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Vitro Diagnostic Tests for Biomarkers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For some of our product candidates, we plan to work with collaborators to develop or obtain access to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tests to identify appropriate patients for these targeted therapies. If a sponsor or the FDA believes that a diagnostic test is essential for the safe and effective use of a corresponding therapeutic product, a sponsor will typically work with a collaborator to develop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(“IVD”). IVDs are regulated by the FDA as medical devices, and it issued final and draft guidance documents that are intended to assist companies developing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and companies developing therapeutic products that depend on the use of a specific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for the safe and effective use of the product.</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two primary types of marketing pathways for medical devices are clearance of a premarket notification under Section 510(k) of the Federal Food, Drug, and Cosmetic Act, or 510(k), and approval of a premarket approval application, or PMA. If a company is required to perform clinical trials for the IVD diagnostic, and the IVD is viewed as a significant risk device, the sponsor will have to submit an investigational device exemption application, or IDE. If the diagnostic test and the therapeutic drug are studied together to support their respective approvals, the clinical trial must meet both the IDE and IND requirements.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FDA expects that the therapeutic sponsor will address the need for an IVD companion diagnostic device in its therapeutic product development plan and that, in most cases, the therapeutic product and its corresponding IVD companion diagnostic device will be developed contemporaneously. If the companion diagnostic test will be used to make critical treatment decisions such as patient selection, treatment assignment, or treatment arm, it will likely be considered a significant risk device for which a clinical trial will be required. After approval, the use of an IVD companion diagnostic device with a therapeutic product will be stipulated in the instructions for use in the labeling of both the diagnostic device and the corresponding therapeutic product. In addition, a diagnostic test that was approved through the PMA process or one that was cleared through the 510(k) process and placed on the market will be subject to many of the same regulatory requirements that apply to approved drugs.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currently do not have any products on the market, we will be subject to additional healthcare regulation and enforcement by the federal government and by authorities in the states and other countries in which we conduct our business after a product is approved and commercialized. Such laws include, without limitation, state and federal anti-kickback, fraud and abuse, false claims, privacy and security and physician sunshine laws and regulations.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future business. For example, the Patient Protection and Affordable Care Act, as amended by the Health Care and Education Affordability Reconciliation Act (collectively the “ACA”), substantially changed the way healthcare is financed by both governmental and private insurers. The ACA was designed to expand coverage for the uninsured while at the same time containing overall healthcare costs. With regard to pharmaceutical products, among other things, the ACA expanded and increased industry rebates for drugs covered under Medicaid programs and made changes to the coverage requirements under the Medicare prescription drug benefit. Since its enactment, there have been judicial and Congressional challenges to certain aspects of the ACA. Both Congress and President Trump have expressed their intention to repeal or repeal and replace the ACA, and as a result certain sections of the ACA have not been fully implemented or effectively repealed. The uncertainty around the future of the ACA, and in particular the impact to reimbursement levels, may lead to uncertainty or delay in the purchasing decisions of our customers, which may in turn negatively impact our product sales. If there are not adequate reimbursement levels, our business and results of operations could be adversely affected. We continue to evaluate the effect that the ACA has or any potential changes to the ACA could have on our business. We expect that healthcare reform measures that may be adopted in the future may result in more rigorous coverage criteria and lower reimbursement, and in additional downward pressure on the price that may be charged for any of our product candidates, if approved. These and other potential legislative and regulatory changes could be made to governmental health programs that could significantly impact pharmaceutical companies and the success of our product candidates. The ACA, as well as other federal, state and foreign healthcare reform measures that have been and may be adopted in the future, could harm our future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Requirements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and our third-party manufacturers must comply with applicable cGMP requirements. The cGMP requirements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commercial products. We and our third-party manufacturers are also subject to periodic unannounced inspections of facilities by the FDA and other authorities, including procedures and operations used in the testing and manufacture of our products to assess our compliance with applicable regulations. Failure to comply with statutory and regulatory requirements subjects a manufacturer to possible legal or regulatory action, including, among other things, warning letters, voluntary corrective action, the seizure of products, injunctions, consent decrees placing significant restrictions on or suspending manufacturing operations, disgorgement of profits, and other civil and criminal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harm our business, operating results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of December 31, 2017, we employed 168 full-time employees. A significant number of our management and professional employees have had prior experience with pharmaceutical, biotechnology or medical product companies. Management considers relations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were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(“Wave”). Wave has four wholly-owned subsidiaries: Wave Life Sciences USA, Inc. (“Wave USA”), a Delaware corporation (formerly Ontorii, Inc.); Wave Life Sciences Japan, Inc. (“Wave Japan”), a company organized under the laws of Japan (formerly Chiralgen., Ltd.); Wave Life Sciences Ireland Limited (“Wave Ireland”), a company organized under the laws of Ireland; and Wave Life Sciences UK Limited (“Wave UK”), a company organized under the laws of the United Kingdom.</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+1-617-949-</w:t>
      </w:r>
    </w:p>
    <w:p>
      <w:pPr>
        <w:ind w:right="20"/>
        <w:spacing w:after="0" w:line="255" w:lineRule="auto"/>
        <w:rPr>
          <w:sz w:val="20"/>
          <w:szCs w:val="20"/>
          <w:color w:val="auto"/>
        </w:rPr>
      </w:pPr>
      <w:r>
        <w:rPr>
          <w:rFonts w:ascii="Arial" w:cs="Arial" w:eastAsia="Arial" w:hAnsi="Arial"/>
          <w:sz w:val="18"/>
          <w:szCs w:val="18"/>
          <w:color w:val="auto"/>
        </w:rPr>
        <w:t>2900. Our registered office for Wave Japan is 2438 Miyanoura-cho, Kagoshima-shi, Kagoshima pref. 891-1394, Japan. Our registered office for Wave Ireland is One Spencer Dock, North Wall Quay, Dublin 1, Ireland. Our registered office for Wave UK is Hays Galleria, 1 Hays Lane, London, SE1 2RD, United Kingdom.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Internet website address is http://www.wavelifesciences.com.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“For Investors &amp; Media – Financial Information” section of our website as soon as reasonably practicable after we electronically file such reports with, or furnish such reports to, the Securities and Exchange Commission (“SEC”). We also make available, free of charge on our website, the reports filed with the SEC by our executive officers, directors and 10% shareholders pursuant to Section 16 under the Exchange Act as soon as reasonably practicable after copies of those filings are filed with the SEC.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website at http://www.sec.gov.</w:t>
      </w:r>
    </w:p>
    <w:p>
      <w:pPr>
        <w:spacing w:after="0" w:line="18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we regularly use our website to post information regarding our business and governance, and we encourage investors to use our website, particularly the information in the section entitled “For Investors &amp; Media,” as a source of information about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ordinary shares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Requirements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clinical-stage biotechnology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are a clinical-stage biotechnology company and have incurred significant operating losses since our incorporation in 2012. Our net loss was $102.0 million, $55.4 million, and $19.2 million for the fiscal years ended December 31, 2017, 2016 and 2015, respectively. As of December 31, 2017 and December 31, 2016, we had an accumulated deficit of $192.5 million and $90.5 million, respectively. To date, we have not generated any product revenue. Substantially all of our losses have resulted from expenses incurred in connection with our research and development programs and from general and administrative costs associated with our operations. We currently have no products on the market and expect that it may be many years, if ever, before we have a product candidate ready for commercialization. In 2017, we initiated clinical trials of our product candidates WVE-120101 and WVE-120102 in patients with Huntington’s disease (“HD”) and WVE-210201 in patients with Duchenne muscular dystrophy (“DMD”).</w:t>
      </w:r>
    </w:p>
    <w:p>
      <w:pPr>
        <w:spacing w:after="0" w:line="16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not generated, and do not expect to generate, any product revenue for the foreseeable future, and we expect to continue to incur significant operating losses for the foreseeable future due to the cost of research and development, manufacturing, preclinical studies and clinical trials and the regulatory review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shareholders to lose all or part of their investment.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used substantial funds to develop our programs and proprietary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We believe that our existing cash and cash equivalents will be sufficient to fund our operations for at least the next twelve months.</w:t>
      </w:r>
    </w:p>
    <w:p>
      <w:pPr>
        <w:spacing w:after="0" w:line="2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future capital requirements and the period for which we expect our existing resources to support our operations may vary significantly from what we expect. We do not expect to realize any appreciable revenue from product sales or royalties in the foreseeable future, if at all. Our revenue sources will remain extremely limited unless and until our product candidates complete clinical development and are approved for commercialization and successfully marketed.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 but not limited to, the following:</w:t>
      </w:r>
    </w:p>
    <w:p>
      <w:pPr>
        <w:spacing w:after="0" w:line="117"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monthly spending levels, based on new and ongoing development and corporate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and clinical development for our product candidates;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and whether our collaboration partners decide to exercise option rights in connection with targets and development programs;</w:t>
      </w:r>
    </w:p>
    <w:p>
      <w:pPr>
        <w:spacing w:after="0" w:line="62" w:lineRule="exact"/>
        <w:rPr>
          <w:rFonts w:ascii="Arial" w:cs="Arial" w:eastAsia="Arial" w:hAnsi="Arial"/>
          <w:sz w:val="18"/>
          <w:szCs w:val="18"/>
          <w:color w:val="auto"/>
        </w:rPr>
      </w:pPr>
    </w:p>
    <w:p>
      <w:pPr>
        <w:ind w:left="1040" w:right="500" w:hanging="519"/>
        <w:spacing w:after="0" w:line="34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achievement of milestones and other development targets that trigger payments under our collaborations with Takeda Pharmaceutical Company Limited (“Takeda”) and Pfizer Inc. (“Pfizer”), or any other strategic collaborations into which we may enter;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ind w:left="1040" w:right="10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or expenses and other costs and expenses associated with research and preclinical and clinical activities under our collaboration with Takeda, or any other future collaboration agreements, if any;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internally or with third parties for drug supply.</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To date, we have primarily financed our operations through sales of our securities and our collaborations with third parties. We intend to seek additional funding in the future through collaborations, public or private equity offerings or debt financings, credit or loan facilities or a combination of one or more of these financing sources. On January 4, 2017, we filed a universal shelf registration statement on Form S-3, which was declared effective by the SEC on February 6, 2017, on which we registered for sale up to $500.0 million of any combination of our ordinary shares, debt securities, warrants, rights, purchase contracts and/or units from time to time and at prices and on terms that we may determine. This registration statement will remain in effect for up to three years from the date it was declared effective. On April 18, 2017, we closed a follow-on underwritten public offering of 4,166,667 ordinary shares that were registered on the universal shelf registration statement for gross proceeds of $100.0 million. Net proceeds to us from the offering were $93.5 million, after deducting underwriting discounts and commissions and offering expenses. Therefore, we have approximately $400.0 million of our securities registered and available for sale under our existing shelf registration statement.</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have to delay, limit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management has broad discretion over the use of proceeds received from sales of our securities and our collaborations with third parties and the proceeds may not be used effectively.</w:t>
      </w:r>
    </w:p>
    <w:p>
      <w:pPr>
        <w:spacing w:after="0" w:line="6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management has broad discretion as to the use of proceeds we receive from conducting sales of our securities and our collaborations with third parties and could use the proceeds for purposes other than those contemplated at the time of such transactions. It is also possible that the proceeds we have received, or may receive, from securities sales and collaborations will be invested in a way that does not yield a favorable, or any, return for us.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shareholders to evaluate the success of our business to date and to assess our future viability.</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are a clinical-stage biotechnology company with a limited operating history. We commenced active operations in 2012. Our operations to date have been limited to organizing and staffing our company, research and development activities, manufacturing, preclinical and clinical development, patient advocacy activities, business planning and raising capital. Prior to 2017, all of our product candidates were in the preclinical development stage. In 2017, we initiated clinical trials of our product candidates WVE-120101 and WVE-120102 in patients with HD, and WVE-210201 in patients with DMD. We expect to initiate three additional development programs by the end of 2018, targeting exon 53 in DMD, and targeting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in amyotrophic lateral sclerosis (“ALS”) and frontotemporal dementia (“FTD”). We have not yet demonstrated our ability to successfully complete any clinical trials, including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and commercialize a therapeutic from the time it is discovered to when it is available for treating patients. Further, drug development is a capital-intensive and highly speculative undertaking that involves a substantial degree of risk. You should consider our prospects in light of the costs, uncertainties, delays and difficulties frequently encountered by biotechnology companies in the early stages of clinical development, such as ours. Any predictions about our future success or viability may not be as accurate as they could be if we had a longer operating history or a history of successfully developing and commercializing pharmaceutical products.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ind w:right="340"/>
        <w:spacing w:after="0" w:line="286"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including risks and uncertainties associated with any of our current or future collaboration partners. We are transitioning from a company primarily with a research focus to a company capable of supporting multiple clinical trials and commercial preparation activities. We may not be successful in this transition.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Manufacturing,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approach we are taking to discover and develop nucleic acid therapeutics is novel and may never lead to marketable products.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concentrated our efforts and research and development activities on nucleic acid therapeutics and our synthetic chemistry drug development platform. Our future success depends on the successful development of such therapeutics and the effectiveness of our platform. The scientific discoveries that form the basis for our efforts to discover and develop new drugs, including our discoveries about the relationships between oligonucleotide stereochemistry and pharmacology, are relatively new. The scientific evidence to support the feasibility of developing drugs based on these discoveries is limited. Skepticism as to the feasibility of developing nucleic acid therapeutics generally has been, and may continue to be, expressed in scientific literature. In addition, decisions by other companies with respect to their oligonucleotide development efforts may increase skepticism in the marketplace regarding the potential for oligonucleotides.</w:t>
      </w:r>
    </w:p>
    <w:p>
      <w:pPr>
        <w:spacing w:after="0" w:line="18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Relatively few nucleic acid therapeutic product candidates have been tested in humans, and a number of clinical trials for such therapeutics conducted by other companies have not been successful. Few nucleic acid therapeutics have received regulatory approval. The pharmacological properties ascribed to the investigational compounds we are testing in laboratory studies may not be positively demonstrated in clinical trials in patients, and they may interact with human biological systems in unforeseen, ineffective or harmful ways. If our nucleic acid product candidates prove to be ineffective, unsafe or commercially unviable, our entire platform and pipeline would have little, if any, value, which would substantially harm our business, financial condition, results of operations and prospects. In addition, our approach, which focuses on using nucleic acid therapeutics for drug development, as opposed to multiple or other, more advanced proven technologies, may expose us to additional financial risks and make it more difficult to raise additional capital if we are not successful in developing a nucleic acid therapeutic that receives regulatory approval.</w:t>
      </w:r>
    </w:p>
    <w:p>
      <w:pPr>
        <w:spacing w:after="0" w:line="2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are developing nucleic acid therapeutics, which are considered a relatively new class of drugs, there is increased risk that the outcome of our clinical trials will not be sufficient to obtain regulatory approval.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U.S. Food and Drug Administration (“FDA”) has relatively limited experience with nucleic acid therapeutics, which may increase the complexity, uncertainty and length of the regulatory review process for our product candidates. To date, the FDA has approved few nucleic acid therapeutics for marketing and commercialization, and the FDA and its foreign counterparts have not yet established any definitive policies, practices or guidelines specifically in relation to these drugs. The lack of policies, practices or guidelines specific to nucleic acid therapeutics may hinder or slow review by the FDA of any regulatory filings that we may submit. Moreover, the FDA may respond to these submissions by defining requirements we may not have anticipated. Such responses could lead to significant delays in the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 As a result of the foregoing factors, we may never receive regulatory approval to market and commercialize any product candidate.</w:t>
      </w:r>
    </w:p>
    <w:p>
      <w:pPr>
        <w:spacing w:after="0" w:line="18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ordinary shares could decline.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right="420"/>
        <w:spacing w:after="0" w:line="277" w:lineRule="auto"/>
        <w:rPr>
          <w:sz w:val="20"/>
          <w:szCs w:val="20"/>
          <w:color w:val="auto"/>
        </w:rPr>
      </w:pPr>
      <w:r>
        <w:rPr>
          <w:rFonts w:ascii="Arial" w:cs="Arial" w:eastAsia="Arial" w:hAnsi="Arial"/>
          <w:sz w:val="18"/>
          <w:szCs w:val="18"/>
          <w:b w:val="1"/>
          <w:bCs w:val="1"/>
          <w:i w:val="1"/>
          <w:iCs w:val="1"/>
          <w:color w:val="auto"/>
        </w:rPr>
        <w:t>Our preclinical studies and clinical trials may not be successful. If we are unable to commercialize our product candidates or experience significant delays in doing so, our business will be materially harmed.</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early in our clinical development efforts, and we currently have no products on the market. Our product candidates are still in preclinical or early-stage clinical development. In 2017, we initiated clinical trials of our product candidates WVE-120101 and WVE-120102 in patients with HD, and WVE-210201 in patients with DMD. We have invested a significant portion of our efforts and financial resources in the identification and preclinical and clinical development of our oligonucleotides and the development of our platform. Our ability to generate product revenue, which we do not expect will occur for many years, if ever, will depend heavily on the successful development and eventual commercialization of our product candidates. Our success will depend on several factors, including the following:</w:t>
      </w:r>
    </w:p>
    <w:p>
      <w:pPr>
        <w:spacing w:after="0" w:line="85"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successfully conducting process development and manufacturing campaigns in accordance with current good manufacturing practice (“cGMP”);</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regulatory approvals from applicable regulatory authorities to market our product candidates and, to the extent necessary, our companion diagnostic tests;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 party contract manufacturing organizations (“CMOs”);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degree to which we are successful in our collaborations with Takeda and Pfizer;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 acceptance of the products, if and when approved, by patients, the medical community and third-party payors;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maintain an acceptable safety profile of the products following approval.</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clinical trials successfully due to various process-related factors that could negatively impact our business plans.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62"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and recruit employees, contractors or consultants with the required level of knowledge and experience;</w:t>
      </w:r>
    </w:p>
    <w:p>
      <w:pPr>
        <w:spacing w:after="0" w:line="117" w:lineRule="exact"/>
        <w:rPr>
          <w:rFonts w:ascii="Arial" w:cs="Arial" w:eastAsia="Arial" w:hAnsi="Arial"/>
          <w:sz w:val="18"/>
          <w:szCs w:val="18"/>
          <w:color w:val="auto"/>
        </w:rPr>
      </w:pPr>
    </w:p>
    <w:p>
      <w:pPr>
        <w:ind w:left="1040" w:right="48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 and recruit a sufficient number of patients necessary to conduct a clinical trial, which is a function of many factors, including the proximity of participants to clinical sites, the size of the relevant population, the eligibility criteria for the trial, possible side effects from treatments, the existence of competing clinical trials, the involvement of patient advocacy groups, the availability of new or alternative treatments, lack of efficacy, personal issues and ease of participation;</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companion diagnostic tests for use with certain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and maintain a sufficient amount of clinical material, internally or through third parties;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ensure adherence to trial designs and protocols agreed upon and approved by regulatory authorities and applicable regulatory and legal guidelines;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or resolve unforeseen adverse side effects during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execute clinical trial designs and protocols approved by regulatory authorities without deficiencies;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and effectively contract with (under reasonable terms), manage and work with investigators, institutions, hospitals and the contract research organizations (“CROs”) involved in the clinical trial;</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negotiate contracts and other related documents with clinical trial parties and institutional review boards (“IRBs”), such as informed consents, CRO agreements and site agreements, which can be subject to extensive negotiations that could cause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9" w:name="page50"/>
    <w:bookmarkEnd w:id="49"/>
    <w:p>
      <w:pPr>
        <w:ind w:left="1040" w:right="500"/>
        <w:spacing w:after="0" w:line="277" w:lineRule="auto"/>
        <w:rPr>
          <w:sz w:val="20"/>
          <w:szCs w:val="20"/>
          <w:color w:val="auto"/>
        </w:rPr>
      </w:pPr>
      <w:r>
        <w:rPr>
          <w:rFonts w:ascii="Arial" w:cs="Arial" w:eastAsia="Arial" w:hAnsi="Arial"/>
          <w:sz w:val="18"/>
          <w:szCs w:val="18"/>
          <w:color w:val="auto"/>
        </w:rPr>
        <w:t>significant delays in the clinical trial process, with terms possibly varying significantly among different trial sites and CROs and possibly subjecting us to various risks; and</w:t>
      </w:r>
    </w:p>
    <w:p>
      <w:pPr>
        <w:spacing w:after="0" w:line="62" w:lineRule="exact"/>
        <w:rPr>
          <w:sz w:val="20"/>
          <w:szCs w:val="20"/>
          <w:color w:val="auto"/>
        </w:rPr>
      </w:pPr>
    </w:p>
    <w:p>
      <w:pPr>
        <w:ind w:left="1040" w:right="500" w:hanging="519"/>
        <w:spacing w:after="0" w:line="26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7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order to develop our product candidates, apply for regulatory approvals and commercialize our product candidates, we will need to develop, contract for, or otherwise arrange for the necessary manufacturing capabilities. In September 2016, we entered into a lease for a multi-use facility of approximately 90,000 square feet in Lexington, Massachusetts to provide internal cGMP manufacturing capabilities and increase control and visibility of our drug product supply chain, and we immediately initiated the build out of manufacturing space and related capabilities. This facility supplements our existing Cambridge, Massachusetts laboratory and office space headquarters, enhances our ability to secure drug product for current and future development activities and may provide commercial-scale manufacturing capabilities. In July 2017, we took occupancy of the Lexington facility and began manufacturing production in Q4 2017. However, we have limited manufacturing experience as a company, and we will incur significant costs to develop this expertise internally.</w:t>
      </w:r>
    </w:p>
    <w:p>
      <w:pPr>
        <w:spacing w:after="0" w:line="1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addition to the oligonucleotides that we manufacture internally, we continue to rely on CMOs to manufacture the oligonucleotides required for our preclinical studies and clinical trials. There are a limited number of manufacturers that supply oligonucleotides. There are risks inherent in pharmaceutical manufacturing that could affect the ability of us or our CMOs to meet our delivery time requirements or provide adequate amounts of material to meet our needs. Included in these risks are potential synthesis and purification failures and/or contamination during the manufacturing process, as well as other issues with our facility or the CMOs’ facilities and ability to comply with the applicable manufacturing requirements, which could result in unusable product and cause delays in our manufacturing timelines and ultimately delay our clinical trials, as well as result in additional expense to us.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Additionally, our cost of goods development is at an early stage. The actual cost to manufacture and process our product candidates could be greater than we expect and could materially and adversely affect the commercial viability of our product candidates. There can be no assurance that we will be able to produce sufficient quantities of our oligonucleotides to meet our clinical trial demands on our projected timelines.</w:t>
      </w:r>
    </w:p>
    <w:p>
      <w:pPr>
        <w:spacing w:after="0" w:line="2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 candidates and the manufacture of our product candidates is complex and we may encounter difficulties in production, particularly with respect to process development or scaling-up of our manufacturing capabilities.</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Our product candidates are nucleic acids and the process of manufacturing our product candidates is complex, highly-regulated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that may interfere with preclinical and clinical trials, along with additional costs. We also may make changes to our manufacturing process at various points during development, and even after commercialization, for various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 the performance of the product, once commercialized. In some circumstances, changes in the manufacturing process may require us to perform </w:t>
      </w:r>
      <w:r>
        <w:rPr>
          <w:rFonts w:ascii="Arial" w:cs="Arial" w:eastAsia="Arial" w:hAnsi="Arial"/>
          <w:sz w:val="16"/>
          <w:szCs w:val="16"/>
          <w:i w:val="1"/>
          <w:iCs w:val="1"/>
          <w:color w:val="auto"/>
        </w:rPr>
        <w:t>ex</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vivo </w:t>
      </w:r>
      <w:r>
        <w:rPr>
          <w:rFonts w:ascii="Arial" w:cs="Arial" w:eastAsia="Arial" w:hAnsi="Arial"/>
          <w:sz w:val="17"/>
          <w:szCs w:val="17"/>
          <w:color w:val="auto"/>
        </w:rPr>
        <w:t>comparability studies and to collect additional data from patients prior to undertaking more advanced clinical trials. For instance, changes in our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process before or after commercialization, and such changes may require us to show the comparability of the resulting product to the product used in the clinical trials using earlier processes. We may be required to collect additional clinical data from any modified process prior to obtaining marketing approval for the product candidate produced with such modified process. If clinical data are not ultimately comparable to that seen in the earlier trials in terms of safety or efficacy, we may be required to make further changes to our process and/or undertake additional clinical testing, either of which could significantly delay the clinical development or commercialization of the associated product candidate.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line="289" w:lineRule="auto"/>
        <w:rPr>
          <w:sz w:val="20"/>
          <w:szCs w:val="20"/>
          <w:color w:val="auto"/>
        </w:rPr>
      </w:pPr>
      <w:r>
        <w:rPr>
          <w:rFonts w:ascii="Arial" w:cs="Arial" w:eastAsia="Arial" w:hAnsi="Arial"/>
          <w:sz w:val="16"/>
          <w:szCs w:val="16"/>
          <w:color w:val="auto"/>
        </w:rPr>
        <w:t>In 2017, we initiated clinical trials of our product candidates WVE-120101 and WVE-120102 in patients with HD, and WVE-210201 in patients with DMD. We expect to initiate three additional development programs by the end of 2018, targeting exon 53 in DMD, and C9orf72 in ALS and FTD. Although we have hired, and are continuing to hire, employees with experience in manufacturing nucleic acid therapeutics, we have limited experience as a company manufacturing product candidates for use in clinical trials and no experience as a company manufacturing product candidates for commercial supply. We may never be successful in manufacturing product candidates in sufficient quantities or with sufficient quality for clinical or commercial use. Even if we are successful in developing our manufacturing capabilities sufficient for clinical and commercial supply, our manufacturing capabilities could be affected by cost-overruns, unexpected delays, equipment failures, labor shortages, operator error, natural disasters, 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Furthermore, compliance with cGMP requirements and other quality issues may arise during our internal efforts to scale-up manufacturing, and with our current or any future CMOs. If contaminants are discovered in our supply of our product candidates or in our manufacturing facilities or those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we and our CMOs may experience manufacturing difficulties due to resource constraints or as a result of labor disputes or unstable political environments. If we or our CMOs were to encounter any of these difficulties, our ability to provide our product candidate to patients in clinical trials, or to provide product for treatment of patients once approved, would be jeopardized.</w:t>
      </w:r>
    </w:p>
    <w:p>
      <w:pPr>
        <w:spacing w:after="0" w:line="2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we have limited financial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product candidates we develop may fail in development or be delayed to a point where they do not become commercially viable.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and is uncertain as to outcome, and the historical failure rate for drugs in preclinical and clinical development is high. We currently have a number of therapeutic programs in the preclinical and clinical development stages. However, we may not be able to further advance any product candidates through clinical trials. In addition, we, the FDA or comparable foreign regulatory authorities or an IRB, or similar foreign review board or ethics committee, may suspend clinical trials of a product candidate at any time for various reasons, including if we or they believe the healthy volunteer subjects or patients participating in such trials are being exposed to unacceptable health risks. Among other reasons, unacceptable side effects or other more serious adverse effects of a product candidate in healthy volunteer subjects or patients in a clinical trial could result in the FDA or comparable foreign regulatory authorities suspending or terminating the trial and refusing to approve a particular product candidate for any or all indications of use.</w:t>
      </w:r>
    </w:p>
    <w:p>
      <w:pPr>
        <w:spacing w:after="0" w:line="17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Clinical trials also require the review, oversight and approval of IRBs, which review the clinical protocols for investigations that will be conducted at their institutions in order to protect the rights and welfare of human subjects. Inability to obtain or delay in obtaining IRB approval can prevent or delay the initiation and completion of clinical trials at particular sites. Furthermore, failure to provide information to the IRB as required throughout the study, such as emergent safety reports and annual updates, may result in suspension of the IRB’s approval of the trial. Our product candidates may encounter problems during clinical trials that will cause us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any of our other product candidates. We may also lose, or be unable to enter into, collaborative arrangements for the affected product candidate and for other product candidates we are developing.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240"/>
        <w:spacing w:after="0" w:line="264" w:lineRule="auto"/>
        <w:rPr>
          <w:sz w:val="20"/>
          <w:szCs w:val="20"/>
          <w:color w:val="auto"/>
        </w:rPr>
      </w:pPr>
      <w:r>
        <w:rPr>
          <w:rFonts w:ascii="Arial" w:cs="Arial" w:eastAsia="Arial" w:hAnsi="Arial"/>
          <w:sz w:val="18"/>
          <w:szCs w:val="18"/>
          <w:color w:val="auto"/>
        </w:rPr>
        <w:t>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249" w:lineRule="exact"/>
        <w:rPr>
          <w:sz w:val="20"/>
          <w:szCs w:val="20"/>
          <w:color w:val="auto"/>
        </w:rPr>
      </w:pPr>
    </w:p>
    <w:p>
      <w:pPr>
        <w:ind w:left="1040" w:right="2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73" w:lineRule="exact"/>
        <w:rPr>
          <w:rFonts w:ascii="Arial" w:cs="Arial" w:eastAsia="Arial" w:hAnsi="Arial"/>
          <w:sz w:val="18"/>
          <w:szCs w:val="18"/>
          <w:color w:val="auto"/>
        </w:rPr>
      </w:pPr>
    </w:p>
    <w:p>
      <w:pPr>
        <w:jc w:val="both"/>
        <w:ind w:left="1040" w:right="40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filing clinical trial applications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on us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in obtaining or maintaining IRB approval of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in enrolling patients or volunteers into clinical trials, and variability in the number and types of patients available for clinical trials;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developing and receiving regulatory approval for companion diagnostic tests to identify patients for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for patients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from future clinical trials may not confirm positive results, if any, from earlier preclinical studies and clinical trials;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consistently manufacture, inadequate supply, or unacceptable quality of product candidate materials or other materials necessary for the conduct of our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side effects that may or may not be related to the product candidate being tested that are experienced by participants in our clinical trials or by individuals using drugs similar to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or disappointing effectiveness of our product candidates during clinical trials;</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manufacturing or clinical trial site or other records relating to the clinical investigation;</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the imposition of additional regulatory oversight around clinical testing generally or with respect to our product candidates in particular;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early clinical trials may not be predictive of results of future clinical trials.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Although we have assembled a team of employees with experience designing clinical trials and obtaining regulatory approval to market therapeutics in neurology and in rare diseases, we have limited experience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2" w:name="page53"/>
    <w:bookmarkEnd w:id="52"/>
    <w:p>
      <w:pPr>
        <w:ind w:right="60"/>
        <w:spacing w:after="0" w:line="255" w:lineRule="auto"/>
        <w:rPr>
          <w:sz w:val="20"/>
          <w:szCs w:val="20"/>
          <w:color w:val="auto"/>
        </w:rPr>
      </w:pPr>
      <w:r>
        <w:rPr>
          <w:rFonts w:ascii="Arial" w:cs="Arial" w:eastAsia="Arial" w:hAnsi="Arial"/>
          <w:sz w:val="18"/>
          <w:szCs w:val="18"/>
          <w:color w:val="auto"/>
        </w:rPr>
        <w:t>as a company in designing clinical trials for oligonucleotide therapeutics and we may be unable to design and execute appropriate clinical trials to support regulatory approval of our product candidates. In addition, preclinical and clinical data are often susceptible to varying interpretations and analyses. Product candidates that seemingly perform satisfactorily in preclinical studies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30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addition, our success may depend, in part, on our ability to identify patients who qualify for our clinical trials, or are likely to benefit from any medicines that we may develop, which will require those potential patients to undergo a screening assay, which we also refer to as a companion diagnostic test, for the presence or absence of a particular genetic sequence. For example, in HD, we are conducting clinical trials for WVE-120101 and WVE-120102, targeting SNPs associated with the mutant alleles of the </w:t>
      </w:r>
      <w:r>
        <w:rPr>
          <w:rFonts w:ascii="Arial" w:cs="Arial" w:eastAsia="Arial" w:hAnsi="Arial"/>
          <w:sz w:val="17"/>
          <w:szCs w:val="17"/>
          <w:i w:val="1"/>
          <w:iCs w:val="1"/>
          <w:color w:val="auto"/>
        </w:rPr>
        <w:t>HTT</w:t>
      </w:r>
      <w:r>
        <w:rPr>
          <w:rFonts w:ascii="Arial" w:cs="Arial" w:eastAsia="Arial" w:hAnsi="Arial"/>
          <w:sz w:val="17"/>
          <w:szCs w:val="17"/>
          <w:color w:val="auto"/>
        </w:rPr>
        <w:t xml:space="preserve"> gene. Each SNP has a particular demographic distribution, and defines a subpopulation of patients suited for allele-specific interventions. More than two-thirds of the HD patient population possess one of the two most common SNPs. We have developed a novel screening assay that is intended to identify whether a patient has the particular SNP that our product candidate is targeting, however, we have limited experience in developing screening assays to support patient identification for clinical trials. If we, or any third parties that we engage to assist us, are unable to successfully identify patients with the appropriate SNPs that we are targeting, or experience delays in doing so, then we may not realize the full commercial potential of any product candidates we develop.</w:t>
      </w:r>
    </w:p>
    <w:p>
      <w:pPr>
        <w:spacing w:after="0" w:line="290"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3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development programs for some of our product candidates contemplate the development of companion diagnostic tests, which are assays or tests to identify an appropriate patient population. The success of certain of our product candidates will depend on several factors, including the successful development of, and ability to obtain regulatory approval for, companion diagnostic tests that will be used to screen and identify the right patients for our product candidates. We are focused on the development of nucleic acid therapeutics for genetically-defined diseases. The target patient populations for several of our product candidates are relatively small, and it will be difficult to successfully identify the appropriate patients for whom our drugs are being designed without reliable, accessible, relatively inexpensive, easy-to-use companion diagnostic tests.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Companion diagnostic tests are subject to regulation by the FDA and similar regulatory authorities outside the United States as medical devices and require separate regulatory approval prior to commercialization. We are not a medical device company, and we have limited experience developing medical devices. A more detailed description of the FDA approval process for companion diagnostic tests is included under “</w:t>
      </w:r>
      <w:r>
        <w:rPr>
          <w:rFonts w:ascii="Arial" w:cs="Arial" w:eastAsia="Arial" w:hAnsi="Arial"/>
          <w:sz w:val="17"/>
          <w:szCs w:val="17"/>
          <w:i w:val="1"/>
          <w:iCs w:val="1"/>
          <w:color w:val="auto"/>
        </w:rPr>
        <w:t>Business – In Vitro Diagnostic Tests for</w:t>
      </w:r>
      <w:r>
        <w:rPr>
          <w:rFonts w:ascii="Arial" w:cs="Arial" w:eastAsia="Arial" w:hAnsi="Arial"/>
          <w:sz w:val="17"/>
          <w:szCs w:val="17"/>
          <w:color w:val="auto"/>
        </w:rPr>
        <w:t xml:space="preserve"> </w:t>
      </w:r>
      <w:r>
        <w:rPr>
          <w:rFonts w:ascii="Arial" w:cs="Arial" w:eastAsia="Arial" w:hAnsi="Arial"/>
          <w:sz w:val="17"/>
          <w:szCs w:val="17"/>
          <w:i w:val="1"/>
          <w:iCs w:val="1"/>
          <w:color w:val="auto"/>
        </w:rPr>
        <w:t>Biomarkers</w:t>
      </w:r>
      <w:r>
        <w:rPr>
          <w:rFonts w:ascii="Arial" w:cs="Arial" w:eastAsia="Arial" w:hAnsi="Arial"/>
          <w:sz w:val="17"/>
          <w:szCs w:val="17"/>
          <w:color w:val="auto"/>
        </w:rPr>
        <w:t>.” Given our limited experience in developing and commercializing companion diagnostic tests, we may rely collaborate with third parties to</w:t>
      </w:r>
      <w:r>
        <w:rPr>
          <w:rFonts w:ascii="Arial" w:cs="Arial" w:eastAsia="Arial" w:hAnsi="Arial"/>
          <w:sz w:val="17"/>
          <w:szCs w:val="17"/>
          <w:i w:val="1"/>
          <w:iCs w:val="1"/>
          <w:color w:val="auto"/>
        </w:rPr>
        <w:t xml:space="preserve"> </w:t>
      </w:r>
      <w:r>
        <w:rPr>
          <w:rFonts w:ascii="Arial" w:cs="Arial" w:eastAsia="Arial" w:hAnsi="Arial"/>
          <w:sz w:val="17"/>
          <w:szCs w:val="17"/>
          <w:color w:val="auto"/>
        </w:rPr>
        <w:t>assist us in the design, manufacture, regulatory approval and commercialization of the companion diagnostic tests for some of our product candidates. We and any potential collaborators, may encounter difficulties in developing and obtaining approval for the companion diagnostic tests, including issues relating to selectivity/specificity, analytical validation, reproducibility, or clinical validation. Any delay or failure by us or any potential collaborators, to develop or obtain regulatory approval of the companion diagnostic tests could delay or prevent approval of our product candidates. If we, or any third parties that we engage to assist us, are unable to successfully develop and commercialize companion diagnostic tests for our drug candidates, or experience delays in doing so, our clinical trials and our business could be materially harmed.</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ind w:right="100"/>
        <w:spacing w:after="0" w:line="286" w:lineRule="auto"/>
        <w:rPr>
          <w:sz w:val="20"/>
          <w:szCs w:val="20"/>
          <w:color w:val="auto"/>
        </w:rPr>
      </w:pPr>
      <w:r>
        <w:rPr>
          <w:rFonts w:ascii="Arial" w:cs="Arial" w:eastAsia="Arial" w:hAnsi="Arial"/>
          <w:sz w:val="17"/>
          <w:szCs w:val="17"/>
          <w:color w:val="auto"/>
        </w:rPr>
        <w:t>approval process are required to be successfully completed in the United States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have limited experience as a company in conducting and managing the human clinical trials for oligonucleotide therapeutics that are necessary to obtain regulatory approvals, including approval by the FDA or other foreign agencies, or otherwise advancing product candidates through the regulatory approval process.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17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have been granted orphan drug designation in the United States for WVE-120101 and WVE-120102, but there can be no guarantee that we will maintain orphan status for these product candidates or receive orphan drug approval.</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2016 and 2017, we were granted orphan drug designation under the Orphan Drug Act by the FDA for our product candidates, WVE-120101 and WVE-120102, respectively, for the treatment of HD. Subject to receiving approval from the FDA of an NDA, products granted orphan drug status are provided with seven years of marketing exclusivity in the U.S., meaning the FDA generally will not approve applications for other product candidates for the same orphan indication that contain the same active ingredient. Even if we are the first to obtain approval of an orphan product and are granted exclusivity in the United States, there are limited circumstances under which a later competitor product may be approved for the same indication during the seven-year period of marketing exclusivity, such as if the later product is shown to be clinically superior to our product or if we are not able to provide a sufficient quantity of the orphan drug.</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not guaranteed to receive or maintain orphan status for our current or future product candidates, and if our product candidates that were granted orphan status were to lose their status as an orphan drug or the marketing exclusivity provided to it in the United States, our business and results of operations could be materially adversely affected. While orphan status for any of our products, if granted or maintained, would provide market exclusivity in the United States for the time period specified above, we would not be able to exclude other companies from manufacturing and/or selling products using the same active ingredient for the same indication beyond the exclusivity period applicable to our product on the basis of orphan drug status.</w:t>
      </w:r>
    </w:p>
    <w:p>
      <w:pPr>
        <w:spacing w:after="0" w:line="266"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Even if we obtain regulatory approvals, our marketed drugs will be subject to ongoing regulatory oversight. If we fail to comply with continuing U.S. and foreign requirements, our approvals could be limited or withdrawn, we could be subject to other penalties, and our business would be seriously harmed.</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ind w:right="60"/>
        <w:spacing w:after="0" w:line="255" w:lineRule="auto"/>
        <w:rPr>
          <w:sz w:val="20"/>
          <w:szCs w:val="20"/>
          <w:color w:val="auto"/>
        </w:rPr>
      </w:pPr>
      <w:r>
        <w:rPr>
          <w:rFonts w:ascii="Arial" w:cs="Arial" w:eastAsia="Arial" w:hAnsi="Arial"/>
          <w:sz w:val="18"/>
          <w:szCs w:val="18"/>
          <w:color w:val="auto"/>
        </w:rPr>
        <w:t>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good clinical practice for any clinical trials that we conduct post-approval. Failure to comply with these requirements could result in criminal or civil penalties, recalls, or product withdrawals. In addition, we are conducting our clinical trials and we intend to seek approval to market our product candidates in jurisdictions outside of the United States, and therefore will be subject to, and must comply with, regulatory requirements in those jurisdictions.</w:t>
      </w:r>
    </w:p>
    <w:p>
      <w:pPr>
        <w:spacing w:after="0" w:line="193"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our CMOs, and the manufacturing facilities we use to make our product candidates will also be subject to ongoing assessment of product quality, compliance with cGMP, and periodic inspection by the FDA and potentially other regulatory agencies. The discovery of any new or previously unknown problems with us or our CMOs, or our or their manufacturing processes or facilities, including failure to maintain compliance with cGMP requirements, may result in the need for field alerts, product recalls, restrictions on the drug or manufacturer or facility, including withdrawal of the drug from the market.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our material ourselves, including reliance on the CMO for regulatory compliance. Our product promotion and advertising will also be subject to regulatory requirements and continuing regulatory review.</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w:t>
      </w:r>
    </w:p>
    <w:p>
      <w:pPr>
        <w:spacing w:after="0" w:line="29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nucleic acid therapeutics. As a result, it may be more difficult for us to convince the medical community and third-party payors to accept and use our product, or to provide favorable reimbursement.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we believe will materially affect market acceptance of our product candidates include:</w:t>
      </w:r>
    </w:p>
    <w:p>
      <w:pPr>
        <w:spacing w:after="0" w:line="117" w:lineRule="exact"/>
        <w:rPr>
          <w:sz w:val="20"/>
          <w:szCs w:val="20"/>
          <w:color w:val="auto"/>
        </w:rPr>
      </w:pPr>
    </w:p>
    <w:p>
      <w:pPr>
        <w:ind w:left="1160" w:hanging="517"/>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our receipt of any regulatory approvals, the terms of any approvals and the countries in which approvals are obtained;</w:t>
      </w:r>
    </w:p>
    <w:p>
      <w:pPr>
        <w:spacing w:after="0" w:line="128" w:lineRule="exact"/>
        <w:rPr>
          <w:rFonts w:ascii="Arial" w:cs="Arial" w:eastAsia="Arial" w:hAnsi="Arial"/>
          <w:sz w:val="17"/>
          <w:szCs w:val="17"/>
          <w:color w:val="auto"/>
        </w:rPr>
      </w:pPr>
    </w:p>
    <w:p>
      <w:pPr>
        <w:ind w:left="1160" w:hanging="51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consistently manufacture our products within acceptable quality standards;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as demonstrated in clinical trials and as compared with alternative treatments, if any;</w:t>
      </w:r>
    </w:p>
    <w:p>
      <w:pPr>
        <w:spacing w:after="0" w:line="128" w:lineRule="exact"/>
        <w:rPr>
          <w:rFonts w:ascii="Arial" w:cs="Arial" w:eastAsia="Arial" w:hAnsi="Arial"/>
          <w:sz w:val="17"/>
          <w:szCs w:val="17"/>
          <w:color w:val="auto"/>
        </w:rPr>
      </w:pPr>
    </w:p>
    <w:p>
      <w:pPr>
        <w:ind w:left="1160" w:hanging="51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incidence, seriousness and severity of any side effects;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product candidates;</w:t>
      </w:r>
    </w:p>
    <w:p>
      <w:pPr>
        <w:spacing w:after="0" w:line="117" w:lineRule="exact"/>
        <w:rPr>
          <w:rFonts w:ascii="Arial" w:cs="Arial" w:eastAsia="Arial" w:hAnsi="Arial"/>
          <w:sz w:val="18"/>
          <w:szCs w:val="18"/>
          <w:color w:val="auto"/>
        </w:rPr>
      </w:pPr>
    </w:p>
    <w:p>
      <w:pPr>
        <w:ind w:left="1160" w:right="320" w:hanging="517"/>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patients to accept potentially new routes of administration and their risk tolerance as it relates to potentially serious side effects;</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government and third-party payer coverage and adequate reimbursement;</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160" w:right="360" w:hanging="517"/>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diseases that product candidates we develop are intended to treat and the relative risks, benefits and costs of those treatments.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spacing w:after="0" w:line="342" w:lineRule="auto"/>
        <w:rPr>
          <w:sz w:val="20"/>
          <w:szCs w:val="20"/>
          <w:color w:val="auto"/>
        </w:rPr>
      </w:pPr>
      <w:r>
        <w:rPr>
          <w:rFonts w:ascii="Arial" w:cs="Arial" w:eastAsia="Arial" w:hAnsi="Arial"/>
          <w:sz w:val="16"/>
          <w:szCs w:val="16"/>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23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73" w:lineRule="exact"/>
        <w:rPr>
          <w:sz w:val="20"/>
          <w:szCs w:val="20"/>
          <w:color w:val="auto"/>
        </w:rPr>
      </w:pPr>
    </w:p>
    <w:p>
      <w:pPr>
        <w:ind w:left="1160" w:right="800" w:hanging="517"/>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of products;</w:t>
      </w:r>
    </w:p>
    <w:p>
      <w:pPr>
        <w:spacing w:after="0" w:line="62" w:lineRule="exact"/>
        <w:rPr>
          <w:rFonts w:ascii="Arial" w:cs="Arial" w:eastAsia="Arial" w:hAnsi="Arial"/>
          <w:sz w:val="18"/>
          <w:szCs w:val="18"/>
          <w:color w:val="auto"/>
        </w:rPr>
      </w:pPr>
    </w:p>
    <w:p>
      <w:pPr>
        <w:ind w:left="1160" w:right="800" w:hanging="517"/>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extensive experience in designing and conducting preclinical studies and clinical trials, obtaining regulatory approvals, and in manufacturing, marketing and selling pharmaceutical products;</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for which we may try to develop drugs. These drugs may be more effective, safer, less expensive, or marketed and sold more effectively, than any products we develop.</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competitors may develop or commercialize products with significant advantages over any products we are able to develop and commercialize based on many different factors, including:</w:t>
      </w:r>
    </w:p>
    <w:p>
      <w:pPr>
        <w:spacing w:after="0" w:line="62" w:lineRule="exact"/>
        <w:rPr>
          <w:sz w:val="20"/>
          <w:szCs w:val="20"/>
          <w:color w:val="auto"/>
        </w:rPr>
      </w:pPr>
    </w:p>
    <w:p>
      <w:pPr>
        <w:ind w:left="1160" w:hanging="51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128" w:lineRule="exact"/>
        <w:rPr>
          <w:rFonts w:ascii="Arial" w:cs="Arial" w:eastAsia="Arial" w:hAnsi="Arial"/>
          <w:sz w:val="17"/>
          <w:szCs w:val="17"/>
          <w:color w:val="auto"/>
        </w:rPr>
      </w:pPr>
    </w:p>
    <w:p>
      <w:pPr>
        <w:ind w:left="1160" w:hanging="51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reimbursement coverage; and</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If we or our collaborators, manufacturers, service providers or other third parties fail to comply with applicable healthcare laws and regulations, we or they could be subject to enforcement actions, which could affect our ability to develop, market and sell our products and may harm our reputation.</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39" w:lineRule="exact"/>
        <w:rPr>
          <w:sz w:val="20"/>
          <w:szCs w:val="20"/>
          <w:color w:val="auto"/>
        </w:rPr>
      </w:pPr>
    </w:p>
    <w:p>
      <w:pPr>
        <w:ind w:left="1160" w:right="100" w:hanging="517"/>
        <w:spacing w:after="0" w:line="264"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 service, or the purchasing,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left="1160" w:right="260"/>
        <w:spacing w:after="0" w:line="277" w:lineRule="auto"/>
        <w:rPr>
          <w:sz w:val="20"/>
          <w:szCs w:val="20"/>
          <w:color w:val="auto"/>
        </w:rPr>
      </w:pPr>
      <w:r>
        <w:rPr>
          <w:rFonts w:ascii="Arial" w:cs="Arial" w:eastAsia="Arial" w:hAnsi="Arial"/>
          <w:sz w:val="18"/>
          <w:szCs w:val="18"/>
          <w:color w:val="auto"/>
        </w:rPr>
        <w:t>recommending, or ordering of an item or service, for which payment may be made under a federal healthcare program such as Medicare or Medicaid;</w:t>
      </w:r>
    </w:p>
    <w:p>
      <w:pPr>
        <w:spacing w:after="0" w:line="62" w:lineRule="exact"/>
        <w:rPr>
          <w:sz w:val="20"/>
          <w:szCs w:val="20"/>
          <w:color w:val="auto"/>
        </w:rPr>
      </w:pPr>
    </w:p>
    <w:p>
      <w:pPr>
        <w:ind w:left="1160" w:right="20" w:hanging="517"/>
        <w:spacing w:after="0" w:line="259"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160" w:right="160" w:hanging="517"/>
        <w:spacing w:after="0" w:line="308" w:lineRule="auto"/>
        <w:tabs>
          <w:tab w:leader="none" w:pos="11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(“HIPAA”), which imposes criminal and civil liability for, among other things, executing a scheme to defraud any healthcare benefit program or making false statements relating to healthcare matters;</w:t>
      </w:r>
    </w:p>
    <w:p>
      <w:pPr>
        <w:spacing w:after="0" w:line="38" w:lineRule="exact"/>
        <w:rPr>
          <w:rFonts w:ascii="Arial" w:cs="Arial" w:eastAsia="Arial" w:hAnsi="Arial"/>
          <w:sz w:val="17"/>
          <w:szCs w:val="17"/>
          <w:color w:val="auto"/>
        </w:rPr>
      </w:pPr>
    </w:p>
    <w:p>
      <w:pPr>
        <w:ind w:left="1160" w:right="100" w:hanging="517"/>
        <w:spacing w:after="0" w:line="259"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(“HITECH”) Act, and its implementing regulations, which impose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8" w:lineRule="exact"/>
        <w:rPr>
          <w:rFonts w:ascii="Arial" w:cs="Arial" w:eastAsia="Arial" w:hAnsi="Arial"/>
          <w:sz w:val="18"/>
          <w:szCs w:val="18"/>
          <w:color w:val="auto"/>
        </w:rPr>
      </w:pPr>
    </w:p>
    <w:p>
      <w:pPr>
        <w:ind w:left="1160" w:right="180" w:hanging="517"/>
        <w:spacing w:after="0" w:line="255"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the Centers for Medicare and Medicaid Services (“CMS”), all transfers of value, including consulting fees, travel reimbursements, research grants, and other payments or gifts with values over $10 made to physicians and teaching hospitals, and teaching hospitals,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81" w:lineRule="exact"/>
        <w:rPr>
          <w:rFonts w:ascii="Arial" w:cs="Arial" w:eastAsia="Arial" w:hAnsi="Arial"/>
          <w:sz w:val="18"/>
          <w:szCs w:val="18"/>
          <w:color w:val="auto"/>
        </w:rPr>
      </w:pPr>
    </w:p>
    <w:p>
      <w:pPr>
        <w:ind w:left="1160" w:hanging="517"/>
        <w:spacing w:after="0" w:line="293"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some which differ from each other in significant ways and often are not preempted by HIPAA, thus complicating compliance efforts.</w:t>
      </w:r>
    </w:p>
    <w:p>
      <w:pPr>
        <w:spacing w:after="0" w:line="16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3" w:lineRule="exact"/>
        <w:rPr>
          <w:sz w:val="20"/>
          <w:szCs w:val="20"/>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and/or untitled letters;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left="1160" w:hanging="51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consent decrees; and</w:t>
      </w:r>
    </w:p>
    <w:p>
      <w:pPr>
        <w:spacing w:after="0" w:line="117" w:lineRule="exact"/>
        <w:rPr>
          <w:rFonts w:ascii="Arial" w:cs="Arial" w:eastAsia="Arial" w:hAnsi="Arial"/>
          <w:sz w:val="18"/>
          <w:szCs w:val="18"/>
          <w:color w:val="auto"/>
        </w:rPr>
      </w:pPr>
    </w:p>
    <w:p>
      <w:pPr>
        <w:ind w:left="1160" w:right="240" w:hanging="517"/>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civil and criminal penalties, up to and including criminal prosecution resulting in fines, exclusion from healthcare reimbursement programs and imprisonment.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Any drugs we develop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73" w:lineRule="exact"/>
        <w:rPr>
          <w:sz w:val="20"/>
          <w:szCs w:val="20"/>
          <w:color w:val="auto"/>
        </w:rPr>
      </w:pPr>
    </w:p>
    <w:p>
      <w:pPr>
        <w:ind w:left="1160" w:hanging="51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are incident to a physician’s services;</w:t>
      </w:r>
    </w:p>
    <w:p>
      <w:pPr>
        <w:spacing w:after="0" w:line="117" w:lineRule="exact"/>
        <w:rPr>
          <w:rFonts w:ascii="Arial" w:cs="Arial" w:eastAsia="Arial" w:hAnsi="Arial"/>
          <w:sz w:val="18"/>
          <w:szCs w:val="18"/>
          <w:color w:val="auto"/>
        </w:rPr>
      </w:pPr>
    </w:p>
    <w:p>
      <w:pPr>
        <w:ind w:left="1160" w:right="80" w:hanging="517"/>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are reasonable and necessary for the diagnosis or treatment of the illness or injury for which they are administered according to accepted standards of medical practice; and</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have been approved by the FDA and meet other requirements of the statute.</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ind w:right="20"/>
        <w:spacing w:after="0" w:line="269" w:lineRule="auto"/>
        <w:rPr>
          <w:sz w:val="20"/>
          <w:szCs w:val="20"/>
          <w:color w:val="auto"/>
        </w:rPr>
      </w:pPr>
      <w:r>
        <w:rPr>
          <w:rFonts w:ascii="Arial" w:cs="Arial" w:eastAsia="Arial" w:hAnsi="Arial"/>
          <w:sz w:val="17"/>
          <w:szCs w:val="17"/>
          <w:color w:val="auto"/>
        </w:rPr>
        <w:t>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These developments have included prescription drug benefit legislation that was enacted in 2003 and took effect in January 2006, healthcare reform legislation enacted by certain states, and major healthcare reform legislation that was passed by Congress and enacted into law in the United States in 2010. These developments could, directly or indirectly, affect our ability to sell our products, if approved, at a favorable price.</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particular, in March 2010, the Patient Protection and Affordable Care Act (the “ACA”), was signed into law. This legislation changed the system of healthcare insurance and benefits and was intended to broaden access to healthcare coverage, enhance remedies against fraud and abuse, add transparency requirements for the healthcare and health insurance industries, impose taxes and fees on the healthcare industry, impose health policy reforms, and control costs. This law also contains provisions that would affect companies in the pharmaceutical industry and other healthcare related industries by imposing additional costs and changes to business practices. Since its enactment, there have been judicial and Congressional challenges to certain aspects of the ACA. Both Congress and President Trump have expressed their intention to repeal or repeal and replace the ACA, and as a result, certain sections of the ACA have not been fully implemented or effectively repealed. The uncertainty around the future of the ACA, and in particular the impact to reimbursement levels, may lead to uncertainty or delay in the purchasing decisions of our customers, which may in turn negatively impact our product sales. We continue to evaluate the effect that the ACA has or any potential changes to the ACA could have on our business. Additional federal and state legislative and regulatory developments are likely, and we expect ongoing initiatives in the United States to increase pressure on drug pricing and reimbursement.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obtain services, reimbursement or funding from the federal government may be impacted by possible reductions in federal spending.</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legislative changes have been proposed and adopted since the ACA was enacted. For example, in August 2011, President Obama signed into law the Budget Control Act of 2011, which, among other things, created the Joint Select Committee on Deficit Reduction (Joint Select Committee) to recommend to Congress proposals in spending reductions. The failure of Congress to enact deficit reduction measures of at least $1.2 trillion for the years 2013 through 2021 triggered the legislation’s automatic reduction to several government programs. These cuts included aggregate reductions to Medicare payments to providers of up to 2% per fiscal year, which went into effect beginning on April 1, 2013, and will stay in effect through 2024 unless additional Congressional action is taken. Additionally, under the American Taxpayer Relief Act of 2012, which was enacted on January 1, 2013, the imposition of these automatic cuts was delayed until March 1, 2013. As required by law, President Obama issued a sequestration order on March 1, 2013. Certain of these automatic cuts have been implemented resulting in reductions in Medicare payments to physicians, hospitals, and other healthcare providers, among other things. The full impact on our business of these automatic cuts is uncertain.</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other federal spending is reduced, any budgetary shortfalls may also impact the ability of relevant agencies, such as the FDA or National Institutes of Health to continue to function. Amounts allocated to federal grants and contracts may be reduced or eliminated. These reductions may also impact the ability of relevant agencies to timely review and approve drug research and development, manufacturing, and marketing activities, which may delay our ability to develop, market and sell any products we may develop.</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 could have a materially negative impact on our business. These include changes in the FDA and foreign regulatory processes for new therapeutics that may delay or prevent the approval of any of our current or future product candidates; 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 changes in FDA and foreign regulations that may require additional safety monitoring prior to or after the introduction of new products to market, which could materially increase our costs of doing business; and changes in FDA and foreign cGMPs that may make it more difficult and costly for us to maintain regulatory compliance and/or manufacture our marketed product and product candidates in accordance with cGMPs.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The full effects of any U.S. healthcare reform legislation cannot be known until the law is fully implemented through regulations or guidance issued by the CMS and other federal and state healthcare agencies. The financial impact of the U.S. healthcare reform legislation over the next few years will depend on several factors, including, but not limited, to the policies reflected in implementing regulations and guidance, and changes in sales volumes for products affected by the new system of rebates, discounts and fees.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operations and conduct business outside the United States and we plan to continue to expand these operations. Therefore, we are subject to risks related to operating in foreign countries, which include unfamiliar foreign laws or regulatory requirements or unexpected changes to those laws or requirements; other laws and regulatory requirements to which our business activities abroad are subject, such as the Foreign Corrupt Practices Act and the U.K. Bribery Act; changes in the political or economic condition of a specific country or region; fluctuations in the value of foreign currency versus the U.S. dollar; our ability to deploy overseas funds in an efficient manner; tariffs, trade protection measures, import or export licensing requirements, trade embargoes, and sanctions (including those administered by the Office of Foreign Assets Control of the U.S. Department of the Treasury), and other trade barriers; difficulties in attracting and retaining qualified personnel; and cultural differences in the conduct of business.</w:t>
      </w:r>
    </w:p>
    <w:p>
      <w:pPr>
        <w:spacing w:after="0" w:line="17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Further complicating potential uncertainties caused by conducting business outside the United States are recent political movements that are changing decades-old institutions, including, for example, in 2016, the United Kingdom held a referendum in which voters approved an exit from the EU, commonly referred to as “Brexit.” As a result of the referendum, it is expected that the British government will begin negotiating the terms of the United 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There is a substantial risk of product liability claims in our business. If we are unable to obtain or maintain sufficient insurance, a product liability claim against us could adversely affect our business.</w:t>
      </w:r>
    </w:p>
    <w:p>
      <w:pPr>
        <w:spacing w:after="0" w:line="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In addition, if any of our collaboration partners face product liability claims, our programs could also be affected and our business could be harmed.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adversely affect our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research, development and manufacturing processes involve the use of hazardous materials, chemicals and various radioactive compounds.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certain of our product candidates.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depend on third-party collaborators for the co-development and co-commercialization of certain of our product candidates and we face significant competition to the extent we elect to collaborate with others. Our potential future collaborators include large and mid-size pharmaceutical companies, regional and national pharmaceutical companies and biotechnology companies. In addition, there have been a significant number of recent business combinations among large pharmaceutical companies that have resulted in a reduced number of potential future collaborators. In February 2018, we entered into a collaboration with Takeda to discover, develop and commercialize nucleic acid therapies for disorders of the CNS. The collaboration provides Takeda with the option to globally co-develop and commercialize programs targeting HD, ALS, FTD, and SCA3, which we will have the right to co-commercialize in the United States. In addition, Takeda will have the right to exclusively license multiple preclinical programs for CNS disorders, including Alzheimer’s disease (“AD”) and Parkinson’s disease (“PD”). In May 2016, we entered into a collaboration with Pfizer focused on the advancement of genetically defined targets for the treatment of metabolic diseases, bringing together our proprietary drug development platform, across antisense and single-stranded RNAi modalities, along with GalNAc and Pfizer’s hepatic targeting technology for delivery to the liver. The collaboration seeks to leverage our stereochemistry platform across antisense and RNAi modalities and incorporates GalNAc and Pfizer’s hepatic targeting technology. Under the terms of the agreement, Pfizer may select, and we will advance, up to five targets from discovery through to the selection of clinical candidates, at which point Pfizer may elect to exclusively license the programs and undertake further development and potential commercialization.</w:t>
      </w:r>
    </w:p>
    <w:p>
      <w:pPr>
        <w:spacing w:after="0" w:line="17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Collaborations are complex and time-consuming to negotiate and document. We may not be able to negotiate collaborations on a timely basis, on acceptable terms, or at all. We may also be restricted under existing license or collaboration agreements from entering into agreements on certain terms with potential collaborators. If we are unable to enter 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Depending on the type of collaborations we enter into, we may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may pose the following risks to us:</w:t>
      </w:r>
    </w:p>
    <w:p>
      <w:pPr>
        <w:spacing w:after="0" w:line="117" w:lineRule="exact"/>
        <w:rPr>
          <w:sz w:val="20"/>
          <w:szCs w:val="20"/>
          <w:color w:val="auto"/>
        </w:rPr>
      </w:pPr>
    </w:p>
    <w:p>
      <w:pPr>
        <w:ind w:left="1160" w:hanging="51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160" w:right="880" w:hanging="517"/>
        <w:spacing w:after="0" w:line="308" w:lineRule="auto"/>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clinical trial results, changes in the collaborator’s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ind w:left="1160"/>
        <w:spacing w:after="0"/>
        <w:rPr>
          <w:sz w:val="20"/>
          <w:szCs w:val="20"/>
          <w:color w:val="auto"/>
        </w:rPr>
      </w:pPr>
      <w:r>
        <w:rPr>
          <w:rFonts w:ascii="Arial" w:cs="Arial" w:eastAsia="Arial" w:hAnsi="Arial"/>
          <w:sz w:val="17"/>
          <w:szCs w:val="17"/>
          <w:color w:val="auto"/>
        </w:rPr>
        <w:t>strategic focus or available funding or external factors such as an acquisition that diverts resources or creates competing priorities;</w:t>
      </w:r>
    </w:p>
    <w:p>
      <w:pPr>
        <w:spacing w:after="0" w:line="129" w:lineRule="exact"/>
        <w:rPr>
          <w:sz w:val="20"/>
          <w:szCs w:val="20"/>
          <w:color w:val="auto"/>
        </w:rPr>
      </w:pPr>
    </w:p>
    <w:p>
      <w:pPr>
        <w:ind w:left="1160" w:right="480" w:hanging="517"/>
        <w:spacing w:after="0" w:line="308"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160" w:right="320" w:hanging="517"/>
        <w:spacing w:after="0" w:line="264"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160" w:right="480" w:hanging="517"/>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160" w:right="80" w:hanging="517"/>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160" w:right="80" w:hanging="517"/>
        <w:spacing w:after="0" w:line="342" w:lineRule="auto"/>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160" w:right="1000" w:hanging="517"/>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28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have any sales and marketing or distribution capabilities. Accordingly, we have entered into a collaboration with Takeda in CNS, which we believe can assist us in building these capabilities. We may also enter into additional alliances in the future. We have selectively chosen to enter into a collaboration in the field of CNS with Takeda and for certain hepatic targets with Pfizer. We have chosen these two partners because we believe this is the optimal way for us to broaden our platform, leverage our resources, and create significant value for ourselves and our shareholders, as we advance nucleic acid therapeutic candidates for genetically defined diseases.</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Depending on the collaborations that we enter into, we may expect our collaborators to provide assistance with development, regulatory affairs, marketing, sales and distribution, among other areas. Our future revenues may depend heavily on the success of the efforts of these third parties. For example, under our collaboration with Takeda, if Takeda exercises its option with respect to any of our programs in HD, ALS, FTD or SCA3, we will rely on Takeda for commercialization of such optioned programs outside of the United States. In addition, Takeda will be solely responsible for the potential commercialization of additional to-be-identified preclinical CNS programs globally based on targets that Takeda identifies.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may not be successful in our collaborations due to various factors, including our ability to successfully demonstrate proof of mechanism in humans, our ability to demonstrate the safety and efficacy of our specific product candidates, our ability to manufacture or have third parties manufacture our product candidates, the strength of our intellectual property and/or concerns about potential challenges to or limitations of our intellectual property. To the extent we have entered into, or enter into new, collaborations, we may not be able to maintain them if, for example, development or approval of a product candidate is delayed, challenges are raised as to the validity or scope of our intellectual property or sales of an approved drug are lower than we or our collaboration partner expected.</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certain product candidates that we may develop, we have formed collaborations to fund all or part of the costs of drug development and commercialization, such as our collaboration with Takeda. We may not, however, be able to enter into additional collaborations for certain other programs, and the terms of any collaboration agreement we do secure may not be favorable to us. If we are not successful in our efforts to enter into future collaboration arrangements with respect to one or more of our product candidates, we may not have sufficient funds to develop that or any other product candidate internally, or to bring any product candidates to market. If we do not have sufficient funds to develop and bring our product candidates to market, we will not be able to generate sales revenues from these product candidates, and this will substantially harm our business.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2" w:name="page63"/>
    <w:bookmarkEnd w:id="62"/>
    <w:p>
      <w:pPr>
        <w:ind w:right="200"/>
        <w:spacing w:after="0" w:line="264"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formulation research, preclinical studies, or clinical trials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any of our research collaborators terminates or fails to perform its obligations under agreements with us, the development and commercialization of our product candidates could be delayed or our business could be otherwise adversely affected.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party to research collaboration agreements with certain academic partners, including Dr. Matthew J.A. Wood’s laboratory at the University of Oxford, the University of Dundee and Dr. Robert H. Brown’s laboratory at the University of Massachusetts Medical School, among others. Our dependence on these research collaborators for select research capabilities means that our business could be adversely affected if any collaborator terminates its collaboration agreement with us or fails to perform its obligations under that agreement. Our current or future research collaborations, if any, may not be scientifically successful. Disputes may arise in the future with respect to the ownership of rights to technology or products developed with collaborators, which could have an adverse effect on our ability to develop and commercialize any affected product candidate.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current research collaborations allow, and we expect that any future research collaborations will allow, either party to terminate the collaboration for a material breach by the other party. In addition, our collaborators may have additional termination rights for convenience under certain circumstances. If we were to lose a collaborator, we would have to attract a new collaborator or develop internal research capabilities, which would require us to invest significant amounts of financial and management resources.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if we have a dispute with a collaborator over the ownership of technology or other matters, or if a collaborator terminates its collaboration with us, for breach or otherwise, or determines not to pursue the research that is the subject of the collaboration, it could delay or prevent the development of our product candidates, result in the need for additional company resources to develop product candidates, make it more difficult for us to attract new collaborators and could adversely affect how we are perceived in the business and financial communities.</w:t>
      </w:r>
    </w:p>
    <w:p>
      <w:pPr>
        <w:spacing w:after="0" w:line="2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design, conduct, supervise and monitor our preclinical studies and clinical trials, and if those third parties perform in an unsatisfactory manner, it may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rely on third party clinical investigators, contract research organizations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requires clinical trials to be conducted in accordance with good clinical practices,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ind w:right="600"/>
        <w:spacing w:after="0" w:line="308" w:lineRule="auto"/>
        <w:rPr>
          <w:sz w:val="20"/>
          <w:szCs w:val="20"/>
          <w:color w:val="auto"/>
        </w:rPr>
      </w:pPr>
      <w:r>
        <w:rPr>
          <w:rFonts w:ascii="Arial" w:cs="Arial" w:eastAsia="Arial" w:hAnsi="Arial"/>
          <w:sz w:val="17"/>
          <w:szCs w:val="17"/>
          <w:color w:val="auto"/>
        </w:rPr>
        <w:t>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25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third parties to supply and manufacture our product candidates for our research, preclinical and clinical activities, and may do the same for commercial supplies of our product candidates.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are in the process of continuing to build and expand our own internal manufacturing capabilities, we have not yet manufactured our product candidates on a commercial scale, and may not be able to do so for any of our product candidates. We also have limited experience manufacturing any of our products for our preclinical studies and clinical trials. In addition, we currently rely on third parties to supply and manufacture the materials for our research, preclinical and clinical activities and may continue to do so for the foreseeable future.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and development,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nucleic acid therapeutics, there may be increased competition for the supply of the raw materials that are necessary to make our nucleic acid therapeutics, which could severely impact the manufacturing of our product candidates.</w:t>
      </w:r>
    </w:p>
    <w:p>
      <w:pPr>
        <w:spacing w:after="0" w:line="18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its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 in a number of ways, including:</w:t>
      </w:r>
    </w:p>
    <w:p>
      <w:pPr>
        <w:spacing w:after="0" w:line="84" w:lineRule="exact"/>
        <w:rPr>
          <w:sz w:val="20"/>
          <w:szCs w:val="20"/>
          <w:color w:val="auto"/>
        </w:rPr>
      </w:pPr>
    </w:p>
    <w:p>
      <w:pPr>
        <w:ind w:left="1160" w:hanging="51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inspections by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left="1160" w:hanging="517"/>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are in the process of hiring employees with commercial experience, we currently have no sales, marketing or distribution capabilities. In addition, while our collaboration with Takeda will provide us with know-how and experience related to commercialization, we have limited experience of our own. If any of our product candidates is approved, we will need to develop internal sales, marketing and distribution capabilities to commercialize such products, which would be expensive and time-consuming, or rely on or enter into additional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may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We face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As we continue our preclinical studies and clinical trials and advance to further clinical development, we may experience difficulties in managing our growth and expanding our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Although we have assembled a team of employees with experience developing drugs and obtaining regulatory approval to market those drugs, we have limited experience as a company in drug development. Prior to 2017, all of our product candidates were in the preclinical development stage. In 2017, we initiated clinical trials of our product candidates WVE-120101 and WVE-120102 in patients with HD and WVE-210201 in patients with DMD. We expect to initiate three additional development programs by the end of 2018, targeting exon 53 in DMD, and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in ALS and FTD. As we advance product candidates through preclinical studies and clinical trials, we will need to expand our development, regulatory and manufacturing capabilities or contract with other organizations to provide these capabilities for us. In addition, we must manage our relationships with collaborators or partners, suppliers and other organizations, including our collaborations with Takeda and Pfizer.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right="460"/>
        <w:spacing w:after="0" w:line="277" w:lineRule="auto"/>
        <w:rPr>
          <w:sz w:val="20"/>
          <w:szCs w:val="20"/>
          <w:color w:val="auto"/>
        </w:rPr>
      </w:pPr>
      <w:r>
        <w:rPr>
          <w:rFonts w:ascii="Arial" w:cs="Arial" w:eastAsia="Arial" w:hAnsi="Arial"/>
          <w:sz w:val="18"/>
          <w:szCs w:val="18"/>
          <w:color w:val="auto"/>
        </w:rPr>
        <w:t>may divert financial resources from other projects, such as the development of our product candidates. If we are unable to effectively manage our future growth, our expenses may increase and our ability to generate revenue could be reduced.</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consultants and collaborators. Such misconduct could include intentional failures to comply with FDA regulations, provide accurate information to the FDA, comply with manufacturing standards required by the FDA or that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prevent us from accessing critical information or expose us to liability, which could adversely affect our business and our reputation.</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ordinary course of our business, we, our CROs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 critical information including research and development information and business and financial information.</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by us, or our CROs and other third parties, is vital to our operations and business strategy. Although we take measures to protect sensitive information from unauthorized access or disclosure, our information technology and infrastructure, or that of our CROs or other third parties, may be vulnerable to attacks by hackers, viruses, breaches, interruptions due to employee error, malfeasance or other disruptions, lapses in compliance with privacy and security mandates, or damage from natural disasters, terrorism, war and telecommunication and electrical failures. Any such event could compromise our networks, or that of our CROs or other third parties, and the information stored there could be accessed by unauthorized parties, publicly disclosed, lost or stolen.</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such as the HIPAA, government enforcement actions and regulatory penalties. Unauthorized access, loss or dissemination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business. For example, the loss of clinical trial data from completed or ongoing or planned clinical trials could result in delays in our regulatory approval efforts and significantly increase our costs to recover or reproduce the data. In addition, there can be no assurance that we, or our CROs and other third parties,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 candidates could be delayed.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 may adversely affect our results.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Due to our operations outside of the Unites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years ended December 31, 2017, 2016 and 2015, changes in foreign currency exchange rates did not have a material impact on our historical financial position, our business, our financial condition, the results of our operations or our cash flows. A hypothetical 10% change in foreign currency rates would not have a material impact on our historical financial position or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However, there can be no assurance that changes in foreign currency exchange rates will not have a material adverse impact on us in the future.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December 22, 2017, President Trump signed into law the Tax Cuts and Jobs Act (the “Tax Act”), that significantly reforms the Internal Revenue Code of 1986, as amended (the “Code”). The Tax Act,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For the year ended December 31, 2017, we re-evaluated the valuation of our net deferred tax assets and liabilities at the newly enacted U.S. corporate rate and the impact to our tax expense in light of the Tax Act. We will continue to examine the impact this tax reform legislation may have on our business. The impact of this tax reform is uncertain and could adversely affect our business and financial conditions.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depends in part on our ability to obtain and maintain patents and other forms of intellectual property rights, including trademarks, trade secrets and in-licenses of intellectual property rights of others, for our product candidates and platform technologies, methods used to manufacture our product candidates, methods of patient stratification and methods for treating patients using our product candidates, as well as our ability to preserve our trade secrets, to prevent third parties from infringing upon our proprietary rights and to operate without infringing upon the proprietary rights of others. We may not be able to apply for patents or obtain patent protection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Jurisdictions such as India, Mexico, China, Europe and others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Particularly given that some of our product candidates may represent stereopure versions of previously described oligonucleotides, it may be difficult or impossible to obtain patent protection for them in relevant jurisdictions.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Arial" w:cs="Arial" w:eastAsia="Arial" w:hAnsi="Arial"/>
          <w:sz w:val="17"/>
          <w:szCs w:val="17"/>
          <w:i w:val="1"/>
          <w:iCs w:val="1"/>
          <w:color w:val="auto"/>
        </w:rPr>
        <w:t>i.e.,</w:t>
      </w:r>
      <w:r>
        <w:rPr>
          <w:rFonts w:ascii="Arial" w:cs="Arial" w:eastAsia="Arial" w:hAnsi="Arial"/>
          <w:sz w:val="17"/>
          <w:szCs w:val="17"/>
          <w:color w:val="auto"/>
        </w:rPr>
        <w:t xml:space="preserve"> covering product candidates) cannot always be enforced to protect methods of using those compositions to treat or diagnose diseases or medical conditions. In such countries or jurisdictions, enforcement of patents to protect our product candidates, or their uses, may be difficult or impossible. Lack of patent protection in such cases may have a materially adverse effect on our business and financial condition.</w:t>
      </w:r>
    </w:p>
    <w:p>
      <w:pPr>
        <w:spacing w:after="0" w:line="1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20"/>
        <w:spacing w:after="0" w:line="288"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technologies. While we will endeavor to try to protect our product candidates and platform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enacted within the last several years, involves significant changes in patent legislation. The U.S. Supreme Court has ruled on several patent cases in recent years, some of which cases either narrow the scope of patent protection available in certain circumstances or weaken the rights of patent owners in certain situations. The recent decision by the U.S.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nucleic acid products which contain modifications that we believe are not found in nature. However, this decision has yet to be clearly interpreted by courts and by the USPTO. We cannot make assurances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attacked or may lose the allowed or granted claims altogether. In addition, there can be no assurance that:</w:t>
      </w:r>
    </w:p>
    <w:p>
      <w:pPr>
        <w:spacing w:after="0" w:line="46" w:lineRule="exact"/>
        <w:rPr>
          <w:sz w:val="20"/>
          <w:szCs w:val="20"/>
          <w:color w:val="auto"/>
        </w:rPr>
      </w:pPr>
    </w:p>
    <w:p>
      <w:pPr>
        <w:ind w:left="1160" w:right="260" w:hanging="517"/>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160" w:right="240" w:hanging="517"/>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collaborators or any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or our licensors, collaborators or any future collaborators are the first to file patent applications covering certain aspects of our inventions.</w:t>
      </w:r>
    </w:p>
    <w:p>
      <w:pPr>
        <w:spacing w:after="0" w:line="140" w:lineRule="exact"/>
        <w:rPr>
          <w:rFonts w:ascii="Arial" w:cs="Arial" w:eastAsia="Arial" w:hAnsi="Arial"/>
          <w:sz w:val="16"/>
          <w:szCs w:val="16"/>
          <w:color w:val="auto"/>
        </w:rPr>
      </w:pPr>
    </w:p>
    <w:p>
      <w:pPr>
        <w:ind w:left="1160" w:right="680" w:hanging="517"/>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160" w:right="200" w:hanging="517"/>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third party may not challenge, invalidate, circumvent or weaken our patents; nor can there be any assurance if any of these events should occur, that a court would hold that our patents are valid, enforceable and infringed.</w:t>
      </w:r>
    </w:p>
    <w:p>
      <w:pPr>
        <w:spacing w:after="0" w:line="62" w:lineRule="exact"/>
        <w:rPr>
          <w:rFonts w:ascii="Arial" w:cs="Arial" w:eastAsia="Arial" w:hAnsi="Arial"/>
          <w:sz w:val="18"/>
          <w:szCs w:val="18"/>
          <w:color w:val="auto"/>
        </w:rPr>
      </w:pPr>
    </w:p>
    <w:p>
      <w:pPr>
        <w:ind w:left="1160" w:right="380" w:hanging="517"/>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issued patents that we own or have licensed will provide us with any competitive advantages, or will not be challenged, invalidated, circumvented or weakened by third parties.</w:t>
      </w:r>
    </w:p>
    <w:p>
      <w:pPr>
        <w:spacing w:after="0" w:line="62" w:lineRule="exact"/>
        <w:rPr>
          <w:rFonts w:ascii="Arial" w:cs="Arial" w:eastAsia="Arial" w:hAnsi="Arial"/>
          <w:sz w:val="18"/>
          <w:szCs w:val="18"/>
          <w:color w:val="auto"/>
        </w:rPr>
      </w:pPr>
    </w:p>
    <w:p>
      <w:pPr>
        <w:ind w:left="1160" w:hanging="51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7" w:lineRule="exact"/>
        <w:rPr>
          <w:rFonts w:ascii="Arial" w:cs="Arial" w:eastAsia="Arial" w:hAnsi="Arial"/>
          <w:sz w:val="18"/>
          <w:szCs w:val="18"/>
          <w:color w:val="auto"/>
        </w:rPr>
      </w:pPr>
    </w:p>
    <w:p>
      <w:pPr>
        <w:ind w:left="1160" w:right="40" w:hanging="517"/>
        <w:spacing w:after="0" w:line="308"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ind w:right="120"/>
        <w:spacing w:after="0" w:line="264" w:lineRule="auto"/>
        <w:rPr>
          <w:sz w:val="20"/>
          <w:szCs w:val="20"/>
          <w:color w:val="auto"/>
        </w:rPr>
      </w:pPr>
      <w:r>
        <w:rPr>
          <w:rFonts w:ascii="Arial" w:cs="Arial" w:eastAsia="Arial" w:hAnsi="Arial"/>
          <w:sz w:val="18"/>
          <w:szCs w:val="18"/>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7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license patent rights from third parties that we may use from time to time to protect certain aspects of our technology and programs. We may license additional third-party intellectual property in the future. To the extent that we use, and ultimately rely on, in-licensed technologies in our platform and our programs, our success will depend in part on the ability of our licensors to obtain, maintain and enforce patent protection for those in-licensed technologies. Our licensors may not successfully prosecute the patent 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any future collaboration agreements we may enter into or result in termination of an agreement by one or more of our collaborators or any future strategic partners.</w:t>
      </w:r>
    </w:p>
    <w:p>
      <w:pPr>
        <w:spacing w:after="0" w:line="27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Certain third parties have rights in the patents related to single-stranded oligonucleotides that could allow them to develop, market and sell product candidates in competition with ours.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in-license of patent rights from Max Planck is one of two maximum allowable co-exclusive licenses for the patents that are the subject of the license, the other of which is currently held by Ionis Pharmaceuticals, Inc. (“Ionis”). We therefore do not have rights under this license to prevent Ionis from developing product candidates in competition with ours. In addition, the German and U.S. governments have certain rights to the inventions covered by the patent rights and Max Planck, as an academic research and medical center, has the right to practice the licensed patent rights for educational, research and clinical uses. If a third party develops, manufactures, markets and sells any product covered by the same patent rights and technologies that compete with ours, it could significantly undercut the value of any of our product candidates that rely on the patent rights under that license, which would materially adversely affect our revenue, financial condition and results of operations.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The issued patents and pending patent applications in the U.S. and in key markets around the world that we own or license claim certain methods, compositions and processes relating to the discovery, development, manufacture and/or commercialization of nucleic acid therapeutics and/or our platform.</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the field of nucleic acid therapeutics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nucleic acid therapeutics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any of our product candidates or our platform. In addition, third parties may attempt to invalidate our intellectual property rights. Even if our rights are not directly challenged, invalidated or circumvented, disputes could lead to the weakening of our intellectual property rights. Our defense against any attempt by third parties to challenge, invalidate, circumvent or weaken our intellectual property rights could be costly to us, could require significant time and attention of our management and could adversely affect our business and our ability to successfully compete in the field of nucleic acid therapeutics.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9" w:name="page70"/>
    <w:bookmarkEnd w:id="69"/>
    <w:p>
      <w:pPr>
        <w:ind w:right="140"/>
        <w:spacing w:after="0" w:line="259" w:lineRule="auto"/>
        <w:rPr>
          <w:sz w:val="20"/>
          <w:szCs w:val="20"/>
          <w:color w:val="auto"/>
        </w:rPr>
      </w:pPr>
      <w:r>
        <w:rPr>
          <w:rFonts w:ascii="Arial" w:cs="Arial" w:eastAsia="Arial" w:hAnsi="Arial"/>
          <w:sz w:val="18"/>
          <w:szCs w:val="18"/>
          <w:color w:val="auto"/>
        </w:rPr>
        <w:t>certain developing countries, make it difficult to enforce patents and such countries may not recognize other types of intellectual property protection, particularly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generally file a provisional patent application first (a priority filing) at the USPTO. A Patent Cooperation Treaty (“PCT”) application is usually filed within 12 months after the priority filing. Regional and/or national patent applications may be pursued outside of the United States, either based on a PCT application or as a direct filing, in some cases claiming priority to a prior U.S. or PCT filing. Some of our cases have been filed in, for example, Argentina, Australia, Brazil, Canada, Chile, China, Europe, Hong Kong, Indonesia, Israel, India, Japan, Malaysia, New Zealand, South Korea, Mexico, Russia, Singapore, South Africa, Taiwan, United Arab Emirates, and Venezuela.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different scopes of patent protection may be granted on the same product or technology.</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allowing competitors to manufacture and sell their own versions of our product, thereby reducing our sales. In addition, many countries do not permit enforcement of patents, or limit the enforceability of patents against government agencies or government contractors. In these countries, the patent owner may have limited remedies, which could materially diminish the value of such a patent. If we or any of our licensors, collaborators or present or future partners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or collaborators may have limited remedies if patents are infringed or if we or our licensors or collaborators are compelled to grant a license to a third party, which could materially diminish the value of those patents. This could limit our potential revenue opportunities. Accordingly, our and our licensors’ and collaborators’ efforts to enforce intellectual property rights around the world may be inadequate to obtain a significant commercial advantage from the intellectual property that we own or license.</w:t>
      </w:r>
    </w:p>
    <w:p>
      <w:pPr>
        <w:spacing w:after="0" w:line="27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and time consuming, or delay or prevent the development and commercialization of our product candidates, or put our patents and other proprietary rights at risk.</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0" w:name="page71"/>
    <w:bookmarkEnd w:id="70"/>
    <w:p>
      <w:pPr>
        <w:jc w:val="both"/>
        <w:ind w:right="360"/>
        <w:spacing w:after="0" w:line="257" w:lineRule="auto"/>
        <w:rPr>
          <w:sz w:val="20"/>
          <w:szCs w:val="20"/>
          <w:color w:val="auto"/>
        </w:rPr>
      </w:pPr>
      <w:r>
        <w:rPr>
          <w:rFonts w:ascii="Arial" w:cs="Arial" w:eastAsia="Arial" w:hAnsi="Arial"/>
          <w:sz w:val="18"/>
          <w:szCs w:val="18"/>
          <w:color w:val="auto"/>
        </w:rPr>
        <w:t>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Because the nucleic acid therapeutics intellectual property landscape is still evolving and our product candidates have not yet reached commercialization, it is difficult to conclusively assess our freedom to operate without infringing third party rights. There are numerous companies that have pending patent applications and issued patents directed to certain aspects of nucleic acid therapeutics. We are aware of third party competitors in the oligonucleotide therapeutics space, whose patent filings and/or issued patents may include claims directed to targets and/or products related to some of our programs. It is possible that at the time that we commercialize our products these third-party patent portfolios may include issued patent claims that cover our products or critical features of their production or use. Our competitive position may suffer if patents issued to third parties or other third party intellectual property rights cover, or may be alleged to cover, our products or elements thereof, or methods of manufacture or use relevant to our development plans. In such cases, we may not be in a position to develop or commercialize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date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296"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are many issued patents and/or pending patent applications that claim aspects of oligonucleotide compositions, chemistry and/or modifications that we may want or need to apply to our product candidates. There are also many issued patents and/or pending patent applications that claim targeted genes or portions of genes that may be relevant for the nucleic acid drugs we wish to develop. We are aware of third-party competitors in the oligonucleotide therapeutics space whose patent filings and/or issued patents may include claims directed to targets and/or product candidates related to some of our development programs. It is possible that these third-party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1" w:name="page72"/>
    <w:bookmarkEnd w:id="71"/>
    <w:p>
      <w:pPr>
        <w:ind w:right="20"/>
        <w:spacing w:after="0" w:line="312" w:lineRule="auto"/>
        <w:rPr>
          <w:sz w:val="20"/>
          <w:szCs w:val="20"/>
          <w:color w:val="auto"/>
        </w:rPr>
      </w:pPr>
      <w:r>
        <w:rPr>
          <w:rFonts w:ascii="Arial" w:cs="Arial" w:eastAsia="Arial" w:hAnsi="Arial"/>
          <w:sz w:val="16"/>
          <w:szCs w:val="16"/>
          <w:color w:val="auto"/>
        </w:rPr>
        <w:t>patent portfolios may include issued patent claims that cover our product candidates or critical features of their production or use. Thus, it is possible that one or more organizations will hold patent rights to which we will need or want a license. If those organizations refuse to grant us a license to such patent rights on reasonable terms, or at all, we may not be able to market products or perform research and development or other activities covered by these patents.</w:t>
      </w:r>
    </w:p>
    <w:p>
      <w:pPr>
        <w:spacing w:after="0" w:line="14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technology licenses and any future licenses we enter into are likely to impose various development, commercialization, funding, milestone, royalty, diligence, sublicensing, insurance, patent prosecution and enforcement, and/or other obligations on us. If we breach any of these imposed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improvements and technological innovation important to the maintenance of our competitive position. We protect trade secrets and confidential and unpatented know-how, improvements and technological innovation,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8"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7"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Our trademarks or trade names may be infringed, challenged, invalidated, circumvented, weakened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Risks Related to Our Being a Singapore Company</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 Singapore incorporated company and it may be difficult to enforce a judgment of U.S. courts for civil liabilities under U.S. federal securities laws against us, our directors or officers in Singapore.</w:t>
      </w:r>
    </w:p>
    <w:p>
      <w:pPr>
        <w:spacing w:after="0" w:line="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incorporated under the laws of the Republic of Singapore, and certain of our directors are residents outside the United States. Moreover, a significant portion of our consolidated assets are located outside the United 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enforceable within the United States.</w:t>
      </w:r>
    </w:p>
    <w:p>
      <w:pPr>
        <w:spacing w:after="0" w:line="154"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There is uncertainty as to whether judgments of courts in the United States based upon the civil liability provisions of the federal securities laws of the United States would be recognized or enforceable in Singapore. In addition, holders of book-entry interests in our shares will be required to be registered shareholders as reflected in our shareholder register in order to have standing to bring a shareholder action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corporate affairs are governed by our constitution and by the laws governing corporations incorporated in Singapore. The rights of our shareholders and the responsibilities of the members of our board of directors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of directors or our principal shareholders than they would as shareholders of a corporation incorporated in the United States.</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 shareholder register. Such process could result in administrative delays which may be prejudicial to any legal proceeding or enforcement 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laws of Singapore, which differ in certain material respects from the laws of the United States.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company incorporated under the laws of the Republic of Singapore, we are required to comply with the laws of Singapore, certain of which are capable of extra-territorial application, as well as our constitution. In particular, we are required to comply with certain provisions of the Securities and Futures Act of Singapore (Cap 289) (the “SFA”), which prohibit certain forms of market conduct and information disclosures, and impose criminal and civil penalties on corporations, directors and officers in respect of any breach of such provisions. We are also required to comply with the Singapore Code on Take-Overs and Mergers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laws of Singapore and of the United States differ in certain significant respects. The rights of our shareholders and the obligations of our directors and officers under Singapore law (including under the Companies Act of Singapore (Cap 50) (the “Singapore Companies Act”) are different from those applicable to a company incorporated in the State of Delaware in material respects, and our shareholders may have more difficulty and less clarity in protecting their interests in connection with actions taken by our management, members of our board of directors or our controlling shareholders than would otherwise apply to a company incorporated in the State of Delaware.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3" w:name="page74"/>
    <w:bookmarkEnd w:id="73"/>
    <w:p>
      <w:pPr>
        <w:ind w:right="160"/>
        <w:spacing w:after="0" w:line="289" w:lineRule="auto"/>
        <w:rPr>
          <w:sz w:val="20"/>
          <w:szCs w:val="20"/>
          <w:color w:val="auto"/>
        </w:rPr>
      </w:pPr>
      <w:r>
        <w:rPr>
          <w:rFonts w:ascii="Arial" w:cs="Arial" w:eastAsia="Arial" w:hAnsi="Arial"/>
          <w:sz w:val="16"/>
          <w:szCs w:val="16"/>
          <w:color w:val="auto"/>
        </w:rPr>
        <w:t>The application of Singapore law, in particular,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the original requisitioning shareholders, or any of them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such corresponding amounts from fees or other remuneration payable by us to such non-complying directors.</w:t>
      </w:r>
    </w:p>
    <w:p>
      <w:pPr>
        <w:spacing w:after="0" w:line="2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(Singapore dollars) or more. For example, under the Singapore Takeover Code, any person acquiring, whether by a series of transactions over a period of time or not, either on such persons own or together with parties acting in concert with such person, 30% or more of our voting shares, or if such person holds, either on such person’s own or together with parties acting in concert with such person, between 30% and 50% (both inclusive) of our voting shares, and if such person (or parties acting in concert with such person)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 a limited period of time, our directors have general authority to allot and issue new ordinary shares on terms and conditions and for such purposes as may be determined by our board of directors in its sole discretion.</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Under Singapore law, we may only allot and issue new shares with the prior approval of our shareholders in a general meeting. At our 2017 annual general meeting of shareholders, our shareholders provided our directors with a general authority, subject to the provisions of the Singapore Companies Act and our constitution, to allot and issue any number of new ordinary shares and/or make or grant offers, agreements, options or other instruments (including the grant of awards or options pursuant to our equity-based incentive plans and agreements in effect from time to time) that might or would require ordinary shares to be allotted and issued (collectively, the “Instruments”); and unless revoked or varied by the Company in a general meeting, such authority will continue in force until the earlier of (i) the conclusion of our 2018 annual general meeting of shareholders, or (ii) the expiration of the period within which our 2018 annual general meeting of shareholders is required by law to be held. Subject to the general requirements of the Singapore Companies Act and our constitution, the general authority given to our directors by our shareholders to allot and issue ordinary shares and/or make or grant the Instruments may be exercised by our directors on such terms and conditions, for such purposes and for consideration as they may in their sole discretion deem fit, and with such rights or restrictions as they may think fit to impose and as are set forth in our constitution. Any additional issuances of new ordinary shares and/or any grant of the Instruments by our directors may dilute our shareholders’ interests in our ordinary shares and/or adversely impact the market price of our ordinary shares.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or become a passive foreign investment company, which could result in adverse U.S. federal income tax consequences to U.S. Holders.</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rules governing passive foreign investment companies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Moreover, our ability to earn specific types of income that we currently treat as non-passive for purposes of the PFIC rules is uncertain with respect to future years. Based on the current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right="380"/>
        <w:spacing w:after="0" w:line="308" w:lineRule="auto"/>
        <w:rPr>
          <w:sz w:val="20"/>
          <w:szCs w:val="20"/>
          <w:color w:val="auto"/>
        </w:rPr>
      </w:pPr>
      <w:r>
        <w:rPr>
          <w:rFonts w:ascii="Arial" w:cs="Arial" w:eastAsia="Arial" w:hAnsi="Arial"/>
          <w:sz w:val="17"/>
          <w:szCs w:val="17"/>
          <w:color w:val="auto"/>
        </w:rPr>
        <w:t>anticipated value of our assets and the composition of our income and assets, we do not expect to be treated as a PFIC for our current taxable year ending December 31, 2018; however, there can be no assurance that we will not be considered a PFIC for any future taxable year.</w:t>
      </w:r>
    </w:p>
    <w:p>
      <w:pPr>
        <w:spacing w:after="0" w:line="14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If we are a PFIC, a U.S. Holder (defined below)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(“QEF”) or, if shares of the PFIC are “marketable stock” for purposes of the PFIC rules, by making a mark-to-market election with respect to the shares of the PFIC. We do not intend to comply with the reporting requirements necessary to permit U.S. Holders to elect to treat us as a QEF. If a U.S. Holder makes a mark-to-market election with respect to its ordinary shares, the U.S. Holder is required to include annually in its U.S. federal taxable income an amount reflecting any year end increase in the value of its ordinary shares. For purposes of this discussion, a “U.S. Holder” is a beneficial owner of ordinary shares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w:t>
      </w:r>
    </w:p>
    <w:p>
      <w:pPr>
        <w:spacing w:after="0" w:line="6" w:lineRule="exact"/>
        <w:rPr>
          <w:sz w:val="20"/>
          <w:szCs w:val="20"/>
          <w:color w:val="auto"/>
        </w:rPr>
      </w:pPr>
    </w:p>
    <w:p>
      <w:pPr>
        <w:ind w:right="200" w:firstLine="8"/>
        <w:spacing w:after="0" w:line="255" w:lineRule="auto"/>
        <w:tabs>
          <w:tab w:leader="none" w:pos="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trust (a) if a court within the U.S. can exercise primary supervision over its administration, and one or more U.S. persons have the authority to control all of the substantial decisions of that trust, or (b) that was in existence on August 20, 1996, and validly elected under applicable Treasury Regulations to continue to be treated as a domestic trust.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consult their own tax advisors regarding all aspects of the application of the PFIC rules to the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 taxes may differ from the tax laws of other jurisdictions.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Prospective investors should consult their tax advisors concerning the overall tax consequences of purchasing, owning and disposing of our shares. Singapore tax law may differ from the tax laws of other jurisdictions, including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unanticipated tax liabilities.</w:t>
      </w:r>
    </w:p>
    <w:p>
      <w:pPr>
        <w:spacing w:after="0" w:line="11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are incorporated under the laws of Singapore. We are, however, subject to income, withholding or other taxes in certain jurisdictions by reason of our activities and operations, and it is also possible that taxing authorities in any such jurisdictions could assert that we are subject to greater taxation than we currently anticipate. Any such non-Singaporean tax liability could materially adversely affect our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Taxing authorities could challenge the allocation of income and deductions among our subsidiaries, which could increase our overall tax liability.</w:t>
      </w:r>
    </w:p>
    <w:p>
      <w:pPr>
        <w:spacing w:after="0" w:line="14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are organized in Singapore, and we currently have subsidiaries in the United States, Japan, the United Kingdom, and Ireland. As we grow our business, we expect to conduct increased operations through our subsidiaries in various jurisdictions. If two or more affiliated companies are located in different jurisdictions, the tax laws or regulations of each country generally will require transactions between those affiliated companies to be conducted on terms consistent with those between unrelated companies dealing at arms’ length, and appropriate documentation generally must be maintained to support the transfer prices. We maintain our transfer pricing policies to be compliant with applicable transfer pricing laws, but our transfer pricing procedures are not binding on applicable tax authorities.</w:t>
      </w:r>
    </w:p>
    <w:p>
      <w:pPr>
        <w:spacing w:after="0" w:line="19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tax authorities were to successfully challenge our transfer pricing, there could be an increase in our overall tax liability, which could adversely affect our financial condition, results of operations and cash flows. In addition, the tax laws in the jurisdictions in which we operate are subject to differing interpretations. Tax authorities may challenge our tax positions, and if successful, such challenges could increase our overall tax liability. In addition, the tax laws in the jurisdictions in which we operate are subject to change. We cannot predict the timing or content of such potential changes, and such changes could increase our overall tax liability, which could adversely affect our financial condition, results of operations and cash flows.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public market for our ordinary shares may not be liquid enough for our shareholders to sell their ordinary shares quickly or at market price, or at all.</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the completion of our initial public offering, there was no public market for our ordinary shares. An active trading market for our shares may not develop or be maintained and our shareholders may not be able to sell their ordinary shares quickly or at the market price, or at all. Our executive officers, our directors and their respective affiliates, and our other significant shareholders beneficially own a significant portion of our outstanding ordinary shares, and therefore, liquidity in our ordinary shares is limited. Due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ind w:right="20"/>
        <w:spacing w:after="0" w:line="264" w:lineRule="auto"/>
        <w:rPr>
          <w:sz w:val="20"/>
          <w:szCs w:val="20"/>
          <w:color w:val="auto"/>
        </w:rPr>
      </w:pPr>
      <w:r>
        <w:rPr>
          <w:rFonts w:ascii="Arial" w:cs="Arial" w:eastAsia="Arial" w:hAnsi="Arial"/>
          <w:sz w:val="18"/>
          <w:szCs w:val="18"/>
          <w:color w:val="auto"/>
        </w:rPr>
        <w:t>to the limited liquidity in our ordinary shares, relatively small orders can have a disproportionate impact on the trading price of our shares. Further, the limited liquidity in our ordinary shares may also impair our ability to raise capital by conducting offerings of our ordinary shares and may impair our ability to enter into strategic partnerships or acquire companies or products by using our ordinary shares as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is likely to be highly volatile, and our shareholders may lose some or all of their investment.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market price of our ordinary shares is likely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our ordinary shares, regardless of our operating performance, and can cause our shareholders to lose some or all of their investment in the Company.</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incur significant costs due to operating as a public company, and our management is required to devote substantial time to compliance initiatives.</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a public company, we incur significant legal, accounting and other expenses. We are subject to the reporting and other requirements of the Securities Exchange Act of 1934, as amended, or the Exchange Act, the Sarbanes-Oxley Act of 2002, or the Sarbanes-Oxley Act, and the Dodd-Frank Wall Street Reform and Protection Act, as well as rules subsequently adopted by the SEC and the Nasdaq Stock Market. These rules and regulations require, among other things, that we file annual, quarterly and current reports with respect to our business and financial condition and establish and maintain effective disclosure and financial controls and corporate governance practices. We expect that compliance with these rules and regulations will continue to substantially increase our legal and financial compliance costs and will make some activities more time-consuming and costly, particularly after we are no longer an “emerging growth company,” as defined in the Jumpstart Our Business Startups Act of 2012 (“the JOBS Act”). Our management and other personnel will devote a substantial amount of time to these compliance requirements.</w:t>
      </w:r>
    </w:p>
    <w:p>
      <w:pPr>
        <w:spacing w:after="0" w:line="287"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We may take advantage of specified reduced disclosure requirements applicable to an “emerging growth company” under the JOBS Act, and the information that we provide to shareholders may be different than they might receive from other public companies.</w:t>
      </w:r>
    </w:p>
    <w:p>
      <w:pPr>
        <w:spacing w:after="0" w:line="3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We are an “emerging growth company,” as defined under the JOBS Act. As an emerging growth company, we may take advantage of specified reduced disclosure and other requirements that are otherwise applicable generally to public companies. These provisions include:</w:t>
      </w:r>
    </w:p>
    <w:p>
      <w:pPr>
        <w:spacing w:after="0" w:line="38" w:lineRule="exact"/>
        <w:rPr>
          <w:sz w:val="20"/>
          <w:szCs w:val="20"/>
          <w:color w:val="auto"/>
        </w:rPr>
      </w:pPr>
    </w:p>
    <w:p>
      <w:pPr>
        <w:ind w:left="1160" w:hanging="51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non-binding advisory votes on executive compensation or golden parachute arrangements.</w:t>
      </w:r>
    </w:p>
    <w:p>
      <w:pPr>
        <w:spacing w:after="0" w:line="117" w:lineRule="exact"/>
        <w:rPr>
          <w:rFonts w:ascii="Arial" w:cs="Arial" w:eastAsia="Arial" w:hAnsi="Arial"/>
          <w:sz w:val="18"/>
          <w:szCs w:val="18"/>
          <w:color w:val="auto"/>
        </w:rPr>
      </w:pPr>
    </w:p>
    <w:p>
      <w:pPr>
        <w:ind w:left="1160" w:hanging="51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intend to continue to take advantage of certain of the exemptions provided under the JOBS Act. We may continue to take advantage of exemptions under the JOBS Act until December 31, 2020 or such earlier time that we are no longer an emerging growth company. We would cease to be an emerging growth company if we have more than $1 billion in annual revenues, we have more than $700 million in market value of our shares held by non-affiliates as of the last business day of our second fiscal quarter, or we issue more than $1 billion of non-convertible debt over a three-year period. We may choose to take advantage of some but not all of these reduced burdens. Therefore, the information that we provide shareholders may be different than one might get from other public companies. Further, if some investors find our ordinary shares less attractive as a result, there may be a less active trading market for our ordinary shares and the market price of our ordinary shares may be more volatile.</w:t>
      </w:r>
    </w:p>
    <w:p>
      <w:pPr>
        <w:spacing w:after="0" w:line="28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Based on information publicly available to us as of December 31, 2017, our executive officers, our directors and their respective affiliates, and our other significant shareholders beneficially own a significant portion of our outstanding ordinary shares.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the interests of our other shareholders.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6" w:name="page77"/>
    <w:bookmarkEnd w:id="76"/>
    <w:p>
      <w:pPr>
        <w:ind w:right="220"/>
        <w:spacing w:after="0" w:line="277" w:lineRule="auto"/>
        <w:rPr>
          <w:sz w:val="20"/>
          <w:szCs w:val="20"/>
          <w:color w:val="auto"/>
        </w:rPr>
      </w:pPr>
      <w:r>
        <w:rPr>
          <w:rFonts w:ascii="Arial" w:cs="Arial" w:eastAsia="Arial" w:hAnsi="Arial"/>
          <w:sz w:val="18"/>
          <w:szCs w:val="18"/>
          <w:color w:val="auto"/>
        </w:rPr>
        <w:t>ordinary shares. The significant concentration of share ownership may adversely affect the trading price of our ordinary shares due to investors’ perception that conflicts of interest may exist or arise.</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estimates and judgments we make, or the assumptions on which we rely, in preparing our consolidated financial statements could prove inaccurate.</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consolidated financial statements have been prepared in accordance with accounting principles generally accepted in the United States of America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For example, our estimates as they relate to anticipated timelines and milestones for our clinical trials or preclinical development may prove to be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harm our business, and cause our share price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on our ordinary shares in the foreseeable future.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our shareholders’ sole source of gain for the foreseeable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share volatility.</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which has experienced significant price and trading volatility have occasionally brought securities class action litigation against the companies that issued the stock.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ordinary shares could cause the price of our ordinary shares to decline.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substantial amounts of our ordinary shares in the public market, or the availability of such shares for sale, by us or others, including the issuance of ordinary shares upon exercise of outstanding options, or the perception that such sales could occur, could adversely affect the price of our ordinary shares. Certain of our shareholders have the right to require us to register the sales of their shares under the Securities Act of 1933, as amended (the “Securities Act”), under agreements between us and such shareholders.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ordinary shares may depend in part on the research and reports that securities or industry analysts publish about us or our business. If too few securities or industry analysts cover our company, the trading price for our ordinary shares would likely be negatively impacted.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7" w:name="page78"/>
    <w:bookmarkEnd w:id="77"/>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our U.S. corporate offices and research and development facilities in Cambridge, Massachusetts, where we occupy approximately 33,750 square feet of office and laboratory space under a lease that expires in March 2023.</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2016, we entered into a lease for approximately 90,000 square feet of space in Lexington, Massachusetts, which we use primarily for our current good manufacturing practice (“cGMP”) manufacturing, as well as for additional laboratory and office space. In addition, we occupy laboratory space in Japan. We believe our existing facilities are adequate to meet our current needs.</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6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77" w:lineRule="auto"/>
        <w:rPr>
          <w:sz w:val="20"/>
          <w:szCs w:val="20"/>
          <w:color w:val="auto"/>
        </w:rPr>
      </w:pPr>
      <w:r>
        <w:rPr>
          <w:rFonts w:ascii="Arial" w:cs="Arial" w:eastAsia="Arial" w:hAnsi="Arial"/>
          <w:sz w:val="18"/>
          <w:szCs w:val="18"/>
          <w:color w:val="auto"/>
        </w:rPr>
        <w:t>Our ordinary shares are traded on the Nasdaq Global Market under the symbol “WVE.” The following table sets forth, for the periods indicated, the high and low sales prices for our ordinary shares, as reported by Nasdaq:</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Low</w:t>
            </w:r>
          </w:p>
        </w:tc>
      </w:tr>
      <w:tr>
        <w:trPr>
          <w:trHeight w:val="26"/>
        </w:trPr>
        <w:tc>
          <w:tcPr>
            <w:tcW w:w="3120" w:type="dxa"/>
            <w:vAlign w:val="bottom"/>
            <w:tcBorders>
              <w:bottom w:val="single" w:sz="8" w:color="CFF0FC"/>
            </w:tcBorders>
          </w:tcPr>
          <w:p>
            <w:pPr>
              <w:spacing w:after="0"/>
              <w:rPr>
                <w:sz w:val="2"/>
                <w:szCs w:val="2"/>
                <w:color w:val="auto"/>
              </w:rPr>
            </w:pPr>
          </w:p>
        </w:tc>
        <w:tc>
          <w:tcPr>
            <w:tcW w:w="15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5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First Quarter 2016</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21.4899</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Second Quarter 2016</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23.059</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6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Third Quarter 2016</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37.30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17.41</w:t>
            </w:r>
          </w:p>
        </w:tc>
        <w:tc>
          <w:tcPr>
            <w:tcW w:w="6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Fourth Quarter 2016</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6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2017</w:t>
            </w: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First Quarter 2017</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24.975</w:t>
            </w:r>
          </w:p>
        </w:tc>
        <w:tc>
          <w:tcPr>
            <w:tcW w:w="6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Second Quarter 2017</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27.85</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18.50</w:t>
            </w:r>
          </w:p>
        </w:tc>
        <w:tc>
          <w:tcPr>
            <w:tcW w:w="6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Third Quarter 2017</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6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Fourth Quarter 2017</w:t>
            </w: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39.70</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1, 2018, there were approximately 12 shareholders of record of our ordinary shares.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share performance graph compares our total share return with the total return for (i) the Nasdaq Composite Index and (ii) the Nasdaq Biotechnology Index for the period from November 11, 2015 (the date our ordinary shares commenced trading on the Nasdaq Global Market) through December 31, 2017. The figures represented below assume an investment of $100.00 in our ordinary shares at the closing price of $16.00 on November 11, 2015 and in the Nasdaq Composite Index and the Nasdaq Biotechnology Index on November 11, 2015 and the reinvestment of dividends, if any,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128905</wp:posOffset>
            </wp:positionV>
            <wp:extent cx="6054725" cy="4244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5472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never declared or paid any dividends on our ordinary shares. We currently anticipate that we will retain any future earnings for the operation and expansion of our business. Accordingly, we do not currently anticipate declaring or paying any cash dividends on our ordinary shares for the foreseeable future. Any future determination relating to our dividend policy will be made at the discretion of our board of directors and will depend on then existing conditions, including our financial condition, results of operations, contractual restrictions (including in the agreements governing our credit facilities), capital requirements, business prospects and other factors our board of directors may deem relevant. We may, by ordinary resolution, declare dividends at a general meeting of shareholders, but we are restricted from paying dividends in excess of the amount recommended by our board of directors. In addition, pursuant to Singapore law and our constitution, no dividends may be paid except out of our profits.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1" w:name="page82"/>
    <w:bookmarkEnd w:id="81"/>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following tables set forth our selected consolidated financial data for the periods and as of the dates indicated. The statement of operations data for the years ended December 31, 2017, 2016 and 2015 and the balance sheet data as of December 31, 2017 and 2016 are derived from our audited consolidated financial statements included elsewhere in this Annual Report on Form 10-K. The statement of operations data for the years ended December 31, 2014 and 2013 and the balance sheet data as of December 31, 2015, 2014 and 2013 are derived from our audited consolidated financial statements that are not included in this Annual Report on Form 10-K, which financial statements have been audited by KPMG LLP, our independent registered accounting firm.</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historical results are not necessarily indicative of the results to be expected in the future. You should read the selected financial data below in conjunction with the section of this report entitled “Management’s Discussion and Analysis of Financial Condition and Results of Operations” and our consolidated financial statements and the related notes thereto included elsewhere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91"/>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0" w:type="dxa"/>
            <w:vAlign w:val="bottom"/>
            <w:gridSpan w:val="8"/>
          </w:tcPr>
          <w:p>
            <w:pPr>
              <w:jc w:val="center"/>
              <w:ind w:left="452"/>
              <w:spacing w:after="0" w:line="155" w:lineRule="exact"/>
              <w:rPr>
                <w:sz w:val="20"/>
                <w:szCs w:val="20"/>
                <w:color w:val="auto"/>
              </w:rPr>
            </w:pPr>
            <w:r>
              <w:rPr>
                <w:rFonts w:ascii="Arial" w:cs="Arial" w:eastAsia="Arial" w:hAnsi="Arial"/>
                <w:sz w:val="14"/>
                <w:szCs w:val="14"/>
                <w:color w:val="auto"/>
                <w:w w:val="90"/>
              </w:rPr>
              <w:t>(in thousands except share and per share data)</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(55,327)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(102,035)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ordinary</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shareholders—basic and diluted</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(3.85)</w:t>
            </w: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w:t>
            </w:r>
          </w:p>
        </w:tc>
        <w:tc>
          <w:tcPr>
            <w:tcW w:w="4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50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ordinary shares used in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Arial" w:cs="Arial" w:eastAsia="Arial" w:hAnsi="Arial"/>
                <w:sz w:val="18"/>
                <w:szCs w:val="18"/>
                <w:color w:val="auto"/>
              </w:rPr>
              <w:t>computing net loss per share attributable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40"/>
              <w:spacing w:after="0"/>
              <w:rPr>
                <w:sz w:val="20"/>
                <w:szCs w:val="20"/>
                <w:color w:val="auto"/>
              </w:rPr>
            </w:pPr>
            <w:r>
              <w:rPr>
                <w:rFonts w:ascii="Arial" w:cs="Arial" w:eastAsia="Arial" w:hAnsi="Arial"/>
                <w:sz w:val="18"/>
                <w:szCs w:val="18"/>
                <w:color w:val="auto"/>
              </w:rPr>
              <w:t>to ordinary shareholders—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26,513,382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22,800,628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10,501,455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3,911,556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included elsewhere in this Annual Report on Form 10-K for further details on the calculation of net loss per share attributable to ordinary shareholders, basic and diluted.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6"/>
              <w:spacing w:after="0" w:line="155"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196"/>
              <w:spacing w:after="0" w:line="155" w:lineRule="exact"/>
              <w:rPr>
                <w:sz w:val="20"/>
                <w:szCs w:val="20"/>
                <w:color w:val="auto"/>
              </w:rPr>
            </w:pPr>
            <w:r>
              <w:rPr>
                <w:rFonts w:ascii="Arial" w:cs="Arial" w:eastAsia="Arial" w:hAnsi="Arial"/>
                <w:sz w:val="14"/>
                <w:szCs w:val="14"/>
                <w:color w:val="auto"/>
                <w:w w:val="99"/>
              </w:rPr>
              <w:t>(in thousands)</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142,503</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150,293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161,220</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1,048</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130,867</w:t>
            </w:r>
          </w:p>
        </w:tc>
        <w:tc>
          <w:tcPr>
            <w:tcW w:w="4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139,835</w:t>
            </w:r>
          </w:p>
        </w:tc>
        <w:tc>
          <w:tcPr>
            <w:tcW w:w="26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157,566</w:t>
            </w:r>
          </w:p>
        </w:tc>
        <w:tc>
          <w:tcPr>
            <w:tcW w:w="4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605</w:t>
            </w:r>
          </w:p>
        </w:tc>
        <w:tc>
          <w:tcPr>
            <w:tcW w:w="4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(9,270)</w:t>
            </w:r>
          </w:p>
        </w:tc>
        <w:tc>
          <w:tcPr>
            <w:tcW w:w="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181,843</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164,811</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165,424</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2,938</w:t>
            </w: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34,155</w:t>
            </w:r>
          </w:p>
        </w:tc>
        <w:tc>
          <w:tcPr>
            <w:tcW w:w="4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22,074</w:t>
            </w:r>
          </w:p>
        </w:tc>
        <w:tc>
          <w:tcPr>
            <w:tcW w:w="26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4,059</w:t>
            </w:r>
          </w:p>
        </w:tc>
        <w:tc>
          <w:tcPr>
            <w:tcW w:w="40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911</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7,874</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7,874</w:t>
            </w:r>
          </w:p>
        </w:tc>
        <w:tc>
          <w:tcPr>
            <w:tcW w:w="4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Total shareholders’ equity (deficit)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139,814</w:t>
            </w:r>
          </w:p>
        </w:tc>
        <w:tc>
          <w:tcPr>
            <w:tcW w:w="44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134,863</w:t>
            </w:r>
          </w:p>
        </w:tc>
        <w:tc>
          <w:tcPr>
            <w:tcW w:w="260" w:type="dxa"/>
            <w:vAlign w:val="bottom"/>
          </w:tcPr>
          <w:p>
            <w:pPr>
              <w:spacing w:after="0"/>
              <w:rPr>
                <w:sz w:val="20"/>
                <w:szCs w:val="20"/>
                <w:color w:val="auto"/>
              </w:rPr>
            </w:pPr>
          </w:p>
        </w:tc>
        <w:tc>
          <w:tcPr>
            <w:tcW w:w="1180" w:type="dxa"/>
            <w:vAlign w:val="bottom"/>
          </w:tcPr>
          <w:p>
            <w:pPr>
              <w:jc w:val="right"/>
              <w:ind w:right="56"/>
              <w:spacing w:after="0"/>
              <w:rPr>
                <w:sz w:val="20"/>
                <w:szCs w:val="20"/>
                <w:color w:val="auto"/>
              </w:rPr>
            </w:pPr>
            <w:r>
              <w:rPr>
                <w:rFonts w:ascii="Arial" w:cs="Arial" w:eastAsia="Arial" w:hAnsi="Arial"/>
                <w:sz w:val="18"/>
                <w:szCs w:val="18"/>
                <w:color w:val="auto"/>
              </w:rPr>
              <w:t>153,491</w:t>
            </w:r>
          </w:p>
        </w:tc>
        <w:tc>
          <w:tcPr>
            <w:tcW w:w="40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2,027</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(7,762)</w:t>
            </w:r>
          </w:p>
        </w:tc>
        <w:tc>
          <w:tcPr>
            <w:tcW w:w="20" w:type="dxa"/>
            <w:vAlign w:val="bottom"/>
          </w:tcPr>
          <w:p>
            <w:pPr>
              <w:spacing w:after="0"/>
              <w:rPr>
                <w:sz w:val="20"/>
                <w:szCs w:val="20"/>
                <w:color w:val="auto"/>
              </w:rPr>
            </w:pPr>
          </w:p>
        </w:tc>
      </w:tr>
      <w:tr>
        <w:trPr>
          <w:trHeight w:val="864"/>
        </w:trPr>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2" w:name="page83"/>
    <w:bookmarkEnd w:id="82"/>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 biotechnology company with an innovative and proprietary synthetic chemistry drug development platform that we are using to rationally design, develop and commercialize a broad pipeline of first-in-class or best-in-class nucleic acid therapeutic candidates for genetically defined diseases. Nucleic acid therapeutics are a growing and innovative class of drugs that have the potential to address diseases that have historically been difficult to treat with small molecule drugs or biologics. Nucleic acid therapeutics, or oligonucleotides, are comprised of a sequence of nucleotides that are linked together by a backbone of chemical bonds. We are initially developing oligonucleotides that target genetic defects to either reduce the expression of disease-promoting proteins or transform the production of dysfunctional mutant proteins into the production of functional proteins.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Our goal is to develop and commercialize disease-modifying drugs for indications with a high degree of unmet medical need in genetically defined diseases. We are focused on designing single-stranded nucleic acid therapeutics that can distribute broadly within the human body, allowing us to target diseases across multiple organ systems and tissues, through both systemic and local administration. Our initial focus for our clinical development programs is in neurology, which we broadly define as genetic diseases within the central nervous system (“CNS”) and neuromuscular system. We have initiated clinical trials of our two lead programs in Huntington’s disease (“HD”) and our lead program in Duchenne muscular dystrophy (“DMD”) targeting exon 51. In 2018, we expect to initiate three additional development programs, targeting exon 53 in DMD and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in amyotrophic lateral sclerosis (“ALS”) and frontotemporal dementia (“FTD”). In addition to neurology, we continue to advance discovery research in ophthalmologic and hepatic diseases. We are also leveraging our platform to explore the next generation of stereopure nucleic acid therapeutics that have the potential to selectively target certain cell types. We believe that we are well positioned to achieve our goals and attain our objective of becoming a fully integrated biotechnology company because our team is comprised of leaders in the field of nucleic acid therapeutics, including world renowned scientists, leading researchers and executives with proven track records in drug discovery, development and commercialization of innovative therapeutics.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regarding our programs are set forth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 CNS</w:t>
      </w:r>
    </w:p>
    <w:p>
      <w:pPr>
        <w:spacing w:after="0" w:line="117" w:lineRule="exact"/>
        <w:rPr>
          <w:sz w:val="20"/>
          <w:szCs w:val="20"/>
          <w:color w:val="auto"/>
        </w:rPr>
      </w:pPr>
    </w:p>
    <w:p>
      <w:pPr>
        <w:ind w:left="620" w:right="20" w:hanging="504"/>
        <w:spacing w:after="0" w:line="255" w:lineRule="auto"/>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HD, we are advancing two separate programs, WVE-120101 and WVE-120102, each targeting a disease-associated single nucleotide polymorphism (“SNP”) within the huntingtin gene (“HTT”): rs362307 (“HTT SNP1”) and rs362331 (“HTT SNP2”), respectively. SNPs are naturally occurring variations within a given genetic sequence and in certain instances can be used to distinguish between two related copies of a gene where only one is associated with the expression of a disease-causing protein. We have shown that by targeting HTT SNP1 and HTT SNP2 in preclinical models, the production of disease-causing proteins associated with HD can be reduced. In July 2017, we initiated PRECISION-HD1 and PRECISION-HD2, global Phase 1b/2a clinical trials for WVE-120101 and WVE-120102, respectively. We expect top-line data from these trials in H1 2019.</w:t>
      </w:r>
    </w:p>
    <w:p>
      <w:pPr>
        <w:spacing w:after="0" w:line="81" w:lineRule="exact"/>
        <w:rPr>
          <w:rFonts w:ascii="Arial" w:cs="Arial" w:eastAsia="Arial" w:hAnsi="Arial"/>
          <w:sz w:val="18"/>
          <w:szCs w:val="18"/>
          <w:color w:val="auto"/>
        </w:rPr>
      </w:pPr>
    </w:p>
    <w:p>
      <w:pPr>
        <w:ind w:left="620" w:right="320" w:hanging="504"/>
        <w:spacing w:after="0" w:line="312"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ALS and FTD, we are advancing WVE-3972-01, which targets the transcript containing the GGGGCC (“G4C2”) expansion in the C9ORF72 gene. The G4C2 expansion in the C9ORF72 gene is the most common cause of familial ALS and FTD and is a strong genetic risk factor for non-inherited (sporadic) forms of ALS and FTD. We expect to initiate clinical trials of WVE-3972-01 in ALS and FTD in Q4 2018.</w:t>
      </w:r>
    </w:p>
    <w:p>
      <w:pPr>
        <w:spacing w:after="0" w:line="38" w:lineRule="exact"/>
        <w:rPr>
          <w:rFonts w:ascii="Arial" w:cs="Arial" w:eastAsia="Arial" w:hAnsi="Arial"/>
          <w:sz w:val="16"/>
          <w:szCs w:val="16"/>
          <w:color w:val="auto"/>
        </w:rPr>
      </w:pPr>
    </w:p>
    <w:p>
      <w:pPr>
        <w:ind w:left="620" w:hanging="504"/>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SCA3, we expect to have a candidate targeting ATXN3 identified by the end of 2018.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Neurology: Muscle</w:t>
      </w:r>
    </w:p>
    <w:p>
      <w:pPr>
        <w:spacing w:after="0" w:line="117" w:lineRule="exact"/>
        <w:rPr>
          <w:sz w:val="20"/>
          <w:szCs w:val="20"/>
          <w:color w:val="auto"/>
        </w:rPr>
      </w:pPr>
    </w:p>
    <w:p>
      <w:pPr>
        <w:ind w:left="620" w:right="140" w:hanging="504"/>
        <w:spacing w:after="0" w:line="259"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DMD, we are advancing WVE-210201, which targets exon 51, a region within the precursor messenger RNA (“pre-mRNA”) that is transcribed from the </w:t>
      </w:r>
      <w:r>
        <w:rPr>
          <w:rFonts w:ascii="Arial" w:cs="Arial" w:eastAsia="Arial" w:hAnsi="Arial"/>
          <w:sz w:val="18"/>
          <w:szCs w:val="18"/>
          <w:i w:val="1"/>
          <w:iCs w:val="1"/>
          <w:color w:val="auto"/>
        </w:rPr>
        <w:t>dystrophin</w:t>
      </w:r>
      <w:r>
        <w:rPr>
          <w:rFonts w:ascii="Arial" w:cs="Arial" w:eastAsia="Arial" w:hAnsi="Arial"/>
          <w:sz w:val="18"/>
          <w:szCs w:val="18"/>
          <w:color w:val="auto"/>
        </w:rPr>
        <w:t xml:space="preserve"> gene (also referred to as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DMD is a genetic disorder caused by mutations in the </w:t>
      </w:r>
      <w:r>
        <w:rPr>
          <w:rFonts w:ascii="Arial" w:cs="Arial" w:eastAsia="Arial" w:hAnsi="Arial"/>
          <w:sz w:val="18"/>
          <w:szCs w:val="18"/>
          <w:i w:val="1"/>
          <w:iCs w:val="1"/>
          <w:color w:val="auto"/>
        </w:rPr>
        <w:t>DMD</w:t>
      </w:r>
      <w:r>
        <w:rPr>
          <w:rFonts w:ascii="Arial" w:cs="Arial" w:eastAsia="Arial" w:hAnsi="Arial"/>
          <w:sz w:val="18"/>
          <w:szCs w:val="18"/>
          <w:color w:val="auto"/>
        </w:rPr>
        <w:t xml:space="preserve"> gene that results in dysfunctional dystrophin protein. In November 2017, we initiated a global Phase 1 clinical trial of WVE-210201 administered intravenously. Safety data from the Phase 1 clinical trial are anticipated in Q3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ind w:left="620" w:right="100" w:hanging="504"/>
        <w:spacing w:after="0" w:line="26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We also are advancing programs targeting additional </w:t>
      </w:r>
      <w:r>
        <w:rPr>
          <w:rFonts w:ascii="Arial" w:cs="Arial" w:eastAsia="Arial" w:hAnsi="Arial"/>
          <w:sz w:val="18"/>
          <w:szCs w:val="18"/>
          <w:i w:val="1"/>
          <w:iCs w:val="1"/>
          <w:color w:val="auto"/>
        </w:rPr>
        <w:t>DMD</w:t>
      </w:r>
      <w:r>
        <w:rPr>
          <w:rFonts w:ascii="Arial" w:cs="Arial" w:eastAsia="Arial" w:hAnsi="Arial"/>
          <w:sz w:val="18"/>
          <w:szCs w:val="18"/>
          <w:color w:val="auto"/>
        </w:rPr>
        <w:t xml:space="preserve"> exons. In September 2017, we announced that our next DMD development program will target exon 53, and we expect to initiate clinical trials in Q1 2019. In addition, we are exploring subcutaneous administration for all of our DMD programs.</w:t>
      </w:r>
    </w:p>
    <w:p>
      <w:pPr>
        <w:spacing w:after="0" w:line="73" w:lineRule="exact"/>
        <w:rPr>
          <w:rFonts w:ascii="Arial" w:cs="Arial" w:eastAsia="Arial" w:hAnsi="Arial"/>
          <w:sz w:val="18"/>
          <w:szCs w:val="18"/>
          <w:color w:val="auto"/>
        </w:rPr>
      </w:pPr>
    </w:p>
    <w:p>
      <w:pPr>
        <w:ind w:left="620" w:hanging="504"/>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initiated research to identify potential targets for additional neuromuscular diseases.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Ophthalmology</w:t>
      </w:r>
    </w:p>
    <w:p>
      <w:pPr>
        <w:spacing w:after="0" w:line="117" w:lineRule="exact"/>
        <w:rPr>
          <w:sz w:val="20"/>
          <w:szCs w:val="20"/>
          <w:color w:val="auto"/>
        </w:rPr>
      </w:pPr>
    </w:p>
    <w:p>
      <w:pPr>
        <w:ind w:left="620" w:right="40" w:hanging="504"/>
        <w:spacing w:after="0" w:line="259"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In genetic ophthalmologic diseases, we have conducted preclinical research into the development of stereopure compounds and tested the hypothesis that controlling the chirality of PS linkages in the backbones of oligonucleotides will provide benefits in potency, distribution and duration of effect in the eye. In these studies, we have employed </w:t>
      </w:r>
      <w:r>
        <w:rPr>
          <w:rFonts w:ascii="Arial" w:cs="Arial" w:eastAsia="Arial" w:hAnsi="Arial"/>
          <w:sz w:val="18"/>
          <w:szCs w:val="18"/>
          <w:i w:val="1"/>
          <w:iCs w:val="1"/>
          <w:color w:val="auto"/>
        </w:rPr>
        <w:t>MALAT1</w:t>
      </w:r>
      <w:r>
        <w:rPr>
          <w:rFonts w:ascii="Arial" w:cs="Arial" w:eastAsia="Arial" w:hAnsi="Arial"/>
          <w:sz w:val="18"/>
          <w:szCs w:val="18"/>
          <w:color w:val="auto"/>
        </w:rPr>
        <w:t xml:space="preserve"> as a surrogate target. We have evaluated lead stereopure oligonucleotides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following single intravitreal injection in mouse and non-human primate (“NHP”) eyes.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Hepatic</w:t>
      </w:r>
    </w:p>
    <w:p>
      <w:pPr>
        <w:spacing w:after="0" w:line="117" w:lineRule="exact"/>
        <w:rPr>
          <w:sz w:val="20"/>
          <w:szCs w:val="20"/>
          <w:color w:val="auto"/>
        </w:rPr>
      </w:pPr>
    </w:p>
    <w:p>
      <w:pPr>
        <w:ind w:left="620" w:hanging="504"/>
        <w:spacing w:after="0" w:line="255"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are collaborating with Pfizer to advance genetically defined targets for the treatment of metabolic diseases, bringing together our proprietary drug development platform across antisense and single-stranded RNAi modalities, along with GalNAc and Pfizer’s hepatic targeting technology for delivery to the liver. Under the terms of the agreement, Pfizer may select, and we will advance, up to five targets from discovery through the selection of clinical candidates, at which point Pfizer may elect to exclusively license the programs and undertake further development and potential commercialization. Two targets were declared upon initiation of the agreement, including Apolipoprotein C-III (“APOC3”). In Q3 2016, Pfizer nominated its third target. Per the terms of the agreement amended in November 2017, Pfizer is entitled to nominate up to two additional targets by May 2018.</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never been profitable, and since our inception, we have incurred significant operating losses. Our net losses were $102.0 million in 2017, $55.4 million in 2016, and $19.2 million in 2015. As of December 31, 2017 and 2016, we had an accumulated deficit of $192.5 million and $90.5 million, respectively. We expect to incur significant expenses and increasing operating losses for the foreseeable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February 2018, we entered into a global strategic collaboration (the “Takeda Collaboration”) that provides Takeda Pharmaceutical Company Limited (“Takeda”) with the option to co-develop and co-commercialize our CNS development programs in HD, ALS and FTD, as well as a discovery-stage program targeting ATXN3 for the treatment of spinocerebellar ataxia type 3 (“SCA3”). In addition, Takeda has the right to license multiple preclinical programs for CNS indications including Alzheimer’s disease (“AD”) and Parkinson’s disease (“PD”). Subject to customary closing conditions, including the expiration or early termination of the applicable waiting period under the Hart-Scott-Rodino Antitrust Improvements Act of 1976 (the “HSR Act”), the Takeda Collaboration is expected to become effective during Q1 2018. A description of the Takeda Collaboration is included under “</w:t>
      </w:r>
      <w:r>
        <w:rPr>
          <w:rFonts w:ascii="Arial" w:cs="Arial" w:eastAsia="Arial" w:hAnsi="Arial"/>
          <w:sz w:val="18"/>
          <w:szCs w:val="18"/>
          <w:i w:val="1"/>
          <w:iCs w:val="1"/>
          <w:color w:val="auto"/>
        </w:rPr>
        <w:t>Business – Licensing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 and Research Collaborations – Our Partnerships.”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not generated any product revenue since our inception and do not expect to generate any revenue from the sale of products for the foreseeable future. Our revenue during the years ended December 31, 2017 and 2016 represented revenue earned under the Pfizer Collaboration Agreement that we entered into in May 2016. Our revenue during the year ended December 31, 2015 consisted of a payment received for research and development services under an agreement that was terminated in May 2015. Except as described above, we are not a party to any other license or collaboration agreements that have generated revenue as of December 31,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since inception have consisted primarily of research and development costs and general and administrative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40" w:right="1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compensation-related expenses, including employee salaries, bonuses, share-based compensation expense and other related benefits expenses for personnel in our research and development organization;</w:t>
      </w:r>
    </w:p>
    <w:p>
      <w:pPr>
        <w:spacing w:after="0" w:line="62" w:lineRule="exact"/>
        <w:rPr>
          <w:rFonts w:ascii="Arial" w:cs="Arial" w:eastAsia="Arial" w:hAnsi="Arial"/>
          <w:sz w:val="18"/>
          <w:szCs w:val="18"/>
          <w:color w:val="auto"/>
        </w:rPr>
      </w:pPr>
    </w:p>
    <w:p>
      <w:pPr>
        <w:jc w:val="both"/>
        <w:ind w:left="1040" w:right="240" w:hanging="519"/>
        <w:spacing w:after="0" w:line="264"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that conduct research, preclinical and clinical activities on our behalf, as well as contract manufacturing organizations (“CMOs”) that manufacture drug product for use in our preclinical and clinical trials;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related to our internal manufacturing of drug product for use in our preclinical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of third-party consultants, including fees, share based-compensation and certain travel expenses;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sponsored research, which includes laboratory supplies and facility-related expenses, including rent, maintenance and other operating costs;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166"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Our primary research and development focus since inception has been the development of our innovative and proprietary synthetic chemistry drug development platform. We are using our platform to design, develop and commercialize a broad pipeline of nucleic acid therapeutic candidates.</w:t>
      </w:r>
    </w:p>
    <w:p>
      <w:pPr>
        <w:spacing w:after="0" w:line="12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direct research and development expenses consist primarily of direct expenses related to our CROs, CMOs, consultants, other external vendors and fees paid to global regulatory agencies, in addition to compensation-related expenses, facility-related expenses and other general operating expenses. These expenses are incurred in connection with research and development efforts and our preclinical and clinical studies. We track certain external expenses on a program-by-program basis, however, we do not allocate the cost of sponsored research on a program-by-program basis, because these costs are deployed across multiple product programs under research and development and, as such, are classified as costs of our research. The cost of sponsored research includes compensation-related expenses, laboratory supplies, equipment repairs and maintenance, facility-related expenses and other operating costs. This cost is included in the “Other discovery programs, platform development and identification of potential drug discovery candidates” category.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table below summarizes our research and development expenses incurred for the years ended December 31, 2017, 2016 and 2015.</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jc w:val="center"/>
              <w:ind w:left="153"/>
              <w:spacing w:after="0"/>
              <w:rPr>
                <w:sz w:val="20"/>
                <w:szCs w:val="20"/>
                <w:color w:val="auto"/>
              </w:rPr>
            </w:pPr>
            <w:r>
              <w:rPr>
                <w:rFonts w:ascii="Arial" w:cs="Arial" w:eastAsia="Arial" w:hAnsi="Arial"/>
                <w:sz w:val="14"/>
                <w:szCs w:val="14"/>
                <w:b w:val="1"/>
                <w:bCs w:val="1"/>
                <w:color w:val="auto"/>
                <w:w w:val="93"/>
              </w:rPr>
              <w:t>For the Year Ended December 31,</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5"/>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4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35"/>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HD programs</w:t>
            </w:r>
          </w:p>
        </w:tc>
        <w:tc>
          <w:tcPr>
            <w:tcW w:w="1560" w:type="dxa"/>
            <w:vAlign w:val="bottom"/>
            <w:gridSpan w:val="2"/>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8,968</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5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DMD programs</w:t>
            </w: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13,762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500" w:type="dxa"/>
            <w:vAlign w:val="bottom"/>
          </w:tcPr>
          <w:p>
            <w:pPr>
              <w:spacing w:after="0"/>
              <w:rPr>
                <w:sz w:val="20"/>
                <w:szCs w:val="20"/>
                <w:color w:val="auto"/>
              </w:rPr>
            </w:pPr>
            <w:r>
              <w:rPr>
                <w:rFonts w:ascii="Arial" w:cs="Arial" w:eastAsia="Arial" w:hAnsi="Arial"/>
                <w:sz w:val="18"/>
                <w:szCs w:val="18"/>
                <w:color w:val="auto"/>
              </w:rPr>
              <w:t>Other discovery programs, platform development and</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identification of potential drug discovery candidates</w:t>
            </w:r>
          </w:p>
        </w:tc>
        <w:tc>
          <w:tcPr>
            <w:tcW w:w="62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54,921</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w:t>
            </w:r>
          </w:p>
        </w:tc>
        <w:tc>
          <w:tcPr>
            <w:tcW w:w="24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FF0FC"/>
            </w:tcBorders>
          </w:tcPr>
          <w:p>
            <w:pPr>
              <w:spacing w:after="0"/>
              <w:rPr>
                <w:sz w:val="20"/>
                <w:szCs w:val="20"/>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6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79,309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continue to manage our existing clinical trials, initiate additional clinical trials for certain product candidates, pursue later stages of clinical development for certain product candidates, further develop our manufacturing capabilities and continue to discover and develop additional product candidates in areas including neurology, ophthalmology and hepatic. Additionally, we expect our facility-related expenses to increase related to the lease we entered into in 2016 for space in Lexington, Massachusetts, which we intend to use primarily for our current good manufacturing practices (“cGMP”) manufacturing, as well as for additional laboratory and office space.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General and administrative expenses consist primarily of compensation-related expenses, including salaries, bonuses, share-based compensation and other related benefits costs for personnel in our executive, finance, corporate, legal and administrative functions as well as compensation-related expenses for our board of directors. General and administrative expenses also include legal fees; expenses associated with being a public company; professional fees for accounting, auditing, tax and consulting services; insurance costs; travel expenses; other operating costs; and facility-related expenses.</w:t>
      </w:r>
    </w:p>
    <w:p>
      <w:pPr>
        <w:spacing w:after="0" w:line="15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in the future, primarily due to additional compensation-related expenses, including salaries, benefits, incentive arrangements and share-based compensation awards, as we increase our employee headcount to support the expected growth in our research and development activities and the potential commercialization of our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consists primarily of dividend and interest income earned on cash and cash equivalents balances for the years ended</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December 31, 2017 and 2016, respectively. For the year ended December 31, 2015, other income (expense), net was comprised of interest income earned on cash balances and reimbursement of research and development costs under a research and development grant awarded by the Japanese Ministry of Economy, Trade and Industry.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a Singapore multi-national company subject to taxation in the United States and various other jurisdictions.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2017, 2016 and 2015, our provision for income taxes was $0.7 million, $0.6 million and less than $0.1 million, respectively, on pre-tax loss of $101.3 million, $54.8 million and $19.2 million, respectively. As of December 31, 2017 and 2016, we had U.S. federal research and development tax credit carryforwards of approximately $2.8 million and $0.2 million, respectively, available to offset future U.S. federal income taxes. As of December 31, 2017 and 2016, we had state research and development tax credit carryforwards of approximately $1.1 million and $0.3 million, respectively, available to offset future state income taxes. The U.S. federal and state research and development tax credits will begin to expire in 2032. As of December 31, 2017, we had a U.S. orphan drug credit carryforward of $0.4 million, which will begin to expire in 2037. As of December 31, 2017 and 2016, we had net operating loss carryforwards in Japan of $4.1 million and $5.3 million, respectively, which may be available to offset future income tax liabilities and which will begin to expire in 2021. As of December 31, 2017 and 2016, we also had net operating loss carryforwards in Singapore of $149.2 million and $84.0 million, respectively, which may be available to offset future income tax liabilities and can be carried forward indefinitely. As of December 31, 2017, we also had net operating loss carryforwards in the UK of $10.5 million, which may be available to offset future income tax liabilities and which can be carried forward indefinitely. As of December 31, 2017, we have recorded a full valuation allowance against our net operating loss carryforwards due to uncertainty regarding future taxable income.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spacing w:after="0" w:line="290" w:lineRule="auto"/>
        <w:rPr>
          <w:sz w:val="20"/>
          <w:szCs w:val="20"/>
          <w:color w:val="auto"/>
        </w:rPr>
      </w:pPr>
      <w:r>
        <w:rPr>
          <w:rFonts w:ascii="Arial" w:cs="Arial" w:eastAsia="Arial" w:hAnsi="Arial"/>
          <w:sz w:val="16"/>
          <w:szCs w:val="16"/>
          <w:color w:val="auto"/>
        </w:rPr>
        <w:t>On October 1, 2017, we made changes to our corporate entity operating structure, including transferring our intellectual property from our Japanese subsidiary to our Singapore parent company and from our Singapore parent company to our U.S. and UK subsidiaries, primarily to align our intellectual property holding and management structure with our business functions. The transfer of assets occurred between wholly-owned legal entities within the Wave group that are all based in different tax jurisdictions. As the impact of the transfer was the result of an intra-entity transaction, any resulting gain or loss and immediate tax impact on the transfer is eliminated and not recognized in the consolidated financial statements under U.S. GAAP. The recipient entities will receive a tax benefit associated with the future amortization of the intellectual property received in accordance with the applicable tax laws. As discussed in Note 2 of our consolidated financial statements included elsewhere in this Annual Report on Form 10-K, we will adopt ASU 2016-16 in the first quarter of 2018 and we estimate that there will be a cumulative-effect increase of approximately $0.4 million to our accumulated deficit.</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Tax Cuts and Jobs Act (the “Tax Act”) was enacted on December 22, 2017 and includes significant changes to the U.S. corporate tax system. Effective January 1, 2018, the Tax Act reduced the U.S. federal corporate tax rate from 35% to 21% and transitioned the U.S. federal tax system from a worldwide tax system to a territorial tax system. On December 22, 2017, the SEC issued Staff Accounting Bulletin 118 (“SAB 118”) that provides additional guidance allowing companies to apply a measurement period of up to twelve months to account for the impacts of the Tax Act in our financial statements. As of December 31, 2017, we have accounted for the impacts of the Tax Act to the extent a reasonable estimate could be made. We recognized a $0.8 million provisional charge related to the remeasurement of our deferred tax assets and liabilities, which was included as a component of our provision for income taxes and was fully offset by a corresponding amount in our valuation allowance. We will continue to refine our estimates throughout the measurement period or until the accounting is complete as allowed under SAB 118.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2017 to the Year Ended December 31,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For the Year Ended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(102,580)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(54,785)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Revenue of $3.7 million and $1.5 million for the years ended December 31, 2017 and 2016, respectively, was earned under the Pfizer Collaboration Agreement. This increase is due to the fact that in 2017 there was a full year of revenue earned for all three of the nominated hepatic targets as well as the achievement of a milestone, whereas in 2016 revenue was earned on the first two hepatic targets from May 5, 2016, the effective date of the Pfizer Collaboration Agreement, through December 31, 2016, and revenue was earned on the third hepatic target from its nomination in August 2016 through December 31, 2016.</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research and development expenses incurred for the years ended December 31,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6"/>
              </w:rPr>
              <w:t>For the Year Ended 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1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w w:val="90"/>
              </w:rPr>
              <w:t>(in thousands)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HD programs</w:t>
            </w:r>
          </w:p>
        </w:tc>
        <w:tc>
          <w:tcPr>
            <w:tcW w:w="8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DMD programs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discovery programs, platform development and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identification of potential drug discovery candidates</w:t>
            </w:r>
          </w:p>
        </w:tc>
        <w:tc>
          <w:tcPr>
            <w:tcW w:w="6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54,921</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22,419</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6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$79.3 million for the year ended December 31, 2017, compared to approximately $40.8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The increase of $38.5 million was due primarily to the following:</w:t>
      </w:r>
    </w:p>
    <w:p>
      <w:pPr>
        <w:spacing w:after="0" w:line="103"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$2.8 million in preclinical and clinical external expenses related to our two HD programs;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$11.7 million in preclinical and clinical external expenses related to our DMD programs, mainly driven by activities related to WVE-210201;</w:t>
      </w:r>
    </w:p>
    <w:p>
      <w:pPr>
        <w:spacing w:after="0" w:line="62" w:lineRule="exact"/>
        <w:rPr>
          <w:rFonts w:ascii="Arial" w:cs="Arial" w:eastAsia="Arial" w:hAnsi="Arial"/>
          <w:sz w:val="18"/>
          <w:szCs w:val="18"/>
          <w:color w:val="auto"/>
        </w:rPr>
      </w:pPr>
    </w:p>
    <w:p>
      <w:pPr>
        <w:ind w:left="1040" w:right="8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 increase of $1.6 million in preclinical external expenses related to our ALS program and our FTD program, each of which targets </w:t>
      </w:r>
      <w:r>
        <w:rPr>
          <w:rFonts w:ascii="Arial" w:cs="Arial" w:eastAsia="Arial" w:hAnsi="Arial"/>
          <w:sz w:val="18"/>
          <w:szCs w:val="18"/>
          <w:i w:val="1"/>
          <w:iCs w:val="1"/>
          <w:color w:val="auto"/>
        </w:rPr>
        <w:t>C9ORF72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040" w:right="40" w:hanging="519"/>
        <w:spacing w:after="0" w:line="279"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$22.4 million in internal and external research and development expenses, including costs related to our sponsored research, our other discovery programs, platform development and identification of potential drug discovery candidates, due to an increase of $14.3 million in internal compensation-related expenses, which is the result of an increase in employee headcount, and an increase of $8.1 million in external research and development supplies and services expenses and facility-related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General and administrative expenses were $27.0 million for the year ended December 31, 2017 compared to $16.0 million for the year ended December 31, 2016. The increase of $11.0 million was primarily due to the $4.9 million increase in compensation-related costs resulting from an increase in employee headcount. Increased facility-related expenses and other general and administrative expenses account for the remaining $6.1 million increase.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other income (expense), net for the years ended December 31, 2017 and 2016 was $1.3 million and $0.5 million, respectively. The increase in total other income (expense), net is primarily due to increased dividend income earned in 2017 on our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year ended December 31, 2017 and 2016, we recorded a tax provision of $0.7 million and $0.6 million, respectively. The 2017 tax provision was due to our establishment of a valuation allowance against our U.S. deferred tax assets, as well as income earned under research and management services arrangements between our U.S. and Singapore entities, which is taxed in the U.S. The 2016 tax provision is a result of income earned under research and management services arrangements between our U.S. and Singapore entities, which is taxed in the U.S. During the years ended December 31, 2017 and 2016, we did not record any income tax benefit for the net operating losses incurred in Japan and Singapore due to uncertainty regarding future taxable income in those jurisdictions. In May 2016, we established a wholly-owned subsidiary in Ireland, however no income tax expense or benefit has been recorded during the years ended December 31, 2017 and 2016. In April 2017, we established a wholly-owned subsidiary in the UK and during the year ended December 31, 2017, we did not record any income tax benefit for the net operating losses incurred in the UK due to uncertainty regarding future taxable income in that jurisdiction.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Comparison of the Year Ended December 31, 2016 to the Year Ended December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2016 and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For the Year Ended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(54,785)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Revenue was $1.5 million for the year ended December 31, 2016, which related to revenue earned in 2016 under the Pfizer Collaboration Agreement, which was entered into in May 2016. Revenue earned for the year ended December 31, 2015 was earned for research and development performed under our collaboration agreement with a third party, which was entered into in 2014 and which was terminated in May 2015.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research and development expenses incurred by program and on our platform for 2016 and 2015:</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6"/>
              </w:rPr>
              <w:t>For the Year Ended 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color w:val="auto"/>
                <w:w w:val="92"/>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HD programs</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DMD programs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discovery programs, platform development and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identification of potential drug discovery candidates</w:t>
            </w:r>
          </w:p>
        </w:tc>
        <w:tc>
          <w:tcPr>
            <w:tcW w:w="6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w:t>
            </w:r>
          </w:p>
        </w:tc>
        <w:tc>
          <w:tcPr>
            <w:tcW w:w="2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24,231</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$40.8 million for the year ended December 31, 2016, compared to approximately $9.0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The increase of $31.8 million was due, in part, to the following:</w:t>
      </w:r>
    </w:p>
    <w:p>
      <w:pPr>
        <w:spacing w:after="0" w:line="10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of $5.8 million in preclinical research and development expenses related to our HD programs, WVE-120101 and WVE-120102;</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$1.7 million in preclinical research and development expenses related to our DMD program, WVE-210201; and</w:t>
      </w:r>
    </w:p>
    <w:p>
      <w:pPr>
        <w:spacing w:after="0" w:line="117" w:lineRule="exact"/>
        <w:rPr>
          <w:rFonts w:ascii="Arial" w:cs="Arial" w:eastAsia="Arial" w:hAnsi="Arial"/>
          <w:sz w:val="18"/>
          <w:szCs w:val="18"/>
          <w:color w:val="auto"/>
        </w:rPr>
      </w:pPr>
    </w:p>
    <w:p>
      <w:pPr>
        <w:ind w:left="1040" w:right="400" w:hanging="519"/>
        <w:spacing w:after="0" w:line="302"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of $24.3 million in research and development expenses related to other discovery programs, platform development and identification of potential drug discovery candidates, due to an increase of $7.8 million in salary, bonus and related benefits costs and an increase of $2.7 million in share-based compensation expense, both of which are the result of an increase in employee headcount, and an increase of approximately $13.8 million in research and development supplies and services expenses and facility-related expenses.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were $16.0 million for the year ended December 31, 2016 compared to $10.4 million for the year ended December 31, 2015. The increase of $5.6 million was primarily due to a $2.6 million increase in salary and related benefits cost resulting from an increase in employee headcount. The increase also partly resulted from an increase in share-based compensation expense of $0.2 million. Increased other general and administrative expenses account for the remaining $2.8 million increase.</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274"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Total Other Income (Expense), net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Total other income (expense), net for the years ended December 31, 2016 and 2015 was $0.5 million and $0.1 million, respectively. The increase in total other income (expense), net is primarily related to the dividend and interest income earned in 2016 on our cash and cash equivalents.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years ended December 31, 2016 and 2015, we recorded a tax provision of $0.6 million and less than $0.1 million, respectively, which is a result of income earned under research and management services arrangements between our U.S. and Singapore entities, which is taxed in the U.S. During the years ended December 31, 2016 and 2015, we did not record any income tax benefit for the net operating losses incurred in Japan and Singapore due to uncertainty regarding future taxable income in those jurisdictions. In May 2016, we established a wholly-owned subsidiary in Ireland, however no income tax expense or benefit has been recorded during the year ended December 31,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To date, we have primarily funded our operations through private placements of debt and equity securities, public offerings of our ordinary shares and collaborations with third parties. Through December 31, 2017, we have received an aggregate of approximately $323.2 million in net proceeds from these transactions. We received $89.3 million in net proceeds from private placements of our debt and equity securities, $100.4 million in net proceeds ($111.9 million gross proceeds) from our initial public offering, inclusive of the over-allotment exercise, $40.0 million under the Pfizer Agreements, including $10.0 million as an upfront payment under the Pfizer Collaboration Agreement and $30.0 million in the form of an equity investment, and $93.5 million in net proceeds ($100.0 million gross proceeds) from our April 2017 follow-on underwritten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generated any product revenue and have incurred recurring net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we had cash and cash equivalents of $142.5 million, restricted cash of $3.6 million and an accumulated deficit of $192.5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existing cash and cash equivalents will be sufficient to fund our operations for at least the next twelve months.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based this estimate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believe we have sufficient funds for our current or future operating plans.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Until we can generate significant revenue from product sales, if ever, we expect to finance our operations through a combination of public or private equity or debt financings or other sources, which may include collaborations with third parties. On January 4, 2017, we filed a universal shelf registration statement on Form S-3, which was declared effective by the SEC on February 6, 2017, on which we registered for sale up to $500.0 million of any combination of our ordinary shares, debt securities, warrants, rights, purchase contracts and/or units from time to time and at prices and on terms that we may determine. On April 18, 2017, we closed a follow-on underwritten public offering of 4,166,667 ordinary shares for gross proceeds of $100.0 million under this shelf registration. After the closing of our follow-on underwritten public offering, approximately $400.0 million of securities remain available for issuance under our universal shelf registration. This shelf registration statement will remain in effect for up to three years from the date it was declared effective.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3"/>
          </w:tcPr>
          <w:p>
            <w:pPr>
              <w:jc w:val="right"/>
              <w:ind w:right="420"/>
              <w:spacing w:after="0" w:line="155" w:lineRule="exact"/>
              <w:rPr>
                <w:sz w:val="20"/>
                <w:szCs w:val="20"/>
                <w:color w:val="auto"/>
              </w:rPr>
            </w:pPr>
            <w:r>
              <w:rPr>
                <w:rFonts w:ascii="Arial" w:cs="Arial" w:eastAsia="Arial" w:hAnsi="Arial"/>
                <w:sz w:val="14"/>
                <w:szCs w:val="14"/>
                <w:color w:val="auto"/>
                <w:w w:val="94"/>
              </w:rPr>
              <w:t>(in thousands)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(83,671)</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(31,872)</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(12,527)</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(18,896)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(8,162)</w:t>
            </w:r>
          </w:p>
        </w:tc>
        <w:tc>
          <w:tcPr>
            <w:tcW w:w="2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(2,909)</w:t>
            </w: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175,593</w:t>
            </w:r>
          </w:p>
        </w:tc>
        <w:tc>
          <w:tcPr>
            <w:tcW w:w="80" w:type="dxa"/>
            <w:vAlign w:val="bottom"/>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Effect of foreign exchange rates of cash</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09"/>
        </w:trPr>
        <w:tc>
          <w:tcPr>
            <w:tcW w:w="3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increase (decrease) in cash and cash</w:t>
            </w:r>
          </w:p>
        </w:tc>
        <w:tc>
          <w:tcPr>
            <w:tcW w:w="6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equivalents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(7,790)</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(10,927)</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160,172</w:t>
            </w:r>
          </w:p>
        </w:tc>
        <w:tc>
          <w:tcPr>
            <w:tcW w:w="80" w:type="dxa"/>
            <w:vAlign w:val="bottom"/>
            <w:shd w:val="clear" w:color="auto" w:fill="CFF0FC"/>
          </w:tcPr>
          <w:p>
            <w:pPr>
              <w:spacing w:after="0"/>
              <w:rPr>
                <w:sz w:val="20"/>
                <w:szCs w:val="20"/>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2017, operating activities used $83.7 million of cash, primarily resulting from our net loss of $102.0 million offset by non-cash charges of $18.7 million. The non-cash charges for 2017 related mainly to share-based compensation expense of $12.1 million, an increase in deferred rent of $3.6 million and $2.2 million of depreciation expense.</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2016, operating activities used $31.9 million of cash, primarily resulting from our net loss of $55.4 million offset by non-cash charges of $7.3 million and by cash provided by changes in our operating assets and liabilities of $16.2 million. The non-cash charges for 2016 related primarily to share-based compensation expense of $6.8 million. Net cash provided by changes in our operating assets and liabilities during the year ended December 31, 2016 was due primarily to an increase in accounts payable due to higher research and development costs, as well as the timing of payments.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2015, operating activities used $12.5 million of cash, primarily resulting from our net loss of $19.2 million offset by non-cash charges of $4.7 million and by cash provided by changes in our operating assets and liabilities of $1.9 million. The non-cash charges for 2015 related primarily to share-based compensation expense of $4.0 million. Net cash provided by changes in our operating assets and liabilities during the year ended December 31, 2015 was due primarily to an increase in accounts payable due to higher research and development costs, as well as the timing of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2017, investing activities used $18.9 million of cash, consisting primarily of purchases of property and equipment of $18.9 million.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2016, investing activities used $8.2 million of cash, consisting primarily of purchases of property and equipment of $5.6 million and an increase in restricted cash of $2.6 million related to a letter of credit for our manufacturing, laboratory and office space in Lexington, Massachusetts.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2015, investing activities used $2.9 million of cash, consisting of restricted cash of $1.0 million primarily placed in favor of a letter of credit for our office and laboratory space in Cambridge, Massachusetts along with purchases of property and equipment of $1.9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During 2017, net cash provided by financing activities was $94.4 million, which was primarily due to the $93.5 million in net proceeds from the April 2017 follow-on underwritten public offering of 4,166,667 ordinary shares as well as the $0.9 million in proceeds from the exercise of share options.</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2016, net cash provided by financing activities was $29.1 million, which was primarily due to the $30.0 million in proceeds from the issuance of 1,875,000 shares to an affiliate of Pfizer related to the Pfizer Equity Agreement. Additionally, during 2016 we made payments of $0.1 million related to our capital lease and $1.1 million related to initial public offering costs, which were included in accounts payable and accrued expenses as of December 31, 2015. These payments were partially offset by the $0.3 million in proceeds from the exercise of share options.</w:t>
      </w:r>
    </w:p>
    <w:p>
      <w:pPr>
        <w:spacing w:after="0" w:line="1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2015, net cash provided by financing activities was $175.6 million, primarily from the issuance of ordinary shares in our initial public offering for net proceeds of $100.4 million in November 2015, the issuance of Series B preferred shares for $62.5 million in August 2015 and the issuance of ordinary shares for $11.6 million in January 2015.</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Effect of Foreign Exchange Rates on Cash</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2017, the effect of changes in foreign exchange rates on cash was $0.4 million due to changes in the Japanese yen related primarily to the translation of intercompany accounts denominated in Japanese yen in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2016, the effect of changes in foreign exchange rates on cash was less than $0.1 million due to minimal changes in the Japanese yen in 2016.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During 2015, the effect of changes in foreign exchange rates on cash was less than $0.1 million due to minimal changes in the Japanese yen in 2015.</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our expenses will continue to increase in connection with our ongoing research and development activities and the expansion of our internal cGMP manufacturing capabilities. Furthermore, we anticipate that our expenses will continue to increase if and as we:</w:t>
      </w:r>
    </w:p>
    <w:p>
      <w:pPr>
        <w:spacing w:after="0" w:line="62" w:lineRule="exact"/>
        <w:rPr>
          <w:sz w:val="20"/>
          <w:szCs w:val="20"/>
          <w:color w:val="auto"/>
        </w:rPr>
      </w:pPr>
    </w:p>
    <w:p>
      <w:pPr>
        <w:ind w:left="1040" w:right="10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 to conduct our two Phase 1b/2a clinical trials evaluating our product candidates WVE-120101 and WVE-120102 in patients with HD and our Phase 1 clinical trial evaluating our product candidate WVE-210201 in patients with DMD;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research and preclinical development of discovery targets and advance additional programs into clinical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clinical trial applications with global regulatory agencies and conduct clinical trials for our programs;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strategic investments in expanding our research and development platform capabilities and in optimizing our manufacturing processes and formulations;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further expand our manufacturing capabilities through our internal facility and our CMOs;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maintain our intellectual property portfolio and consider the acquisition of complementary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seek and obtain regulatory approvals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and build capabilities to market, distribute and sell our product candidates.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may experience delays or encounter issues with any of the above, including but not limited to failed studies, complex results, safety issues or other regulatory challenges.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Because of the numerous risks and uncertainties associated with the development of drug candidates and because the extent to which we may enter into collaborations with third parties for development of product candidates is unknown, we are unable to estimate the amounts of increased capital outlays and operating expenses associated with completing the research and development for our therapeutic programs. Our future capital requirements for our therapeutic programs will depend on many factors, including:</w:t>
      </w:r>
    </w:p>
    <w:p>
      <w:pPr>
        <w:spacing w:after="0" w:line="79" w:lineRule="exact"/>
        <w:rPr>
          <w:sz w:val="20"/>
          <w:szCs w:val="20"/>
          <w:color w:val="auto"/>
        </w:rPr>
      </w:pPr>
    </w:p>
    <w:p>
      <w:pPr>
        <w:ind w:left="1040" w:right="24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progress and results of conducting research and continued preclinical and clinical development within our therapeutic programs and with respect to future potential pipeline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2" w:name="page93"/>
    <w:bookmarkEnd w:id="92"/>
    <w:p>
      <w:pPr>
        <w:ind w:right="280"/>
        <w:spacing w:after="0" w:line="277" w:lineRule="auto"/>
        <w:rPr>
          <w:sz w:val="20"/>
          <w:szCs w:val="20"/>
          <w:color w:val="auto"/>
        </w:rPr>
      </w:pPr>
      <w:r>
        <w:rPr>
          <w:rFonts w:ascii="Arial" w:cs="Arial" w:eastAsia="Arial" w:hAnsi="Arial"/>
          <w:sz w:val="18"/>
          <w:szCs w:val="18"/>
          <w:color w:val="auto"/>
        </w:rPr>
        <w:t>product revenue, if any, will be derived from sales of products that we do not expect to be commercially available for many years, if ever. Accordingly, we will need to obtain substantial additional funds to achieve our business objectives.</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Adequate additional funds may not be available to us on acceptable terms when we need them, or at all. We do not currently have any committed external source of funds, except for possible future payments from Pfizer if milestones under the Pfizer Collaboration Agreement are achieved and committed funds and possible future milestones and payments from our collaboration with Takeda that we expect will take effect following the satisfaction of customary closing conditions, including the expiration or early termination of the applicable waiting period under the HSR Act. On January 4, 2017, we filed a universal shelf registration statement on Form S-3, which was declared effective by the SEC on February 6, 2017, on which we registered for sale up to $500.0 million of any combination of our ordinary shares, debt securities, warrants, rights, purchase contracts and/or units from time to time and at prices and on terms that we may determine. On April 18, 2017, we closed a follow-on underwritten public offering of 4,166,667 ordinary shares for gross proceeds of $100.0 million under this shelf registration. After the closing of our follow-on underwritten public offering, approximately $400.0 million of securities remain available for issuance under the aforementioned universal shelf registration. This registration statement will remain in effect for up to three years from the date it was declared effective. To the extent that we raise additional capital through the sale of equity or convertible debt securities, the ownership interest of our existing shareholders will be diluted, and the terms may include liquidation or other preferences that adversely affect the rights of our shareholders.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interests.</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 such obligations are expected to have on our liquidity and cash flows in future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880" w:type="dxa"/>
            <w:vAlign w:val="bottom"/>
          </w:tcPr>
          <w:p>
            <w:pPr>
              <w:jc w:val="center"/>
              <w:ind w:left="341"/>
              <w:spacing w:after="0"/>
              <w:rPr>
                <w:sz w:val="20"/>
                <w:szCs w:val="20"/>
                <w:color w:val="auto"/>
              </w:rPr>
            </w:pPr>
            <w:r>
              <w:rPr>
                <w:rFonts w:ascii="Arial" w:cs="Arial" w:eastAsia="Arial" w:hAnsi="Arial"/>
                <w:sz w:val="14"/>
                <w:szCs w:val="14"/>
                <w:b w:val="1"/>
                <w:bCs w:val="1"/>
                <w:color w:val="auto"/>
                <w:w w:val="81"/>
              </w:rPr>
              <w:t>Less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3-5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center"/>
              <w:ind w:right="199"/>
              <w:spacing w:after="0"/>
              <w:rPr>
                <w:sz w:val="20"/>
                <w:szCs w:val="20"/>
                <w:color w:val="auto"/>
              </w:rPr>
            </w:pPr>
            <w:r>
              <w:rPr>
                <w:rFonts w:ascii="Arial" w:cs="Arial" w:eastAsia="Arial" w:hAnsi="Arial"/>
                <w:sz w:val="14"/>
                <w:szCs w:val="14"/>
                <w:b w:val="1"/>
                <w:bCs w:val="1"/>
                <w:color w:val="auto"/>
              </w:rPr>
              <w:t>More</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88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rPr>
              <w:t>Than</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rPr>
              <w:t>Than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880" w:type="dxa"/>
            <w:vAlign w:val="bottom"/>
          </w:tcPr>
          <w:p>
            <w:pPr>
              <w:jc w:val="center"/>
              <w:ind w:left="341"/>
              <w:spacing w:after="0"/>
              <w:rPr>
                <w:sz w:val="20"/>
                <w:szCs w:val="20"/>
                <w:color w:val="auto"/>
              </w:rPr>
            </w:pPr>
            <w:r>
              <w:rPr>
                <w:rFonts w:ascii="Arial" w:cs="Arial" w:eastAsia="Arial" w:hAnsi="Arial"/>
                <w:sz w:val="14"/>
                <w:szCs w:val="14"/>
                <w:b w:val="1"/>
                <w:bCs w:val="1"/>
                <w:color w:val="auto"/>
                <w:w w:val="90"/>
              </w:rPr>
              <w:t>1 Year</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106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5 Years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880" w:type="dxa"/>
            <w:vAlign w:val="bottom"/>
            <w:tcBorders>
              <w:top w:val="single" w:sz="8" w:color="auto"/>
            </w:tcBorders>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4,666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6,201</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4,682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enter into contracts in the normal course of business with CROs and CMOs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no off-balance sheet arrangements (as that term is defined in Item 303(a)(4)(ii) of Regulation S-K) as of December 31, 2017 that have, or are reasonably likely to have, a current or future effect on our financial condition, changes in financial condition, revenues or expenses, results of operations, liquidity, capital expenditures or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detailed information regarding recently issued and adopted accounting pronouncements and the expected impact on our consolidated financial statements, see Note 2 “Significant Accounting Policies” in the notes to the consolidated financial statements appearing elsewhere in this Annual Report on Form 10-K.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of America (“U.S. GAAP”). The preparation of our financial statements and related disclosures requires us to make estimates and assumptions that affect the reported amount of assets, liabilities, revenue, costs and expenses and related disclosures. We believe that of our significant accounting policies included in Note 2 “Significant Accounting Policies” in the notes to the consolidated financial statements appearing elsewhere in this Annual Report on Form 10-K, the estimates and assumptions involved in our revenue recognition policy, particularly the period over which revenue is recognized, involve a greater degree of judgement, and therefore we consider it our critical accounting policy. We evaluate our estimates and assumptions on an ongoing basis. Our actual results may differ from these estimates under different assumptions and conditions.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2017, the Company’s only significant source of revenue is derived from the Pfizer Collaboration Agreement (as defined in Note 5 “ Pfizer Collaboration and Share Purchase Agreement” in the notes to the consolidated financial statements appearing elsewhere in this Annual Report on Form 10-K, “Note 5”), pursuant to which the Company and Pfizer (as defined in Note 5) have agreed to collaborate on the discovery, development and commercialization of stereopure oligonucleotide therapeutics for the Pfizer Programs (as defined in Note 5), each directed at a genetically-defined hepatic target selected by Pfizer. The Company entered into the Pfizer Collaboration Agreement in May 2016.</w:t>
      </w:r>
    </w:p>
    <w:p>
      <w:pPr>
        <w:spacing w:after="0" w:line="8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The Company presents revenue from the Pfizer Collaboration Agreement under Financial Accounting Standards Board (“FASB”), Accounting Standards Codification (“ASC”) Topic 808, Collaborative Arrangements (“ASC 808”). In addition, the Company recognizes revenue in accordance with ASC Topic 605, Revenue Recognition (“ASC 605”). Accordingly, revenue is recognized for each unit of accounting when all of the following criteria are met:</w:t>
      </w:r>
    </w:p>
    <w:p>
      <w:pPr>
        <w:spacing w:after="0" w:line="39" w:lineRule="exact"/>
        <w:rPr>
          <w:sz w:val="20"/>
          <w:szCs w:val="20"/>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7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Pursuant to the accounting guidance in ASC 605 25, the Company evaluates 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6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Pfizer Collaboration Agreement, the Company and Pfizer agreed to collaborate on the discovery, development and commercialization of up to five Pfizer Programs, two of the five targets were declared upon initiation of the agreement in May 2016. The Pfizer Collaboration Agreement provides Pfizer with certain options to nominate up to three remaining programs and the Company is required to consider whether such options are substantive. Options are considered substantive if, at the inception of the arrangement, the Company is at risk as to whether the collaboration partner will choose to exercise the option. Factors that the Company considers in evaluating whether an option is substantive include whether the optional elements are essential to the functionality of other programs nominated, whether economic factors compel Pfizer to purchase the optional elements, the cost to exercise the option, the overall objective of the arrangement and, the benefit Pfizer might obtain from the arrangement without exercising the option. In August 2016, Pfizer nominated the third hepatic target under the Collaboration and pursuant to the terms of the Pfizer Collaboration Agreement, Pfizer had the option to nominate two additional targets by November 5, 2017. On November 5, 2017, the Company amended its Pfizer Collaboration Agreement to extend the target nomination period from November 5, 2017 to May 5, 2018. This amendment provides Pfizer with an additional six months to nominate the two remaining hepatic targets under the Pfizer Collaboration Agreement.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94" w:name="page95"/>
    <w:bookmarkEnd w:id="94"/>
    <w:p>
      <w:pPr>
        <w:ind w:right="180"/>
        <w:spacing w:after="0" w:line="257" w:lineRule="auto"/>
        <w:rPr>
          <w:sz w:val="20"/>
          <w:szCs w:val="20"/>
          <w:color w:val="auto"/>
        </w:rPr>
      </w:pPr>
      <w:r>
        <w:rPr>
          <w:rFonts w:ascii="Arial" w:cs="Arial" w:eastAsia="Arial" w:hAnsi="Arial"/>
          <w:sz w:val="18"/>
          <w:szCs w:val="18"/>
          <w:color w:val="auto"/>
        </w:rPr>
        <w:t>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is analyzed to determine if it should be combined with other deliverables in the arrangement. Options that are substantive and priced at a significant and incremental discount are further assessed to determine whether a portion of the upfront payment should be allocated to the option and other deliverables in the arrangement.</w:t>
      </w:r>
    </w:p>
    <w:p>
      <w:pPr>
        <w:spacing w:after="0" w:line="8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Revenue from substantive milestones will be recognized in its entirety upon successful accomplishment of the milestone.</w:t>
      </w:r>
    </w:p>
    <w:p>
      <w:pPr>
        <w:spacing w:after="0" w:line="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Aside from the program nomination payments, which relate to the options described above, the remaining milestone payments required under the Pfizer Collaboration Agreement are contingent upon the Company’s performance under the Pfizer Collaboration Agreement, including in certain instances, regulatory approval. The Company views these milestones as substantive and has excluded the amounts as allocable consideration at the outset of the arrangement. All commercial milestones will be accounted for in the same manner as royalties and recorded as revenue upon achievement of the milestone, assuming all other revenue recognition criteria are met.</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 line basis over the period the Company is expected to complete its performance obligations. Conversely,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 line method or proportional performance method, as applicable, as of the period ending date.</w:t>
      </w:r>
    </w:p>
    <w:p>
      <w:pPr>
        <w:spacing w:after="0" w:line="5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concluded that the deliverables under the Pfizer Collaboration Agreement relate primarily to the research and development required by the Company for each of the programs nominated by Pfizer. The remaining deliverables, including sample supplies provided by each party to fulfill its obligation as a licensee, participation on a joint steering committee to oversee the research and development activities, and regulatory responsibilities related to filings and obtaining approvals related to the products that may result from each program do not represent separate units of accounting based on their dependence on the research and development efforts.</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Because there is no discernible pattern of performance given the nature of the research and development efforts, the Company recognizes the allocated revenue for each deliverable under the Pfizer Collaboration Agreement on a straight line basis over the period the Company is expected to complete its performance obligations for each deliverable, or unit of accounting. For the first two Pfizer Programs, this period is expected to be from the initiation date of the Pfizer Collaboration Agreement, which was May 5, 2016, and for the other Pfizer Programs, the period is expected to be from the date that work commences on those programs through the earlier of (a) the termination of the research and development performance obligations under the Pfizer Collaboration Agreement, which is May 5, 2020 (the “Research Term”), or (b) the estimated date the Company expects to meet its research and development performance obligations under the Pfizer Collaboration Agreement. Given the uncertainty as to when the research and development performance obligations will be completed, the Company has used the Research Term for purposes of applying the straight-line method for revenue recognition for the year ended December 31, 2017.</w:t>
      </w:r>
    </w:p>
    <w:p>
      <w:pPr>
        <w:spacing w:after="0" w:line="3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exposed to interest rate risk in the ordinary course of our business. Our cash and cash equivalents are held in readily available checking and money market accounts.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Due to our operations outside of the Unites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 For the years ended December 31, 2017, 2016 and 2015, changes in foreign currency exchange rates did not have a material impact on our historical financial position, our business, our financial condition, the results of our operations or our cash flows.</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currently have no product revenues and depend on funds raised through other sources. One possible source of funding is through further equity offerings.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raise funds in this manner depends upon capital market forces affecting our share price.</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December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2017, our principal executive officer and principal financial officer concluded that, as of such date, our disclosure controls and procedures were effective at the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of such internal control required by Rule 13a-15(d) and 15d-15(d) of the Exchange Act that occurred during the fiscal quarter ended December 31, 2017 that have materially affected, or are reasonably likely to materially affect, our internal control over financial reporting.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4" w:lineRule="exact"/>
        <w:rPr>
          <w:sz w:val="20"/>
          <w:szCs w:val="20"/>
          <w:color w:val="auto"/>
        </w:rPr>
      </w:pPr>
    </w:p>
    <w:p>
      <w:pPr>
        <w:ind w:left="1040" w:right="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40" w:right="500" w:hanging="519"/>
        <w:spacing w:after="0" w:line="264"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2017. In making this assessment, management used the criteria set forth by the Committee of Sponsoring Organizations of the Treadway Commission (“COSO”) in Internal Control-Integrated Framework (2013).</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our assessment, management believes that, as of December 31, 2017, our internal control over financial reporting is effective based on those criteria</w:t>
      </w:r>
      <w:r>
        <w:rPr>
          <w:rFonts w:ascii="Arial" w:cs="Arial" w:eastAsia="Arial" w:hAnsi="Arial"/>
          <w:sz w:val="18"/>
          <w:szCs w:val="18"/>
          <w:b w:val="1"/>
          <w:bCs w:val="1"/>
          <w:color w:val="auto"/>
        </w:rPr>
        <w:t>.</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an “emerging growth company” under the Jumpstart Our Business Startups Act, we are exempt from the auditor attestation requirements of Section 404 of the Sarbanes-Oxley Act of 2002. As a result, KPMG LLP, our independent registered public accounting firm, has not audited or issued an attestation report with respect to the effectiveness of our internal control over financial reporting as of December 31, 2017.</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7" w:name="page98"/>
    <w:bookmarkEnd w:id="97"/>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Securities and Exchange Commission on Schedule 14A in connection with our 2018 Annual General Meeting of Shareholders, or the Proxy Statement, if the Proxy Statement is filed not later than 120 days after the end of our fiscal year ended December 31, 2017, in the sections titled “Management and Corporate Governance,” “Section 16(a) Beneficial Ownership Reporting Compliance,” and “Code of Business Conduct and Ethics,” and is incorporated herein by reference. If the Proxy Statement is not filed within such 120-day period, the information required by this item will be contained in an amendment to this Annual Report on Form 10-K to be filed with the Securities and Exchange Commission, or the Form 10-K/A.</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information required by this item regarding executive compensation is incorporated by reference to the information set forth in the section titled “Executive Officer and Director Compensation” in our Proxy Statement. If the Proxy Statement is not filed within 120 days after the end of our fiscal year ended December 31, 2017, the information required by this item will be contained in the Form 10-K/A.</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the information set forth in the sections titled “Security Ownership of Certain Beneficial Owners and Management” and “Equity Compensation Plan Information” in our Proxy Statement. If the Proxy Statement is not filed within 120 days after the end of our fiscal year ended December 31, 2017, the information required by this item will be contained in the Form 10-K/A.</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is incorporated by reference to the information set forth in the sections titled “Certain Relationships and Related Person Transactions” and “Management and Corporate Governance – Board of Directors,” respectively, in our Proxy Statement. If the Proxy Statement is not filed within 120 days after the end of our fiscal year ended December 31, 2017, the information required by this item will be contained in the Form 10-K/A.</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information required by this item regarding principal accountant fees and services is incorporated by reference to the information set forth in the sections titled “Principal Accounting Fees and Services” and “Policy on Audit Committee Pre-Approval of Audit and Permissible Non-Audit Services of Independent Public Accountant and Independent Singapore Auditor” in our Proxy Statement. If the Proxy Statement is not filed within 120 days after the end of our fiscal year ended December 31, 2017, the information required by this item will be contained in the Form 10-K/A.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200" w:hanging="179"/>
        <w:spacing w:after="0"/>
        <w:tabs>
          <w:tab w:leader="none" w:pos="12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Index to Consolidated Financial Statements on page F-1 of this Annual Report on Form 10-K.</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notes thereto.</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Filed</w:t>
            </w:r>
          </w:p>
        </w:tc>
        <w:tc>
          <w:tcPr>
            <w:tcW w:w="2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Incorporated by</w:t>
            </w: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with</w:t>
            </w:r>
          </w:p>
        </w:tc>
        <w:tc>
          <w:tcPr>
            <w:tcW w:w="2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gridSpan w:val="19"/>
            <w:vMerge w:val="restart"/>
          </w:tcPr>
          <w:p>
            <w:pPr>
              <w:ind w:left="20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vMerge w:val="restart"/>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this</w:t>
            </w:r>
          </w:p>
        </w:tc>
        <w:tc>
          <w:tcPr>
            <w:tcW w:w="2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560" w:type="dxa"/>
            <w:vAlign w:val="bottom"/>
            <w:vMerge w:val="restart"/>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9"/>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8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40" w:type="dxa"/>
            <w:vAlign w:val="bottom"/>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4820" w:type="dxa"/>
            <w:vAlign w:val="bottom"/>
            <w:tcBorders>
              <w:bottom w:val="single" w:sz="8" w:color="0000EE"/>
            </w:tcBorders>
            <w:gridSpan w:val="15"/>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Constitution (formerly known as Memorandum of Association and</w:t>
              </w:r>
            </w:hyperlink>
          </w:p>
        </w:tc>
        <w:tc>
          <w:tcPr>
            <w:tcW w:w="28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Amendment No. 5</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Articles of Association)</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0"/>
              </w:rPr>
              <w:t>to Form S-1</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(Exhibit 3.2)</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Form of Specimen Ordinary Share Certificate</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Amendment No. 3</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11/06/2015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64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to Form S-1</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(Exhibit 4.1)</w:t>
            </w:r>
          </w:p>
        </w:tc>
        <w:tc>
          <w:tcPr>
            <w:tcW w:w="1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5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Investors’ Rights Agreement by and among the Registrant and certain</w:t>
              </w:r>
            </w:hyperlink>
          </w:p>
        </w:tc>
        <w:tc>
          <w:tcPr>
            <w:tcW w:w="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of its shareholders, dated as of August 14, 2015</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5"/>
              </w:rPr>
              <w:t>(Exhibit 4.2)</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4.3†</w:t>
            </w:r>
          </w:p>
        </w:tc>
        <w:tc>
          <w:tcPr>
            <w:tcW w:w="4820" w:type="dxa"/>
            <w:vAlign w:val="bottom"/>
            <w:tcBorders>
              <w:bottom w:val="single" w:sz="8" w:color="0000EE"/>
            </w:tcBorders>
            <w:gridSpan w:val="15"/>
          </w:tcPr>
          <w:p>
            <w:pPr>
              <w:spacing w:after="0"/>
              <w:rPr>
                <w:rFonts w:ascii="Arial" w:cs="Arial" w:eastAsia="Arial" w:hAnsi="Arial"/>
                <w:sz w:val="18"/>
                <w:szCs w:val="18"/>
                <w:color w:val="0000EE"/>
                <w:w w:val="87"/>
              </w:rPr>
            </w:pPr>
            <w:hyperlink r:id="rId149">
              <w:r>
                <w:rPr>
                  <w:rFonts w:ascii="Arial" w:cs="Arial" w:eastAsia="Arial" w:hAnsi="Arial"/>
                  <w:sz w:val="18"/>
                  <w:szCs w:val="18"/>
                  <w:color w:val="0000EE"/>
                  <w:w w:val="87"/>
                </w:rPr>
                <w:t>Share Purchase Agreement by and between the Registrant and C.P.</w:t>
              </w:r>
            </w:hyperlink>
          </w:p>
        </w:tc>
        <w:tc>
          <w:tcPr>
            <w:tcW w:w="280" w:type="dxa"/>
            <w:vAlign w:val="bottom"/>
            <w:gridSpan w:val="8"/>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Form10-Q</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Pharmaceuticals International C.V., dated as of May 5, 2016</w:t>
              </w:r>
            </w:hyperlink>
          </w:p>
        </w:tc>
        <w:tc>
          <w:tcPr>
            <w:tcW w:w="7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10.2)</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6000" w:type="dxa"/>
            <w:vAlign w:val="bottom"/>
            <w:gridSpan w:val="25"/>
          </w:tcPr>
          <w:p>
            <w:pPr>
              <w:spacing w:after="0"/>
              <w:rPr>
                <w:sz w:val="20"/>
                <w:szCs w:val="20"/>
                <w:color w:val="auto"/>
              </w:rPr>
            </w:pPr>
            <w:r>
              <w:rPr>
                <w:rFonts w:ascii="Arial" w:cs="Arial" w:eastAsia="Arial" w:hAnsi="Arial"/>
                <w:sz w:val="18"/>
                <w:szCs w:val="18"/>
                <w:b w:val="1"/>
                <w:bCs w:val="1"/>
                <w:color w:val="auto"/>
              </w:rPr>
              <w:t>Lease Agreements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3"/>
              </w:rPr>
            </w:pPr>
            <w:hyperlink r:id="rId150">
              <w:r>
                <w:rPr>
                  <w:rFonts w:ascii="Arial" w:cs="Arial" w:eastAsia="Arial" w:hAnsi="Arial"/>
                  <w:sz w:val="18"/>
                  <w:szCs w:val="18"/>
                  <w:color w:val="0000EE"/>
                  <w:w w:val="93"/>
                </w:rPr>
                <w:t>Lease Agreement by and among Harvard Real Estate—Allston, Inc.,</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Shin Nippon Biomedical Laboratories Ltd., dated June 25, 2009</w:t>
              </w:r>
            </w:hyperlink>
          </w:p>
        </w:tc>
        <w:tc>
          <w:tcPr>
            <w:tcW w:w="320" w:type="dxa"/>
            <w:vAlign w:val="bottom"/>
            <w:tcBorders>
              <w:top w:val="single" w:sz="8" w:color="0000EE"/>
            </w:tcBorders>
            <w:gridSpan w:val="6"/>
          </w:tcPr>
          <w:p>
            <w:pPr>
              <w:spacing w:after="0"/>
              <w:rPr>
                <w:sz w:val="17"/>
                <w:szCs w:val="17"/>
                <w:color w:val="auto"/>
              </w:rPr>
            </w:pPr>
          </w:p>
        </w:tc>
        <w:tc>
          <w:tcPr>
            <w:tcW w:w="1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10.2)</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Commercial Lease Agreement by and among SNBL USA, Ltd. and</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6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Ontorii, Inc. (now Wave Life Sciences USA, Inc.), dated as of</w:t>
              </w:r>
            </w:hyperlink>
          </w:p>
        </w:tc>
        <w:tc>
          <w:tcPr>
            <w:tcW w:w="2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10.4)</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January 1, 2010</w:t>
              </w:r>
            </w:hyperlink>
          </w:p>
        </w:tc>
        <w:tc>
          <w:tcPr>
            <w:tcW w:w="6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Consent to Office Space Sublease by and among SNBL USA, Ltd,</w:t>
              </w:r>
            </w:hyperlink>
          </w:p>
        </w:tc>
        <w:tc>
          <w:tcPr>
            <w:tcW w:w="30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Ontorii, Inc. (now Wave Life Sciences USA, Inc.) and Harvard Real</w:t>
              </w:r>
            </w:hyperlink>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10.3)</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Estate—Allston, Inc., dated as of January 1, 2010</w:t>
              </w:r>
            </w:hyperlink>
          </w:p>
        </w:tc>
        <w:tc>
          <w:tcPr>
            <w:tcW w:w="152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4900" w:type="dxa"/>
            <w:vAlign w:val="bottom"/>
            <w:tcBorders>
              <w:bottom w:val="single" w:sz="8" w:color="0000EE"/>
            </w:tcBorders>
            <w:gridSpan w:val="17"/>
          </w:tcPr>
          <w:p>
            <w:pPr>
              <w:spacing w:after="0"/>
              <w:rPr>
                <w:rFonts w:ascii="Arial" w:cs="Arial" w:eastAsia="Arial" w:hAnsi="Arial"/>
                <w:sz w:val="18"/>
                <w:szCs w:val="18"/>
                <w:color w:val="0000EE"/>
                <w:w w:val="89"/>
              </w:rPr>
            </w:pPr>
            <w:hyperlink r:id="rId153">
              <w:r>
                <w:rPr>
                  <w:rFonts w:ascii="Arial" w:cs="Arial" w:eastAsia="Arial" w:hAnsi="Arial"/>
                  <w:sz w:val="18"/>
                  <w:szCs w:val="18"/>
                  <w:color w:val="0000EE"/>
                  <w:w w:val="89"/>
                </w:rPr>
                <w:t>Amendment 1 to the Commercial Lease Agreement by and between</w:t>
              </w:r>
            </w:hyperlink>
          </w:p>
        </w:tc>
        <w:tc>
          <w:tcPr>
            <w:tcW w:w="20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SNBL USA, Ltd. and Ontorii, Inc. (now Wave Life Sciences USA,</w:t>
              </w:r>
            </w:hyperlink>
          </w:p>
        </w:tc>
        <w:tc>
          <w:tcPr>
            <w:tcW w:w="2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10.5)</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Inc.), dated as of July 1, 2011</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4520" w:type="dxa"/>
            <w:vAlign w:val="bottom"/>
            <w:tcBorders>
              <w:bottom w:val="single" w:sz="8" w:color="0000EE"/>
            </w:tcBorders>
            <w:gridSpan w:val="12"/>
          </w:tcPr>
          <w:p>
            <w:pPr>
              <w:spacing w:after="0"/>
              <w:rPr>
                <w:rFonts w:ascii="Arial" w:cs="Arial" w:eastAsia="Arial" w:hAnsi="Arial"/>
                <w:sz w:val="18"/>
                <w:szCs w:val="18"/>
                <w:color w:val="0000EE"/>
                <w:w w:val="89"/>
              </w:rPr>
            </w:pPr>
            <w:hyperlink r:id="rId154">
              <w:r>
                <w:rPr>
                  <w:rFonts w:ascii="Arial" w:cs="Arial" w:eastAsia="Arial" w:hAnsi="Arial"/>
                  <w:sz w:val="18"/>
                  <w:szCs w:val="18"/>
                  <w:color w:val="0000EE"/>
                  <w:w w:val="89"/>
                </w:rPr>
                <w:t>Lease Agreement by and between the Registrant and King 733</w:t>
              </w:r>
            </w:hyperlink>
          </w:p>
        </w:tc>
        <w:tc>
          <w:tcPr>
            <w:tcW w:w="58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00" w:type="dxa"/>
            <w:vAlign w:val="bottom"/>
            <w:gridSpan w:val="2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Concord LLC, dated as of April 6, 2015</w:t>
              </w:r>
            </w:hyperlink>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10.7)</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207379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40" w:type="dxa"/>
            <w:vAlign w:val="bottom"/>
            <w:gridSpan w:val="11"/>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5100" w:type="dxa"/>
            <w:vAlign w:val="bottom"/>
            <w:gridSpan w:val="23"/>
          </w:tcPr>
          <w:p>
            <w:pPr>
              <w:spacing w:after="0"/>
              <w:rPr>
                <w:rFonts w:ascii="Arial" w:cs="Arial" w:eastAsia="Arial" w:hAnsi="Arial"/>
                <w:sz w:val="18"/>
                <w:szCs w:val="18"/>
                <w:color w:val="0000EE"/>
                <w:w w:val="91"/>
              </w:rPr>
            </w:pPr>
            <w:hyperlink r:id="rId155">
              <w:r>
                <w:rPr>
                  <w:rFonts w:ascii="Arial" w:cs="Arial" w:eastAsia="Arial" w:hAnsi="Arial"/>
                  <w:sz w:val="18"/>
                  <w:szCs w:val="18"/>
                  <w:color w:val="0000EE"/>
                  <w:w w:val="91"/>
                </w:rPr>
                <w:t>Lease Agreement by and between Wave Life Sciences USA, Inc. and</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Form 8-K</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09/27/2016</w:t>
            </w:r>
          </w:p>
        </w:tc>
        <w:tc>
          <w:tcPr>
            <w:tcW w:w="5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King 115 Hartwell LLC, dated as of September 26, 2016.</w:t>
              </w:r>
            </w:hyperlink>
          </w:p>
        </w:tc>
        <w:tc>
          <w:tcPr>
            <w:tcW w:w="840" w:type="dxa"/>
            <w:vAlign w:val="bottom"/>
            <w:tcBorders>
              <w:top w:val="single" w:sz="8" w:color="0000EE"/>
            </w:tcBorders>
            <w:gridSpan w:val="11"/>
          </w:tcPr>
          <w:p>
            <w:pPr>
              <w:spacing w:after="0"/>
              <w:rPr>
                <w:sz w:val="17"/>
                <w:szCs w:val="17"/>
                <w:color w:val="auto"/>
              </w:rPr>
            </w:pPr>
          </w:p>
        </w:tc>
        <w:tc>
          <w:tcPr>
            <w:tcW w:w="1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10.1)</w:t>
            </w: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91"/>
              </w:rPr>
              <w:t>37627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20" w:type="dxa"/>
            <w:vAlign w:val="bottom"/>
            <w:gridSpan w:val="18"/>
          </w:tcPr>
          <w:p>
            <w:pPr>
              <w:ind w:left="4720"/>
              <w:spacing w:after="0"/>
              <w:rPr>
                <w:sz w:val="20"/>
                <w:szCs w:val="20"/>
                <w:color w:val="auto"/>
              </w:rPr>
            </w:pPr>
            <w:r>
              <w:rPr>
                <w:rFonts w:ascii="Arial" w:cs="Arial" w:eastAsia="Arial" w:hAnsi="Arial"/>
                <w:sz w:val="18"/>
                <w:szCs w:val="18"/>
                <w:color w:val="auto"/>
                <w:w w:val="89"/>
              </w:rPr>
              <w:t>98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9" w:name="page100"/>
    <w:bookmarkEnd w:id="99"/>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gridSpan w:val="3"/>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5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jc w:val="right"/>
              <w:ind w:right="522"/>
              <w:spacing w:after="0"/>
              <w:rPr>
                <w:sz w:val="20"/>
                <w:szCs w:val="20"/>
                <w:color w:val="auto"/>
              </w:rPr>
            </w:pPr>
            <w:r>
              <w:rPr>
                <w:rFonts w:ascii="Arial" w:cs="Arial" w:eastAsia="Arial" w:hAnsi="Arial"/>
                <w:sz w:val="18"/>
                <w:szCs w:val="18"/>
                <w:color w:val="auto"/>
                <w:w w:val="85"/>
              </w:rPr>
              <w:t>10.7</w:t>
            </w:r>
          </w:p>
        </w:tc>
        <w:tc>
          <w:tcPr>
            <w:tcW w:w="40" w:type="dxa"/>
            <w:vAlign w:val="bottom"/>
          </w:tcPr>
          <w:p>
            <w:pPr>
              <w:spacing w:after="0"/>
              <w:rPr>
                <w:sz w:val="24"/>
                <w:szCs w:val="24"/>
                <w:color w:val="auto"/>
              </w:rPr>
            </w:pPr>
          </w:p>
        </w:tc>
        <w:tc>
          <w:tcPr>
            <w:tcW w:w="5140" w:type="dxa"/>
            <w:vAlign w:val="bottom"/>
            <w:tcBorders>
              <w:top w:val="single" w:sz="8" w:color="auto"/>
              <w:bottom w:val="single" w:sz="8" w:color="0000EE"/>
            </w:tcBorders>
            <w:gridSpan w:val="2"/>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First Amendment (to Lease) by and between Wave Life Sciences USA,</w:t>
              </w:r>
            </w:hyperlink>
          </w:p>
        </w:tc>
        <w:tc>
          <w:tcPr>
            <w:tcW w:w="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360" w:type="dxa"/>
            <w:vAlign w:val="bottom"/>
            <w:gridSpan w:val="3"/>
          </w:tcPr>
          <w:p>
            <w:pPr>
              <w:spacing w:after="0" w:line="196" w:lineRule="exact"/>
              <w:rPr>
                <w:rFonts w:ascii="Arial" w:cs="Arial" w:eastAsia="Arial" w:hAnsi="Arial"/>
                <w:sz w:val="18"/>
                <w:szCs w:val="18"/>
                <w:color w:val="0000EE"/>
              </w:rPr>
            </w:pPr>
            <w:hyperlink r:id="rId158">
              <w:r>
                <w:rPr>
                  <w:rFonts w:ascii="Arial" w:cs="Arial" w:eastAsia="Arial" w:hAnsi="Arial"/>
                  <w:sz w:val="18"/>
                  <w:szCs w:val="18"/>
                  <w:color w:val="0000EE"/>
                </w:rPr>
                <w:t>Inc. and King 115 Hartwell LLC, dated as of December 31, 2016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and License Agreements</w:t>
      </w:r>
    </w:p>
    <w:p>
      <w:pPr>
        <w:spacing w:after="0" w:line="162" w:lineRule="exact"/>
        <w:rPr>
          <w:sz w:val="20"/>
          <w:szCs w:val="20"/>
          <w:color w:val="auto"/>
        </w:rPr>
      </w:pPr>
    </w:p>
    <w:p>
      <w:pPr>
        <w:jc w:val="center"/>
        <w:ind w:right="4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59">
        <w:r>
          <w:rPr>
            <w:rFonts w:ascii="Arial" w:cs="Arial" w:eastAsia="Arial" w:hAnsi="Arial"/>
            <w:sz w:val="18"/>
            <w:szCs w:val="18"/>
            <w:u w:val="single" w:color="auto"/>
            <w:color w:val="0000EE"/>
          </w:rPr>
          <w:t>Co-Exclusive License Agreement by and between the Registrant and</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Max-Planck-Innovation GmbH, dated as of June 8, 2015</w:t>
        </w:r>
      </w:hyperlink>
    </w:p>
    <w:p>
      <w:pPr>
        <w:spacing w:after="0" w:line="76" w:lineRule="exact"/>
        <w:rPr>
          <w:sz w:val="20"/>
          <w:szCs w:val="20"/>
          <w:color w:val="auto"/>
        </w:rPr>
      </w:pPr>
    </w:p>
    <w:p>
      <w:pPr>
        <w:ind w:left="960" w:right="12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10.9.1†</w:t>
      </w:r>
      <w:r>
        <w:rPr>
          <w:sz w:val="20"/>
          <w:szCs w:val="20"/>
          <w:color w:val="auto"/>
        </w:rPr>
        <w:tab/>
      </w:r>
      <w:hyperlink r:id="rId160">
        <w:r>
          <w:rPr>
            <w:rFonts w:ascii="Arial" w:cs="Arial" w:eastAsia="Arial" w:hAnsi="Arial"/>
            <w:sz w:val="18"/>
            <w:szCs w:val="18"/>
            <w:u w:val="single" w:color="auto"/>
            <w:color w:val="0000EE"/>
          </w:rPr>
          <w:t>Research, License and Option Agreement by and between the Registrant</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and Pfizer Inc., dated as of May 5, 2016</w:t>
        </w:r>
      </w:hyperlink>
    </w:p>
    <w:p>
      <w:pPr>
        <w:spacing w:after="0" w:line="76" w:lineRule="exact"/>
        <w:rPr>
          <w:sz w:val="20"/>
          <w:szCs w:val="20"/>
          <w:color w:val="auto"/>
        </w:rPr>
      </w:pPr>
    </w:p>
    <w:p>
      <w:pPr>
        <w:ind w:left="960" w:right="260" w:hanging="958"/>
        <w:spacing w:after="0" w:line="342"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10.9.2</w:t>
      </w:r>
      <w:r>
        <w:rPr>
          <w:sz w:val="20"/>
          <w:szCs w:val="20"/>
          <w:color w:val="auto"/>
        </w:rPr>
        <w:tab/>
      </w:r>
      <w:hyperlink w:anchor="page132">
        <w:r>
          <w:rPr>
            <w:rFonts w:ascii="Arial" w:cs="Arial" w:eastAsia="Arial" w:hAnsi="Arial"/>
            <w:sz w:val="16"/>
            <w:szCs w:val="16"/>
            <w:u w:val="single" w:color="auto"/>
            <w:color w:val="0000EE"/>
          </w:rPr>
          <w:t>Amendment No. 1 to Research, License and Option Agreement by and</w:t>
        </w:r>
      </w:hyperlink>
      <w:r>
        <w:rPr>
          <w:rFonts w:ascii="Arial" w:cs="Arial" w:eastAsia="Arial" w:hAnsi="Arial"/>
          <w:sz w:val="16"/>
          <w:szCs w:val="16"/>
          <w:u w:val="single" w:color="auto"/>
          <w:color w:val="0000EE"/>
        </w:rPr>
        <w:t xml:space="preserve"> </w:t>
      </w:r>
      <w:hyperlink w:anchor="page132">
        <w:r>
          <w:rPr>
            <w:rFonts w:ascii="Arial" w:cs="Arial" w:eastAsia="Arial" w:hAnsi="Arial"/>
            <w:sz w:val="16"/>
            <w:szCs w:val="16"/>
            <w:u w:val="single" w:color="auto"/>
            <w:color w:val="0000EE"/>
          </w:rPr>
          <w:t>between the Registrant and Pfizer Inc., dated as of November 5, 2017</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with Executive Officers and Directors</w:t>
      </w:r>
    </w:p>
    <w:p>
      <w:pPr>
        <w:spacing w:after="0" w:line="40" w:lineRule="exact"/>
        <w:rPr>
          <w:sz w:val="20"/>
          <w:szCs w:val="20"/>
          <w:color w:val="auto"/>
        </w:rPr>
      </w:pPr>
    </w:p>
    <w:p>
      <w:pPr>
        <w:ind w:left="960" w:right="4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61">
        <w:r>
          <w:rPr>
            <w:rFonts w:ascii="Arial" w:cs="Arial" w:eastAsia="Arial" w:hAnsi="Arial"/>
            <w:sz w:val="18"/>
            <w:szCs w:val="18"/>
            <w:u w:val="single" w:color="auto"/>
            <w:color w:val="0000EE"/>
          </w:rPr>
          <w:t>Form of Deed of Indemnity by and between the Registrant and each of its</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directors and certain of its officers</w:t>
        </w:r>
      </w:hyperlink>
    </w:p>
    <w:p>
      <w:pPr>
        <w:spacing w:after="0" w:line="76" w:lineRule="exact"/>
        <w:rPr>
          <w:sz w:val="20"/>
          <w:szCs w:val="20"/>
          <w:color w:val="auto"/>
        </w:rPr>
      </w:pPr>
    </w:p>
    <w:p>
      <w:pPr>
        <w:ind w:left="960" w:right="48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62">
        <w:r>
          <w:rPr>
            <w:rFonts w:ascii="Arial" w:cs="Arial" w:eastAsia="Arial" w:hAnsi="Arial"/>
            <w:sz w:val="18"/>
            <w:szCs w:val="18"/>
            <w:u w:val="single" w:color="auto"/>
            <w:color w:val="0000EE"/>
          </w:rPr>
          <w:t>Employment Agreement by and between the Registrant and Paul B.</w:t>
        </w:r>
      </w:hyperlink>
      <w:r>
        <w:rPr>
          <w:rFonts w:ascii="Arial" w:cs="Arial" w:eastAsia="Arial" w:hAnsi="Arial"/>
          <w:sz w:val="18"/>
          <w:szCs w:val="18"/>
          <w:u w:val="single" w:color="auto"/>
          <w:color w:val="0000EE"/>
        </w:rPr>
        <w:t xml:space="preserve"> </w:t>
      </w:r>
      <w:hyperlink r:id="rId162">
        <w:r>
          <w:rPr>
            <w:rFonts w:ascii="Arial" w:cs="Arial" w:eastAsia="Arial" w:hAnsi="Arial"/>
            <w:sz w:val="18"/>
            <w:szCs w:val="18"/>
            <w:u w:val="single" w:color="auto"/>
            <w:color w:val="0000EE"/>
          </w:rPr>
          <w:t>Bolno, M.D., dated as of December 12, 2013</w:t>
        </w:r>
      </w:hyperlink>
    </w:p>
    <w:p>
      <w:pPr>
        <w:spacing w:after="0" w:line="76" w:lineRule="exact"/>
        <w:rPr>
          <w:sz w:val="20"/>
          <w:szCs w:val="20"/>
          <w:color w:val="auto"/>
        </w:rPr>
      </w:pPr>
    </w:p>
    <w:p>
      <w:pPr>
        <w:ind w:left="960" w:right="8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63">
        <w:r>
          <w:rPr>
            <w:rFonts w:ascii="Arial" w:cs="Arial" w:eastAsia="Arial" w:hAnsi="Arial"/>
            <w:sz w:val="18"/>
            <w:szCs w:val="18"/>
            <w:u w:val="single" w:color="auto"/>
            <w:color w:val="0000EE"/>
          </w:rPr>
          <w:t>Offer Letter by and between the Registrant and Chandra Vargeese, Ph.D.,</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dated as of July 2, 2014</w:t>
        </w:r>
      </w:hyperlink>
    </w:p>
    <w:p>
      <w:pPr>
        <w:spacing w:after="0" w:line="76" w:lineRule="exact"/>
        <w:rPr>
          <w:sz w:val="20"/>
          <w:szCs w:val="20"/>
          <w:color w:val="auto"/>
        </w:rPr>
      </w:pPr>
    </w:p>
    <w:p>
      <w:pPr>
        <w:ind w:left="960" w:right="44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64">
        <w:r>
          <w:rPr>
            <w:rFonts w:ascii="Arial" w:cs="Arial" w:eastAsia="Arial" w:hAnsi="Arial"/>
            <w:sz w:val="18"/>
            <w:szCs w:val="18"/>
            <w:u w:val="single" w:color="auto"/>
            <w:color w:val="0000EE"/>
          </w:rPr>
          <w:t>Offer Letter by and between the Registrant and Christopher Francis,</w:t>
        </w:r>
      </w:hyperlink>
      <w:r>
        <w:rPr>
          <w:rFonts w:ascii="Arial" w:cs="Arial" w:eastAsia="Arial" w:hAnsi="Arial"/>
          <w:sz w:val="18"/>
          <w:szCs w:val="18"/>
          <w:u w:val="single" w:color="auto"/>
          <w:color w:val="0000EE"/>
        </w:rPr>
        <w:t xml:space="preserve"> </w:t>
      </w:r>
      <w:hyperlink r:id="rId164">
        <w:r>
          <w:rPr>
            <w:rFonts w:ascii="Arial" w:cs="Arial" w:eastAsia="Arial" w:hAnsi="Arial"/>
            <w:sz w:val="18"/>
            <w:szCs w:val="18"/>
            <w:u w:val="single" w:color="auto"/>
            <w:color w:val="0000EE"/>
          </w:rPr>
          <w:t>Ph.D., dated as of March 10, 2014</w:t>
        </w:r>
      </w:hyperlink>
    </w:p>
    <w:p>
      <w:pPr>
        <w:spacing w:after="0" w:line="76" w:lineRule="exact"/>
        <w:rPr>
          <w:sz w:val="20"/>
          <w:szCs w:val="20"/>
          <w:color w:val="auto"/>
        </w:rPr>
      </w:pPr>
    </w:p>
    <w:p>
      <w:pPr>
        <w:ind w:left="960" w:right="28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65">
        <w:r>
          <w:rPr>
            <w:rFonts w:ascii="Arial" w:cs="Arial" w:eastAsia="Arial" w:hAnsi="Arial"/>
            <w:sz w:val="18"/>
            <w:szCs w:val="18"/>
            <w:u w:val="single" w:color="auto"/>
            <w:color w:val="0000EE"/>
          </w:rPr>
          <w:t>Employment Agreement between the Registrant and Michael Panzara,</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M.D. dated as of July 11, 2016</w:t>
        </w:r>
      </w:hyperlink>
    </w:p>
    <w:p>
      <w:pPr>
        <w:spacing w:after="0" w:line="76" w:lineRule="exact"/>
        <w:rPr>
          <w:sz w:val="20"/>
          <w:szCs w:val="20"/>
          <w:color w:val="auto"/>
        </w:rPr>
      </w:pPr>
    </w:p>
    <w:p>
      <w:pPr>
        <w:ind w:left="960" w:right="20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66">
        <w:r>
          <w:rPr>
            <w:rFonts w:ascii="Arial" w:cs="Arial" w:eastAsia="Arial" w:hAnsi="Arial"/>
            <w:sz w:val="18"/>
            <w:szCs w:val="18"/>
            <w:u w:val="single" w:color="auto"/>
            <w:color w:val="0000EE"/>
          </w:rPr>
          <w:t>Employment Agreement between the Registrant and Keith C. Regnante</w:t>
        </w:r>
      </w:hyperlink>
      <w:r>
        <w:rPr>
          <w:rFonts w:ascii="Arial" w:cs="Arial" w:eastAsia="Arial" w:hAnsi="Arial"/>
          <w:sz w:val="18"/>
          <w:szCs w:val="18"/>
          <w:u w:val="single" w:color="auto"/>
          <w:color w:val="0000EE"/>
        </w:rPr>
        <w:t xml:space="preserve"> </w:t>
      </w:r>
      <w:hyperlink r:id="rId166">
        <w:r>
          <w:rPr>
            <w:rFonts w:ascii="Arial" w:cs="Arial" w:eastAsia="Arial" w:hAnsi="Arial"/>
            <w:sz w:val="18"/>
            <w:szCs w:val="18"/>
            <w:u w:val="single" w:color="auto"/>
            <w:color w:val="0000EE"/>
          </w:rPr>
          <w:t>dated as of August 16, 2016</w:t>
        </w:r>
      </w:hyperlink>
    </w:p>
    <w:p>
      <w:pPr>
        <w:spacing w:after="0" w:line="76"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67">
        <w:r>
          <w:rPr>
            <w:rFonts w:ascii="Arial" w:cs="Arial" w:eastAsia="Arial" w:hAnsi="Arial"/>
            <w:sz w:val="16"/>
            <w:szCs w:val="16"/>
            <w:u w:val="single" w:color="auto"/>
            <w:color w:val="0000EE"/>
          </w:rPr>
          <w:t>Non-Employee Director Compensation Policy effective as of November</w:t>
        </w:r>
      </w:hyperlink>
    </w:p>
    <w:p>
      <w:pPr>
        <w:spacing w:after="0" w:line="23" w:lineRule="exact"/>
        <w:rPr>
          <w:sz w:val="20"/>
          <w:szCs w:val="20"/>
          <w:color w:val="auto"/>
        </w:rPr>
      </w:pPr>
    </w:p>
    <w:p>
      <w:pPr>
        <w:ind w:left="960"/>
        <w:spacing w:after="0"/>
        <w:rPr>
          <w:rFonts w:ascii="Arial" w:cs="Arial" w:eastAsia="Arial" w:hAnsi="Arial"/>
          <w:sz w:val="18"/>
          <w:szCs w:val="18"/>
          <w:u w:val="single" w:color="auto"/>
          <w:color w:val="0000EE"/>
        </w:rPr>
      </w:pPr>
      <w:hyperlink r:id="rId167">
        <w:r>
          <w:rPr>
            <w:rFonts w:ascii="Arial" w:cs="Arial" w:eastAsia="Arial" w:hAnsi="Arial"/>
            <w:sz w:val="18"/>
            <w:szCs w:val="18"/>
            <w:u w:val="single" w:color="auto"/>
            <w:color w:val="0000EE"/>
          </w:rPr>
          <w:t>10, 2016.</w:t>
        </w:r>
      </w:hyperlink>
    </w:p>
    <w:p>
      <w:pPr>
        <w:spacing w:after="0" w:line="116" w:lineRule="exact"/>
        <w:rPr>
          <w:sz w:val="20"/>
          <w:szCs w:val="20"/>
          <w:color w:val="auto"/>
        </w:rPr>
      </w:pPr>
    </w:p>
    <w:p>
      <w:pPr>
        <w:jc w:val="right"/>
        <w:ind w:right="4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10.17+     </w:t>
      </w:r>
      <w:hyperlink r:id="rId168">
        <w:r>
          <w:rPr>
            <w:rFonts w:ascii="Arial" w:cs="Arial" w:eastAsia="Arial" w:hAnsi="Arial"/>
            <w:sz w:val="18"/>
            <w:szCs w:val="18"/>
            <w:u w:val="single" w:color="auto"/>
            <w:color w:val="0000EE"/>
          </w:rPr>
          <w:t>Consulting Agreement by and between Ontorii, Inc. (now Wave Life</w:t>
        </w:r>
      </w:hyperlink>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EE"/>
          </w:rPr>
          <w:t>Sciences USA, Inc.) and Gregory Verdine, dated as of April 1, 2012</w:t>
        </w:r>
      </w:hyperlink>
    </w:p>
    <w:p>
      <w:pPr>
        <w:spacing w:after="0" w:line="76" w:lineRule="exact"/>
        <w:rPr>
          <w:sz w:val="20"/>
          <w:szCs w:val="20"/>
          <w:color w:val="auto"/>
        </w:rPr>
      </w:pPr>
    </w:p>
    <w:p>
      <w:pPr>
        <w:ind w:left="960" w:right="360" w:hanging="958"/>
        <w:spacing w:after="0" w:line="264"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69">
        <w:r>
          <w:rPr>
            <w:rFonts w:ascii="Arial" w:cs="Arial" w:eastAsia="Arial" w:hAnsi="Arial"/>
            <w:sz w:val="18"/>
            <w:szCs w:val="18"/>
            <w:u w:val="single" w:color="auto"/>
            <w:color w:val="0000EE"/>
          </w:rPr>
          <w:t>Nominee Director Fee Agreement by and between the Registrant and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Miura &amp; Associates Management Consultants Pte. Ltd., dated as of</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October 23, 2012</w:t>
        </w:r>
      </w:hyperlink>
    </w:p>
    <w:p>
      <w:pPr>
        <w:spacing w:after="0" w:line="204"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b w:val="1"/>
          <w:bCs w:val="1"/>
          <w:u w:val="single" w:color="auto"/>
          <w:color w:val="auto"/>
        </w:rPr>
        <w:t>Equity and Other Compensation Plans</w:t>
      </w:r>
    </w:p>
    <w:p>
      <w:pPr>
        <w:spacing w:after="0" w:line="162" w:lineRule="exact"/>
        <w:rPr>
          <w:rFonts w:ascii="Arial" w:cs="Arial" w:eastAsia="Arial" w:hAnsi="Arial"/>
          <w:sz w:val="18"/>
          <w:szCs w:val="18"/>
          <w:u w:val="single" w:color="auto"/>
          <w:color w:val="0000EE"/>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70">
        <w:r>
          <w:rPr>
            <w:rFonts w:ascii="Arial" w:cs="Arial" w:eastAsia="Arial" w:hAnsi="Arial"/>
            <w:sz w:val="16"/>
            <w:szCs w:val="16"/>
            <w:u w:val="single" w:color="auto"/>
            <w:color w:val="0000EE"/>
          </w:rPr>
          <w:t>Wave Life Sciences Ltd. 2014 Equity Incentive Plan, as amended</w:t>
        </w:r>
      </w:hyperlink>
    </w:p>
    <w:p>
      <w:pPr>
        <w:spacing w:after="0" w:line="347" w:lineRule="exact"/>
        <w:rPr>
          <w:rFonts w:ascii="Arial" w:cs="Arial" w:eastAsia="Arial" w:hAnsi="Arial"/>
          <w:sz w:val="18"/>
          <w:szCs w:val="18"/>
          <w:u w:val="single" w:color="auto"/>
          <w:color w:val="0000EE"/>
        </w:rPr>
      </w:pPr>
    </w:p>
    <w:p>
      <w:pPr>
        <w:ind w:left="960" w:right="22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71">
        <w:r>
          <w:rPr>
            <w:rFonts w:ascii="Arial" w:cs="Arial" w:eastAsia="Arial" w:hAnsi="Arial"/>
            <w:sz w:val="18"/>
            <w:szCs w:val="18"/>
            <w:u w:val="single" w:color="auto"/>
            <w:color w:val="0000EE"/>
          </w:rPr>
          <w:t>Form of Non-qualified Share Option Agreement under the 2014 Equity</w:t>
        </w:r>
      </w:hyperlink>
      <w:r>
        <w:rPr>
          <w:rFonts w:ascii="Arial" w:cs="Arial" w:eastAsia="Arial" w:hAnsi="Arial"/>
          <w:sz w:val="18"/>
          <w:szCs w:val="18"/>
          <w:u w:val="single" w:color="auto"/>
          <w:color w:val="0000EE"/>
        </w:rPr>
        <w:t xml:space="preserve"> </w:t>
      </w:r>
      <w:hyperlink r:id="rId171">
        <w:r>
          <w:rPr>
            <w:rFonts w:ascii="Arial" w:cs="Arial" w:eastAsia="Arial" w:hAnsi="Arial"/>
            <w:sz w:val="18"/>
            <w:szCs w:val="18"/>
            <w:u w:val="single" w:color="auto"/>
            <w:color w:val="0000EE"/>
          </w:rPr>
          <w:t>Incentive Plan, as amended</w:t>
        </w:r>
      </w:hyperlink>
    </w:p>
    <w:p>
      <w:pPr>
        <w:spacing w:after="0" w:line="76" w:lineRule="exact"/>
        <w:rPr>
          <w:sz w:val="20"/>
          <w:szCs w:val="20"/>
          <w:color w:val="auto"/>
        </w:rPr>
      </w:pPr>
    </w:p>
    <w:p>
      <w:pPr>
        <w:ind w:left="960" w:right="56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72">
        <w:r>
          <w:rPr>
            <w:rFonts w:ascii="Arial" w:cs="Arial" w:eastAsia="Arial" w:hAnsi="Arial"/>
            <w:sz w:val="18"/>
            <w:szCs w:val="18"/>
            <w:u w:val="single" w:color="auto"/>
            <w:color w:val="0000EE"/>
          </w:rPr>
          <w:t>Form of Incentive Share Option Agreement under the 2014 Equity</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Incentive Plan, as amended</w:t>
        </w:r>
      </w:hyperlink>
    </w:p>
    <w:p>
      <w:pPr>
        <w:spacing w:after="0" w:line="76" w:lineRule="exact"/>
        <w:rPr>
          <w:sz w:val="20"/>
          <w:szCs w:val="20"/>
          <w:color w:val="auto"/>
        </w:rPr>
      </w:pPr>
    </w:p>
    <w:p>
      <w:pPr>
        <w:ind w:left="960" w:right="68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73">
        <w:r>
          <w:rPr>
            <w:rFonts w:ascii="Arial" w:cs="Arial" w:eastAsia="Arial" w:hAnsi="Arial"/>
            <w:sz w:val="18"/>
            <w:szCs w:val="18"/>
            <w:u w:val="single" w:color="auto"/>
            <w:color w:val="0000EE"/>
          </w:rPr>
          <w:t>Form of Restricted Share Unit Agreement under the 2014 Equity</w:t>
        </w:r>
      </w:hyperlink>
      <w:r>
        <w:rPr>
          <w:rFonts w:ascii="Arial" w:cs="Arial" w:eastAsia="Arial" w:hAnsi="Arial"/>
          <w:sz w:val="18"/>
          <w:szCs w:val="18"/>
          <w:u w:val="single" w:color="auto"/>
          <w:color w:val="0000EE"/>
        </w:rPr>
        <w:t xml:space="preserve"> </w:t>
      </w:r>
      <w:hyperlink r:id="rId173">
        <w:r>
          <w:rPr>
            <w:rFonts w:ascii="Arial" w:cs="Arial" w:eastAsia="Arial" w:hAnsi="Arial"/>
            <w:sz w:val="18"/>
            <w:szCs w:val="18"/>
            <w:u w:val="single" w:color="auto"/>
            <w:color w:val="0000EE"/>
          </w:rPr>
          <w:t>Incentive Plan, as amended</w:t>
        </w:r>
      </w:hyperlink>
    </w:p>
    <w:p>
      <w:pPr>
        <w:spacing w:after="0" w:line="2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Filed</w:t>
            </w:r>
          </w:p>
        </w:tc>
        <w:tc>
          <w:tcPr>
            <w:tcW w:w="1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Incorporated by</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with</w:t>
            </w:r>
          </w:p>
        </w:tc>
        <w:tc>
          <w:tcPr>
            <w:tcW w:w="1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this</w:t>
            </w:r>
          </w:p>
        </w:tc>
        <w:tc>
          <w:tcPr>
            <w:tcW w:w="1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640" w:type="dxa"/>
            <w:vAlign w:val="bottom"/>
            <w:vMerge w:val="restart"/>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317"/>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01/06/2017</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809"/>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10.10)</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Form10-Q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38"/>
        </w:trPr>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10.11)</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10.12)</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10.14)</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10.15)</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10.4)</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10.5)</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Form 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11/10/2016</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10.16)</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Form S-1</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10.17)</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207379</w:t>
            </w:r>
          </w:p>
        </w:tc>
        <w:tc>
          <w:tcPr>
            <w:tcW w:w="0" w:type="dxa"/>
            <w:vAlign w:val="bottom"/>
          </w:tcPr>
          <w:p>
            <w:pPr>
              <w:spacing w:after="0"/>
              <w:rPr>
                <w:sz w:val="1"/>
                <w:szCs w:val="1"/>
                <w:color w:val="auto"/>
              </w:rPr>
            </w:pPr>
          </w:p>
        </w:tc>
      </w:tr>
      <w:tr>
        <w:trPr>
          <w:trHeight w:val="1026"/>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10.2)</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10.3)</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Form 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4"/>
              </w:rPr>
              <w:t>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10.4)</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37627</w:t>
            </w:r>
          </w:p>
        </w:tc>
        <w:tc>
          <w:tcPr>
            <w:tcW w:w="0" w:type="dxa"/>
            <w:vAlign w:val="bottom"/>
          </w:tcPr>
          <w:p>
            <w:pPr>
              <w:spacing w:after="0"/>
              <w:rPr>
                <w:sz w:val="1"/>
                <w:szCs w:val="1"/>
                <w:color w:val="auto"/>
              </w:rPr>
            </w:pPr>
          </w:p>
        </w:tc>
      </w:tr>
    </w:tbl>
    <w:p>
      <w:pPr>
        <w:sectPr>
          <w:pgSz w:w="11900" w:h="16838" w:orient="portrait"/>
          <w:cols w:equalWidth="0" w:num="2">
            <w:col w:w="6320" w:space="60"/>
            <w:col w:w="5040"/>
          </w:cols>
          <w:pgMar w:left="240" w:top="104" w:right="239" w:bottom="1440" w:gutter="0" w:footer="0" w:header="0"/>
        </w:sectPr>
      </w:pPr>
    </w:p>
    <w:bookmarkStart w:id="100" w:name="page101"/>
    <w:bookmarkEnd w:id="100"/>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60" w:type="dxa"/>
            <w:vAlign w:val="bottom"/>
            <w:gridSpan w:val="10"/>
            <w:vMerge w:val="restart"/>
          </w:tcPr>
          <w:p>
            <w:pPr>
              <w:ind w:left="12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0" w:type="dxa"/>
            <w:vAlign w:val="bottom"/>
          </w:tcPr>
          <w:p>
            <w:pPr>
              <w:spacing w:after="0" w:line="170" w:lineRule="exact"/>
              <w:rPr>
                <w:sz w:val="20"/>
                <w:szCs w:val="20"/>
                <w:color w:val="auto"/>
              </w:rPr>
            </w:pPr>
            <w:r>
              <w:rPr>
                <w:rFonts w:ascii="Arial" w:cs="Arial" w:eastAsia="Arial" w:hAnsi="Arial"/>
                <w:sz w:val="18"/>
                <w:szCs w:val="18"/>
                <w:color w:val="auto"/>
              </w:rPr>
              <w:t>10.23+</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20" w:type="dxa"/>
            <w:vAlign w:val="bottom"/>
            <w:tcBorders>
              <w:bottom w:val="single" w:sz="8" w:color="0000EE"/>
            </w:tcBorders>
            <w:gridSpan w:val="6"/>
          </w:tcPr>
          <w:p>
            <w:pPr>
              <w:spacing w:after="0" w:line="170"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Form of Non-qualified Share Option Agreement for UK Participants</w:t>
              </w:r>
            </w:hyperlink>
          </w:p>
        </w:tc>
        <w:tc>
          <w:tcPr>
            <w:tcW w:w="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75">
              <w:r>
                <w:rPr>
                  <w:rFonts w:ascii="Arial" w:cs="Arial" w:eastAsia="Arial" w:hAnsi="Arial"/>
                  <w:sz w:val="18"/>
                  <w:szCs w:val="18"/>
                  <w:color w:val="0000EE"/>
                  <w:w w:val="89"/>
                </w:rPr>
                <w:t>under the 2014 Equity Incentive Plan, as amended</w:t>
              </w:r>
            </w:hyperlink>
          </w:p>
        </w:tc>
        <w:tc>
          <w:tcPr>
            <w:tcW w:w="17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26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34">
              <w:r>
                <w:rPr>
                  <w:rFonts w:ascii="Arial" w:cs="Arial" w:eastAsia="Arial" w:hAnsi="Arial"/>
                  <w:sz w:val="18"/>
                  <w:szCs w:val="18"/>
                  <w:color w:val="0000EE"/>
                  <w:w w:val="90"/>
                </w:rPr>
                <w:t>List of Subsidiaries of the Registrant</w:t>
              </w:r>
            </w:hyperlink>
          </w:p>
        </w:tc>
        <w:tc>
          <w:tcPr>
            <w:tcW w:w="2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00" w:type="dxa"/>
            <w:vAlign w:val="bottom"/>
            <w:gridSpan w:val="2"/>
          </w:tcPr>
          <w:p>
            <w:pPr>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4"/>
                <w:szCs w:val="24"/>
                <w:color w:val="auto"/>
              </w:rPr>
            </w:pPr>
          </w:p>
        </w:tc>
        <w:tc>
          <w:tcPr>
            <w:tcW w:w="43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35">
              <w:r>
                <w:rPr>
                  <w:rFonts w:ascii="Arial" w:cs="Arial" w:eastAsia="Arial" w:hAnsi="Arial"/>
                  <w:sz w:val="18"/>
                  <w:szCs w:val="18"/>
                  <w:color w:val="0000EE"/>
                  <w:w w:val="90"/>
                </w:rPr>
                <w:t>Consent of Independent Registered Public Accounting Firm</w:t>
              </w:r>
            </w:hyperlink>
          </w:p>
        </w:tc>
        <w:tc>
          <w:tcPr>
            <w:tcW w:w="1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4"/>
                <w:szCs w:val="24"/>
                <w:color w:val="auto"/>
              </w:rPr>
            </w:pPr>
          </w:p>
        </w:tc>
        <w:tc>
          <w:tcPr>
            <w:tcW w:w="520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Power of Attorney (included on signature page to this Annual Report on</w:t>
              </w:r>
            </w:hyperlink>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Form 10-K)</w:t>
              </w:r>
            </w:hyperlink>
          </w:p>
        </w:tc>
        <w:tc>
          <w:tcPr>
            <w:tcW w:w="4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0000EE"/>
                <w:w w:val="94"/>
              </w:rPr>
            </w:pPr>
            <w:hyperlink w:anchor="page136">
              <w:r>
                <w:rPr>
                  <w:rFonts w:ascii="Arial" w:cs="Arial" w:eastAsia="Arial" w:hAnsi="Arial"/>
                  <w:sz w:val="18"/>
                  <w:szCs w:val="18"/>
                  <w:color w:val="0000EE"/>
                  <w:w w:val="94"/>
                </w:rPr>
                <w:t>Certifications of Principal Executive Officer pursuant to Rule 13a-14(a)</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137">
              <w:r>
                <w:rPr>
                  <w:rFonts w:ascii="Arial" w:cs="Arial" w:eastAsia="Arial" w:hAnsi="Arial"/>
                  <w:sz w:val="18"/>
                  <w:szCs w:val="18"/>
                  <w:color w:val="0000EE"/>
                  <w:w w:val="92"/>
                </w:rPr>
                <w:t>Certifications of Principal Financial Officer pursuant to Rule 13a-14(a)</w:t>
              </w:r>
            </w:hyperlink>
          </w:p>
        </w:tc>
        <w:tc>
          <w:tcPr>
            <w:tcW w:w="40" w:type="dxa"/>
            <w:vAlign w:val="bottom"/>
            <w:tcBorders>
              <w:top w:val="single" w:sz="8" w:color="0000EE"/>
            </w:tcBorders>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5320" w:type="dxa"/>
            <w:vAlign w:val="bottom"/>
            <w:gridSpan w:val="12"/>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Certification pursuant to 18 U.S.C. Section 1350, as adopted pursuant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Section 906 of the Sarbanes-Oxley Act of 2002, by Principal Executive</w:t>
              </w:r>
            </w:hyperlink>
          </w:p>
        </w:tc>
        <w:tc>
          <w:tcPr>
            <w:tcW w:w="6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12"/>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Officer and Principal Financial Officer.</w:t>
              </w:r>
            </w:hyperlink>
          </w:p>
        </w:tc>
        <w:tc>
          <w:tcPr>
            <w:tcW w:w="0" w:type="dxa"/>
            <w:vAlign w:val="bottom"/>
          </w:tcPr>
          <w:p>
            <w:pPr>
              <w:spacing w:after="0"/>
              <w:rPr>
                <w:sz w:val="1"/>
                <w:szCs w:val="1"/>
                <w:color w:val="auto"/>
              </w:rPr>
            </w:pPr>
          </w:p>
        </w:tc>
      </w:tr>
      <w:tr>
        <w:trPr>
          <w:trHeight w:val="358"/>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4"/>
                <w:szCs w:val="24"/>
                <w:color w:val="auto"/>
              </w:rPr>
            </w:pPr>
          </w:p>
        </w:tc>
        <w:tc>
          <w:tcPr>
            <w:tcW w:w="28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2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65"/>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5"/>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65"/>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24"/>
                <w:szCs w:val="24"/>
                <w:color w:val="auto"/>
              </w:rPr>
            </w:pPr>
          </w:p>
        </w:tc>
        <w:tc>
          <w:tcPr>
            <w:tcW w:w="53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Incorporated by</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this</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1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Filing Date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Report</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Schedule</w:t>
            </w:r>
          </w:p>
        </w:tc>
        <w:tc>
          <w:tcPr>
            <w:tcW w:w="1180" w:type="dxa"/>
            <w:vAlign w:val="bottom"/>
            <w:gridSpan w:val="2"/>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95"/>
        </w:trPr>
        <w:tc>
          <w:tcPr>
            <w:tcW w:w="7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Form 10-Q</w:t>
            </w:r>
          </w:p>
        </w:tc>
        <w:tc>
          <w:tcPr>
            <w:tcW w:w="60" w:type="dxa"/>
            <w:vAlign w:val="bottom"/>
          </w:tcPr>
          <w:p>
            <w:pPr>
              <w:spacing w:after="0"/>
              <w:rPr>
                <w:sz w:val="16"/>
                <w:szCs w:val="16"/>
                <w:color w:val="auto"/>
              </w:rPr>
            </w:pPr>
          </w:p>
        </w:tc>
        <w:tc>
          <w:tcPr>
            <w:tcW w:w="1120" w:type="dxa"/>
            <w:vAlign w:val="bottom"/>
            <w:tcBorders>
              <w:top w:val="single" w:sz="8" w:color="auto"/>
            </w:tcBorders>
          </w:tcPr>
          <w:p>
            <w:pPr>
              <w:jc w:val="right"/>
              <w:ind w:right="79"/>
              <w:spacing w:after="0" w:line="195" w:lineRule="exact"/>
              <w:rPr>
                <w:sz w:val="20"/>
                <w:szCs w:val="20"/>
                <w:color w:val="auto"/>
              </w:rPr>
            </w:pPr>
            <w:r>
              <w:rPr>
                <w:rFonts w:ascii="Arial" w:cs="Arial" w:eastAsia="Arial" w:hAnsi="Arial"/>
                <w:sz w:val="18"/>
                <w:szCs w:val="18"/>
                <w:color w:val="auto"/>
              </w:rPr>
              <w:t>11/09/2017</w:t>
            </w:r>
          </w:p>
        </w:tc>
        <w:tc>
          <w:tcPr>
            <w:tcW w:w="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10.5)</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80" w:space="80"/>
            <w:col w:w="5060"/>
          </w:cols>
          <w:pgMar w:left="240" w:top="104" w:right="239" w:bottom="1440" w:gutter="0" w:footer="0" w:header="0"/>
        </w:sectPr>
      </w:pPr>
    </w:p>
    <w:p>
      <w:pPr>
        <w:spacing w:after="0" w:line="2" w:lineRule="exact"/>
        <w:rPr>
          <w:sz w:val="20"/>
          <w:szCs w:val="20"/>
          <w:color w:val="auto"/>
        </w:rPr>
      </w:pPr>
    </w:p>
    <w:p>
      <w:pPr>
        <w:ind w:left="520" w:right="60" w:hanging="512"/>
        <w:spacing w:after="0" w:line="259"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 attached as Exhibit 32 that accompanies this Annual Report on Form 10-K is not deemed filed with the Securities and Exchange Commission and is not to be incorporated by reference into any filing of Wave Life Sciences Ltd. under the Securities Act of 1933, as amended, or the Securities Exchange Act of 1934, as amended, whether made before or after the date of this Form 10-K, irrespective of any general incorporation language contained in such filing.</w:t>
      </w:r>
    </w:p>
    <w:p>
      <w:pPr>
        <w:spacing w:after="0" w:line="79"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20" w:right="80" w:hanging="512"/>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31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type w:val="continuous"/>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7180" w:type="dxa"/>
            <w:vAlign w:val="bottom"/>
            <w:gridSpan w:val="2"/>
          </w:tcPr>
          <w:p>
            <w:pPr>
              <w:ind w:left="2640"/>
              <w:spacing w:after="0"/>
              <w:rPr>
                <w:sz w:val="20"/>
                <w:szCs w:val="20"/>
                <w:color w:val="auto"/>
              </w:rPr>
            </w:pPr>
            <w:r>
              <w:rPr>
                <w:rFonts w:ascii="Arial" w:cs="Arial" w:eastAsia="Arial" w:hAnsi="Arial"/>
                <w:sz w:val="18"/>
                <w:szCs w:val="18"/>
                <w:color w:val="auto"/>
              </w:rPr>
              <w:t>Wave Life Sciences Ltd.</w:t>
            </w:r>
          </w:p>
        </w:tc>
      </w:tr>
      <w:tr>
        <w:trPr>
          <w:trHeight w:val="459"/>
        </w:trPr>
        <w:tc>
          <w:tcPr>
            <w:tcW w:w="4240" w:type="dxa"/>
            <w:vAlign w:val="bottom"/>
          </w:tcPr>
          <w:p>
            <w:pPr>
              <w:spacing w:after="0"/>
              <w:rPr>
                <w:sz w:val="20"/>
                <w:szCs w:val="20"/>
                <w:color w:val="auto"/>
              </w:rPr>
            </w:pPr>
            <w:r>
              <w:rPr>
                <w:rFonts w:ascii="Arial" w:cs="Arial" w:eastAsia="Arial" w:hAnsi="Arial"/>
                <w:sz w:val="18"/>
                <w:szCs w:val="18"/>
                <w:color w:val="auto"/>
              </w:rPr>
              <w:t>Date: March 12, 2018</w:t>
            </w:r>
          </w:p>
        </w:tc>
        <w:tc>
          <w:tcPr>
            <w:tcW w:w="7180" w:type="dxa"/>
            <w:vAlign w:val="bottom"/>
            <w:gridSpan w:val="2"/>
          </w:tcPr>
          <w:p>
            <w:pPr>
              <w:ind w:left="2640"/>
              <w:spacing w:after="0"/>
              <w:rPr>
                <w:sz w:val="20"/>
                <w:szCs w:val="20"/>
                <w:color w:val="auto"/>
              </w:rPr>
            </w:pPr>
            <w:r>
              <w:rPr>
                <w:rFonts w:ascii="Arial" w:cs="Arial" w:eastAsia="Arial" w:hAnsi="Arial"/>
                <w:sz w:val="18"/>
                <w:szCs w:val="18"/>
                <w:color w:val="auto"/>
              </w:rPr>
              <w:t>By:  /s/ Paul B. Bolno, M.D.</w:t>
            </w:r>
          </w:p>
        </w:tc>
      </w:tr>
      <w:tr>
        <w:trPr>
          <w:trHeight w:val="195"/>
        </w:trPr>
        <w:tc>
          <w:tcPr>
            <w:tcW w:w="42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B. Bolno, M.D.</w:t>
            </w:r>
          </w:p>
        </w:tc>
      </w:tr>
      <w:tr>
        <w:trPr>
          <w:trHeight w:val="230"/>
        </w:trPr>
        <w:tc>
          <w:tcPr>
            <w:tcW w:w="4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Paul B. Bolno, M.D. with full power of substitution and resubstitution and full power to act, as his true and lawful attorney-in-fact and agent to act in his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attorney-in-fact and agent, full power and authority to do and perform each and every act and thing, ratifying and confirming all that said attorney-in-fact and agent or his substitute or substitutes may lawfully do or cause to be done by virtue thereof.</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50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426"/>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B. Bolno, M.D.</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Paul B. Bolno, M.D.</w:t>
            </w:r>
          </w:p>
        </w:tc>
        <w:tc>
          <w:tcPr>
            <w:tcW w:w="18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Keith C. Regnante</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196"/>
        </w:trPr>
        <w:tc>
          <w:tcPr>
            <w:tcW w:w="3560" w:type="dxa"/>
            <w:vAlign w:val="bottom"/>
          </w:tcPr>
          <w:p>
            <w:pPr>
              <w:ind w:left="100"/>
              <w:spacing w:after="0" w:line="196" w:lineRule="exact"/>
              <w:rPr>
                <w:sz w:val="20"/>
                <w:szCs w:val="20"/>
                <w:color w:val="auto"/>
              </w:rPr>
            </w:pPr>
            <w:r>
              <w:rPr>
                <w:rFonts w:ascii="Arial" w:cs="Arial" w:eastAsia="Arial" w:hAnsi="Arial"/>
                <w:sz w:val="18"/>
                <w:szCs w:val="18"/>
                <w:color w:val="auto"/>
              </w:rPr>
              <w:t>Keith C. Regnante</w:t>
            </w:r>
          </w:p>
        </w:tc>
        <w:tc>
          <w:tcPr>
            <w:tcW w:w="180" w:type="dxa"/>
            <w:vAlign w:val="bottom"/>
          </w:tcPr>
          <w:p>
            <w:pPr>
              <w:spacing w:after="0"/>
              <w:rPr>
                <w:sz w:val="17"/>
                <w:szCs w:val="17"/>
                <w:color w:val="auto"/>
              </w:rPr>
            </w:pPr>
          </w:p>
        </w:tc>
        <w:tc>
          <w:tcPr>
            <w:tcW w:w="520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Christian Henry</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c>
          <w:tcPr>
            <w:tcW w:w="2480" w:type="dxa"/>
            <w:vAlign w:val="bottom"/>
          </w:tcPr>
          <w:p>
            <w:pPr>
              <w:ind w:left="74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Christian Henry</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Gregory L. Verdine, Ph.D.</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Kolchinsky, Ph.D.</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Peter Kolchinsky, Ph.D.</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Koji Miura</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Koji Miura</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Adrian Rawcliffe</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80"/>
              <w:spacing w:after="0"/>
              <w:rPr>
                <w:sz w:val="20"/>
                <w:szCs w:val="20"/>
                <w:color w:val="auto"/>
              </w:rPr>
            </w:pPr>
            <w:r>
              <w:rPr>
                <w:rFonts w:ascii="Arial" w:cs="Arial" w:eastAsia="Arial" w:hAnsi="Arial"/>
                <w:sz w:val="18"/>
                <w:szCs w:val="18"/>
                <w:color w:val="auto"/>
              </w:rPr>
              <w:t>Adrian Rawcliffe</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 Takanashi</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660"/>
              <w:spacing w:after="0"/>
              <w:rPr>
                <w:sz w:val="20"/>
                <w:szCs w:val="20"/>
                <w:color w:val="auto"/>
              </w:rPr>
            </w:pPr>
            <w:r>
              <w:rPr>
                <w:rFonts w:ascii="Arial" w:cs="Arial" w:eastAsia="Arial" w:hAnsi="Arial"/>
                <w:sz w:val="18"/>
                <w:szCs w:val="18"/>
                <w:color w:val="auto"/>
              </w:rPr>
              <w:t>March 12, 2018</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Ken Takanashi</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64"/>
        </w:trPr>
        <w:tc>
          <w:tcPr>
            <w:tcW w:w="3560" w:type="dxa"/>
            <w:vAlign w:val="bottom"/>
          </w:tcPr>
          <w:p>
            <w:pPr>
              <w:spacing w:after="0"/>
              <w:rPr>
                <w:sz w:val="24"/>
                <w:szCs w:val="24"/>
                <w:color w:val="auto"/>
              </w:rPr>
            </w:pPr>
          </w:p>
        </w:tc>
        <w:tc>
          <w:tcPr>
            <w:tcW w:w="5220" w:type="dxa"/>
            <w:vAlign w:val="bottom"/>
            <w:gridSpan w:val="2"/>
          </w:tcPr>
          <w:p>
            <w:pPr>
              <w:jc w:val="right"/>
              <w:ind w:right="2851"/>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4"/>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0"/>
                <w:szCs w:val="20"/>
                <w:color w:val="auto"/>
              </w:rPr>
            </w:pPr>
          </w:p>
        </w:tc>
      </w:tr>
      <w:tr>
        <w:trPr>
          <w:trHeight w:val="392"/>
        </w:trPr>
        <w:tc>
          <w:tcPr>
            <w:tcW w:w="9620" w:type="dxa"/>
            <w:vAlign w:val="bottom"/>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Report of Independent Registered Public Accounting Firm</w:t>
              </w:r>
            </w:hyperlink>
          </w:p>
        </w:tc>
        <w:tc>
          <w:tcPr>
            <w:tcW w:w="1800" w:type="dxa"/>
            <w:vAlign w:val="bottom"/>
          </w:tcPr>
          <w:p>
            <w:pPr>
              <w:ind w:left="1560"/>
              <w:spacing w:after="0"/>
              <w:rPr>
                <w:sz w:val="20"/>
                <w:szCs w:val="20"/>
                <w:color w:val="auto"/>
              </w:rPr>
            </w:pPr>
            <w:r>
              <w:rPr>
                <w:rFonts w:ascii="Arial" w:cs="Arial" w:eastAsia="Arial" w:hAnsi="Arial"/>
                <w:sz w:val="18"/>
                <w:szCs w:val="18"/>
                <w:color w:val="auto"/>
                <w:w w:val="81"/>
              </w:rPr>
              <w:t>F-1</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5400" w:type="dxa"/>
            <w:vAlign w:val="bottom"/>
            <w:gridSpan w:val="2"/>
          </w:tcPr>
          <w:p>
            <w:pPr>
              <w:spacing w:after="0"/>
              <w:rPr>
                <w:sz w:val="17"/>
                <w:szCs w:val="17"/>
                <w:color w:val="auto"/>
              </w:rPr>
            </w:pPr>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9620" w:type="dxa"/>
            <w:vAlign w:val="bottom"/>
            <w:gridSpan w:val="8"/>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Consolidated Statements of Operations</w:t>
              </w:r>
            </w:hyperlink>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20" w:type="dxa"/>
            <w:vAlign w:val="bottom"/>
            <w:gridSpan w:val="8"/>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Consolidated Statements of Comprehensive Loss</w:t>
              </w:r>
            </w:hyperlink>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20" w:type="dxa"/>
            <w:vAlign w:val="bottom"/>
            <w:gridSpan w:val="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Statements of Series A Preferred Shares and Shareholders’ Equity</w:t>
              </w:r>
            </w:hyperlink>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Cash Flows</w:t>
              </w:r>
            </w:hyperlink>
          </w:p>
        </w:tc>
        <w:tc>
          <w:tcPr>
            <w:tcW w:w="2880" w:type="dxa"/>
            <w:vAlign w:val="bottom"/>
            <w:tcBorders>
              <w:top w:val="single" w:sz="8" w:color="0000EE"/>
            </w:tcBorders>
            <w:gridSpan w:val="4"/>
          </w:tcPr>
          <w:p>
            <w:pPr>
              <w:spacing w:after="0"/>
              <w:rPr>
                <w:sz w:val="17"/>
                <w:szCs w:val="17"/>
                <w:color w:val="auto"/>
              </w:rPr>
            </w:pPr>
          </w:p>
        </w:tc>
        <w:tc>
          <w:tcPr>
            <w:tcW w:w="3860" w:type="dxa"/>
            <w:vAlign w:val="bottom"/>
          </w:tcPr>
          <w:p>
            <w:pPr>
              <w:spacing w:after="0"/>
              <w:rPr>
                <w:sz w:val="17"/>
                <w:szCs w:val="17"/>
                <w:color w:val="auto"/>
              </w:rPr>
            </w:pPr>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Notes to Consolidated Financial Statements</w:t>
              </w:r>
            </w:hyperlink>
          </w:p>
        </w:tc>
        <w:tc>
          <w:tcPr>
            <w:tcW w:w="6460" w:type="dxa"/>
            <w:vAlign w:val="bottom"/>
            <w:gridSpan w:val="4"/>
          </w:tcPr>
          <w:p>
            <w:pPr>
              <w:spacing w:after="0"/>
              <w:rPr>
                <w:sz w:val="17"/>
                <w:szCs w:val="17"/>
                <w:color w:val="auto"/>
              </w:rPr>
            </w:pPr>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3" w:name="page104"/>
    <w:bookmarkEnd w:id="103"/>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Wave Life Sciences Ltd. and subsidiaries (the “Company”) as of December 31, 2017 and 2016, the related consolidated statements of operations, comprehensive loss, Series A preferred shares and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2017, in conformity with U.S. generally accepted accounting principles.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December 31,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142,503</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Long-term assets: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27,334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assets</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181,843</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Series A preferred shares and shareholders’ equity</w:t>
            </w: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7,598</w:t>
            </w:r>
          </w:p>
        </w:tc>
        <w:tc>
          <w:tcPr>
            <w:tcW w:w="28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Current portion of capital lease obligation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rent</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incentive obligation</w:t>
            </w:r>
          </w:p>
        </w:tc>
        <w:tc>
          <w:tcPr>
            <w:tcW w:w="1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19,621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Capital lease obligation, net of current portion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net of current portion</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5,607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incentive obligation, net of current portion</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1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 no par value; 3,901,348 shares issued and outstanding</w:t>
            </w:r>
          </w:p>
        </w:tc>
        <w:tc>
          <w:tcPr>
            <w:tcW w:w="10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no par value; 27,829,079 and 23,502,169 shares issued and</w:t>
            </w: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at December 31, 2017 and 2016, respectively</w:t>
            </w: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310,038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215,602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22,172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(192,512)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(90,477)</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shareholders’ equity</w:t>
            </w:r>
          </w:p>
        </w:tc>
        <w:tc>
          <w:tcPr>
            <w:tcW w:w="1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139,814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liabilities, Series A preferred shares and shareholders’ equity</w:t>
            </w:r>
          </w:p>
        </w:tc>
        <w:tc>
          <w:tcPr>
            <w:tcW w:w="1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181,843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(102,580)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(expense), net</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(101,327)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63"/>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(102,035)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(55,401)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ordinary</w:t>
            </w: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shareholders—basic and diluted</w:t>
            </w:r>
          </w:p>
        </w:tc>
        <w:tc>
          <w:tcPr>
            <w:tcW w:w="16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(3.85)</w:t>
            </w: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(2.43)</w:t>
            </w: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ordinary shares used in computing</w:t>
            </w:r>
          </w:p>
        </w:tc>
        <w:tc>
          <w:tcPr>
            <w:tcW w:w="13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net loss per share attributable to ordinary</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shareholders—basic and diluted</w:t>
            </w:r>
          </w:p>
        </w:tc>
        <w:tc>
          <w:tcPr>
            <w:tcW w:w="1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26,513,382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22,800,628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w:t>
            </w:r>
          </w:p>
        </w:tc>
        <w:tc>
          <w:tcPr>
            <w:tcW w:w="120" w:type="dxa"/>
            <w:vAlign w:val="bottom"/>
            <w:shd w:val="clear" w:color="auto" w:fill="CFF0FC"/>
          </w:tcPr>
          <w:p>
            <w:pPr>
              <w:spacing w:after="0"/>
              <w:rPr>
                <w:sz w:val="19"/>
                <w:szCs w:val="19"/>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(101,628)</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(55,733)</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(19,215)</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SERIES A PREFERRED SHARES AND SHAREHOLDERS’ EQUITY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80" w:type="dxa"/>
            <w:vAlign w:val="bottom"/>
            <w:gridSpan w:val="4"/>
          </w:tcPr>
          <w:p>
            <w:pPr>
              <w:jc w:val="center"/>
              <w:ind w:left="321"/>
              <w:spacing w:after="0"/>
              <w:rPr>
                <w:sz w:val="20"/>
                <w:szCs w:val="20"/>
                <w:color w:val="auto"/>
              </w:rPr>
            </w:pPr>
            <w:r>
              <w:rPr>
                <w:rFonts w:ascii="Arial" w:cs="Arial" w:eastAsia="Arial" w:hAnsi="Arial"/>
                <w:sz w:val="14"/>
                <w:szCs w:val="14"/>
                <w:b w:val="1"/>
                <w:bCs w:val="1"/>
                <w:color w:val="auto"/>
                <w:w w:val="82"/>
              </w:rPr>
              <w:t>Series A</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Series B</w:t>
            </w:r>
          </w:p>
        </w:tc>
        <w:tc>
          <w:tcPr>
            <w:tcW w:w="5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ind w:left="480"/>
              <w:spacing w:after="0"/>
              <w:rPr>
                <w:sz w:val="20"/>
                <w:szCs w:val="20"/>
                <w:color w:val="auto"/>
              </w:rPr>
            </w:pPr>
            <w:r>
              <w:rPr>
                <w:rFonts w:ascii="Arial" w:cs="Arial" w:eastAsia="Arial" w:hAnsi="Arial"/>
                <w:sz w:val="14"/>
                <w:szCs w:val="14"/>
                <w:b w:val="1"/>
                <w:bCs w:val="1"/>
                <w:color w:val="auto"/>
                <w:w w:val="92"/>
              </w:rPr>
              <w:t>Series A</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5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Preferred Shares</w:t>
            </w:r>
          </w:p>
        </w:tc>
        <w:tc>
          <w:tcPr>
            <w:tcW w:w="1720" w:type="dxa"/>
            <w:vAlign w:val="bottom"/>
            <w:tcBorders>
              <w:right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Preferred Shares</w:t>
            </w:r>
          </w:p>
        </w:tc>
        <w:tc>
          <w:tcPr>
            <w:tcW w:w="60" w:type="dxa"/>
            <w:vAlign w:val="bottom"/>
          </w:tcPr>
          <w:p>
            <w:pPr>
              <w:spacing w:after="0"/>
              <w:rPr>
                <w:sz w:val="14"/>
                <w:szCs w:val="14"/>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Preferred Shares</w:t>
            </w: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Ordinary Shares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r>
      <w:tr>
        <w:trPr>
          <w:trHeight w:val="143"/>
        </w:trPr>
        <w:tc>
          <w:tcPr>
            <w:tcW w:w="1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Paid-In-</w:t>
            </w:r>
          </w:p>
        </w:tc>
        <w:tc>
          <w:tcPr>
            <w:tcW w:w="1140" w:type="dxa"/>
            <w:vAlign w:val="bottom"/>
            <w:gridSpan w:val="4"/>
          </w:tcPr>
          <w:p>
            <w:pPr>
              <w:ind w:left="140"/>
              <w:spacing w:after="0" w:line="143" w:lineRule="exact"/>
              <w:rPr>
                <w:sz w:val="20"/>
                <w:szCs w:val="20"/>
                <w:color w:val="auto"/>
              </w:rPr>
            </w:pPr>
            <w:r>
              <w:rPr>
                <w:rFonts w:ascii="Arial" w:cs="Arial" w:eastAsia="Arial" w:hAnsi="Arial"/>
                <w:sz w:val="14"/>
                <w:szCs w:val="14"/>
                <w:b w:val="1"/>
                <w:bCs w:val="1"/>
                <w:color w:val="auto"/>
                <w:w w:val="93"/>
              </w:rPr>
              <w:t>Comprehensive</w:t>
            </w:r>
          </w:p>
        </w:tc>
        <w:tc>
          <w:tcPr>
            <w:tcW w:w="920" w:type="dxa"/>
            <w:vAlign w:val="bottom"/>
            <w:gridSpan w:val="4"/>
          </w:tcPr>
          <w:p>
            <w:pPr>
              <w:ind w:left="60"/>
              <w:spacing w:after="0" w:line="143" w:lineRule="exact"/>
              <w:rPr>
                <w:sz w:val="20"/>
                <w:szCs w:val="20"/>
                <w:color w:val="auto"/>
              </w:rPr>
            </w:pPr>
            <w:r>
              <w:rPr>
                <w:rFonts w:ascii="Arial" w:cs="Arial" w:eastAsia="Arial" w:hAnsi="Arial"/>
                <w:sz w:val="14"/>
                <w:szCs w:val="14"/>
                <w:b w:val="1"/>
                <w:bCs w:val="1"/>
                <w:color w:val="auto"/>
                <w:w w:val="95"/>
              </w:rPr>
              <w:t>Accumulated</w:t>
            </w:r>
          </w:p>
        </w:tc>
        <w:tc>
          <w:tcPr>
            <w:tcW w:w="940" w:type="dxa"/>
            <w:vAlign w:val="bottom"/>
            <w:gridSpan w:val="4"/>
          </w:tcPr>
          <w:p>
            <w:pPr>
              <w:jc w:val="center"/>
              <w:ind w:right="40"/>
              <w:spacing w:after="0" w:line="143" w:lineRule="exact"/>
              <w:rPr>
                <w:sz w:val="20"/>
                <w:szCs w:val="20"/>
                <w:color w:val="auto"/>
              </w:rPr>
            </w:pPr>
            <w:r>
              <w:rPr>
                <w:rFonts w:ascii="Arial" w:cs="Arial" w:eastAsia="Arial" w:hAnsi="Arial"/>
                <w:sz w:val="14"/>
                <w:szCs w:val="14"/>
                <w:b w:val="1"/>
                <w:bCs w:val="1"/>
                <w:color w:val="auto"/>
                <w:w w:val="87"/>
              </w:rPr>
              <w:t>Shareholders’</w:t>
            </w:r>
          </w:p>
        </w:tc>
      </w:tr>
      <w:tr>
        <w:trPr>
          <w:trHeight w:val="161"/>
        </w:trPr>
        <w:tc>
          <w:tcPr>
            <w:tcW w:w="1160" w:type="dxa"/>
            <w:vAlign w:val="bottom"/>
          </w:tcPr>
          <w:p>
            <w:pPr>
              <w:spacing w:after="0"/>
              <w:rPr>
                <w:sz w:val="14"/>
                <w:szCs w:val="14"/>
                <w:color w:val="auto"/>
              </w:rPr>
            </w:pPr>
          </w:p>
        </w:tc>
        <w:tc>
          <w:tcPr>
            <w:tcW w:w="74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right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540" w:type="dxa"/>
            <w:vAlign w:val="bottom"/>
          </w:tcPr>
          <w:p>
            <w:pPr>
              <w:jc w:val="right"/>
              <w:ind w:right="2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Income (Loss)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r>
      <w:tr>
        <w:trPr>
          <w:trHeight w:val="196"/>
        </w:trPr>
        <w:tc>
          <w:tcPr>
            <w:tcW w:w="1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w:t>
            </w:r>
          </w:p>
        </w:tc>
        <w:tc>
          <w:tcPr>
            <w:tcW w:w="7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1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2014</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3,901,348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7,874</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4,263,472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(15,876)</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w:t>
            </w:r>
          </w:p>
        </w:tc>
        <w:tc>
          <w:tcPr>
            <w:tcW w:w="80" w:type="dxa"/>
            <w:vAlign w:val="bottom"/>
            <w:shd w:val="clear" w:color="auto" w:fill="CFF0FC"/>
          </w:tcPr>
          <w:p>
            <w:pPr>
              <w:spacing w:after="0"/>
              <w:rPr>
                <w:sz w:val="18"/>
                <w:szCs w:val="18"/>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Issuance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w w:val="99"/>
              </w:rPr>
              <w:t>ordinary shares,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net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ind w:left="120"/>
              <w:spacing w:after="0"/>
              <w:rPr>
                <w:sz w:val="20"/>
                <w:szCs w:val="20"/>
                <w:color w:val="auto"/>
              </w:rPr>
            </w:pPr>
            <w:r>
              <w:rPr>
                <w:rFonts w:ascii="Arial" w:cs="Arial" w:eastAsia="Arial" w:hAnsi="Arial"/>
                <w:sz w:val="16"/>
                <w:szCs w:val="16"/>
                <w:color w:val="auto"/>
                <w:w w:val="97"/>
              </w:rPr>
              <w:t>issuance costs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of $169</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4,769,077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11,631</w:t>
            </w:r>
          </w:p>
        </w:tc>
        <w:tc>
          <w:tcPr>
            <w:tcW w:w="80" w:type="dxa"/>
            <w:vAlign w:val="bottom"/>
          </w:tcPr>
          <w:p>
            <w:pPr>
              <w:spacing w:after="0"/>
              <w:rPr>
                <w:sz w:val="18"/>
                <w:szCs w:val="18"/>
                <w:color w:val="auto"/>
              </w:rPr>
            </w:pPr>
          </w:p>
        </w:tc>
      </w:tr>
      <w:tr>
        <w:trPr>
          <w:trHeight w:val="20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Share-based</w:t>
            </w: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compensation</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190,856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4,024</w:t>
            </w:r>
          </w:p>
        </w:tc>
        <w:tc>
          <w:tcPr>
            <w:tcW w:w="80" w:type="dxa"/>
            <w:vAlign w:val="bottom"/>
            <w:shd w:val="clear" w:color="auto" w:fill="CFF0FC"/>
          </w:tcPr>
          <w:p>
            <w:pPr>
              <w:spacing w:after="0"/>
              <w:rPr>
                <w:sz w:val="18"/>
                <w:szCs w:val="18"/>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Issuance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Series B</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preferred, net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ind w:left="120"/>
              <w:spacing w:after="0"/>
              <w:rPr>
                <w:sz w:val="20"/>
                <w:szCs w:val="20"/>
                <w:color w:val="auto"/>
              </w:rPr>
            </w:pPr>
            <w:r>
              <w:rPr>
                <w:rFonts w:ascii="Arial" w:cs="Arial" w:eastAsia="Arial" w:hAnsi="Arial"/>
                <w:sz w:val="16"/>
                <w:szCs w:val="16"/>
                <w:color w:val="auto"/>
                <w:w w:val="97"/>
              </w:rPr>
              <w:t>issuance costs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of $3,468</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5,334,892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62,532</w:t>
            </w: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w:t>
            </w: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of Series A</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preferred</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3,901,348</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7,874</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7"/>
              </w:rPr>
              <w:t>(3,901,348)</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4"/>
              </w:rPr>
              <w:t>(7,874)</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(7,874)</w:t>
            </w: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Issuance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ordinary shares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upon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ind w:left="120"/>
              <w:spacing w:after="0"/>
              <w:rPr>
                <w:sz w:val="20"/>
                <w:szCs w:val="20"/>
                <w:color w:val="auto"/>
              </w:rPr>
            </w:pPr>
            <w:r>
              <w:rPr>
                <w:rFonts w:ascii="Arial" w:cs="Arial" w:eastAsia="Arial" w:hAnsi="Arial"/>
                <w:sz w:val="16"/>
                <w:szCs w:val="16"/>
                <w:color w:val="auto"/>
              </w:rPr>
              <w:t>initial public</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offering, net of</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ind w:left="120"/>
              <w:spacing w:after="0"/>
              <w:rPr>
                <w:sz w:val="20"/>
                <w:szCs w:val="20"/>
                <w:color w:val="auto"/>
              </w:rPr>
            </w:pPr>
            <w:r>
              <w:rPr>
                <w:rFonts w:ascii="Arial" w:cs="Arial" w:eastAsia="Arial" w:hAnsi="Arial"/>
                <w:sz w:val="16"/>
                <w:szCs w:val="16"/>
                <w:color w:val="auto"/>
                <w:w w:val="97"/>
              </w:rPr>
              <w:t>issuance costs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of $3,702</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6,993,126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100,366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100,366</w:t>
            </w:r>
          </w:p>
        </w:tc>
        <w:tc>
          <w:tcPr>
            <w:tcW w:w="80" w:type="dxa"/>
            <w:vAlign w:val="bottom"/>
          </w:tcPr>
          <w:p>
            <w:pPr>
              <w:spacing w:after="0"/>
              <w:rPr>
                <w:sz w:val="18"/>
                <w:szCs w:val="18"/>
                <w:color w:val="auto"/>
              </w:rPr>
            </w:pPr>
          </w:p>
        </w:tc>
      </w:tr>
      <w:tr>
        <w:trPr>
          <w:trHeight w:val="20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Conversion of</w:t>
            </w: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Series B</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preferred</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into</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upon initial</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(5,334,892)</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3"/>
              </w:rPr>
              <w:t>(62,532)</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5,334,892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62,532</w:t>
            </w:r>
          </w:p>
        </w:tc>
        <w:tc>
          <w:tcPr>
            <w:tcW w:w="80" w:type="dxa"/>
            <w:vAlign w:val="bottom"/>
            <w:shd w:val="clear" w:color="auto" w:fill="CFF0FC"/>
          </w:tcPr>
          <w:p>
            <w:pPr>
              <w:spacing w:after="0"/>
              <w:rPr>
                <w:sz w:val="18"/>
                <w:szCs w:val="18"/>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comprehensive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loss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r>
      <w:tr>
        <w:trPr>
          <w:trHeight w:val="21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(19,200)</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(19,200)</w:t>
            </w:r>
          </w:p>
        </w:tc>
      </w:tr>
      <w:tr>
        <w:trPr>
          <w:trHeight w:val="196"/>
        </w:trPr>
        <w:tc>
          <w:tcPr>
            <w:tcW w:w="116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1160" w:type="dxa"/>
            <w:vAlign w:val="bottom"/>
          </w:tcPr>
          <w:p>
            <w:pPr>
              <w:spacing w:after="0"/>
              <w:rPr>
                <w:sz w:val="20"/>
                <w:szCs w:val="20"/>
                <w:color w:val="auto"/>
              </w:rPr>
            </w:pPr>
            <w:r>
              <w:rPr>
                <w:rFonts w:ascii="Arial" w:cs="Arial" w:eastAsia="Arial" w:hAnsi="Arial"/>
                <w:sz w:val="16"/>
                <w:szCs w:val="16"/>
                <w:b w:val="1"/>
                <w:bCs w:val="1"/>
                <w:color w:val="auto"/>
              </w:rPr>
              <w:t>2015</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3,901,348</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7,874</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21,551,423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185,344</w:t>
            </w:r>
          </w:p>
        </w:tc>
        <w:tc>
          <w:tcPr>
            <w:tcW w:w="1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3,182</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80"/>
              <w:spacing w:after="0"/>
              <w:rPr>
                <w:sz w:val="20"/>
                <w:szCs w:val="20"/>
                <w:color w:val="auto"/>
              </w:rPr>
            </w:pPr>
            <w:r>
              <w:rPr>
                <w:rFonts w:ascii="Arial" w:cs="Arial" w:eastAsia="Arial" w:hAnsi="Arial"/>
                <w:sz w:val="16"/>
                <w:szCs w:val="16"/>
                <w:color w:val="auto"/>
              </w:rPr>
              <w:t>(35,076) $</w:t>
            </w:r>
          </w:p>
        </w:tc>
        <w:tc>
          <w:tcPr>
            <w:tcW w:w="660" w:type="dxa"/>
            <w:vAlign w:val="bottom"/>
          </w:tcPr>
          <w:p>
            <w:pPr>
              <w:jc w:val="right"/>
              <w:spacing w:after="0"/>
              <w:rPr>
                <w:sz w:val="20"/>
                <w:szCs w:val="20"/>
                <w:color w:val="auto"/>
              </w:rPr>
            </w:pPr>
            <w:r>
              <w:rPr>
                <w:rFonts w:ascii="Arial" w:cs="Arial" w:eastAsia="Arial" w:hAnsi="Arial"/>
                <w:sz w:val="16"/>
                <w:szCs w:val="16"/>
                <w:color w:val="auto"/>
              </w:rPr>
              <w:t>153,491</w:t>
            </w:r>
          </w:p>
        </w:tc>
        <w:tc>
          <w:tcPr>
            <w:tcW w:w="80" w:type="dxa"/>
            <w:vAlign w:val="bottom"/>
          </w:tcPr>
          <w:p>
            <w:pPr>
              <w:spacing w:after="0"/>
              <w:rPr>
                <w:sz w:val="22"/>
                <w:szCs w:val="22"/>
                <w:color w:val="auto"/>
              </w:rPr>
            </w:pPr>
          </w:p>
        </w:tc>
      </w:tr>
      <w:tr>
        <w:trPr>
          <w:trHeight w:val="190"/>
        </w:trPr>
        <w:tc>
          <w:tcPr>
            <w:tcW w:w="1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w:t>
            </w:r>
          </w:p>
        </w:tc>
        <w:tc>
          <w:tcPr>
            <w:tcW w:w="7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1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1,875,000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FF0FC"/>
          </w:tcPr>
          <w:p>
            <w:pPr>
              <w:spacing w:after="0"/>
              <w:rPr>
                <w:sz w:val="18"/>
                <w:szCs w:val="18"/>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Share-based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6,847</w:t>
            </w:r>
          </w:p>
        </w:tc>
        <w:tc>
          <w:tcPr>
            <w:tcW w:w="80" w:type="dxa"/>
            <w:vAlign w:val="bottom"/>
          </w:tcPr>
          <w:p>
            <w:pPr>
              <w:spacing w:after="0"/>
              <w:rPr>
                <w:sz w:val="18"/>
                <w:szCs w:val="18"/>
                <w:color w:val="auto"/>
              </w:rPr>
            </w:pPr>
          </w:p>
        </w:tc>
      </w:tr>
      <w:tr>
        <w:trPr>
          <w:trHeight w:val="20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Option</w:t>
            </w: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exercises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w:t>
            </w:r>
          </w:p>
        </w:tc>
        <w:tc>
          <w:tcPr>
            <w:tcW w:w="80" w:type="dxa"/>
            <w:vAlign w:val="bottom"/>
            <w:shd w:val="clear" w:color="auto" w:fill="CFF0FC"/>
          </w:tcPr>
          <w:p>
            <w:pPr>
              <w:spacing w:after="0"/>
              <w:rPr>
                <w:sz w:val="18"/>
                <w:szCs w:val="18"/>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Other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color w:val="auto"/>
              </w:rPr>
              <w:t>comprehensive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loss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(332)</w:t>
            </w:r>
          </w:p>
        </w:tc>
      </w:tr>
      <w:tr>
        <w:trPr>
          <w:trHeight w:val="21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(55,401)</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(55,401)</w:t>
            </w:r>
          </w:p>
        </w:tc>
      </w:tr>
      <w:tr>
        <w:trPr>
          <w:trHeight w:val="196"/>
        </w:trPr>
        <w:tc>
          <w:tcPr>
            <w:tcW w:w="116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1160" w:type="dxa"/>
            <w:vAlign w:val="bottom"/>
          </w:tcPr>
          <w:p>
            <w:pPr>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3,901,348</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7,874</w:t>
            </w:r>
          </w:p>
        </w:tc>
        <w:tc>
          <w:tcPr>
            <w:tcW w:w="1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4"/>
              </w:rPr>
              <w:t>23,502,169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215,602</w:t>
            </w:r>
          </w:p>
        </w:tc>
        <w:tc>
          <w:tcPr>
            <w:tcW w:w="1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10,029</w:t>
            </w:r>
          </w:p>
        </w:tc>
        <w:tc>
          <w:tcPr>
            <w:tcW w:w="32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(291)</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4"/>
          </w:tcPr>
          <w:p>
            <w:pPr>
              <w:jc w:val="right"/>
              <w:ind w:right="80"/>
              <w:spacing w:after="0"/>
              <w:rPr>
                <w:sz w:val="20"/>
                <w:szCs w:val="20"/>
                <w:color w:val="auto"/>
              </w:rPr>
            </w:pPr>
            <w:r>
              <w:rPr>
                <w:rFonts w:ascii="Arial" w:cs="Arial" w:eastAsia="Arial" w:hAnsi="Arial"/>
                <w:sz w:val="16"/>
                <w:szCs w:val="16"/>
                <w:color w:val="auto"/>
              </w:rPr>
              <w:t>(90,477) $</w:t>
            </w:r>
          </w:p>
        </w:tc>
        <w:tc>
          <w:tcPr>
            <w:tcW w:w="660" w:type="dxa"/>
            <w:vAlign w:val="bottom"/>
          </w:tcPr>
          <w:p>
            <w:pPr>
              <w:jc w:val="right"/>
              <w:spacing w:after="0"/>
              <w:rPr>
                <w:sz w:val="20"/>
                <w:szCs w:val="20"/>
                <w:color w:val="auto"/>
              </w:rPr>
            </w:pPr>
            <w:r>
              <w:rPr>
                <w:rFonts w:ascii="Arial" w:cs="Arial" w:eastAsia="Arial" w:hAnsi="Arial"/>
                <w:sz w:val="16"/>
                <w:szCs w:val="16"/>
                <w:color w:val="auto"/>
              </w:rPr>
              <w:t>134,863</w:t>
            </w:r>
          </w:p>
        </w:tc>
        <w:tc>
          <w:tcPr>
            <w:tcW w:w="80" w:type="dxa"/>
            <w:vAlign w:val="bottom"/>
          </w:tcPr>
          <w:p>
            <w:pPr>
              <w:spacing w:after="0"/>
              <w:rPr>
                <w:sz w:val="22"/>
                <w:szCs w:val="22"/>
                <w:color w:val="auto"/>
              </w:rPr>
            </w:pPr>
          </w:p>
        </w:tc>
      </w:tr>
      <w:tr>
        <w:trPr>
          <w:trHeight w:val="190"/>
        </w:trPr>
        <w:tc>
          <w:tcPr>
            <w:tcW w:w="1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w:t>
            </w:r>
          </w:p>
        </w:tc>
        <w:tc>
          <w:tcPr>
            <w:tcW w:w="7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w w:val="99"/>
              </w:rPr>
              <w:t>ordinary shares,</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net of</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116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7"/>
              </w:rPr>
              <w:t>issuance costs</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of $491</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4,166,667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93,509</w:t>
            </w:r>
          </w:p>
        </w:tc>
        <w:tc>
          <w:tcPr>
            <w:tcW w:w="80" w:type="dxa"/>
            <w:vAlign w:val="bottom"/>
            <w:shd w:val="clear" w:color="auto" w:fill="CFF0FC"/>
          </w:tcPr>
          <w:p>
            <w:pPr>
              <w:spacing w:after="0"/>
              <w:rPr>
                <w:sz w:val="18"/>
                <w:szCs w:val="18"/>
                <w:color w:val="auto"/>
              </w:rPr>
            </w:pP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Share-based</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12,143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12,143</w:t>
            </w:r>
          </w:p>
        </w:tc>
        <w:tc>
          <w:tcPr>
            <w:tcW w:w="80" w:type="dxa"/>
            <w:vAlign w:val="bottom"/>
          </w:tcPr>
          <w:p>
            <w:pPr>
              <w:spacing w:after="0"/>
              <w:rPr>
                <w:sz w:val="18"/>
                <w:szCs w:val="18"/>
                <w:color w:val="auto"/>
              </w:rPr>
            </w:pPr>
          </w:p>
        </w:tc>
      </w:tr>
      <w:tr>
        <w:trPr>
          <w:trHeight w:val="21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w w:val="97"/>
              </w:rPr>
              <w:t>Vesting of RSUs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Option</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6"/>
                <w:szCs w:val="16"/>
                <w:color w:val="auto"/>
              </w:rPr>
              <w:t>exercises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137,493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927</w:t>
            </w:r>
          </w:p>
        </w:tc>
        <w:tc>
          <w:tcPr>
            <w:tcW w:w="80" w:type="dxa"/>
            <w:vAlign w:val="bottom"/>
          </w:tcPr>
          <w:p>
            <w:pPr>
              <w:spacing w:after="0"/>
              <w:rPr>
                <w:sz w:val="18"/>
                <w:szCs w:val="18"/>
                <w:color w:val="auto"/>
              </w:rPr>
            </w:pPr>
          </w:p>
        </w:tc>
      </w:tr>
      <w:tr>
        <w:trPr>
          <w:trHeight w:val="209"/>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comprehensive</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2"/>
        </w:trPr>
        <w:tc>
          <w:tcPr>
            <w:tcW w:w="1160" w:type="dxa"/>
            <w:vAlign w:val="bottom"/>
            <w:shd w:val="clear" w:color="auto" w:fill="CFF0FC"/>
          </w:tcPr>
          <w:p>
            <w:pPr>
              <w:spacing w:after="0"/>
              <w:rPr>
                <w:sz w:val="20"/>
                <w:szCs w:val="20"/>
                <w:color w:val="auto"/>
              </w:rPr>
            </w:pPr>
            <w:r>
              <w:rPr>
                <w:rFonts w:ascii="Arial" w:cs="Arial" w:eastAsia="Arial" w:hAnsi="Arial"/>
                <w:sz w:val="16"/>
                <w:szCs w:val="16"/>
                <w:color w:val="auto"/>
              </w:rPr>
              <w:t>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80" w:type="dxa"/>
            <w:vAlign w:val="bottom"/>
            <w:shd w:val="clear" w:color="auto" w:fill="CFF0FC"/>
          </w:tcPr>
          <w:p>
            <w:pPr>
              <w:spacing w:after="0"/>
              <w:rPr>
                <w:sz w:val="18"/>
                <w:szCs w:val="18"/>
                <w:color w:val="auto"/>
              </w:rPr>
            </w:pPr>
          </w:p>
        </w:tc>
      </w:tr>
      <w:tr>
        <w:trPr>
          <w:trHeight w:val="213"/>
        </w:trPr>
        <w:tc>
          <w:tcPr>
            <w:tcW w:w="1160" w:type="dxa"/>
            <w:vAlign w:val="bottom"/>
          </w:tcPr>
          <w:p>
            <w:pPr>
              <w:spacing w:after="0"/>
              <w:rPr>
                <w:sz w:val="20"/>
                <w:szCs w:val="20"/>
                <w:color w:val="auto"/>
              </w:rPr>
            </w:pPr>
            <w:r>
              <w:rPr>
                <w:rFonts w:ascii="Arial" w:cs="Arial" w:eastAsia="Arial" w:hAnsi="Arial"/>
                <w:sz w:val="16"/>
                <w:szCs w:val="16"/>
                <w:color w:val="auto"/>
              </w:rPr>
              <w:t>Net loss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(102,035)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(102,035)</w:t>
            </w:r>
          </w:p>
        </w:tc>
      </w:tr>
      <w:tr>
        <w:trPr>
          <w:trHeight w:val="199"/>
        </w:trPr>
        <w:tc>
          <w:tcPr>
            <w:tcW w:w="1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w:t>
            </w:r>
          </w:p>
        </w:tc>
        <w:tc>
          <w:tcPr>
            <w:tcW w:w="7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3"/>
        </w:trPr>
        <w:tc>
          <w:tcPr>
            <w:tcW w:w="1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3"/>
        </w:trPr>
        <w:tc>
          <w:tcPr>
            <w:tcW w:w="1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2017</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3,901,348</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7,874</w:t>
            </w: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27,829,079</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310,038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22,172</w:t>
            </w:r>
          </w:p>
        </w:tc>
        <w:tc>
          <w:tcPr>
            <w:tcW w:w="32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940" w:type="dxa"/>
            <w:vAlign w:val="bottom"/>
            <w:gridSpan w:val="4"/>
            <w:shd w:val="clear" w:color="auto" w:fill="CFF0FC"/>
          </w:tcPr>
          <w:p>
            <w:pPr>
              <w:jc w:val="right"/>
              <w:ind w:right="80"/>
              <w:spacing w:after="0"/>
              <w:rPr>
                <w:sz w:val="20"/>
                <w:szCs w:val="20"/>
                <w:color w:val="auto"/>
              </w:rPr>
            </w:pPr>
            <w:r>
              <w:rPr>
                <w:rFonts w:ascii="Arial" w:cs="Arial" w:eastAsia="Arial" w:hAnsi="Arial"/>
                <w:sz w:val="16"/>
                <w:szCs w:val="16"/>
                <w:color w:val="auto"/>
              </w:rPr>
              <w:t>(192,512) $</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139,814</w:t>
            </w:r>
          </w:p>
        </w:tc>
        <w:tc>
          <w:tcPr>
            <w:tcW w:w="80" w:type="dxa"/>
            <w:vAlign w:val="bottom"/>
            <w:shd w:val="clear" w:color="auto" w:fill="CFF0FC"/>
          </w:tcPr>
          <w:p>
            <w:pPr>
              <w:spacing w:after="0"/>
              <w:rPr>
                <w:sz w:val="18"/>
                <w:szCs w:val="18"/>
                <w:color w:val="auto"/>
              </w:rPr>
            </w:pPr>
          </w:p>
        </w:tc>
      </w:tr>
      <w:tr>
        <w:trPr>
          <w:trHeight w:val="20"/>
        </w:trPr>
        <w:tc>
          <w:tcPr>
            <w:tcW w:w="1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08" w:name="page109"/>
    <w:bookmarkEnd w:id="108"/>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ectPr>
          <w:pgSz w:w="11900" w:h="16838" w:orient="portrait"/>
          <w:cols w:equalWidth="0" w:num="1">
            <w:col w:w="9019"/>
          </w:cols>
          <w:pgMar w:left="144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78105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Net loss</w:t>
            </w:r>
          </w:p>
        </w:tc>
        <w:tc>
          <w:tcPr>
            <w:tcW w:w="1640" w:type="dxa"/>
            <w:vAlign w:val="bottom"/>
            <w:gridSpan w:val="2"/>
          </w:tcPr>
          <w:p>
            <w:pPr>
              <w:jc w:val="right"/>
              <w:ind w:right="786"/>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w w:val="93"/>
              </w:rPr>
              <w:t>(102,035)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(55,401)</w:t>
            </w:r>
          </w:p>
        </w:tc>
        <w:tc>
          <w:tcPr>
            <w:tcW w:w="380" w:type="dxa"/>
            <w:vAlign w:val="bottom"/>
            <w:gridSpan w:val="2"/>
          </w:tcPr>
          <w:p>
            <w:pPr>
              <w:jc w:val="right"/>
              <w:ind w:right="20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(19,200)</w:t>
            </w: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 flows used in</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operating activities:</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7"/>
                <w:szCs w:val="17"/>
                <w:color w:val="auto"/>
              </w:rPr>
              <w:t>Amortization of lease incentive obligation</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(208)</w:t>
            </w:r>
          </w:p>
        </w:tc>
        <w:tc>
          <w:tcPr>
            <w:tcW w:w="3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and amortization</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7"/>
                <w:szCs w:val="17"/>
                <w:color w:val="auto"/>
              </w:rPr>
              <w:t>Share-based compensation expense</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rent</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7"/>
                <w:szCs w:val="17"/>
                <w:color w:val="auto"/>
              </w:rPr>
              <w:t>Loss on disposal of property and equipment</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 taxes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(564)</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60"/>
              <w:spacing w:after="0"/>
              <w:rPr>
                <w:sz w:val="20"/>
                <w:szCs w:val="20"/>
                <w:color w:val="auto"/>
              </w:rPr>
            </w:pPr>
            <w:r>
              <w:rPr>
                <w:rFonts w:ascii="Arial" w:cs="Arial" w:eastAsia="Arial" w:hAnsi="Arial"/>
                <w:sz w:val="17"/>
                <w:szCs w:val="17"/>
                <w:color w:val="auto"/>
              </w:rPr>
              <w:t>Tax benefit related to share-based compensation</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(310)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(6,502)</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(1,337)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assets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(358)</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3,369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expenses and other current liabilities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4,550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2,296</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500"/>
              <w:spacing w:after="0"/>
              <w:rPr>
                <w:sz w:val="20"/>
                <w:szCs w:val="20"/>
                <w:color w:val="auto"/>
              </w:rPr>
            </w:pPr>
            <w:r>
              <w:rPr>
                <w:rFonts w:ascii="Arial" w:cs="Arial" w:eastAsia="Arial" w:hAnsi="Arial"/>
                <w:sz w:val="17"/>
                <w:szCs w:val="17"/>
                <w:color w:val="auto"/>
              </w:rPr>
              <w:t>Deferred revenue</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(2,704)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11,015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non-current liabilities</w:t>
            </w:r>
          </w:p>
        </w:tc>
        <w:tc>
          <w:tcPr>
            <w:tcW w:w="70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823</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864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used in operating activities</w:t>
            </w:r>
          </w:p>
        </w:tc>
        <w:tc>
          <w:tcPr>
            <w:tcW w:w="7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(83,671)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(31,872)</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Increase in restricted cash</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(2,599)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Proceeds from government grant reimbursements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for property and equipment</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Proceeds from the sale of property and equipment</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Purchases of property and equipment</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(18,887)</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(5,567)</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(1,857)</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used in investing activities</w:t>
            </w:r>
          </w:p>
        </w:tc>
        <w:tc>
          <w:tcPr>
            <w:tcW w:w="70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(18,896)</w:t>
            </w:r>
          </w:p>
        </w:tc>
        <w:tc>
          <w:tcPr>
            <w:tcW w:w="28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(8,162)</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rPr>
                <w:sz w:val="20"/>
                <w:szCs w:val="20"/>
                <w:color w:val="auto"/>
              </w:rPr>
            </w:pPr>
            <w:r>
              <w:rPr>
                <w:rFonts w:ascii="Arial" w:cs="Arial" w:eastAsia="Arial" w:hAnsi="Arial"/>
                <w:sz w:val="17"/>
                <w:szCs w:val="17"/>
                <w:color w:val="auto"/>
              </w:rPr>
              <w:t>Proceeds from initial public offering, net of offering costs</w:t>
            </w: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40"/>
              <w:spacing w:after="0"/>
              <w:rPr>
                <w:sz w:val="20"/>
                <w:szCs w:val="20"/>
                <w:color w:val="auto"/>
              </w:rPr>
            </w:pPr>
            <w:r>
              <w:rPr>
                <w:rFonts w:ascii="Arial" w:cs="Arial" w:eastAsia="Arial" w:hAnsi="Arial"/>
                <w:sz w:val="17"/>
                <w:szCs w:val="17"/>
                <w:color w:val="auto"/>
              </w:rPr>
              <w:t>and underwriter commissions</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Costs associated with initial public offering</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(1,075)</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Proceeds from issuance of ordinary shares, net of offering costs</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93,509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30,000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Series B preferred shares,</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00" w:type="dxa"/>
            <w:vAlign w:val="bottom"/>
            <w:shd w:val="clear" w:color="auto" w:fill="CFF0FC"/>
          </w:tcPr>
          <w:p>
            <w:pPr>
              <w:ind w:left="140"/>
              <w:spacing w:after="0"/>
              <w:rPr>
                <w:sz w:val="20"/>
                <w:szCs w:val="20"/>
                <w:color w:val="auto"/>
              </w:rPr>
            </w:pPr>
            <w:r>
              <w:rPr>
                <w:rFonts w:ascii="Arial" w:cs="Arial" w:eastAsia="Arial" w:hAnsi="Arial"/>
                <w:sz w:val="17"/>
                <w:szCs w:val="17"/>
                <w:color w:val="auto"/>
              </w:rPr>
              <w:t>net of offering costs</w:t>
            </w:r>
          </w:p>
        </w:tc>
        <w:tc>
          <w:tcPr>
            <w:tcW w:w="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Proceeds from government grant</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Payments on capital lease obligation</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(62)</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(62)</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Proceeds from the exercise of share options</w:t>
            </w: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7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94,374</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29,121</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175,593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Effect of foreign exchange rates on cash</w:t>
            </w:r>
          </w:p>
        </w:tc>
        <w:tc>
          <w:tcPr>
            <w:tcW w:w="7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 and cash equivalents</w:t>
            </w:r>
          </w:p>
        </w:tc>
        <w:tc>
          <w:tcPr>
            <w:tcW w:w="7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(7,790)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(10,927)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and cash equivalents at beginning of period</w:t>
            </w:r>
          </w:p>
        </w:tc>
        <w:tc>
          <w:tcPr>
            <w:tcW w:w="7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150,293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161,220</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and cash equivalents at end of period</w:t>
            </w:r>
          </w:p>
        </w:tc>
        <w:tc>
          <w:tcPr>
            <w:tcW w:w="7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142,503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150,293</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161,220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0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offering costs in accounts payable and accrued</w:t>
            </w:r>
          </w:p>
        </w:tc>
        <w:tc>
          <w:tcPr>
            <w:tcW w:w="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expenses at period end</w:t>
            </w:r>
          </w:p>
        </w:tc>
        <w:tc>
          <w:tcPr>
            <w:tcW w:w="1640" w:type="dxa"/>
            <w:vAlign w:val="bottom"/>
            <w:gridSpan w:val="2"/>
            <w:shd w:val="clear" w:color="auto" w:fill="CFF0FC"/>
          </w:tcPr>
          <w:p>
            <w:pPr>
              <w:jc w:val="right"/>
              <w:ind w:right="786"/>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7"/>
                <w:szCs w:val="17"/>
                <w:color w:val="auto"/>
              </w:rPr>
              <w:t>Cash paid for interest</w:t>
            </w:r>
          </w:p>
        </w:tc>
        <w:tc>
          <w:tcPr>
            <w:tcW w:w="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00" w:type="dxa"/>
            <w:vAlign w:val="bottom"/>
            <w:tcBorders>
              <w:bottom w:val="single" w:sz="8" w:color="CFF0FC"/>
            </w:tcBorders>
            <w:vMerge w:val="continue"/>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FF0FC"/>
            </w:tcBorders>
            <w:shd w:val="clear" w:color="auto" w:fill="CFF0FC"/>
          </w:tcPr>
          <w:p>
            <w:pPr>
              <w:ind w:left="260"/>
              <w:spacing w:after="0" w:line="193" w:lineRule="exact"/>
              <w:rPr>
                <w:sz w:val="20"/>
                <w:szCs w:val="20"/>
                <w:color w:val="auto"/>
              </w:rPr>
            </w:pPr>
            <w:r>
              <w:rPr>
                <w:rFonts w:ascii="Arial" w:cs="Arial" w:eastAsia="Arial" w:hAnsi="Arial"/>
                <w:sz w:val="17"/>
                <w:szCs w:val="17"/>
                <w:color w:val="auto"/>
              </w:rPr>
              <w:t>Cash paid for taxes, net of refunds</w:t>
            </w:r>
          </w:p>
        </w:tc>
        <w:tc>
          <w:tcPr>
            <w:tcW w:w="7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554</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60"/>
              <w:spacing w:after="0"/>
              <w:rPr>
                <w:sz w:val="20"/>
                <w:szCs w:val="20"/>
                <w:color w:val="auto"/>
              </w:rPr>
            </w:pPr>
            <w:r>
              <w:rPr>
                <w:rFonts w:ascii="Arial" w:cs="Arial" w:eastAsia="Arial" w:hAnsi="Arial"/>
                <w:sz w:val="17"/>
                <w:szCs w:val="17"/>
                <w:color w:val="auto"/>
              </w:rPr>
              <w:t>Equipment acquired for capital lease obligation</w:t>
            </w:r>
          </w:p>
        </w:tc>
        <w:tc>
          <w:tcPr>
            <w:tcW w:w="1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FF0FC"/>
            </w:tcBorders>
            <w:vMerge w:val="continue"/>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ind w:left="260"/>
              <w:spacing w:after="0" w:line="179" w:lineRule="exact"/>
              <w:rPr>
                <w:sz w:val="20"/>
                <w:szCs w:val="20"/>
                <w:color w:val="auto"/>
              </w:rPr>
            </w:pPr>
            <w:r>
              <w:rPr>
                <w:rFonts w:ascii="Arial" w:cs="Arial" w:eastAsia="Arial" w:hAnsi="Arial"/>
                <w:sz w:val="17"/>
                <w:szCs w:val="17"/>
                <w:color w:val="auto"/>
              </w:rPr>
              <w:t>Property and equipment purchases in accounts payable and</w:t>
            </w:r>
          </w:p>
        </w:tc>
        <w:tc>
          <w:tcPr>
            <w:tcW w:w="7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3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 at period end</w:t>
            </w:r>
          </w:p>
        </w:tc>
        <w:tc>
          <w:tcPr>
            <w:tcW w:w="1640" w:type="dxa"/>
            <w:vAlign w:val="bottom"/>
            <w:gridSpan w:val="2"/>
            <w:shd w:val="clear" w:color="auto" w:fill="CFF0FC"/>
          </w:tcPr>
          <w:p>
            <w:pPr>
              <w:jc w:val="right"/>
              <w:ind w:right="786"/>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339</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1,653</w:t>
            </w: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7"/>
                <w:szCs w:val="17"/>
                <w:color w:val="auto"/>
              </w:rPr>
              <w:t>Tenant improvements paid for by the landlord during the period</w:t>
            </w:r>
          </w:p>
        </w:tc>
        <w:tc>
          <w:tcPr>
            <w:tcW w:w="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00" w:type="dxa"/>
            <w:vAlign w:val="bottom"/>
            <w:tcBorders>
              <w:bottom w:val="single" w:sz="8" w:color="CFF0FC"/>
            </w:tcBorders>
            <w:vMerge w:val="continue"/>
          </w:tcPr>
          <w:p>
            <w:pPr>
              <w:spacing w:after="0"/>
              <w:rPr>
                <w:sz w:val="20"/>
                <w:szCs w:val="20"/>
                <w:color w:val="auto"/>
              </w:rPr>
            </w:pPr>
          </w:p>
        </w:tc>
        <w:tc>
          <w:tcPr>
            <w:tcW w:w="7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2,774</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300" w:type="dxa"/>
            <w:vAlign w:val="bottom"/>
            <w:tcBorders>
              <w:bottom w:val="single" w:sz="8" w:color="CFF0FC"/>
            </w:tcBorders>
            <w:shd w:val="clear" w:color="auto" w:fill="CFF0FC"/>
          </w:tcPr>
          <w:p>
            <w:pPr>
              <w:ind w:left="260"/>
              <w:spacing w:after="0" w:line="193" w:lineRule="exact"/>
              <w:rPr>
                <w:sz w:val="20"/>
                <w:szCs w:val="20"/>
                <w:color w:val="auto"/>
              </w:rPr>
            </w:pPr>
            <w:r>
              <w:rPr>
                <w:rFonts w:ascii="Arial" w:cs="Arial" w:eastAsia="Arial" w:hAnsi="Arial"/>
                <w:sz w:val="17"/>
                <w:szCs w:val="17"/>
                <w:color w:val="auto"/>
              </w:rPr>
              <w:t>Tenant improvements to be reimbursed by the landlord</w:t>
            </w:r>
          </w:p>
        </w:tc>
        <w:tc>
          <w:tcPr>
            <w:tcW w:w="7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745</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Wave Life Sciences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Wave Life Sciences Ltd. (together with its subsidiaries, “Wave” or the “Company”) is a biotechnology company with an innovative and proprietary synthetic chemistry drug development platform that the Company is using to rationally design, develop and commercialize a broad pipeline of first-in-class or best-in-class nucleic acid therapeutic candidates for genetically defined diseases. Nucleic acid therapeutics are a growing and innovative class of drugs that have the potential to address diseases that have historically been difficult to treat with small molecule drugs or biologics. Nucleic acid therapeutics, or oligonucleotides, are comprised of a sequence of nucleotides that are linked together by a backbone of chemical bonds. The Company is initially developing oligonucleotides that target genetic defects to either reduce the expression of disease-promoting proteins or transform the production of dysfunctional mutant proteins into the production of functional proteins.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Wave Life Sciences Ltd. On April 3, 2017, Wave Life Sciences UK Limited (“Wave UK”) was formed as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Wave Life Sciences Ltd.</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primary activities since inception have been developing an innovative and proprietary synthetic chemistry drug development platform to design, develop and commercialize nucleic acid therapeutic programs, advancing the Company’s neurology franchise, expanding the Company’s research and development activities into additional therapeutic areas including ophthalmology and hepatic, advancing programs into the clinic, furthering clinical development of such clinical-stage programs, building the Company’s intellectual property, recruiting personnel and assuring adequate capital to support these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developing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never been profitable, and since its inception has incurred recurring operating losses. The Company expects to incur significant expenses and increasing operating losses for the foreseeable future. To date, the Company has primarily funded its operations through private placements of debt and equity securities, public offerings of its ordinary shares and collaborations with third parties. As of December 31, 2017, the Company has received an aggregate of approximately $323.2 million in net proceeds from these transactions. The Company received $89.3 million in net proceeds from private placements of its debt and equity securities, $100.4 million in net proceeds ($111.9 million gross proceeds) from its initial public offering, inclusive of the over-allotment exercise, $40.0 million under the Pfizer Agreements, including $10.0 million as an upfront payment under the Pfizer Collaboration Agreement and $30.0 million in the form of an equity investment, and $93.5 million in net proceeds ($100.0 million gross proceeds) from its April 2017 follow-on underwritten public offering.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generally accepted accounting principles in the United States of America (“U.S. GAAP”) and in U.S. dollars.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securities with original final maturities of three months or less from the date of purchase to be cash equivalents.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comprised of funds in money market accounts.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consolidated financial statements include the accounts of the Company and its wholly-owned subsidiaries. All significant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the valuation of the Company’s Series A preferred shares on conversion of the related party notes payable, the valuation of the Company’s ordinary shares prior to the initial public offering in November 2015, the assumptions used to determine the fair value of share-based awards, the period over which revenue is recognized under the Pfizer Collaboration Agreement (as defined in Note 5), the evaluation of progress to completion of external research and development costs which can result in prepaid or accrued expenses related to the Company’s contract research organizations and contract manufacturing organizations and the valuation allowance required for the Company’s deferred tax assets and determining uncertain tax positions and the related liabilities. Estimates are periodically reviewed in light of changes in circumstances, facts and experience. Actual results could differ from the Company’s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Company’s singular focus is on developing its proprietary synthetic chemistry platform to develop and commercialize a broad pipeline of nucleic acid-based therapeutics.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functional currency is the U.S. dollar for all of the Company’s entities aside from Wave Japan, which has the Japanese Yen as its functional currency. Assets and liabilities of Wave Japan are translated at period end exchange rates while revenues and expenses are translated at average exchange rates for the period. Prior to 2017, Wave Japan had intercompany loans payable to Wave that were not expected to be settled in the foreseeable future which were therefore translated at the historical rate for the date of each capital transaction. In 2017, Wave Japan repaid the intercompany loans which resulted in a foreign exchange loss which is included in the consolidated statements of operations within other income (expense), net. Net unrealized gains and losses from foreign currency translation are reflected as accumulated other comprehensive (loss) income within Series A preferred shares and shareholders’ equity and consolidated statements of comprehensive loss. Gains and losses on foreign currency transactions are included in the consolidated statements of operations within other income (expenses), net.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520" w:right="160"/>
        <w:spacing w:after="0" w:line="264" w:lineRule="auto"/>
        <w:rPr>
          <w:sz w:val="20"/>
          <w:szCs w:val="20"/>
          <w:color w:val="auto"/>
        </w:rPr>
      </w:pPr>
      <w:r>
        <w:rPr>
          <w:rFonts w:ascii="Arial" w:cs="Arial" w:eastAsia="Arial" w:hAnsi="Arial"/>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ind w:left="520" w:right="60"/>
        <w:spacing w:after="0" w:line="308"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Cash and cash equivalents are Level 1 assets which are comprised of funds held in readily available checking and money market accounts. Cash and cash equivalents were recorded at fair value as of December 31, 2017 and 2016, totaling $142.5 million and $150.3 million, respectively. The carrying amounts of accounts receivable, accounts payable and accrued expenses approximate their fair values due to their short-term maturities.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and cash equivalents are financial instruments that potentially subject the Company to concentration of credit risk. The Company uses several financial institutions to maintain its cash and cash equivalents,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Restricted cash consists primarily of cash placed in separate restricted bank accounts as required under the terms of the Company’s lease agreements for its Cambridge, Massachusetts and Lexington, Massachusetts facilities (refer to Note 8). As of December 31, 2017 and 2016, the Company had $3.6 million of restricted cash, of which $2.6 million related to the Lexington facility and the remaining $1.0 million related to the Cambridge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Property and equipment, which consists of furniture and equipment and leasehold improvements are stated at cost less accumulated depreciation and amortization. Depreciation is calculated on a straight-line basis over the following estimated useful lives of the assets:</w:t>
      </w:r>
    </w:p>
    <w:p>
      <w:pPr>
        <w:sectPr>
          <w:pgSz w:w="11900" w:h="16838" w:orient="portrait"/>
          <w:cols w:equalWidth="0" w:num="1">
            <w:col w:w="11400"/>
          </w:cols>
          <w:pgMar w:left="240" w:top="233"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Equipment, Furniture and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life of lease or useful life</w:t>
      </w:r>
    </w:p>
    <w:p>
      <w:pPr>
        <w:spacing w:after="0" w:line="222" w:lineRule="exact"/>
        <w:rPr>
          <w:sz w:val="20"/>
          <w:szCs w:val="20"/>
          <w:color w:val="auto"/>
        </w:rPr>
      </w:pPr>
    </w:p>
    <w:p>
      <w:pPr>
        <w:sectPr>
          <w:pgSz w:w="11900" w:h="16838" w:orient="portrait"/>
          <w:cols w:equalWidth="0" w:num="2">
            <w:col w:w="5140" w:space="720"/>
            <w:col w:w="5540"/>
          </w:cols>
          <w:pgMar w:left="240" w:top="233" w:right="259" w:bottom="1440" w:gutter="0" w:footer="0" w:header="0"/>
          <w:type w:val="continuous"/>
        </w:sectPr>
      </w:pPr>
    </w:p>
    <w:p>
      <w:pPr>
        <w:spacing w:after="0" w:line="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Depreciation and amortization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Long-lived assets consist of property and equipment. Long-lived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2017, the Company has not recognized any impairment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December 31, 2017, the Company’s only significant source of revenue is derived from the Pfizer Collaboration Agreement (as defined in Note 5), pursuant to which the Company and Pfizer (as defined in Note 5) have agreed to collaborate on the discovery, development and commercialization of stereopure oligonucleotide therapeutics for the Pfizer Programs (as defined in Note 5), each directed at a genetically-defined hepatic target selected by Pfizer. The Company entered into the Pfizer Collaboration Agreement in May 2016.</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13" w:name="page114"/>
    <w:bookmarkEnd w:id="113"/>
    <w:p>
      <w:pPr>
        <w:jc w:val="both"/>
        <w:ind w:right="280"/>
        <w:spacing w:after="0" w:line="312" w:lineRule="auto"/>
        <w:rPr>
          <w:sz w:val="20"/>
          <w:szCs w:val="20"/>
          <w:color w:val="auto"/>
        </w:rPr>
      </w:pPr>
      <w:r>
        <w:rPr>
          <w:rFonts w:ascii="Arial" w:cs="Arial" w:eastAsia="Arial" w:hAnsi="Arial"/>
          <w:sz w:val="16"/>
          <w:szCs w:val="16"/>
          <w:color w:val="auto"/>
        </w:rPr>
        <w:t>The Company presents revenue from the Pfizer Collaboration Agreement under Financial Accounting Standards Board (“FASB”), Accounting Standards Codification (“ASC”) Topic 808, Collaborative Arrangements (“ASC 808”). In addition, the Company recognizes revenue in accordance with ASC Topic 605, Revenue Recognition (“ASC 605”). Accordingly, revenue is recognized for each unit of accounting when all of the following criteria are met:</w:t>
      </w:r>
    </w:p>
    <w:p>
      <w:pPr>
        <w:spacing w:after="0" w:line="39" w:lineRule="exact"/>
        <w:rPr>
          <w:sz w:val="20"/>
          <w:szCs w:val="20"/>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Amounts received prior to satisfying the revenue recognition criteria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87" w:lineRule="exact"/>
        <w:rPr>
          <w:sz w:val="20"/>
          <w:szCs w:val="20"/>
          <w:color w:val="auto"/>
        </w:rPr>
      </w:pPr>
    </w:p>
    <w:p>
      <w:pPr>
        <w:ind w:right="60"/>
        <w:spacing w:after="0" w:line="217" w:lineRule="exact"/>
        <w:rPr>
          <w:sz w:val="20"/>
          <w:szCs w:val="20"/>
          <w:color w:val="auto"/>
        </w:rPr>
      </w:pPr>
      <w:r>
        <w:rPr>
          <w:rFonts w:ascii="Arial" w:cs="Arial" w:eastAsia="Arial" w:hAnsi="Arial"/>
          <w:sz w:val="16"/>
          <w:szCs w:val="16"/>
          <w:color w:val="auto"/>
        </w:rPr>
        <w:t>Pursuant to the accounting guidance in ASC 605</w:t>
      </w:r>
      <w:r>
        <w:rPr>
          <w:rFonts w:ascii="MS PGothic" w:cs="MS PGothic" w:eastAsia="MS PGothic" w:hAnsi="MS PGothic"/>
          <w:sz w:val="16"/>
          <w:szCs w:val="16"/>
          <w:color w:val="auto"/>
        </w:rPr>
        <w:t>‑</w:t>
      </w:r>
      <w:r>
        <w:rPr>
          <w:rFonts w:ascii="Arial" w:cs="Arial" w:eastAsia="Arial" w:hAnsi="Arial"/>
          <w:sz w:val="16"/>
          <w:szCs w:val="16"/>
          <w:color w:val="auto"/>
        </w:rPr>
        <w:t>25, the Company evaluates multiple</w:t>
      </w:r>
      <w:r>
        <w:rPr>
          <w:rFonts w:ascii="MS PGothic" w:cs="MS PGothic" w:eastAsia="MS PGothic" w:hAnsi="MS PGothic"/>
          <w:sz w:val="16"/>
          <w:szCs w:val="16"/>
          <w:color w:val="auto"/>
        </w:rPr>
        <w:t>‑</w:t>
      </w:r>
      <w:r>
        <w:rPr>
          <w:rFonts w:ascii="Arial" w:cs="Arial" w:eastAsia="Arial" w:hAnsi="Arial"/>
          <w:sz w:val="16"/>
          <w:szCs w:val="16"/>
          <w:color w:val="auto"/>
        </w:rPr>
        <w:t>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 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Pfizer Collaboration Agreement, the Company and Pfizer agreed to collaborate on the discovery, development and commercialization of up to five Pfizer Programs, two of the five targets were declared upon initiation of the agreement in May 2016. The Pfizer Collaboration Agreement provides Pfizer with certain options to nominate up to three remaining programs and the Company is required to consider whether such options are substantive. Options are considered substantive if, at the inception of the arrangement, the Company is at risk as to whether the collaboration partner will choose to exercise the option. Factors that the Company considers in evaluating whether an option is substantive include whether the optional elements are essential to the functionality of other programs nominated, whether economic factors compel Pfizer to purchase the optional elements, the cost to exercise the option, the overall objective of the arrangement and, the benefit Pfizer might obtain from the arrangement without exercising the option. In August 2016, Pfizer nominated the third hepatic target under the Collaboration and pursuant to the terms of the Pfizer Collaboration Agreement, Pfizer had the option to nominate two additional targets by November 5, 2017. On November 5, 2017, the Company amended its Pfizer Collaboration Agreement to extend the target nomination period from November 5, 2017 to May 5, 2018. This amendment provides Pfizer with an additional six months to nominate the two remaining hepatic targets under the Pfizer Collaboration Agreement.</w:t>
      </w:r>
    </w:p>
    <w:p>
      <w:pPr>
        <w:spacing w:after="0" w:line="18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is analyzed to determine if it should be combined with other deliverables in the arrangement. Options that are substantive and priced at a significant and incremental discount are further assessed to determine whether a portion of the upfront payment should be allocated to the option and other deliverables in the arrangement.</w:t>
      </w:r>
    </w:p>
    <w:p>
      <w:pPr>
        <w:spacing w:after="0" w:line="18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Revenue from substantive milestones will be recognized in its entirety upon successful accomplishment of the milestone.</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4" w:name="page115"/>
    <w:bookmarkEnd w:id="114"/>
    <w:p>
      <w:pPr>
        <w:ind w:right="160"/>
        <w:spacing w:after="0" w:line="257" w:lineRule="auto"/>
        <w:rPr>
          <w:sz w:val="20"/>
          <w:szCs w:val="20"/>
          <w:color w:val="auto"/>
        </w:rPr>
      </w:pPr>
      <w:r>
        <w:rPr>
          <w:rFonts w:ascii="Arial" w:cs="Arial" w:eastAsia="Arial" w:hAnsi="Arial"/>
          <w:sz w:val="18"/>
          <w:szCs w:val="18"/>
          <w:color w:val="auto"/>
        </w:rPr>
        <w:t>Aside from the program nomination payments, which relate to the options described above, the remaining milestone payments required under the Pfizer Collaboration Agreement are contingent upon the Company’s performance under the Pfizer Collaboration Agreement, including in certain instances, regulatory approval. The Company views these milestones as substantive and has excluded the amounts as allocable consideration at the outset of the arrangement. All commercial milestones will be accounted for in the same manner as royalties and recorded as revenue upon achievement of the milestone, assuming all other revenue recognition criteria are met.</w:t>
      </w:r>
    </w:p>
    <w:p>
      <w:pPr>
        <w:spacing w:after="0" w:line="188"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period the Company is expected to complete its performance obligations. Conversely, if the pattern of performance in which the service is provided to the customer can be determined and objectively measurable performance measures exist, then the Company recognizes revenue under the arrangement using the proportional performance method. Revenue recognized is limited to the lesser of the cumulative amount of payments received or the cumulative amount of revenue earned, as determined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or proportional performance method, as applicable, as of the period ending date.</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concluded that the deliverables under the Pfizer Collaboration Agreement relate primarily to the research and development required by the Company for each of the programs nominated by Pfizer. The remaining deliverables, including sample supplies provided by each party to fulfill its obligation as a licensee, participation on a joint steering committee to oversee the research and development activities, and regulatory responsibilities related to filings and obtaining approvals related to the products that may result from each program do not represent separate units of accounting based on their dependence on the research and development efforts.</w:t>
      </w:r>
    </w:p>
    <w:p>
      <w:pPr>
        <w:spacing w:after="0" w:line="188"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Because there is no discernible pattern of performance given the nature of the research and development efforts, the Company recognizes the allocated revenue for each deliverable under the Pfizer Collaboration Agreement on a straight</w:t>
      </w:r>
      <w:r>
        <w:rPr>
          <w:rFonts w:ascii="MS PGothic" w:cs="MS PGothic" w:eastAsia="MS PGothic" w:hAnsi="MS PGothic"/>
          <w:sz w:val="18"/>
          <w:szCs w:val="18"/>
          <w:b w:val="1"/>
          <w:bCs w:val="1"/>
          <w:color w:val="auto"/>
        </w:rPr>
        <w:t>‑</w:t>
      </w:r>
      <w:r>
        <w:rPr>
          <w:rFonts w:ascii="Arial" w:cs="Arial" w:eastAsia="Arial" w:hAnsi="Arial"/>
          <w:sz w:val="18"/>
          <w:szCs w:val="18"/>
          <w:color w:val="auto"/>
        </w:rPr>
        <w:t>line basis over the period the Company is expected to complete its performance obligations for each deliverable, or unit of accounting. For the first two Pfizer Programs, this period is expected to be from the initiation date of the Pfizer Collaboration Agreement, which was May 5, 2016, and for the other Pfizer Programs, the period is expected to be from the date that work commences on those programs through the earlier of (a) the termination of the research and development performance obligations under the Pfizer Collaboration Agreement, which is May 5, 2020 (the “Research Term”), or (b) the estimated date the Company expects to meet its research and development performance obligations under the Pfizer Collaboration Agreement. Given the uncertainty as to when the research and development performance obligations will be completed, the Company has used the Research Term for purposes of applying the straight-line method for revenue recognition for the year ended December 31, 2017.</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had no product revenue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License Agreements and Patent Costs</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Costs associated with licenses of technology and patent costs are expensed as incurred and are generally included in research and development expense in the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measures and recognizes share-based compensation expense, for both employee and director option awards, based on the grant date fair value of the awards. The Company calculates the fair value of restricted share unit awards based on the grant date fair value of the underlying ordinary shares. The Company recognizes share-based compensation expense on a straight-line basis over the requisite service period of the awards, which is generally the vesting period.</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determines the fair value of share-based awards granted to non-employees as either the fair value of the consideration received or the fair value of the equity instruments issued, whichever is more reliably measurable. All issuances of equity instruments issued to non-employees as consideration for goods or services received by the Company are accounted for based on the fair value of the equity instruments issued. These awards are recorded in expense and additional paid-in capital in shareholders’ equity over the applicable service periods based on the fair value of the options at the end of each period. The Company accounts for the expense from share-based awards to non-employees by re-measuring the awards at fair value over the vesting period.</w:t>
      </w:r>
    </w:p>
    <w:p>
      <w:pPr>
        <w:spacing w:after="0" w:line="15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classifies share-based compensation expense in its consolidated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Prior to the Company’s initial public offering (“IPO”) in November 2015, the fair value of the ordinary shares underlying its share-based awards was estimated on each grant date by the board of directors. The board of directors determined the estimated per share fair value of the Company’s ordinary shares at various dates considering contemporaneous and retrospective valuations performed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xml:space="preserve"> (“the Practice Aid”). After the closing of the Company’s IPO, the fair value of the ordinary shares underlying the Company’s share-based awards is based on the closing price of the Company’s ordinary shares as reported by the Nasdaq Global Market on the date of grant.</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share option grant was determined using the methods and assumptions discussed below. Each of these inputs is subjective and generally requires significant judgment and estimation by management.</w:t>
      </w:r>
    </w:p>
    <w:p>
      <w:pPr>
        <w:spacing w:after="0" w:line="62" w:lineRule="exact"/>
        <w:rPr>
          <w:sz w:val="20"/>
          <w:szCs w:val="20"/>
          <w:color w:val="auto"/>
        </w:rPr>
      </w:pPr>
    </w:p>
    <w:p>
      <w:pPr>
        <w:ind w:left="1040" w:hanging="519"/>
        <w:spacing w:after="0" w:line="272"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Fair Value of Ordinary Shares</w:t>
      </w:r>
      <w:r>
        <w:rPr>
          <w:rFonts w:ascii="Arial" w:cs="Arial" w:eastAsia="Arial" w:hAnsi="Arial"/>
          <w:sz w:val="17"/>
          <w:szCs w:val="17"/>
          <w:color w:val="auto"/>
        </w:rPr>
        <w:t>. As discussed above, prior to the Company’s IPO, the fair value of the Company’s ordinary shares underlying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 options was historically determined by the board of directors. Because prior to the Company’s IPO, there was no public market for the Company’s ordinary shares, the board of directors determined the fair value of the Company’s ordinary shares at the time of grant of the option by considering a number of objective and subjective factors, including valuations of comparable companies, sales of its shares to unrelated third parties, operating and financial performance and general and industry specific economic outlook. Following the completion of the Company’s IPO, the fair value of the ordinary shares underlying the Company’s share-based awards is based on the closing price of the Company’s ordinary shares as reported by the Nasdaq Global Market on the date of grant.</w:t>
      </w:r>
    </w:p>
    <w:p>
      <w:pPr>
        <w:spacing w:after="0" w:line="69" w:lineRule="exact"/>
        <w:rPr>
          <w:rFonts w:ascii="Arial" w:cs="Arial" w:eastAsia="Arial" w:hAnsi="Arial"/>
          <w:sz w:val="17"/>
          <w:szCs w:val="17"/>
          <w:color w:val="auto"/>
        </w:rPr>
      </w:pPr>
    </w:p>
    <w:p>
      <w:pPr>
        <w:ind w:left="1040" w:right="16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share options represents the weighted-average period that the share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estimated the expected term using the simplified method, which is an average of the contractual term of the option and the vesting period.</w:t>
      </w:r>
    </w:p>
    <w:p>
      <w:pPr>
        <w:spacing w:after="0" w:line="73"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Since there is limited historical data for the Company’s ordinary shares and limited company-specific historical volatility, it</w:t>
      </w:r>
      <w:r>
        <w:rPr>
          <w:rFonts w:ascii="Arial" w:cs="Arial" w:eastAsia="Arial" w:hAnsi="Arial"/>
          <w:sz w:val="17"/>
          <w:szCs w:val="17"/>
          <w:i w:val="1"/>
          <w:iCs w:val="1"/>
          <w:color w:val="auto"/>
        </w:rPr>
        <w:t xml:space="preserve"> </w:t>
      </w:r>
      <w:r>
        <w:rPr>
          <w:rFonts w:ascii="Arial" w:cs="Arial" w:eastAsia="Arial" w:hAnsi="Arial"/>
          <w:sz w:val="17"/>
          <w:szCs w:val="17"/>
          <w:color w:val="auto"/>
        </w:rPr>
        <w:t>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57" w:lineRule="exact"/>
        <w:rPr>
          <w:rFonts w:ascii="Arial" w:cs="Arial" w:eastAsia="Arial" w:hAnsi="Arial"/>
          <w:sz w:val="17"/>
          <w:szCs w:val="17"/>
          <w:color w:val="auto"/>
        </w:rPr>
      </w:pPr>
    </w:p>
    <w:p>
      <w:pPr>
        <w:ind w:left="1040" w:right="42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yield in effect at the time of the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remaining terms similar to the expected term of the options.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Dividend Rate</w:t>
      </w:r>
      <w:r>
        <w:rPr>
          <w:rFonts w:ascii="Arial" w:cs="Arial" w:eastAsia="Arial" w:hAnsi="Arial"/>
          <w:sz w:val="16"/>
          <w:szCs w:val="16"/>
          <w:color w:val="auto"/>
        </w:rPr>
        <w:t>. The expected dividend was assumed to be zero as the Company has never paid dividends and has no current plans to do so.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accounts for income taxes using an asset and liability approach, which requires recognition of deferred tax assets and liabilities for the expected future tax consequences of events that have been recognized in the consolidated financial statements, but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6" w:name="page117"/>
    <w:bookmarkEnd w:id="116"/>
    <w:p>
      <w:pPr>
        <w:ind w:right="20"/>
        <w:spacing w:after="0" w:line="264" w:lineRule="auto"/>
        <w:rPr>
          <w:sz w:val="20"/>
          <w:szCs w:val="20"/>
          <w:color w:val="auto"/>
        </w:rPr>
      </w:pPr>
      <w:r>
        <w:rPr>
          <w:rFonts w:ascii="Arial" w:cs="Arial" w:eastAsia="Arial" w:hAnsi="Arial"/>
          <w:sz w:val="18"/>
          <w:szCs w:val="18"/>
          <w:color w:val="auto"/>
        </w:rPr>
        <w:t>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interest and penalties related to uncertain tax positions in the income tax provision on the consolidated statements of operations.</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the related ongoing results of the comparable companies.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May 2014, the FASB issued Accounting Standards Update (“ASU”) No. 2014-09, Revenue from Contracts with Customers (Topic 606) (“ASU 2014-09”), which supersedes the revenue recognition requirements in ASC 605-25,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xml:space="preserve"> and most industry-specific guidance. In addition, the FASB recently issued ASUs 2016-10 and 2016-12, which provide clarifying amendments to ASU 2014-09. ASU 2014-09 and its related amendments will be effective for the Company for interim and annual periods beginning after December 15, 2017.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will adopt the new standard effective January 1, 2018 under the full retrospective method.</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is assessing but has not yet completed its assessment of the impact of the adoption of this standard on its consolidated financial statements. Therefore, the Company does not know and cannot reasonably estimate the impact that adoption of ASC 606 is expected to have on the consolidated financial statements. Currently, the Company anticipates a potential impact on the revenue recognition method used to recognize revenue for the identified performance obligations under the Pfizer Collaboration Agreement as well as the recognition of milestone revenue prior to achievement. The expected impact is further described below. Estimated impacts from the adoption of this standard could differ upon the final adoption and implementation of the standard.</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With respect to the Pfizer Collaboration Agreement, the Company currently expects the five performance obligations identified under the provisions of ASC 606 will be consistent with the five units of accounting identified under the provisions of ASC 605. However, as previously described, it currently expects that the timing and pattern of revenue recognition under step (v) above will differ from the pattern of revenue recognition under ASC 605. Under ASC 606, the revenues will be recognized over time. As of December 31, 2017, the Company had recognized $5.2 million of revenue under the Pfizer Collaboration Agreement. Deferred revenue related to the Pfizer Collaboration Agreement amounted to $8.3 million as of December 31, 2017, of which $2.7 million is included in current liabilities. The Company expects a change in the timing and pattern of revenue recognition upon adoption of ASC 606 to impact the Company’s revenue, deferred revenue and net loss.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7" w:name="page118"/>
    <w:bookmarkEnd w:id="117"/>
    <w:p>
      <w:pPr>
        <w:ind w:right="180"/>
        <w:spacing w:after="0" w:line="297" w:lineRule="auto"/>
        <w:rPr>
          <w:sz w:val="20"/>
          <w:szCs w:val="20"/>
          <w:color w:val="auto"/>
        </w:rPr>
      </w:pPr>
      <w:r>
        <w:rPr>
          <w:rFonts w:ascii="Arial" w:cs="Arial" w:eastAsia="Arial" w:hAnsi="Arial"/>
          <w:sz w:val="16"/>
          <w:szCs w:val="16"/>
          <w:color w:val="auto"/>
        </w:rPr>
        <w:t>The Company expects the accounting for contingent milestone payments under its collaboration agreements to change under ASC 606. ASC 606 does not contain guidance specific to milestone payments, thereby requiring contingent milestone payments to be considered in accordance with the overall model of ASC 606. Revenue from contingent milestone payments may be recognized earlier under ASC 606 than under ASC 605, based on an assessment of the probability of achievement of the milestone event and the likelihood of a significant reversal of such milestone revenue at each reporting date. This assessment may result in the recognition of revenue related to a contingent milestone payment before the milestone event has been achieved.</w:t>
      </w:r>
    </w:p>
    <w:p>
      <w:pPr>
        <w:spacing w:after="0" w:line="15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ASC 606 requires more robust disclosures than required by previous guidance, including disclosures related to disaggregation of revenue into appropriate categories, performance obligations, the judgments made in revenue recognition determinations, adjustments to revenue which relate to activities from previous quarters or years, any significant reversals of revenue, and costs to obtain or fulfill contracts.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adoption of these standards, the Company is implementing several new internal controls, including controls to monitor the probability of achievement of contingent milestone payments and the timing and pattern of performance of the performance obligation.</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February 2016, the FASB issued Accounting Standards Update No. 2016-02, Leases (“ASU 2016-02”)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a lessee to recognize assets and liabilities on the balance sheet for operating leases and changes many key definitions, including the definition of a lease. The update includes a short-term lease exception for leases with a term of 12 months or less, in which a lessee can make an accounting policy election not to recognize lease assets and lease liabilities.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have not significantly changed from previous U.S. GAAP. Lessees and lessors are required to recognize and measure leases at the beginning of the earliest period presented using a modified retrospective approach. The modified retrospective approach includes a number of optional practical expedients that entities may elect to apply as well as transition guidance specific to nonstandard leasing transactions. ASU 2016-02 is effective for fiscal years beginning after December 15, 2018, and interim periods within those fiscal years. The Company is currently evaluating the potential impact that the adoption of ASU 2016-02 may have on its consolidated financial statements.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2016, the FASB issued Accounting Standards Update No. 2016-16, Income Taxes (Topic 740): Intra-Entity Transfers of Assets Other Than Inventory (“ASU 2016-16”), which requires an entity to recognize the income tax consequences of an intra-entity transfer of an asset, other than inventory, when the transfer occurs, even though the pre-tax effects of that transaction are eliminated in consolidation. The amendments are effective for fiscal years, and interim periods within those fiscal years, beginning after December 15, 2017. These amendments should be applied on a modified retrospective basis through a cumulative-effect adjustment directly to retained earnings at the beginning of the period adopted. The Company will adopt ASU 2016-16 in the first quarter of 2018 and the Company estimates that there will be a cumulative-effect increase of approximately $0.4 million to the Company’s accumulated deficit.</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November 2016, the FASB issued Accounting Standards Update No. 2016-18, Statement of Cash Flows (Topic 230): Restricted Cash (“ASU 2016-18”). The ASU requires an entity to explain the changes in the total of cash, cash equivalents, restricted cash, and restricted cash equivalents on the statement of cash flows and to provide a reconciliation of the totals in that statement to the related captions in the balance sheet when the cash, cash equivalents, restricted cash, and restricted cash equivalents are presented in more than one line item on the balance sheet. This ASU is effective for annual and interim periods beginning after December 15, 2017, and is required to be adopted using a retrospective approach, with early adoption permitted. The Company is currently evaluating the potential impact that the adoption of ASU 2016-18 may have on its consolidated financial statements.</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2015, the FASB issued Accounting Standards Update No. 2015-17, Balance Sheet Classification of Deferred Taxes (“ASU 2015-17”), which requires entities to present deferred tax assets and liabilities, along with any related valuation allowance, as noncurrent on the balance sheet. The new standard is effective for annual and interim periods beginning after December 15, 2016. During the three months ended March 31, 2017, the Company elected to adopt ASU 2015-17 on a prospective basis. The adoption of this standard resulted in the reclassification of short-term deferred tax assets to long-term deferred tax assets.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assets in progress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(4,417)</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(2,494)</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Leasehold improvements made during the years ended December 31, 2017 and 2016 consisted of costs related to the Company’s leased facilities in Cambridge, Massachusetts and Lexington, Massachusetts.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was $2.2 million, $0.8 million and $0.6 million for the years ended December 31, 2017, 2016 and 2015, respectively.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700" w:type="dxa"/>
            <w:vAlign w:val="bottom"/>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5,428</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3,281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700" w:type="dxa"/>
            <w:vAlign w:val="bottom"/>
            <w:tcBorders>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8,898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PFIZER COLLABORATION AND SHARE PURCHASE AGREEMENT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5, 2016, the Company entered into a Research, License and Option Agreement (the “Pfizer Collaboration Agreement”) with Pfizer Inc. (“Pfizer”). Pursuant to the terms of the Pfizer Collaboration Agreement, the Company and Pfizer agreed to collaborate on the discovery, development and commercialization of stereopure oligonucleotide therapeutics for up to five programs (the “Pfizer Programs”), each directed at a genetically-defined hepatic target selected by Pfizer (the “Pfizer Collaboration”). The Company received $10.0 million as an upfront license fee under the Pfizer Collaboration Agreement. Subject to option exercises by Pfizer, the Company may earn potential research, development and commercial milestone payments, plus royalties, tiered up to low double-digits, on sales of any products that may result from the Pfizer Collaboration. None of the payments under the Pfizer Collaboration Agreement are refundable.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Simultaneously with the entry into the Pfizer Collaboration Agreement, the Company entered into a Share Purchase Agreement (the “Pfizer Equity Agreement,” and together with the Pfizer Collaboration Agreement, the “Pfizer Agreements”) with C.P. Pharmaceuticals International C.V., an affiliate of Pfizer (the “Pfizer Affiliate”). Pursuant to the terms of the Pfizer Equity Agreement, the Pfizer Affiliate purchased 1,875,000 of the Company’s ordinary shares (the “Shares”) at a purchase price of $16.00 per share, for an aggregate purchase price of $30.0 million. The Company did not incur any material costs in connection with the issuance of the Shares.</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Pfizer Collaboration Agreement, the parties agreed to collaborate during the four-year Research Term. During the Research Term, the Company is responsible to use its commercially reasonable efforts to advance up to five programs through to the selection of clinical candidates. At that stage, Pfizer may elect to license any of these Pfizer Programs exclusively and to have exclusive rights to undertake the clinical development of the resulting clinical candidates into products and the potential commercialization of any such products thereafter. In addition, the Company receives a non-exclusive, royalty-bearing sublicenseable license to use Pfizer’s hepatic targeting technology in any of the Company’s own hepatic programs that are outside the scope of the Pfizer Collaboration (the “Wave Programs”). If the Company uses this technology on the Wave Programs, Pfizer is eligible to receive potential development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19" w:name="page120"/>
    <w:bookmarkEnd w:id="119"/>
    <w:p>
      <w:pPr>
        <w:ind w:right="340"/>
        <w:spacing w:after="0" w:line="277" w:lineRule="auto"/>
        <w:rPr>
          <w:sz w:val="20"/>
          <w:szCs w:val="20"/>
          <w:color w:val="auto"/>
        </w:rPr>
      </w:pPr>
      <w:r>
        <w:rPr>
          <w:rFonts w:ascii="Arial" w:cs="Arial" w:eastAsia="Arial" w:hAnsi="Arial"/>
          <w:sz w:val="18"/>
          <w:szCs w:val="18"/>
          <w:color w:val="auto"/>
        </w:rPr>
        <w:t>commercial milestone payments from the Company. Pfizer is also eligible to receive tiered royalties on sales of any products that include Pfizer’s hepatic targeting technology.</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Pfizer nominated two hepatic targets upon entry into the Pfizer Collaboration in May 2016. In August 2016, Pfizer nominated the third hepatic target under the Pfizer Collaboration for which the Company received a $2.5 million milestone payment in 2016. On November 5, 2017, the Company amended its Pfizer Collaboration Agreement to extend the target nomination period from November 5, 2017 to May 5, 2018. This amendment provides Pfizer with an additional six months to nominate the two remaining hepatic targets under the Pfizer Collaboration Agreement.</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determined that the options held by Pfizer under the Pfizer Collaboration Agreement are substantive and priced at a significant incremental discount. Accordingly, $3.0 million of the upfront payment was allocated to the options to nominate the three remaining targets upon inception. The amount allocated to the three options will be recognized as the research and development services are provided commencing from the date that Pfizer exercises each respective option, or immediately as each option expires unexercised. The portion of the upfront payment allocated to the initial two targets was $7.0 million and will be recognized as the research and development services are provided from the inception of the arrangement. Subsequently, in 2016, Pfizer exercised its option to nominate a third program. The Company will recognize $3.5 million of revenue (which is comprised of $1.0 million allocated to the option at inception of the arrangement and $2.5 million paid by Pfizer at the time of exercising the option) as the research and development services are provided. In November 2017, the Company achieved a milestone under the Pfizer Collaboration Agreement, the revenue related to this milestone was recognized in full during the year ended December 31, 2017.</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Pfizer Collaboration is managed by a joint steering committee in which both parties are represented equally, which will oversee the scientific progression of each Pfizer Program up to the clinical candidate stage. During the four-year Research Term and for a period of two years thereafter, the Company has agreed to work exclusively with Pfizer with respect to using any of the Company’s stereopure oligonucleotide technology that is specific for the applicable hepatic target which is the basis of any Pfizer Program.</w:t>
      </w:r>
    </w:p>
    <w:p>
      <w:pPr>
        <w:spacing w:after="0" w:line="18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stated term of the Pfizer Collaboration Agreement commenced on May 5, 2016 and terminates on the date of the last to expire payment obligation with respect to each Pfizer Program and with respect to each Wave Program, expires on a program-by-program basis accordingly. Pfizer may terminate its rights related to a Pfizer Program under the Pfizer Collaboration Agreement at its own convenience upon 90 days’ notice to the Company. The Company may also terminate its rights related to a Wave Program at its own convenience upon 90 days’ notice to Pfizer. The Pfizer Collaboration Agreement may also be terminated by either party in the event of an uncured material breach of the Pfizer Collaboration Agreement by the other party.</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year ended December 31, 2017, the Company recognized revenue of $3.7 million under the Pfizer Collaboration Agreement. Deferred revenue amounted to $8.3 million as of December 31, 2017, of which $2.7 million is included in current liabilities.</w:t>
      </w:r>
    </w:p>
    <w:p>
      <w:pPr>
        <w:spacing w:after="0" w:line="356" w:lineRule="exact"/>
        <w:rPr>
          <w:sz w:val="20"/>
          <w:szCs w:val="20"/>
          <w:color w:val="auto"/>
        </w:rPr>
      </w:pPr>
    </w:p>
    <w:p>
      <w:pPr>
        <w:ind w:right="9720" w:firstLine="8"/>
        <w:spacing w:after="0" w:line="378" w:lineRule="auto"/>
        <w:tabs>
          <w:tab w:leader="none" w:pos="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b w:val="1"/>
          <w:bCs w:val="1"/>
          <w:u w:val="single" w:color="auto"/>
          <w:color w:val="auto"/>
        </w:rPr>
        <w:t>Ordinary Shares</w:t>
      </w:r>
    </w:p>
    <w:p>
      <w:pPr>
        <w:spacing w:after="0"/>
        <w:rPr>
          <w:sz w:val="20"/>
          <w:szCs w:val="20"/>
          <w:color w:val="auto"/>
        </w:rPr>
      </w:pPr>
      <w:r>
        <w:rPr>
          <w:rFonts w:ascii="Arial" w:cs="Arial" w:eastAsia="Arial" w:hAnsi="Arial"/>
          <w:sz w:val="18"/>
          <w:szCs w:val="18"/>
          <w:color w:val="auto"/>
        </w:rPr>
        <w:t>The following represents the historical ordinary share transactions of the Company from December 31, 2013 through December 31, 2017:</w:t>
      </w:r>
    </w:p>
    <w:p>
      <w:pPr>
        <w:spacing w:after="0" w:line="117" w:lineRule="exact"/>
        <w:rPr>
          <w:sz w:val="20"/>
          <w:szCs w:val="20"/>
          <w:color w:val="auto"/>
        </w:rPr>
      </w:pPr>
    </w:p>
    <w:p>
      <w:pPr>
        <w:ind w:left="1040" w:hanging="519"/>
        <w:spacing w:after="0" w:line="264"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February 2014, the Company issued 2,263,291 ordinary shares to a third-party investor at $2.47 per share for net proceeds of $5.6 million. In connection with this financing, holders of $9.6 million of related party notes payable agreed to convert such notes into 2,365,139 Series A preferred shares and 1,515,596 ordinary shares.</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January 2015, the Company issued 4,769,077 ordinary shares to a third-party investor and an existing investor at $2.47 per share for net proceeds of $11.6 million.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March 2015, the Company granted 190,856 fully-vested ordinary shares to an executive of the Company.</w:t>
      </w:r>
    </w:p>
    <w:p>
      <w:pPr>
        <w:spacing w:after="0" w:line="117" w:lineRule="exact"/>
        <w:rPr>
          <w:rFonts w:ascii="Arial" w:cs="Arial" w:eastAsia="Arial" w:hAnsi="Arial"/>
          <w:sz w:val="18"/>
          <w:szCs w:val="18"/>
          <w:color w:val="auto"/>
        </w:rPr>
      </w:pPr>
    </w:p>
    <w:p>
      <w:pPr>
        <w:ind w:left="1040" w:right="100" w:hanging="519"/>
        <w:spacing w:after="0" w:line="273"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November 2015, the Company completed an initial public offering of its ordinary shares, in which the Company issued and sold 6,375,000 ordinary shares at a price to the public of $16.00 per share. In December 2015, the Company issued an additional 618,126 ordinary shares at a price of $16.00 per share pursuant to a partial exercise of the underwriters’ over-allotment option. The aggregate net proceeds to the Company from the initial public offering, inclusive of the over-allotment exercise, were $100.4 million after deducting underwriting discounts and commissions and estimated offering expenses payable by the Company. In connection with this financing, the Company’s 5,334,892 Series B preferred shares automatically converted into 5,334,892 of the Company’s ordinary shares.</w:t>
      </w:r>
    </w:p>
    <w:p>
      <w:pPr>
        <w:spacing w:after="0" w:line="70"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May 2016, the Company granted 1,875,000 ordinary shares to Pfizer under the Pfizer Agreements (Note 5) at a purchase price of $16.00 per share, for an aggregate purchase price of $30.0 million.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0" w:name="page121"/>
    <w:bookmarkEnd w:id="120"/>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April 2017, the Company closed a follow-on underwritten public offering of 4,166,667 ordinary shares for gross proceeds of</w:t>
      </w:r>
    </w:p>
    <w:p>
      <w:pPr>
        <w:spacing w:after="0" w:line="23" w:lineRule="exact"/>
        <w:rPr>
          <w:rFonts w:ascii="Arial" w:cs="Arial" w:eastAsia="Arial" w:hAnsi="Arial"/>
          <w:sz w:val="18"/>
          <w:szCs w:val="18"/>
          <w:color w:val="auto"/>
        </w:rPr>
      </w:pPr>
    </w:p>
    <w:p>
      <w:pPr>
        <w:ind w:left="1040" w:right="360"/>
        <w:spacing w:after="0" w:line="261" w:lineRule="auto"/>
        <w:rPr>
          <w:rFonts w:ascii="Arial" w:cs="Arial" w:eastAsia="Arial" w:hAnsi="Arial"/>
          <w:sz w:val="18"/>
          <w:szCs w:val="18"/>
          <w:color w:val="auto"/>
        </w:rPr>
      </w:pPr>
      <w:r>
        <w:rPr>
          <w:rFonts w:ascii="Arial" w:cs="Arial" w:eastAsia="Arial" w:hAnsi="Arial"/>
          <w:sz w:val="18"/>
          <w:szCs w:val="18"/>
          <w:color w:val="auto"/>
        </w:rPr>
        <w:t>$100.0 million. The net proceeds from this issuance were $93.5 million after deducting underwriting discounts and commissions and other estimated offering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Features of the Ordinary Shares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ordinary shares have no par value and there is no concept of authorized share capital under Singapore law. The rights, preferences, and privileges of ordinary shares are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Share Offering</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Prior to the closing of the Company’s initial public offering, any new ordinary shares or securities convertible into ordinary shares were required to be offered in the first instance to all the then holders of any class of shares, other than the Series A preferred shares, prior to issuance and each shareholder had the right of pre-emption with respect to any issuance of new ordinary shares or securities convertible into ordinary shares. This right of pre-emption did not apply to shares sold in the Company’s initial public offering and terminated immediately prior to the closing of the Company’s initial public offering.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ordinary shares are entitled to one vote for each ordinary share held at all meetings of shareholders and written actions in lieu of meetings.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All dividends, if any, shall be declared and paid pro rata according to the number of shares held by each member entitled to receive dividends. The Company’s board of directors may deduct from any dividend all sums of money presently payable by the member to the Company on account of calls.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the event of a liquidation, dissolution or winding up of, or a return of capital by the Company, the ordinary shares will rank equally with the Series A preferred shares after the payment of the liquidation preference of $10.00 for Series A preferred shares.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 the Series A preferred share transactions of the Company from December 31, 2013 through December 31, 2017:</w:t>
      </w:r>
    </w:p>
    <w:p>
      <w:pPr>
        <w:spacing w:after="0" w:line="117" w:lineRule="exact"/>
        <w:rPr>
          <w:sz w:val="20"/>
          <w:szCs w:val="20"/>
          <w:color w:val="auto"/>
        </w:rPr>
      </w:pPr>
    </w:p>
    <w:p>
      <w:pPr>
        <w:ind w:left="1040" w:right="140" w:hanging="519"/>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February 2014, holders of $9.6 million of related party notes payable agreed to convert such notes into 2,365,139 Series A preferred shares and 1,515,596 ordinary shares.</w:t>
      </w:r>
    </w:p>
    <w:p>
      <w:pPr>
        <w:spacing w:after="0" w:line="62" w:lineRule="exact"/>
        <w:rPr>
          <w:rFonts w:ascii="Arial" w:cs="Arial" w:eastAsia="Arial" w:hAnsi="Arial"/>
          <w:sz w:val="18"/>
          <w:szCs w:val="18"/>
          <w:color w:val="auto"/>
        </w:rPr>
      </w:pPr>
    </w:p>
    <w:p>
      <w:pPr>
        <w:ind w:left="1040" w:right="20" w:hanging="519"/>
        <w:spacing w:after="0" w:line="268" w:lineRule="auto"/>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connection with the private placement of Series B preferred shares on August 14, 2015, holders of the Company’s preference shares agreed to rename the existing “preference shares” as “Series A preferred shares.” In addition, as further described below, the terms of the Series A preferred shares were amended to remove their right of first refusal and to provide for their right to convert on a one-for-one basis into an aggregate of 3,901,348 ordinary shares at any time at the election of the holder. The rights of the Series A preferred shares are identical to the ordinary shares except that the Series A preferred shares have: (1) no voting rights other than in limited circumstances, (2) the right to a non-cumulative dividend if and when declared by the Company’s board of directors and (3) the right to convert the Series A preferred shares at any time on a one-for-one basis into ordinary shares at the discretion of the holder. The Company’s shareholders, including holders of Series A preferred shares, entered into an investors’ rights agreement and a voting agreement with the Company in connection with the private placement. Pursuant to the terms of the voting agreement, which terminated in connection with the Company’s IPO, investors who held at least 1,212,477 shares of registerable securities, including holders of Series A preferred shares and Series B preferred shares, had a right to purchase certain new securities offered by the Company. Additionally, in the event of the sale of 50% or more of the voting power of the Company or a deemed liquidation event, if the holders of at least a majority of the ordinary shares and the holders of 56% of the Series B preferred shares had voted for a sale of the Company, they had the right to force the other shareholders, including the holders of Series A preferred shares, to agree to such a sale.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1" w:name="page122"/>
    <w:bookmarkEnd w:id="121"/>
    <w:p>
      <w:pPr>
        <w:ind w:left="1040" w:right="20" w:hanging="519"/>
        <w:spacing w:after="0" w:line="25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September 2015, the terms of the Series A preferred shares were further amended to provide that, upon the mandatory conversion of Series B preferred shares, which occurred on the completion of the initial public offering, the existing right of Series A preferred shares to a non-cumulative dividend if and when declared by our board of directors ceased and was replaced by a liquidation preference consisting of $0.002 per Series A preferred share, or an aggregate of $10.00 based on the number of Series A preferred shares outstanding at the date of the amendment.</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has accounted for the September 2015 amendment to the Series A preferred shares as a modification of the preferred shares based on upon a qualitative assessment of the amendment. The Company has not adjusted the carrying value of the Series A preferred shares since the fair value of the Series A preferred shares immediately prior and subsequent to the modification date resulted in an immaterial change in fair value.</w:t>
      </w:r>
    </w:p>
    <w:p>
      <w:pPr>
        <w:spacing w:after="0" w:line="166"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addition of the liquidation preference to the Series A preferred shares, however, resulted in the reclassification of the Series A preferred shares from permanent shareholders’ equity to temporary shareholders’ equity since the holders of the Series A preferred shares are entitled to a liquidation preference upon a deemed liquidation event, which is outside the control of the Company. In the event a deemed liquidation event were to occur, the Company would adjust the carrying value of the Series A preferred shares to their liquidation value, which amounts to $10.00 in the aggregate.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Series A preferred shares have no par value and there is no concept of authorized share capital under Singapore law. The Series A preferred shares are not redeemable.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B Preferred Shares Converted in Connection with Initial Public Offering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represents the historical Series B preferred share transactions of the Company from January 1, 2015 through the completion of our initial public offering:</w:t>
      </w:r>
    </w:p>
    <w:p>
      <w:pPr>
        <w:spacing w:after="0" w:line="62" w:lineRule="exact"/>
        <w:rPr>
          <w:sz w:val="20"/>
          <w:szCs w:val="20"/>
          <w:color w:val="auto"/>
        </w:rPr>
      </w:pPr>
    </w:p>
    <w:p>
      <w:pPr>
        <w:ind w:left="1040" w:right="6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August 14, 2015, the Company issued an aggregate of 5,334,892 Series B preferred shares at a purchase price of $12.37 per share to certain third-party investors for $62.5 million of net proceeds.</w:t>
      </w:r>
    </w:p>
    <w:p>
      <w:pPr>
        <w:spacing w:after="0" w:line="62" w:lineRule="exact"/>
        <w:rPr>
          <w:rFonts w:ascii="Arial" w:cs="Arial" w:eastAsia="Arial" w:hAnsi="Arial"/>
          <w:sz w:val="18"/>
          <w:szCs w:val="18"/>
          <w:color w:val="auto"/>
        </w:rPr>
      </w:pPr>
    </w:p>
    <w:p>
      <w:pPr>
        <w:ind w:left="1040" w:right="460" w:hanging="519"/>
        <w:spacing w:after="0" w:line="277" w:lineRule="auto"/>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the completion of the initial public offering on November 16, 2015, all of the outstanding Series B preferred shares of the Company automatically converted into 5,334,892 of the Company’s ordinary shares.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conversion of the Series B preferred shares into ordinary shares, the Series B preferred shares had a liquidation preference over the Series A preferred shareholders and ordinary shareholders equal to the original per share amount paid of $12.37 per share, plus any declared plus unpaid dividends, if any. Additionally, the holders of Series B preferred shares were entitled to voting rights, however, the Series B preferred shareholders were not entitled to any preferential dividends and their shares were not redeemable.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December 2014, the Company’s board of directors adopted the Wave Life Sciences Ltd. 2014 Equity Incentive Plan (the “2014 Plan”), and reserved 1,763,714 ordinary shares for issuance under this plan, which was increased to 5,064,544 in 2015 and to 6,064,544 in 2017. The 2014 Plan authorizes the board of directors or a committee of the board to grant incentive share options, non-qualified share options, share appreciation rights and restricted share awards to eligible employees and non-employees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1,716,110 ordinary shares remained available for future grant under the 2014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Share option activity under the 2014 Plan is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6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Term (in years)</w:t>
            </w:r>
          </w:p>
        </w:tc>
        <w:tc>
          <w:tcPr>
            <w:tcW w:w="16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2017</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3,577,766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522,750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26.33</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(137,493)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(195,893)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14.71</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3,767,130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7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84,675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Options exercisable as of December 31, 2017</w:t>
            </w: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line="20" w:lineRule="exact"/>
              <w:rPr>
                <w:sz w:val="1"/>
                <w:szCs w:val="1"/>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62,060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2,257,455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7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Options unvested as of December 31, 2017</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1,509,675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140" w:hanging="512"/>
        <w:spacing w:after="0" w:line="342"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Options generally vest over a period of three or four years, and options that are forfeited or cancelled are available to be granted again. The contractual life of options is generally five or ten years from the grant date. Share-based compensation expense related to options is included in research and development expenses or general and administrative expenses on the consolidated statements of operations.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share options granted to employees during the period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4"/>
              </w:rPr>
              <w:t>For the Year Ended December 31,</w:t>
            </w: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40" w:type="dxa"/>
            <w:vAlign w:val="bottom"/>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2017</w:t>
            </w:r>
          </w:p>
        </w:tc>
        <w:tc>
          <w:tcPr>
            <w:tcW w:w="1880" w:type="dxa"/>
            <w:vAlign w:val="bottom"/>
            <w:gridSpan w:val="4"/>
          </w:tcPr>
          <w:p>
            <w:pPr>
              <w:jc w:val="right"/>
              <w:ind w:right="59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570"/>
              <w:spacing w:after="0" w:line="155" w:lineRule="exact"/>
              <w:rPr>
                <w:sz w:val="20"/>
                <w:szCs w:val="20"/>
                <w:color w:val="auto"/>
              </w:rPr>
            </w:pPr>
            <w:r>
              <w:rPr>
                <w:rFonts w:ascii="Arial" w:cs="Arial" w:eastAsia="Arial" w:hAnsi="Arial"/>
                <w:sz w:val="14"/>
                <w:szCs w:val="14"/>
                <w:b w:val="1"/>
                <w:bCs w:val="1"/>
                <w:color w:val="auto"/>
              </w:rPr>
              <w:t>2015</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2.23%</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8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- 1.89%</w:t>
            </w: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720" w:type="dxa"/>
            <w:vAlign w:val="bottom"/>
          </w:tcPr>
          <w:p>
            <w:pPr>
              <w:ind w:left="20"/>
              <w:spacing w:after="0"/>
              <w:rPr>
                <w:sz w:val="20"/>
                <w:szCs w:val="20"/>
                <w:color w:val="auto"/>
              </w:rPr>
            </w:pPr>
            <w:r>
              <w:rPr>
                <w:rFonts w:ascii="Arial" w:cs="Arial" w:eastAsia="Arial" w:hAnsi="Arial"/>
                <w:sz w:val="18"/>
                <w:szCs w:val="18"/>
                <w:color w:val="auto"/>
              </w:rPr>
              <w:t>– 6.25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 6.25</w:t>
            </w:r>
          </w:p>
        </w:tc>
        <w:tc>
          <w:tcPr>
            <w:tcW w:w="600" w:type="dxa"/>
            <w:vAlign w:val="bottom"/>
          </w:tcPr>
          <w:p>
            <w:pPr>
              <w:jc w:val="right"/>
              <w:spacing w:after="0"/>
              <w:rPr>
                <w:sz w:val="20"/>
                <w:szCs w:val="20"/>
                <w:color w:val="auto"/>
              </w:rPr>
            </w:pPr>
            <w:r>
              <w:rPr>
                <w:rFonts w:ascii="Arial" w:cs="Arial" w:eastAsia="Arial" w:hAnsi="Arial"/>
                <w:sz w:val="18"/>
                <w:szCs w:val="18"/>
                <w:color w:val="auto"/>
              </w:rPr>
              <w:t>5.52</w:t>
            </w:r>
          </w:p>
        </w:tc>
        <w:tc>
          <w:tcPr>
            <w:tcW w:w="860" w:type="dxa"/>
            <w:vAlign w:val="bottom"/>
          </w:tcPr>
          <w:p>
            <w:pPr>
              <w:ind w:left="20"/>
              <w:spacing w:after="0"/>
              <w:rPr>
                <w:sz w:val="20"/>
                <w:szCs w:val="20"/>
                <w:color w:val="auto"/>
              </w:rPr>
            </w:pPr>
            <w:r>
              <w:rPr>
                <w:rFonts w:ascii="Arial" w:cs="Arial" w:eastAsia="Arial" w:hAnsi="Arial"/>
                <w:sz w:val="18"/>
                <w:szCs w:val="18"/>
                <w:color w:val="auto"/>
              </w:rPr>
              <w:t>- 6.12</w:t>
            </w: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68.95%</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 72.24%</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60.89%</w:t>
            </w:r>
          </w:p>
        </w:tc>
        <w:tc>
          <w:tcPr>
            <w:tcW w:w="11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68.76%</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62.14%</w:t>
            </w:r>
          </w:p>
        </w:tc>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- 71.02%</w:t>
            </w: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450"/>
              <w:spacing w:after="0"/>
              <w:rPr>
                <w:sz w:val="20"/>
                <w:szCs w:val="20"/>
                <w:color w:val="auto"/>
              </w:rPr>
            </w:pPr>
            <w:r>
              <w:rPr>
                <w:rFonts w:ascii="Arial" w:cs="Arial" w:eastAsia="Arial" w:hAnsi="Arial"/>
                <w:sz w:val="18"/>
                <w:szCs w:val="18"/>
                <w:color w:val="auto"/>
              </w:rPr>
              <w:t>0%</w:t>
            </w:r>
          </w:p>
        </w:tc>
        <w:tc>
          <w:tcPr>
            <w:tcW w:w="1880" w:type="dxa"/>
            <w:vAlign w:val="bottom"/>
            <w:gridSpan w:val="4"/>
          </w:tcPr>
          <w:p>
            <w:pPr>
              <w:jc w:val="right"/>
              <w:ind w:right="6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10"/>
              <w:spacing w:after="0"/>
              <w:rPr>
                <w:sz w:val="20"/>
                <w:szCs w:val="20"/>
                <w:color w:val="auto"/>
              </w:rPr>
            </w:pPr>
            <w:r>
              <w:rPr>
                <w:rFonts w:ascii="Arial" w:cs="Arial" w:eastAsia="Arial" w:hAnsi="Arial"/>
                <w:sz w:val="18"/>
                <w:szCs w:val="18"/>
                <w:color w:val="auto"/>
              </w:rPr>
              <w:t>0%</w:t>
            </w: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share options granted to non-employees during the period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5"/>
              </w:rPr>
              <w:t>December 31, 2015</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gridSpan w:val="3"/>
            <w:shd w:val="clear" w:color="auto" w:fill="CFF0FC"/>
          </w:tcPr>
          <w:p>
            <w:pPr>
              <w:jc w:val="center"/>
              <w:ind w:left="570"/>
              <w:spacing w:after="0"/>
              <w:rPr>
                <w:sz w:val="20"/>
                <w:szCs w:val="20"/>
                <w:color w:val="auto"/>
              </w:rPr>
            </w:pPr>
            <w:r>
              <w:rPr>
                <w:rFonts w:ascii="Arial" w:cs="Arial" w:eastAsia="Arial" w:hAnsi="Arial"/>
                <w:sz w:val="18"/>
                <w:szCs w:val="18"/>
                <w:color w:val="auto"/>
                <w:w w:val="91"/>
              </w:rPr>
              <w:t>2.06% - 2.35%</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9.19 - 10.00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gridSpan w:val="3"/>
            <w:shd w:val="clear" w:color="auto" w:fill="CFF0FC"/>
          </w:tcPr>
          <w:p>
            <w:pPr>
              <w:jc w:val="center"/>
              <w:ind w:left="550"/>
              <w:spacing w:after="0"/>
              <w:rPr>
                <w:sz w:val="20"/>
                <w:szCs w:val="20"/>
                <w:color w:val="auto"/>
              </w:rPr>
            </w:pPr>
            <w:r>
              <w:rPr>
                <w:rFonts w:ascii="Arial" w:cs="Arial" w:eastAsia="Arial" w:hAnsi="Arial"/>
                <w:sz w:val="18"/>
                <w:szCs w:val="18"/>
                <w:color w:val="auto"/>
                <w:w w:val="91"/>
              </w:rPr>
              <w:t>62.65% - 69.80%</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4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6540" w:type="dxa"/>
            <w:vAlign w:val="bottom"/>
            <w:gridSpan w:val="3"/>
          </w:tcPr>
          <w:p>
            <w:pPr>
              <w:spacing w:after="0"/>
              <w:rPr>
                <w:sz w:val="20"/>
                <w:szCs w:val="20"/>
                <w:color w:val="auto"/>
              </w:rPr>
            </w:pPr>
            <w:r>
              <w:rPr>
                <w:rFonts w:ascii="Arial" w:cs="Arial" w:eastAsia="Arial" w:hAnsi="Arial"/>
                <w:sz w:val="18"/>
                <w:szCs w:val="18"/>
                <w:color w:val="auto"/>
              </w:rPr>
              <w:t>There were no options granted to non-employees in 2017 or 2016.</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3"/>
          </w:tcPr>
          <w:p>
            <w:pPr>
              <w:spacing w:after="0"/>
              <w:rPr>
                <w:sz w:val="20"/>
                <w:szCs w:val="20"/>
                <w:color w:val="auto"/>
              </w:rPr>
            </w:pPr>
            <w:r>
              <w:rPr>
                <w:rFonts w:ascii="Arial" w:cs="Arial" w:eastAsia="Arial" w:hAnsi="Arial"/>
                <w:sz w:val="18"/>
                <w:szCs w:val="18"/>
                <w:color w:val="auto"/>
                <w:w w:val="91"/>
              </w:rPr>
              <w:t>RSU activity for the years ended December 31, 2017 and 2016 is summarized as follows: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(in dollars per</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Outstanding as of January 1, 2017</w:t>
            </w:r>
          </w:p>
        </w:tc>
        <w:tc>
          <w:tcPr>
            <w:tcW w:w="6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22,750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170,859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940" w:type="dxa"/>
            <w:vAlign w:val="bottom"/>
            <w:gridSpan w:val="3"/>
          </w:tcPr>
          <w:p>
            <w:pPr>
              <w:jc w:val="right"/>
              <w:ind w:right="140"/>
              <w:spacing w:after="0"/>
              <w:rPr>
                <w:sz w:val="20"/>
                <w:szCs w:val="20"/>
                <w:color w:val="auto"/>
              </w:rPr>
            </w:pPr>
            <w:r>
              <w:rPr>
                <w:rFonts w:ascii="Arial" w:cs="Arial" w:eastAsia="Arial" w:hAnsi="Arial"/>
                <w:sz w:val="18"/>
                <w:szCs w:val="18"/>
                <w:color w:val="auto"/>
              </w:rPr>
              <w:t>(16,400)</w:t>
            </w: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RSUs Outstanding at December 31, 2017</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RSUs granted in 2015. The RSUs granted in 2016 fully vested upon the first anniversary of the grant date and the RSUs granted in 2017 vest annually over a period four years. RSUs that are forfeited are available to be granted again. Share-based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ind w:right="400"/>
        <w:spacing w:after="0" w:line="277" w:lineRule="auto"/>
        <w:rPr>
          <w:sz w:val="20"/>
          <w:szCs w:val="20"/>
          <w:color w:val="auto"/>
        </w:rPr>
      </w:pPr>
      <w:r>
        <w:rPr>
          <w:rFonts w:ascii="Arial" w:cs="Arial" w:eastAsia="Arial" w:hAnsi="Arial"/>
          <w:sz w:val="18"/>
          <w:szCs w:val="18"/>
          <w:color w:val="auto"/>
        </w:rPr>
        <w:t>compensation expense related to the RSUs is included in research and development expenses or general and administrative expenses on the consolidated statements of operations.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2017, the unrecognized compensation cost related to outstanding options was $16.9 million for employees and $1.0 million for non-employees. The unrecognized compensation cost related to outstanding options for employees and non-employees is expected to be recognized over a weighted-average period of approximately 2.6 years. For the years ended December 31, 2017 and 2016, the weighted-average grant date fair value per granted option was $16.58 and $30.23, respectively. The aggregate fair value of options that vested during the year ended December 31, 2017 was $11.5 million. The unrecognized compensation costs related to outstanding RSUs was $3.5 million as of December 31, 2017, and is expected to be recognized over a weighted-average period of approximately 3.11 years.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March 2015, the Company granted 190,856 fully-vested ordinary shares to an executive of the Company and the Company recorded compensation expense in the amount of $0.9 million. Share-based compensation expense related to these fully-vested ordinary shares is included in general and administrative expenses on the consolidated statements of operations.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Share-based compensation expense for the years ended December 31, 2017, 2016 and 2015 is classified in the consolidated statements of operations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center"/>
              <w:ind w:left="94"/>
              <w:spacing w:after="0"/>
              <w:rPr>
                <w:sz w:val="20"/>
                <w:szCs w:val="20"/>
                <w:color w:val="auto"/>
              </w:rPr>
            </w:pPr>
            <w:r>
              <w:rPr>
                <w:rFonts w:ascii="Arial" w:cs="Arial" w:eastAsia="Arial" w:hAnsi="Arial"/>
                <w:sz w:val="14"/>
                <w:szCs w:val="14"/>
                <w:b w:val="1"/>
                <w:bCs w:val="1"/>
                <w:color w:val="auto"/>
                <w:w w:val="93"/>
              </w:rPr>
              <w:t>For the Year Ended 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77"/>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57"/>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2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w:t>
            </w:r>
          </w:p>
        </w:tc>
        <w:tc>
          <w:tcPr>
            <w:tcW w:w="6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w:t>
            </w:r>
          </w:p>
        </w:tc>
        <w:tc>
          <w:tcPr>
            <w:tcW w:w="100" w:type="dxa"/>
            <w:vAlign w:val="bottom"/>
            <w:shd w:val="clear" w:color="auto" w:fill="CFF0FC"/>
          </w:tcPr>
          <w:p>
            <w:pPr>
              <w:spacing w:after="0"/>
              <w:rPr>
                <w:sz w:val="19"/>
                <w:szCs w:val="19"/>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FF0FC"/>
            </w:tcBorders>
          </w:tcPr>
          <w:p>
            <w:pPr>
              <w:spacing w:after="0"/>
              <w:rPr>
                <w:sz w:val="19"/>
                <w:szCs w:val="19"/>
                <w:color w:val="auto"/>
              </w:rPr>
            </w:pPr>
          </w:p>
        </w:tc>
      </w:tr>
      <w:tr>
        <w:trPr>
          <w:trHeight w:val="223"/>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12,143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Of the total share-based compensation expense recorded for the years ended December 31, 2017, 2016 and 2015, $2.9 million, $2.7 million and $1.6 million related to options granted to non-employees, respectively, all of which is included in research and development expenses on the consolidated statements of operations.</w:t>
      </w:r>
    </w:p>
    <w:p>
      <w:pPr>
        <w:spacing w:after="0" w:line="366" w:lineRule="exact"/>
        <w:rPr>
          <w:sz w:val="20"/>
          <w:szCs w:val="20"/>
          <w:color w:val="auto"/>
        </w:rPr>
      </w:pPr>
    </w:p>
    <w:p>
      <w:pPr>
        <w:ind w:right="7760" w:firstLine="8"/>
        <w:spacing w:after="0" w:line="385" w:lineRule="auto"/>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Lease Arrangements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lease arrangements for its facilities as well as certain equipment. A summary of the arrangements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On September 26, 2016, and as amended on December 31, 2016, the Company entered into a 10 year and 9 month lease, which includes two successive five year renewal options, for its facility in Lexington, Massachusetts, which the Company uses primarily for its cGMP manufacturing, as well as for additional laboratory and office space. Throughout the term of the lease, the Company is responsible for paying certain costs and expenses, in addition to the rent, as specified in the lease, including a proportionate share of applicable taxes, operating expenses and utilities. In connection with the lease agreement, the Company issued the lessor a letter of credit in the amount of $2.6 million, which is included in restricted cash at December 31, 2017.</w:t>
      </w:r>
    </w:p>
    <w:p>
      <w:pPr>
        <w:spacing w:after="0" w:line="15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lease agreement, the Company is entitled to receive $11.5 million of tenant improvement allowances. The Company has received $3.6 million as of December 31, 2017, which is amortized over the period from the commencement of tenant improvement construction through to the end of the lease term.</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April 2015, the Company entered into a lease agreement for an office and laboratory facility in Cambridge, Massachusetts, which commenced in October 2015 with a term of 7.5 years with a five-year renewal option to extend the lease. In connection with the lease, the Company issued the lessor a letter of credit in the amount of $1.0 million, which is recorded as restricted cash on the consolidated balance sheets at December 31, 2017 and 2016.</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Previously, the Company leased its corporate office space in Boston, Massachusetts under a non-cancellable operating sublease with SNBL, a related party. On September 22, 2015, the Company terminated its sublease with SNBL and exited the premises on October 2, 2015. As a result of the termination of the sublease, the Company recorded approximately $0.2 million of additional depreciation and $0.1 million of exit costs during the year ended December 31, 2015. In connection with the termination, the Company agreed to guarantee SNBL certain obligations of an unrelated third party who entered into a sublease agreement with SNBL effective October 2, 2015. The guarantee provides that in the event the sub-lessee does not meet its lease obligations to SNBL,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4" w:name="page125"/>
    <w:bookmarkEnd w:id="124"/>
    <w:p>
      <w:pPr>
        <w:ind w:right="60"/>
        <w:spacing w:after="0" w:line="259" w:lineRule="auto"/>
        <w:rPr>
          <w:sz w:val="20"/>
          <w:szCs w:val="20"/>
          <w:color w:val="auto"/>
        </w:rPr>
      </w:pPr>
      <w:r>
        <w:rPr>
          <w:rFonts w:ascii="Arial" w:cs="Arial" w:eastAsia="Arial" w:hAnsi="Arial"/>
          <w:sz w:val="18"/>
          <w:szCs w:val="18"/>
          <w:color w:val="auto"/>
        </w:rPr>
        <w:t>Company will make the required payments. The guarantee agreement is effective through August 2019, when the final lease payments are due, and coincides with the original expiration of the lease. The Company simultaneously entered into an indemnification agreement with the sub-lessee to indemnify the Company for any costs incurred under the guarantee made by the Company to SNBL. The maximum amount of the guarantee over the three year and six month sub-lease period is $0.6 million, exclusive of any indemnification from the sub-lessee.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non-cancelable operating leases as of December 31, 2017, are as follows:</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80" w:type="dxa"/>
            <w:vAlign w:val="bottom"/>
          </w:tcPr>
          <w:p>
            <w:pPr>
              <w:ind w:left="1740"/>
              <w:spacing w:after="0"/>
              <w:rPr>
                <w:sz w:val="20"/>
                <w:szCs w:val="20"/>
                <w:color w:val="auto"/>
              </w:rPr>
            </w:pPr>
            <w:r>
              <w:rPr>
                <w:rFonts w:ascii="Arial" w:cs="Arial" w:eastAsia="Arial" w:hAnsi="Arial"/>
                <w:sz w:val="14"/>
                <w:szCs w:val="14"/>
                <w:b w:val="1"/>
                <w:bCs w:val="1"/>
                <w:color w:val="auto"/>
              </w:rPr>
              <w:t>For the Year Ended December 31,</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r>
      <w:tr>
        <w:trPr>
          <w:trHeight w:val="156"/>
        </w:trPr>
        <w:tc>
          <w:tcPr>
            <w:tcW w:w="5580" w:type="dxa"/>
            <w:vAlign w:val="bottom"/>
          </w:tcPr>
          <w:p>
            <w:pPr>
              <w:spacing w:after="0"/>
              <w:rPr>
                <w:sz w:val="13"/>
                <w:szCs w:val="13"/>
                <w:color w:val="auto"/>
              </w:rPr>
            </w:pPr>
          </w:p>
        </w:tc>
        <w:tc>
          <w:tcPr>
            <w:tcW w:w="118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4,666</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1180" w:type="dxa"/>
            <w:vAlign w:val="bottom"/>
          </w:tcPr>
          <w:p>
            <w:pPr>
              <w:jc w:val="right"/>
              <w:spacing w:after="0"/>
              <w:rPr>
                <w:sz w:val="20"/>
                <w:szCs w:val="20"/>
                <w:color w:val="auto"/>
              </w:rPr>
            </w:pPr>
            <w:r>
              <w:rPr>
                <w:rFonts w:ascii="Arial" w:cs="Arial" w:eastAsia="Arial" w:hAnsi="Arial"/>
                <w:sz w:val="18"/>
                <w:szCs w:val="18"/>
                <w:color w:val="auto"/>
              </w:rPr>
              <w:t>5,675</w:t>
            </w:r>
          </w:p>
        </w:tc>
        <w:tc>
          <w:tcPr>
            <w:tcW w:w="8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5,846</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1180" w:type="dxa"/>
            <w:vAlign w:val="bottom"/>
          </w:tcPr>
          <w:p>
            <w:pPr>
              <w:jc w:val="right"/>
              <w:spacing w:after="0"/>
              <w:rPr>
                <w:sz w:val="20"/>
                <w:szCs w:val="20"/>
                <w:color w:val="auto"/>
              </w:rPr>
            </w:pPr>
            <w:r>
              <w:rPr>
                <w:rFonts w:ascii="Arial" w:cs="Arial" w:eastAsia="Arial" w:hAnsi="Arial"/>
                <w:sz w:val="18"/>
                <w:szCs w:val="18"/>
                <w:color w:val="auto"/>
              </w:rPr>
              <w:t>6,021</w:t>
            </w:r>
          </w:p>
        </w:tc>
        <w:tc>
          <w:tcPr>
            <w:tcW w:w="8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26,163</w:t>
            </w:r>
          </w:p>
        </w:tc>
        <w:tc>
          <w:tcPr>
            <w:tcW w:w="8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54,572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rent expense of $5.6 million, $1.5 million and $0.5 million for the years ended December 31, 2017, 2016 and 2015,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April 2015, the Company entered into a three year lease to acquire laboratory equipment, which has been accounted for as a capital lease. The capital asset was valued at $0.3 million and is included in property and equipment, net, along with accumulated amortization of $0.1 million as of December 31, 2017 and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Unasserted Claims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ORDINARY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Basic loss per share is computed by dividing net loss attributable to ordinary shareholders by the weighted-average number of ordinary shares outstanding:</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639"/>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gridSpan w:val="9"/>
          </w:tcPr>
          <w:p>
            <w:pPr>
              <w:jc w:val="center"/>
              <w:ind w:right="114"/>
              <w:spacing w:after="0" w:line="155" w:lineRule="exact"/>
              <w:rPr>
                <w:sz w:val="20"/>
                <w:szCs w:val="20"/>
                <w:color w:val="auto"/>
              </w:rPr>
            </w:pPr>
            <w:r>
              <w:rPr>
                <w:rFonts w:ascii="Arial" w:cs="Arial" w:eastAsia="Arial" w:hAnsi="Arial"/>
                <w:sz w:val="14"/>
                <w:szCs w:val="14"/>
                <w:color w:val="auto"/>
                <w:w w:val="89"/>
              </w:rPr>
              <w:t>(in thousands except share and per share data)</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Net loss attributable to ordinary</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040" w:type="dxa"/>
            <w:vAlign w:val="bottom"/>
          </w:tcPr>
          <w:p>
            <w:pPr>
              <w:ind w:left="380"/>
              <w:spacing w:after="0"/>
              <w:rPr>
                <w:sz w:val="20"/>
                <w:szCs w:val="20"/>
                <w:color w:val="auto"/>
              </w:rPr>
            </w:pPr>
            <w:r>
              <w:rPr>
                <w:rFonts w:ascii="Arial" w:cs="Arial" w:eastAsia="Arial" w:hAnsi="Arial"/>
                <w:sz w:val="18"/>
                <w:szCs w:val="18"/>
                <w:color w:val="auto"/>
              </w:rPr>
              <w:t>shareholders</w:t>
            </w:r>
          </w:p>
        </w:tc>
        <w:tc>
          <w:tcPr>
            <w:tcW w:w="1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(102,035)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(55,401)</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(19,200)</w:t>
            </w:r>
          </w:p>
        </w:tc>
      </w:tr>
      <w:tr>
        <w:trPr>
          <w:trHeight w:val="210"/>
        </w:trPr>
        <w:tc>
          <w:tcPr>
            <w:tcW w:w="20" w:type="dxa"/>
            <w:vAlign w:val="bottom"/>
          </w:tcPr>
          <w:p>
            <w:pPr>
              <w:spacing w:after="0"/>
              <w:rPr>
                <w:sz w:val="18"/>
                <w:szCs w:val="18"/>
                <w:color w:val="auto"/>
              </w:rPr>
            </w:pPr>
          </w:p>
        </w:tc>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Weighted-average ordinary shares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04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outstanding</w:t>
            </w:r>
          </w:p>
        </w:tc>
        <w:tc>
          <w:tcPr>
            <w:tcW w:w="134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26,513,382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22,800,628</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10,501,455</w:t>
            </w:r>
          </w:p>
        </w:tc>
        <w:tc>
          <w:tcPr>
            <w:tcW w:w="80" w:type="dxa"/>
            <w:vAlign w:val="bottom"/>
            <w:tcBorders>
              <w:bottom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and restricted share units, are considered to be ordinary share equivalents and are only included in the calculation of diluted net loss per share when their effect is dilutive.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5" w:name="page126"/>
    <w:bookmarkEnd w:id="125"/>
    <w:p>
      <w:pPr>
        <w:ind w:right="240"/>
        <w:spacing w:after="0" w:line="308"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As of December 31,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gridSpan w:val="4"/>
          </w:tcPr>
          <w:p>
            <w:pPr>
              <w:jc w:val="right"/>
              <w:ind w:right="322"/>
              <w:spacing w:after="0" w:line="155" w:lineRule="exact"/>
              <w:rPr>
                <w:sz w:val="20"/>
                <w:szCs w:val="20"/>
                <w:color w:val="auto"/>
              </w:rPr>
            </w:pPr>
            <w:r>
              <w:rPr>
                <w:rFonts w:ascii="Arial" w:cs="Arial" w:eastAsia="Arial" w:hAnsi="Arial"/>
                <w:sz w:val="14"/>
                <w:szCs w:val="14"/>
                <w:b w:val="1"/>
                <w:bCs w:val="1"/>
                <w:color w:val="auto"/>
              </w:rPr>
              <w:t>2017</w:t>
            </w:r>
          </w:p>
        </w:tc>
        <w:tc>
          <w:tcPr>
            <w:tcW w:w="1040" w:type="dxa"/>
            <w:vAlign w:val="bottom"/>
            <w:gridSpan w:val="5"/>
          </w:tcPr>
          <w:p>
            <w:pPr>
              <w:jc w:val="right"/>
              <w:ind w:right="85"/>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3,767,130</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3,577,766</w:t>
            </w:r>
          </w:p>
        </w:tc>
        <w:tc>
          <w:tcPr>
            <w:tcW w:w="80" w:type="dxa"/>
            <w:vAlign w:val="bottom"/>
            <w:tcBorders>
              <w:top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154,459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22,750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3,901,348</w:t>
            </w:r>
          </w:p>
        </w:tc>
        <w:tc>
          <w:tcPr>
            <w:tcW w:w="130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3,901,348</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621"/>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10. INCOME TAXES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480" w:type="dxa"/>
            <w:vAlign w:val="bottom"/>
            <w:gridSpan w:val="3"/>
          </w:tcPr>
          <w:p>
            <w:pPr>
              <w:spacing w:after="0"/>
              <w:rPr>
                <w:sz w:val="20"/>
                <w:szCs w:val="20"/>
                <w:color w:val="auto"/>
              </w:rPr>
            </w:pPr>
            <w:r>
              <w:rPr>
                <w:rFonts w:ascii="Arial" w:cs="Arial" w:eastAsia="Arial" w:hAnsi="Arial"/>
                <w:sz w:val="18"/>
                <w:szCs w:val="18"/>
                <w:color w:val="auto"/>
              </w:rPr>
              <w:t>The components of loss before income taxes were as follows:</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center"/>
              <w:ind w:left="42"/>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left="416"/>
              <w:spacing w:after="0" w:line="155"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140"/>
              <w:spacing w:after="0" w:line="155" w:lineRule="exact"/>
              <w:rPr>
                <w:sz w:val="20"/>
                <w:szCs w:val="20"/>
                <w:color w:val="auto"/>
              </w:rPr>
            </w:pPr>
            <w:r>
              <w:rPr>
                <w:rFonts w:ascii="Arial" w:cs="Arial" w:eastAsia="Arial" w:hAnsi="Arial"/>
                <w:sz w:val="14"/>
                <w:szCs w:val="14"/>
                <w:color w:val="auto"/>
                <w:w w:val="92"/>
              </w:rPr>
              <w:t>(in thousands)</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Singapore</w:t>
            </w:r>
          </w:p>
        </w:tc>
        <w:tc>
          <w:tcPr>
            <w:tcW w:w="1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(76,885)</w:t>
            </w:r>
          </w:p>
        </w:tc>
        <w:tc>
          <w:tcPr>
            <w:tcW w:w="620" w:type="dxa"/>
            <w:vAlign w:val="bottom"/>
            <w:gridSpan w:val="2"/>
            <w:shd w:val="clear" w:color="auto" w:fill="CFF0FC"/>
          </w:tcPr>
          <w:p>
            <w:pPr>
              <w:jc w:val="right"/>
              <w:ind w:right="322"/>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2"/>
              </w:rPr>
              <w:t>(53,387)</w:t>
            </w:r>
          </w:p>
        </w:tc>
        <w:tc>
          <w:tcPr>
            <w:tcW w:w="3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(16,534)</w:t>
            </w:r>
          </w:p>
        </w:tc>
      </w:tr>
      <w:tr>
        <w:trPr>
          <w:trHeight w:val="230"/>
        </w:trPr>
        <w:tc>
          <w:tcPr>
            <w:tcW w:w="116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Rest of world</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(24,442)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(2,622)</w:t>
            </w:r>
          </w:p>
        </w:tc>
      </w:tr>
      <w:tr>
        <w:trPr>
          <w:trHeight w:val="223"/>
        </w:trPr>
        <w:tc>
          <w:tcPr>
            <w:tcW w:w="1160" w:type="dxa"/>
            <w:vAlign w:val="bottom"/>
          </w:tcPr>
          <w:p>
            <w:pPr>
              <w:spacing w:after="0"/>
              <w:rPr>
                <w:sz w:val="19"/>
                <w:szCs w:val="19"/>
                <w:color w:val="auto"/>
              </w:rPr>
            </w:pPr>
          </w:p>
        </w:tc>
        <w:tc>
          <w:tcPr>
            <w:tcW w:w="43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(101,327)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2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3"/>
              </w:rPr>
              <w:t>(54,785)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(19,156)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years ended December 31, 2017, 2016, and 2015, the Company recorded a tax provision of $0.7 million, $0.6 million and less than $0.1 million, respectively. The 2017 tax provision was due to the Company’s establishment of a valuation allowance against the Company’s U.S. deferred tax assets and U.S. income generated under research and management services arrangements between the Company’s U.S. and Singapore entities which is taxed in the U.S. The 2016 and 2015 tax provisions were primarily the result of U.S. income generated under research and management services arrangements between the Company’s U.S. and Singapore entities which is taxed in the U.S.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1, 2017, the Company made changes to its corporate entity operating structure, including transferring intellectual property from the Japanese subsidiary to the Singapore parent company, as well as transferring intellectual property from the Singapore parent company to the U.S. and UK subsidiaries, primarily to align the Company’s intellectual property holding and management structure with its business functions. The transfer of assets occurred between wholly-owned legal entities within the Wave group that are all based in different tax jurisdictions. As the impact of the transfer was the result of an intra-entity transaction, any resulting gain or loss and immediate tax impact on the transfer is eliminated and not recognized in the consolidated financial statements under U.S. GAAP. The recipient entities will receive a tax benefit associated with the future amortization of the intellectual property received in accordance with the applicable tax laws. As discussed in Note 2, the Company will adopt ASU 2016-16 in the first quarter of 2018 and the Company estimates that there will be a cumulative-effect increase of approximately $0.4 million to the Company’s accumulated deficit.</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During the years ended December 31, 2017, 2016 and 2015, the Company recorded no income tax benefit for the net operating losses incurred in Singapore and Japan, due to uncertainty regarding future taxable income in those jurisdictions. In May 2016, the Company established a wholly-owned subsidiary in Ireland, however no income tax expense or benefit has been recorded during the years ended December 31, 2017 and 2016. In April 2017, the Company established a wholly-owned subsidiary in the UK, however, during the year ended December 31, 2017 no income tax benefit was recorded related to the net operating losses incurred in the UK due to uncertainty regarding future taxable income in that jurisdiction.</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Tax Cuts and Jobs Act (the “Tax Act”) was enacted on December 22, 2017 and includes significant changes to the U.S. corporate tax system. Effective January 1, 2018, the Tax Act reduced the U.S. federal corporate tax rate from 35% to 21% and transitioned the U.S. federal tax system from a worldwide tax system to a territorial tax system. On December 22, 2017, the SEC issued Staff Accounting Bulletin 118 (“SAB 118”) that provides additional guidance allowing companies to apply a measurement period of up to twelve months to account for the impacts of the Tax Act in their financial statements. As of December 31, 2017, the Company has accounted for the impacts of the Tax Act to the extent a reasonable estimate could be made. The Company recognized a $0.8 million provisional charge related to the remeasurement of the Company’s deferred tax assets and liabilities, which was included as a component of the Company’s provision for income taxes and was fully offset by a corresponding amount in the Company’s valuation allowance. The Company will continue to refine its estimates throughout the measurement period or until the accounting is complete as allowed under SAB 118.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The components of the benefit (provision) for income taxes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center"/>
              <w:ind w:left="5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Current benefit (provision) for income taxes:</w:t>
            </w: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Singapore taxes</w:t>
            </w:r>
          </w:p>
        </w:tc>
        <w:tc>
          <w:tcPr>
            <w:tcW w:w="158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 of world taxes</w:t>
            </w: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(133)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current benefit (provision) for income taxes</w:t>
            </w:r>
          </w:p>
        </w:tc>
        <w:tc>
          <w:tcPr>
            <w:tcW w:w="880" w:type="dxa"/>
            <w:vAlign w:val="bottom"/>
          </w:tcPr>
          <w:p>
            <w:pPr>
              <w:spacing w:after="0"/>
              <w:rPr>
                <w:sz w:val="19"/>
                <w:szCs w:val="19"/>
                <w:color w:val="auto"/>
              </w:rPr>
            </w:pPr>
          </w:p>
        </w:tc>
        <w:tc>
          <w:tcPr>
            <w:tcW w:w="700" w:type="dxa"/>
            <w:vAlign w:val="bottom"/>
            <w:tcBorders>
              <w:top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benefit (provision) for income taxes:</w:t>
            </w:r>
          </w:p>
        </w:tc>
        <w:tc>
          <w:tcPr>
            <w:tcW w:w="8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Singapore taxes</w:t>
            </w:r>
          </w:p>
        </w:tc>
        <w:tc>
          <w:tcPr>
            <w:tcW w:w="158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 of world taxes</w:t>
            </w: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(774)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deferred benefit (provision) for income taxes</w:t>
            </w:r>
          </w:p>
        </w:tc>
        <w:tc>
          <w:tcPr>
            <w:tcW w:w="880" w:type="dxa"/>
            <w:vAlign w:val="bottom"/>
          </w:tcPr>
          <w:p>
            <w:pPr>
              <w:spacing w:after="0"/>
              <w:rPr>
                <w:sz w:val="19"/>
                <w:szCs w:val="19"/>
                <w:color w:val="auto"/>
              </w:rPr>
            </w:pPr>
          </w:p>
        </w:tc>
        <w:tc>
          <w:tcPr>
            <w:tcW w:w="700" w:type="dxa"/>
            <w:vAlign w:val="bottom"/>
            <w:tcBorders>
              <w:top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(774)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benefit (provision) for income taxes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(708)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Singapore statutory income tax rate to the Company’s effective income tax rate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5"/>
              </w:rPr>
              <w:t>Year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Singapore statutory income tax rate</w:t>
            </w:r>
          </w:p>
        </w:tc>
        <w:tc>
          <w:tcPr>
            <w:tcW w:w="13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17.0%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17.0%</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Federal and state tax credits</w:t>
            </w: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Permanent differences</w:t>
            </w:r>
          </w:p>
        </w:tc>
        <w:tc>
          <w:tcPr>
            <w:tcW w:w="13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(0.9)</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Changes in reserves for uncertain tax positions</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rate differential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Tax rate change</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(0.9)</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(0.9)</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Change in deferred tax asset valuation allowance</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(19.7)</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deferred tax assets as of December 31, 2017 and 2016 are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28,913</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16,046</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and state tax credits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(36,069)</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(15,999)</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(1,366)</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(1,090)</w:t>
            </w: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valuation allowance for the years ended December 31, 2017 and 2016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2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20,595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8,774</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Reversal of valuation allowance</w:t>
            </w: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(598)</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translation</w:t>
            </w:r>
          </w:p>
        </w:tc>
        <w:tc>
          <w:tcPr>
            <w:tcW w:w="2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2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15,999</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gridSpan w:val="2"/>
          </w:tcPr>
          <w:p>
            <w:pPr>
              <w:jc w:val="right"/>
              <w:ind w:right="1445"/>
              <w:spacing w:after="0"/>
              <w:rPr>
                <w:sz w:val="20"/>
                <w:szCs w:val="20"/>
                <w:color w:val="auto"/>
              </w:rPr>
            </w:pPr>
            <w:r>
              <w:rPr>
                <w:rFonts w:ascii="Arial" w:cs="Arial" w:eastAsia="Arial" w:hAnsi="Arial"/>
                <w:sz w:val="18"/>
                <w:szCs w:val="18"/>
                <w:color w:val="auto"/>
              </w:rPr>
              <w:t>F-23</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7" w:name="page128"/>
    <w:bookmarkEnd w:id="127"/>
    <w:p>
      <w:pPr>
        <w:ind w:right="40"/>
        <w:spacing w:after="0" w:line="257" w:lineRule="auto"/>
        <w:rPr>
          <w:sz w:val="20"/>
          <w:szCs w:val="20"/>
          <w:color w:val="auto"/>
        </w:rPr>
      </w:pPr>
      <w:r>
        <w:rPr>
          <w:rFonts w:ascii="Arial" w:cs="Arial" w:eastAsia="Arial" w:hAnsi="Arial"/>
          <w:sz w:val="18"/>
          <w:szCs w:val="18"/>
          <w:color w:val="auto"/>
        </w:rPr>
        <w:t>As of December 31, 2017 and 2016, the Company has U.S. federal research and development tax credit carryforwards of approximately $2.8 million and $0.2 million, respectively, available to offset future U.S. federal income taxes. As of December 31, 2017 and 2016, the Company has state research and development tax credit carryforwards of approximately $1.1 million and $0.3 million, respectively, available to offset future state income taxes. The U.S. federal and state research and development tax credits will begin to expire in 2032. As of December 31, 2017, the Company had a U.S. orphan drug credit carryforward of $0.4 million, which will begin to expire in 2037.</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and 2016, the Company has net operating loss carryforwards in Japan of $4.1 million and $5.3 million, respectively, which may be available to offset future income tax liabilities and begin to expire in 2021.</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and 2016, the Company has net operating loss carryforwards in Singapore of $149.2 million and $84.0 million, respectively, which may be available to offset future income tax liabilities and can be carried forward indefinitely.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2017, the Company has net operating loss carryforwards in the UK of $10.5 million, which may be available to offset future income tax liabilities and can be carried forward indefinitely.</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evaluated the positive and negative evidence bearing upon its ability to realize its deferred tax assets. As of December 31, 2016,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Japan and Singapore. Accordingly, a full valuation allowance has been established against those deferred tax assets as of December 31, 2016. Additionally as of December 31, 2016, management has considered the Company’s expected utilization of U.S. research and development credit carryforwards and has concluded that it is more likely than not that the Company will not realize the benefits of the U.S. state research and development tax credit carryforward. As of December 31, 2016, there was a $0.8 million deferred tax asset in the U.S. As of December 31, 2017, management has considered the Company’s history of cumulative net losses incurred since inception and its lack of commercialization of any products or generation of any revenue from product sales since inception, as well as the corporate entity restructuring, and has concluded that it is more likely than not that the Company will not realize the benefits of the deferred tax assets in Singapore, the U.S., Japan and the UK. Accordingly, a full valuation allowance has been established against those deferred tax assets as of December 31, 2017.</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valuation allowance increased by approximately $20.1 million in 2017, $8.5 million in 2016 and $4.8 million in 2015 primarily as a result of operating losses generated with no corresponding financial statement benefit.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Company’s unrecognized tax benefits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 at the beginning of the year</w:t>
            </w:r>
          </w:p>
        </w:tc>
        <w:tc>
          <w:tcPr>
            <w:tcW w:w="10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Tax positions released related to prior years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Tax positions related to the current year</w:t>
            </w:r>
          </w:p>
        </w:tc>
        <w:tc>
          <w:tcPr>
            <w:tcW w:w="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Unrecognized tax benefit at the end of the year</w:t>
            </w:r>
          </w:p>
        </w:tc>
        <w:tc>
          <w:tcPr>
            <w:tcW w:w="7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2017, 2016 and 2015, the total amount of gross unrecognized tax benefits, which excludes interest and penalties, was $6.2 million, $2.3 million and $1.3 million, respectively. At December 31, 2017, $4.2 million of the net unrecognized tax benefits would affect the Company’s annual effective tax rate if recognized.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expect to record any material reductions in the measurement of its unrecognized tax benefits within the next twelve months.</w:t>
      </w:r>
    </w:p>
    <w:p>
      <w:pPr>
        <w:spacing w:after="0" w:line="23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Company’s policy is to record interest and penalties related to uncertain tax positions as part of its income tax provision. As of December 31, 2017 and 2016, the Company had incurred less than $0.1 million and zero, respectively, of interest or penalties related to uncertain tax positions.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spacing w:after="0" w:line="257" w:lineRule="auto"/>
        <w:rPr>
          <w:sz w:val="20"/>
          <w:szCs w:val="20"/>
          <w:color w:val="auto"/>
        </w:rPr>
      </w:pPr>
      <w:r>
        <w:rPr>
          <w:rFonts w:ascii="Arial" w:cs="Arial" w:eastAsia="Arial" w:hAnsi="Arial"/>
          <w:sz w:val="18"/>
          <w:szCs w:val="18"/>
          <w:color w:val="auto"/>
        </w:rPr>
        <w:t>The Company files income tax returns as prescribed by the tax laws of the jurisdictions in which it operates. In the normal course of business, the Company is subject to examination by various taxing authorities in the U.S., Japan, and Singapore. There are currently no pending income tax examinations. Tax years from 2012 to the present are still open to examination in the U.S., from 2008 to the present in Japan, and from 2012 to the present in Singapore. To the extent that the Company has tax attribute carryforwards, the tax years in which the attribute was generated may still be adjusted upon examination by the tax authorities to the extent utilized in a future period.</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December 31, 2017 and 2016, $48.8 million and $1.7 million,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in the U.S. may be subject to a substantial annual limitation under Section 382 of the Internal Revenue Code of 1986, as amended (the “Code”),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In 2015, the Company completed a study to assess whether an ownership change has occurred or whether there have been multiple ownership changes since its formation. The results of this study indicated that the Company experienced ownership changes as defined by Section 382 of the Code. Based on the results of the study, management has determined that the limitations will not have a material impact on the Company’s ability to utilize its research and development credit carryforwards to offset future tax liabilities. Should an ownership change have occurred after December 31, 2015 or occur in the future, the Company’s ability to utilize research and development tax credit carryforwards may be limited.</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has a 401(k) retirement and savings plan (the “401(k) Plan”) covering all U.S.-based employees. The 401(k) Plan allows employees to make contributions up to the maximum allowable amount set by the IRS. Under the 401(k) Plan, the Company may make discretionary contributions as approved by the board of directors. The Company made contributions of $0.4 million in the year ended December 31, 2017. The Company did not make contributions to the 401(k) Plan during the years ended December 31, 2016 or 2015.</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had the following related party transactions for the periods presented in the accompanying consolidated financial statements, which have not otherwise been discussed in these notes to the consolidated financial statements:</w:t>
      </w:r>
    </w:p>
    <w:p>
      <w:pPr>
        <w:spacing w:after="0" w:line="62" w:lineRule="exact"/>
        <w:rPr>
          <w:sz w:val="20"/>
          <w:szCs w:val="20"/>
          <w:color w:val="auto"/>
        </w:rPr>
      </w:pPr>
    </w:p>
    <w:p>
      <w:pPr>
        <w:ind w:left="1040" w:right="1160" w:hanging="519"/>
        <w:spacing w:after="0" w:line="342" w:lineRule="auto"/>
        <w:tabs>
          <w:tab w:leader="none" w:pos="10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held cash of $0.1 million in depository accounts with Kagoshima Bank, Ltd., an affiliate of one of the Company’s shareholders, Kagoshima Shinsangyo Sousei Investment Limited Partnership, as of December 31, 2017 and 2016.</w:t>
      </w:r>
    </w:p>
    <w:p>
      <w:pPr>
        <w:spacing w:after="0" w:line="15" w:lineRule="exact"/>
        <w:rPr>
          <w:rFonts w:ascii="Arial" w:cs="Arial" w:eastAsia="Arial" w:hAnsi="Arial"/>
          <w:sz w:val="16"/>
          <w:szCs w:val="16"/>
          <w:color w:val="auto"/>
        </w:rPr>
      </w:pPr>
    </w:p>
    <w:p>
      <w:pPr>
        <w:ind w:left="1040" w:right="260" w:hanging="519"/>
        <w:spacing w:after="0" w:line="342" w:lineRule="auto"/>
        <w:tabs>
          <w:tab w:leader="none" w:pos="10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Pursuant to the terms of various service agreements with SNBL, the Company paid SNBL $0.5 million, $0.4 million and $0.1 million for the years ended December 31, 2017, 2016 and 2015, respectively, for contract research services provided to the Company and its affiliates.</w:t>
      </w:r>
    </w:p>
    <w:p>
      <w:pPr>
        <w:spacing w:after="0" w:line="15" w:lineRule="exact"/>
        <w:rPr>
          <w:rFonts w:ascii="Arial" w:cs="Arial" w:eastAsia="Arial" w:hAnsi="Arial"/>
          <w:sz w:val="16"/>
          <w:szCs w:val="16"/>
          <w:color w:val="auto"/>
        </w:rPr>
      </w:pPr>
    </w:p>
    <w:p>
      <w:pPr>
        <w:ind w:left="1040" w:right="100" w:hanging="519"/>
        <w:spacing w:after="0" w:line="259" w:lineRule="auto"/>
        <w:tabs>
          <w:tab w:leader="none" w:pos="10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2012, the Company entered into a consulting agreement for scientific services with Dr. Gregory L. Verdine, one of the Company’s founders and a member of the Company’s board of directors. The consulting agreement does not have a specific term and may be terminated by either party upon 14 days’ prior written notice. Pursuant to the consulting agreement, the Company pays Dr. Verdine approximately $13 thousand per month, plus reimbursement for certain expenses.</w:t>
      </w:r>
    </w:p>
    <w:p>
      <w:pPr>
        <w:spacing w:after="0" w:line="372" w:lineRule="exact"/>
        <w:rPr>
          <w:rFonts w:ascii="Arial" w:cs="Arial" w:eastAsia="Arial" w:hAnsi="Arial"/>
          <w:sz w:val="18"/>
          <w:szCs w:val="18"/>
          <w:color w:val="auto"/>
        </w:rPr>
      </w:pPr>
    </w:p>
    <w:p>
      <w:pPr>
        <w:ind w:left="280" w:hanging="272"/>
        <w:spacing w:after="0"/>
        <w:tabs>
          <w:tab w:leader="none" w:pos="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long-lived assets consist of property and equipment, net, and are located in the following geographical areas: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4"/>
                <w:szCs w:val="14"/>
                <w:color w:val="auto"/>
              </w:rPr>
            </w:pPr>
          </w:p>
        </w:tc>
        <w:tc>
          <w:tcPr>
            <w:tcW w:w="1380" w:type="dxa"/>
            <w:vAlign w:val="bottom"/>
          </w:tcPr>
          <w:p>
            <w:pPr>
              <w:jc w:val="right"/>
              <w:ind w:right="114"/>
              <w:spacing w:after="0"/>
              <w:rPr>
                <w:sz w:val="20"/>
                <w:szCs w:val="20"/>
                <w:color w:val="auto"/>
              </w:rPr>
            </w:pPr>
            <w:r>
              <w:rPr>
                <w:rFonts w:ascii="Arial" w:cs="Arial" w:eastAsia="Arial" w:hAnsi="Arial"/>
                <w:sz w:val="14"/>
                <w:szCs w:val="14"/>
                <w:b w:val="1"/>
                <w:bCs w:val="1"/>
                <w:color w:val="auto"/>
                <w:w w:val="91"/>
              </w:rPr>
              <w:t>December 31, 2016</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0" w:type="dxa"/>
            <w:vAlign w:val="bottom"/>
            <w:tcBorders>
              <w:top w:val="single" w:sz="8" w:color="auto"/>
            </w:tcBorders>
            <w:gridSpan w:val="4"/>
          </w:tcPr>
          <w:p>
            <w:pPr>
              <w:jc w:val="right"/>
              <w:ind w:right="1094"/>
              <w:spacing w:after="0" w:line="155" w:lineRule="exact"/>
              <w:rPr>
                <w:sz w:val="20"/>
                <w:szCs w:val="20"/>
                <w:color w:val="auto"/>
              </w:rPr>
            </w:pPr>
            <w:r>
              <w:rPr>
                <w:rFonts w:ascii="Arial" w:cs="Arial" w:eastAsia="Arial" w:hAnsi="Arial"/>
                <w:sz w:val="14"/>
                <w:szCs w:val="14"/>
                <w:color w:val="auto"/>
              </w:rPr>
              <w:t>(in thousands)</w:t>
            </w: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2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United States</w:t>
            </w:r>
          </w:p>
        </w:tc>
        <w:tc>
          <w:tcPr>
            <w:tcW w:w="20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2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long-lived assets</w:t>
            </w:r>
          </w:p>
        </w:tc>
        <w:tc>
          <w:tcPr>
            <w:tcW w:w="2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8,607</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40" w:type="dxa"/>
            <w:vAlign w:val="bottom"/>
            <w:gridSpan w:val="2"/>
          </w:tcPr>
          <w:p>
            <w:pPr>
              <w:jc w:val="right"/>
              <w:ind w:right="730"/>
              <w:spacing w:after="0"/>
              <w:rPr>
                <w:sz w:val="20"/>
                <w:szCs w:val="20"/>
                <w:color w:val="auto"/>
              </w:rPr>
            </w:pPr>
            <w:r>
              <w:rPr>
                <w:rFonts w:ascii="Arial" w:cs="Arial" w:eastAsia="Arial" w:hAnsi="Arial"/>
                <w:sz w:val="18"/>
                <w:szCs w:val="18"/>
                <w:color w:val="auto"/>
              </w:rPr>
              <w:t>F-26</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14. SELECTED QUARTERLY FINANCIAL INFORMATION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results from operations for the years ended December 31, 2017 and 2016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2017 Quarter Ended</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20" w:type="dxa"/>
            <w:vAlign w:val="bottom"/>
            <w:gridSpan w:val="4"/>
          </w:tcPr>
          <w:p>
            <w:pPr>
              <w:ind w:left="80"/>
              <w:spacing w:after="0" w:line="155" w:lineRule="exact"/>
              <w:rPr>
                <w:sz w:val="20"/>
                <w:szCs w:val="20"/>
                <w:color w:val="auto"/>
              </w:rPr>
            </w:pPr>
            <w:r>
              <w:rPr>
                <w:rFonts w:ascii="Arial" w:cs="Arial" w:eastAsia="Arial" w:hAnsi="Arial"/>
                <w:sz w:val="14"/>
                <w:szCs w:val="14"/>
                <w:color w:val="auto"/>
                <w:w w:val="95"/>
              </w:rPr>
              <w:t>(in thousands, except for per share data)</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20,590</w:t>
            </w:r>
          </w:p>
        </w:tc>
        <w:tc>
          <w:tcPr>
            <w:tcW w:w="26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25,770</w:t>
            </w:r>
          </w:p>
        </w:tc>
        <w:tc>
          <w:tcPr>
            <w:tcW w:w="16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27,668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32,256</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(19,914)</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(25,094)</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(26,992)</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(30,580)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(20,996)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(24,693)</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(26,135)</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(30,211)</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ordinary share</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r>
      <w:tr>
        <w:trPr>
          <w:trHeight w:val="446"/>
        </w:trPr>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2016 Quarter Ended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20" w:type="dxa"/>
            <w:vAlign w:val="bottom"/>
            <w:gridSpan w:val="4"/>
          </w:tcPr>
          <w:p>
            <w:pPr>
              <w:ind w:left="80"/>
              <w:spacing w:after="0" w:line="155" w:lineRule="exact"/>
              <w:rPr>
                <w:sz w:val="20"/>
                <w:szCs w:val="20"/>
                <w:color w:val="auto"/>
              </w:rPr>
            </w:pPr>
            <w:r>
              <w:rPr>
                <w:rFonts w:ascii="Arial" w:cs="Arial" w:eastAsia="Arial" w:hAnsi="Arial"/>
                <w:sz w:val="14"/>
                <w:szCs w:val="14"/>
                <w:color w:val="auto"/>
                <w:w w:val="95"/>
              </w:rPr>
              <w:t>(in thousands, except for per share data)</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7,952</w:t>
            </w:r>
          </w:p>
        </w:tc>
        <w:tc>
          <w:tcPr>
            <w:tcW w:w="26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12,055</w:t>
            </w:r>
          </w:p>
        </w:tc>
        <w:tc>
          <w:tcPr>
            <w:tcW w:w="16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17,625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19,180</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(7,952)</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(11,638)</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(17,233)</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(18,504)</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(7,847)</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(11,565)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(17,535)</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(18,454)</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ordinary share</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(0.79)</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Collaboration and License Agreement</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February 2018, two of the Company’s subsidiaries entered into a global strategic collaboration (the “Takeda Collaboration”) that provides Takeda Pharmaceutical Company Limited (“Takeda”) with the option to co-develop and co-commercialize the Company’s CNS development programs in Huntington’s disease, amyotrophic lateral sclerosis and frontotemporal dementia, as well as a discovery stage program targeting ATXN3 for the treatment of spinocerebellar ataxia type 3. In addition, Takeda has the right to license multiple preclinical programs for CNS indications including Alzheimer’s disease and Parkinson’s disease. Subject to customary closing conditions, including the expiration or early termination of the applicable waiting period under the Hart-Scott-Rodino Antitrust Improvements Act of 1976 (the “HSR Act”), the Takeda Collaboration is expected to become effective during the first quarter of 2018.</w:t>
      </w:r>
    </w:p>
    <w:p>
      <w:pPr>
        <w:spacing w:after="0" w:line="16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Simultaneously with the Company’s entry into the Takeda Collaboration Agreement, the Company entered into a share purchase agreement with Takeda pursuant to which the Company agreed to sell to Takeda 1,096,892 of its ordinary shares at a purchase price of $54.70 per share, for an aggregate purchase price of approximately $60.0 million (the “Takeda Equity Investment”). Subject to customary closing conditions, including the expiration or early termination of the applicable waiting period under the HSR Act, the Takeda Equity Investment is expected to close during the first quarter of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131" w:name="page132"/>
    <w:bookmarkEnd w:id="131"/>
    <w:p>
      <w:pPr>
        <w:ind w:left="10360"/>
        <w:spacing w:after="0"/>
        <w:rPr>
          <w:sz w:val="20"/>
          <w:szCs w:val="20"/>
          <w:color w:val="auto"/>
        </w:rPr>
      </w:pPr>
      <w:r>
        <w:rPr>
          <w:rFonts w:ascii="Arial" w:cs="Arial" w:eastAsia="Arial" w:hAnsi="Arial"/>
          <w:sz w:val="16"/>
          <w:szCs w:val="16"/>
          <w:b w:val="1"/>
          <w:bCs w:val="1"/>
          <w:color w:val="auto"/>
        </w:rPr>
        <w:t>Exhibit 10.9.2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Research, License and Option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No.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Date: November 5, 2017</w:t>
      </w:r>
    </w:p>
    <w:p>
      <w:pPr>
        <w:spacing w:after="0" w:line="200" w:lineRule="exact"/>
        <w:rPr>
          <w:sz w:val="20"/>
          <w:szCs w:val="20"/>
          <w:color w:val="auto"/>
        </w:rPr>
      </w:pPr>
    </w:p>
    <w:p>
      <w:pPr>
        <w:sectPr>
          <w:pgSz w:w="11900" w:h="16838" w:orient="portrait"/>
          <w:cols w:equalWidth="0" w:num="2">
            <w:col w:w="4540" w:space="720"/>
            <w:col w:w="616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Original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Research, License and Option Agreement (the “Original Agreement,” and together with any previous amendments which may be described below, the “Agreement”)</w:t>
      </w:r>
    </w:p>
    <w:p>
      <w:pPr>
        <w:spacing w:after="0" w:line="120" w:lineRule="exact"/>
        <w:rPr>
          <w:sz w:val="20"/>
          <w:szCs w:val="20"/>
          <w:color w:val="auto"/>
        </w:rPr>
      </w:pPr>
    </w:p>
    <w:p>
      <w:pPr>
        <w:sectPr>
          <w:pgSz w:w="11900" w:h="16838" w:orient="portrait"/>
          <w:cols w:equalWidth="0" w:num="2">
            <w:col w:w="4540" w:space="720"/>
            <w:col w:w="616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Effective Date of Original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May 5</w:t>
      </w:r>
      <w:r>
        <w:rPr>
          <w:rFonts w:ascii="Arial" w:cs="Arial" w:eastAsia="Arial" w:hAnsi="Arial"/>
          <w:sz w:val="14"/>
          <w:szCs w:val="14"/>
          <w:color w:val="auto"/>
        </w:rPr>
        <w:t>th</w:t>
      </w:r>
      <w:r>
        <w:rPr>
          <w:rFonts w:ascii="Arial" w:cs="Arial" w:eastAsia="Arial" w:hAnsi="Arial"/>
          <w:sz w:val="17"/>
          <w:szCs w:val="17"/>
          <w:color w:val="auto"/>
        </w:rPr>
        <w:t>, 2016 (“Effective Date”)</w:t>
      </w:r>
    </w:p>
    <w:p>
      <w:pPr>
        <w:spacing w:after="0" w:line="200" w:lineRule="exact"/>
        <w:rPr>
          <w:sz w:val="20"/>
          <w:szCs w:val="20"/>
          <w:color w:val="auto"/>
        </w:rPr>
      </w:pPr>
    </w:p>
    <w:p>
      <w:pPr>
        <w:sectPr>
          <w:pgSz w:w="11900" w:h="16838" w:orient="portrait"/>
          <w:cols w:equalWidth="0" w:num="2">
            <w:col w:w="4540" w:space="720"/>
            <w:col w:w="6160"/>
          </w:cols>
          <w:pgMar w:left="240" w:top="12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Pfizer Inc. (“Pfizer”) and Wave Life Sciences Ltd. (“Wave”)</w:t>
      </w:r>
    </w:p>
    <w:p>
      <w:pPr>
        <w:spacing w:after="0" w:line="200" w:lineRule="exact"/>
        <w:rPr>
          <w:sz w:val="20"/>
          <w:szCs w:val="20"/>
          <w:color w:val="auto"/>
        </w:rPr>
      </w:pPr>
    </w:p>
    <w:p>
      <w:pPr>
        <w:sectPr>
          <w:pgSz w:w="11900" w:h="16838" w:orient="portrait"/>
          <w:cols w:equalWidth="0" w:num="2">
            <w:col w:w="4540" w:space="720"/>
            <w:col w:w="6160"/>
          </w:cols>
          <w:pgMar w:left="240" w:top="121"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Dates of Previous Amendment(s)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4540" w:space="720"/>
            <w:col w:w="6160"/>
          </w:cols>
          <w:pgMar w:left="240" w:top="121" w:right="239" w:bottom="1440"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parties hereto desire to amend certain terms of the Agreement in order to provide for an extension of the period of time to nominate the Additional Programs,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 THEREFORE, in order to accommodate the desired amendment(s), the parties hereby agree as follows:</w:t>
      </w:r>
    </w:p>
    <w:p>
      <w:pPr>
        <w:spacing w:after="0" w:line="225"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but not defined herein shall have the respective meanings ascribed to such terms in the Agreement.</w:t>
      </w:r>
    </w:p>
    <w:p>
      <w:pPr>
        <w:spacing w:after="0" w:line="236" w:lineRule="exact"/>
        <w:rPr>
          <w:rFonts w:ascii="Arial" w:cs="Arial" w:eastAsia="Arial" w:hAnsi="Arial"/>
          <w:sz w:val="17"/>
          <w:szCs w:val="17"/>
          <w:color w:val="auto"/>
        </w:rPr>
      </w:pPr>
    </w:p>
    <w:p>
      <w:pPr>
        <w:ind w:left="440" w:hanging="432"/>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2.1.   Section 4.1.2 of the Agreement is hereby revised and replaced to read, in its entirety, as follows: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(3) Programs</w:t>
      </w:r>
      <w:r>
        <w:rPr>
          <w:rFonts w:ascii="Arial" w:cs="Arial" w:eastAsia="Arial" w:hAnsi="Arial"/>
          <w:sz w:val="16"/>
          <w:szCs w:val="16"/>
          <w:color w:val="auto"/>
        </w:rPr>
        <w:t>. Pfizer will have the right (but not the obligation) to designate up to three (3) additional therapeutic targets, all three</w:t>
      </w:r>
    </w:p>
    <w:p>
      <w:pPr>
        <w:spacing w:after="0" w:line="46" w:lineRule="exact"/>
        <w:rPr>
          <w:sz w:val="20"/>
          <w:szCs w:val="20"/>
          <w:color w:val="auto"/>
        </w:rPr>
      </w:pPr>
    </w:p>
    <w:p>
      <w:pPr>
        <w:ind w:left="1240" w:hanging="267"/>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of which will be hepatic targets directed toward hepatic therapeutic conditions (each, an “</w:t>
      </w:r>
      <w:r>
        <w:rPr>
          <w:rFonts w:ascii="Arial" w:cs="Arial" w:eastAsia="Arial" w:hAnsi="Arial"/>
          <w:sz w:val="16"/>
          <w:szCs w:val="16"/>
          <w:b w:val="1"/>
          <w:bCs w:val="1"/>
          <w:color w:val="auto"/>
        </w:rPr>
        <w:t>Additional Program</w:t>
      </w:r>
      <w:r>
        <w:rPr>
          <w:rFonts w:ascii="Arial" w:cs="Arial" w:eastAsia="Arial" w:hAnsi="Arial"/>
          <w:sz w:val="16"/>
          <w:szCs w:val="16"/>
          <w:color w:val="auto"/>
        </w:rPr>
        <w:t>”).  The total of up to three</w:t>
      </w:r>
    </w:p>
    <w:p>
      <w:pPr>
        <w:spacing w:after="0" w:line="32" w:lineRule="exact"/>
        <w:rPr>
          <w:rFonts w:ascii="Arial" w:cs="Arial" w:eastAsia="Arial" w:hAnsi="Arial"/>
          <w:sz w:val="16"/>
          <w:szCs w:val="16"/>
          <w:color w:val="auto"/>
        </w:rPr>
      </w:pPr>
    </w:p>
    <w:p>
      <w:pPr>
        <w:jc w:val="both"/>
        <w:ind w:left="980" w:hanging="7"/>
        <w:spacing w:after="0" w:line="252" w:lineRule="auto"/>
        <w:tabs>
          <w:tab w:leader="none" w:pos="12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Additional Programs will be designated by Pfizer by written notice to Wave within </w:t>
      </w:r>
      <w:r>
        <w:rPr>
          <w:rFonts w:ascii="Arial" w:cs="Arial" w:eastAsia="Arial" w:hAnsi="Arial"/>
          <w:sz w:val="18"/>
          <w:szCs w:val="18"/>
          <w:b w:val="1"/>
          <w:bCs w:val="1"/>
          <w:color w:val="auto"/>
        </w:rPr>
        <w:t>twenty four (24) months</w:t>
      </w:r>
      <w:r>
        <w:rPr>
          <w:rFonts w:ascii="Arial" w:cs="Arial" w:eastAsia="Arial" w:hAnsi="Arial"/>
          <w:sz w:val="18"/>
          <w:szCs w:val="18"/>
          <w:color w:val="auto"/>
        </w:rPr>
        <w:t xml:space="preserve"> after the Effective Date. The Additional Programs may be against any hepatic target directed toward hepatic therapeutic conditions of Pfizer’s choosing, provided that such hepatic target is not a Wave Reserved Target listed in Exhibit D and is not at the time of designation either: (1) the subject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on-going Wave internal research program; or (2) the subject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existing collaboration, license, option or asset purchase agreement between Wave and a Third Party. Each such Additional Program may include Pfizer Technology or Wave Hepatic Targeting Technology, at Pfizer’s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2" w:name="page133"/>
    <w:bookmarkEnd w:id="132"/>
    <w:p>
      <w:pPr>
        <w:jc w:val="both"/>
        <w:ind w:left="440" w:hanging="432"/>
        <w:spacing w:after="0" w:line="264"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Ratification of the Agreement</w:t>
      </w:r>
      <w:r>
        <w:rPr>
          <w:rFonts w:ascii="Arial" w:cs="Arial" w:eastAsia="Arial" w:hAnsi="Arial"/>
          <w:sz w:val="18"/>
          <w:szCs w:val="18"/>
          <w:color w:val="auto"/>
        </w:rPr>
        <w:t>. Except as expressly set forth in Article 2 above, the Agreement shall remain unmodified and in full force and effect. The execution, delivery and effectiveness of this Amendment No. 1 shall not, except as expressly provided herein, operate as a waiver of any right, power or remedy of the parties to the Agreement, nor constitute a waiver of any provision of the Agreement.</w:t>
      </w:r>
    </w:p>
    <w:p>
      <w:pPr>
        <w:spacing w:after="0" w:line="181"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1 may be executed in any number of counterparts, each of which shall be an original instrument and all of which, when taken together, shall constitute one and the same agreement.</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duly authorized representatives of Pfizer andWave have executed this Amendment No. 1 as of the date first above written.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Wave Life Sciences Ltd.</w:t>
            </w:r>
          </w:p>
        </w:tc>
        <w:tc>
          <w:tcPr>
            <w:tcW w:w="2340" w:type="dxa"/>
            <w:vAlign w:val="bottom"/>
            <w:gridSpan w:val="2"/>
          </w:tcPr>
          <w:p>
            <w:pPr>
              <w:ind w:left="920"/>
              <w:spacing w:after="0"/>
              <w:rPr>
                <w:sz w:val="20"/>
                <w:szCs w:val="20"/>
                <w:color w:val="auto"/>
              </w:rPr>
            </w:pPr>
            <w:r>
              <w:rPr>
                <w:rFonts w:ascii="Arial" w:cs="Arial" w:eastAsia="Arial" w:hAnsi="Arial"/>
                <w:sz w:val="18"/>
                <w:szCs w:val="18"/>
                <w:b w:val="1"/>
                <w:bCs w:val="1"/>
                <w:color w:val="auto"/>
              </w:rPr>
              <w:t>Pfizer Inc.</w:t>
            </w:r>
          </w:p>
        </w:tc>
        <w:tc>
          <w:tcPr>
            <w:tcW w:w="3800" w:type="dxa"/>
            <w:vAlign w:val="bottom"/>
          </w:tcPr>
          <w:p>
            <w:pPr>
              <w:spacing w:after="0"/>
              <w:rPr>
                <w:sz w:val="20"/>
                <w:szCs w:val="20"/>
                <w:color w:val="auto"/>
              </w:rPr>
            </w:pPr>
          </w:p>
        </w:tc>
      </w:tr>
      <w:tr>
        <w:trPr>
          <w:trHeight w:val="756"/>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Bolno</w:t>
            </w:r>
          </w:p>
        </w:tc>
        <w:tc>
          <w:tcPr>
            <w:tcW w:w="2200" w:type="dxa"/>
            <w:vAlign w:val="bottom"/>
          </w:tcPr>
          <w:p>
            <w:pPr>
              <w:ind w:left="920"/>
              <w:spacing w:after="0"/>
              <w:rPr>
                <w:sz w:val="20"/>
                <w:szCs w:val="20"/>
                <w:color w:val="auto"/>
              </w:rPr>
            </w:pPr>
            <w:r>
              <w:rPr>
                <w:rFonts w:ascii="Arial" w:cs="Arial" w:eastAsia="Arial" w:hAnsi="Arial"/>
                <w:sz w:val="18"/>
                <w:szCs w:val="18"/>
                <w:color w:val="auto"/>
              </w:rPr>
              <w:t>By:</w:t>
            </w: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Morris J. Birnbaum</w:t>
            </w:r>
          </w:p>
        </w:tc>
      </w:tr>
      <w:tr>
        <w:trPr>
          <w:trHeight w:val="426"/>
        </w:trPr>
        <w:tc>
          <w:tcPr>
            <w:tcW w:w="1480" w:type="dxa"/>
            <w:vAlign w:val="bottom"/>
            <w:gridSpan w:val="2"/>
          </w:tcPr>
          <w:p>
            <w:pPr>
              <w:spacing w:after="0"/>
              <w:rPr>
                <w:sz w:val="20"/>
                <w:szCs w:val="20"/>
                <w:color w:val="auto"/>
              </w:rPr>
            </w:pPr>
            <w:r>
              <w:rPr>
                <w:rFonts w:ascii="Arial" w:cs="Arial" w:eastAsia="Arial" w:hAnsi="Arial"/>
                <w:sz w:val="18"/>
                <w:szCs w:val="18"/>
                <w:color w:val="auto"/>
              </w:rPr>
              <w:t>Print Name: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Paul Bolno</w:t>
            </w:r>
          </w:p>
        </w:tc>
        <w:tc>
          <w:tcPr>
            <w:tcW w:w="2340" w:type="dxa"/>
            <w:vAlign w:val="bottom"/>
            <w:gridSpan w:val="2"/>
          </w:tcPr>
          <w:p>
            <w:pPr>
              <w:ind w:left="920"/>
              <w:spacing w:after="0"/>
              <w:rPr>
                <w:sz w:val="20"/>
                <w:szCs w:val="20"/>
                <w:color w:val="auto"/>
              </w:rPr>
            </w:pPr>
            <w:r>
              <w:rPr>
                <w:rFonts w:ascii="Arial" w:cs="Arial" w:eastAsia="Arial" w:hAnsi="Arial"/>
                <w:sz w:val="18"/>
                <w:szCs w:val="18"/>
                <w:color w:val="auto"/>
              </w:rPr>
              <w:t>Print Name: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Morris J. Birnbaum</w:t>
            </w:r>
          </w:p>
        </w:tc>
      </w:tr>
      <w:tr>
        <w:trPr>
          <w:trHeight w:val="426"/>
        </w:trPr>
        <w:tc>
          <w:tcPr>
            <w:tcW w:w="14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2340" w:type="dxa"/>
            <w:vAlign w:val="bottom"/>
            <w:gridSpan w:val="2"/>
          </w:tcPr>
          <w:p>
            <w:pPr>
              <w:ind w:left="920"/>
              <w:spacing w:after="0"/>
              <w:rPr>
                <w:sz w:val="20"/>
                <w:szCs w:val="20"/>
                <w:color w:val="auto"/>
              </w:rPr>
            </w:pPr>
            <w:r>
              <w:rPr>
                <w:rFonts w:ascii="Arial" w:cs="Arial" w:eastAsia="Arial" w:hAnsi="Arial"/>
                <w:sz w:val="18"/>
                <w:szCs w:val="18"/>
                <w:color w:val="auto"/>
              </w:rPr>
              <w:t>Title:</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CSO, Internal Medicine</w:t>
            </w:r>
          </w:p>
        </w:tc>
      </w:tr>
      <w:tr>
        <w:trPr>
          <w:trHeight w:val="224"/>
        </w:trPr>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(Duly authorized)</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(Duly authorized)</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1420"/>
          </w:cols>
          <w:pgMar w:left="240" w:top="34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WAVE LIFE SCIENCES LTD.</w:t>
            </w:r>
          </w:p>
        </w:tc>
        <w:tc>
          <w:tcPr>
            <w:tcW w:w="39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List of Subsidiaries</w:t>
            </w:r>
          </w:p>
        </w:tc>
        <w:tc>
          <w:tcPr>
            <w:tcW w:w="3980" w:type="dxa"/>
            <w:vAlign w:val="bottom"/>
          </w:tcPr>
          <w:p>
            <w:pPr>
              <w:spacing w:after="0"/>
              <w:rPr>
                <w:sz w:val="24"/>
                <w:szCs w:val="24"/>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3080" w:type="dxa"/>
            <w:vAlign w:val="bottom"/>
            <w:gridSpan w:val="3"/>
          </w:tcPr>
          <w:p>
            <w:pPr>
              <w:ind w:left="120"/>
              <w:spacing w:after="0"/>
              <w:rPr>
                <w:sz w:val="20"/>
                <w:szCs w:val="20"/>
                <w:color w:val="auto"/>
              </w:rPr>
            </w:pPr>
            <w:r>
              <w:rPr>
                <w:rFonts w:ascii="Arial" w:cs="Arial" w:eastAsia="Arial" w:hAnsi="Arial"/>
                <w:sz w:val="18"/>
                <w:szCs w:val="18"/>
                <w:b w:val="1"/>
                <w:bCs w:val="1"/>
                <w:color w:val="auto"/>
              </w:rPr>
              <w:t>Ownership Percentage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State/Jurisdiction of Incorporation</w:t>
            </w:r>
          </w:p>
        </w:tc>
      </w:tr>
      <w:tr>
        <w:trPr>
          <w:trHeight w:val="195"/>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Wave Life Sciences USA, Inc.</w:t>
            </w:r>
          </w:p>
        </w:tc>
        <w:tc>
          <w:tcPr>
            <w:tcW w:w="12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Wave Life Sciences Japan, Inc.</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Wave Life Sciences Ireland Limited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Ireland</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Wave Life Sciences UK Limited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33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 333-208598 and No. 333-221480) on Form S-8 and (No. 333-215428) on Form S-3, as amended, of Wave Life Sciences Ltd., of our report dated March 12, 2018, with respect to the consolidated balance sheets of Wave Life Sciences Ltd. as of December 31, 2017 and 2016 and the related consolidated statements of operations, comprehensive loss, Series A preferred shares and shareholders’ equity and cash flows for each of the years in the three-year period ended December 31, 2017, and the related notes (collectively, the “consolidated financial statements”), which report appears in the December 31, 2017 annual report on Form 10-K of Wave Life Sciences Ltd.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ectPr>
          <w:pgSz w:w="11900" w:h="16838" w:orient="portrait"/>
          <w:cols w:equalWidth="0" w:num="1">
            <w:col w:w="11420"/>
          </w:cols>
          <w:pgMar w:left="240" w:top="337"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B. Bolno, M.D., certify that:</w:t>
      </w:r>
    </w:p>
    <w:p>
      <w:pPr>
        <w:spacing w:after="0" w:line="117"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Wave Life Sciences Ltd.;</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Paul B. Bolno,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 Regnante, certify that:</w:t>
      </w:r>
    </w:p>
    <w:p>
      <w:pPr>
        <w:spacing w:after="0" w:line="117"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Wave Life Sciences Ltd.;</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360" w:hanging="512"/>
        <w:spacing w:after="0" w:line="291"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w:t>
      </w:r>
    </w:p>
    <w:p>
      <w:pPr>
        <w:ind w:left="520"/>
        <w:spacing w:after="0"/>
        <w:rPr>
          <w:rFonts w:ascii="Arial" w:cs="Arial" w:eastAsia="Arial" w:hAnsi="Arial"/>
          <w:sz w:val="16"/>
          <w:szCs w:val="16"/>
          <w:color w:val="auto"/>
        </w:rPr>
      </w:pPr>
      <w:r>
        <w:rPr>
          <w:rFonts w:ascii="Arial" w:cs="Arial" w:eastAsia="Arial" w:hAnsi="Arial"/>
          <w:sz w:val="18"/>
          <w:szCs w:val="18"/>
          <w:color w:val="auto"/>
        </w:rPr>
        <w:t>(or persons performing the equivalent functions):</w:t>
      </w:r>
    </w:p>
    <w:p>
      <w:pPr>
        <w:spacing w:after="0" w:line="102" w:lineRule="exact"/>
        <w:rPr>
          <w:rFonts w:ascii="Arial" w:cs="Arial" w:eastAsia="Arial" w:hAnsi="Arial"/>
          <w:sz w:val="16"/>
          <w:szCs w:val="16"/>
          <w:color w:val="auto"/>
        </w:rPr>
      </w:pPr>
    </w:p>
    <w:p>
      <w:pPr>
        <w:ind w:left="1040" w:right="120" w:hanging="519"/>
        <w:spacing w:after="0" w:line="308" w:lineRule="auto"/>
        <w:tabs>
          <w:tab w:leader="none" w:pos="1040"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Keith C. Regnante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Keith C.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In connection with the Annual Report of Wave Life Sciences Ltd. (the “Company”) on Form 10-K for the fiscal year ended December 31, 2017, as filed with the Securities and Exchange Commission on the date hereof (the “Report”), each of the undersigned officers of the Company hereby certify, pursuant to 18 U.S.C. Section 1350, as adopted pursuant to Section 906 of the Sarbanes-Oxley Act of 2002, that to the best of such officer’s knowledge:</w:t>
      </w:r>
    </w:p>
    <w:p>
      <w:pPr>
        <w:spacing w:after="0" w:line="39"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Paul B. Bolno, M.D.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Keith C. Regnante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Keith C.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Wave Life Sciences Ltd.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2"/>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lowerRoman"/>
      <w:start w:val="4"/>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lowerLetter"/>
      <w:start w:val="1"/>
    </w:lvl>
    <w:lvl w:ilvl="1">
      <w:lvlJc w:val="left"/>
      <w:lvlText w:val="%2."/>
      <w:numFmt w:val="decimal"/>
      <w:start w:val="1"/>
    </w:lvl>
  </w:abstractNum>
  <w:abstractNum w:abstractNumId="50">
    <w:nsid w:val="10233C99"/>
    <w:multiLevelType w:val="hybridMultilevel"/>
    <w:lvl w:ilvl="0">
      <w:lvlJc w:val="left"/>
      <w:lvlText w:val="(*)"/>
      <w:numFmt w:val="bullet"/>
      <w:start w:val="1"/>
    </w:lvl>
  </w:abstractNum>
  <w:abstractNum w:abstractNumId="51">
    <w:nsid w:val="3F6AB60F"/>
    <w:multiLevelType w:val="hybridMultilevel"/>
    <w:lvl w:ilvl="0">
      <w:lvlJc w:val="left"/>
      <w:lvlText w:val="(+)"/>
      <w:numFmt w:val="bullet"/>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6"/>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8"/>
    </w:lvl>
  </w:abstractNum>
  <w:abstractNum w:abstractNumId="63">
    <w:nsid w:val="1381823A"/>
    <w:multiLevelType w:val="hybridMultilevel"/>
    <w:lvl w:ilvl="0">
      <w:lvlJc w:val="left"/>
      <w:lvlText w:val="%1."/>
      <w:numFmt w:val="decimal"/>
      <w:start w:val="12"/>
    </w:lvl>
    <w:lvl w:ilvl="1">
      <w:lvlJc w:val="left"/>
      <w:lvlText w:val="•"/>
      <w:numFmt w:val="bullet"/>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3"/>
    </w:lvl>
  </w:abstractNum>
  <w:abstractNum w:abstractNumId="66">
    <w:nsid w:val="6590700B"/>
    <w:multiLevelType w:val="hybridMultilevel"/>
    <w:lvl w:ilvl="0">
      <w:lvlJc w:val="left"/>
      <w:lvlText w:val="(%1)"/>
      <w:numFmt w:val="decimal"/>
      <w:start w:val="3"/>
    </w:lvl>
  </w:abstractNum>
  <w:abstractNum w:abstractNumId="67">
    <w:nsid w:val="15014ACB"/>
    <w:multiLevelType w:val="hybridMultilevel"/>
    <w:lvl w:ilvl="0">
      <w:lvlJc w:val="left"/>
      <w:lvlText w:val="%1."/>
      <w:numFmt w:val="decimal"/>
      <w:start w:val="3"/>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74"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146" Type="http://schemas.openxmlformats.org/officeDocument/2006/relationships/hyperlink" Target="http://www.sec.gov/Archives/edgar/data/1631574/000119312515372814/d42123dex32.htm" TargetMode="External"/><Relationship Id="rId147" Type="http://schemas.openxmlformats.org/officeDocument/2006/relationships/hyperlink" Target="http://www.sec.gov/Archives/edgar/data/1631574/000119312515370294/d42123dex41.htm" TargetMode="External"/><Relationship Id="rId148" Type="http://schemas.openxmlformats.org/officeDocument/2006/relationships/hyperlink" Target="http://www.sec.gov/Archives/edgar/data/1631574/000119312515341447/d42123dex42.htm" TargetMode="External"/><Relationship Id="rId149" Type="http://schemas.openxmlformats.org/officeDocument/2006/relationships/hyperlink" Target="http://www.sec.gov/Archives/edgar/data/1631574/000119312516682053/d207833dex102.htm" TargetMode="External"/><Relationship Id="rId150" Type="http://schemas.openxmlformats.org/officeDocument/2006/relationships/hyperlink" Target="http://www.sec.gov/Archives/edgar/data/1631574/000119312515341447/d42123dex102.htm" TargetMode="External"/><Relationship Id="rId151" Type="http://schemas.openxmlformats.org/officeDocument/2006/relationships/hyperlink" Target="http://www.sec.gov/Archives/edgar/data/1631574/000119312515341447/d42123dex104.htm" TargetMode="External"/><Relationship Id="rId152" Type="http://schemas.openxmlformats.org/officeDocument/2006/relationships/hyperlink" Target="http://www.sec.gov/Archives/edgar/data/1631574/000119312515341447/d42123dex103.htm" TargetMode="External"/><Relationship Id="rId153" Type="http://schemas.openxmlformats.org/officeDocument/2006/relationships/hyperlink" Target="http://www.sec.gov/Archives/edgar/data/1631574/000119312515341447/d42123dex105.htm" TargetMode="External"/><Relationship Id="rId154" Type="http://schemas.openxmlformats.org/officeDocument/2006/relationships/hyperlink" Target="http://www.sec.gov/Archives/edgar/data/1631574/000119312515341447/d42123dex107.htm" TargetMode="External"/><Relationship Id="rId155" Type="http://schemas.openxmlformats.org/officeDocument/2006/relationships/hyperlink" Target="http://www.sec.gov/Archives/edgar/data/1631574/000119312516720779/d261915dex101.htm" TargetMode="External"/><Relationship Id="rId158" Type="http://schemas.openxmlformats.org/officeDocument/2006/relationships/hyperlink" Target="http://www.sec.gov/Archives/edgar/data/1631574/000119312517004500/d287789dex101.htm" TargetMode="External"/><Relationship Id="rId159" Type="http://schemas.openxmlformats.org/officeDocument/2006/relationships/hyperlink" Target="http://www.sec.gov/Archives/edgar/data/1631574/000119312515341447/d42123dex1010.htm" TargetMode="External"/><Relationship Id="rId160" Type="http://schemas.openxmlformats.org/officeDocument/2006/relationships/hyperlink" Target="http://www.sec.gov/Archives/edgar/data/1631574/000119312516682053/d207833dex101.htm" TargetMode="External"/><Relationship Id="rId161" Type="http://schemas.openxmlformats.org/officeDocument/2006/relationships/hyperlink" Target="http://www.sec.gov/Archives/edgar/data/1631574/000119312515341447/d42123dex1011.htm" TargetMode="External"/><Relationship Id="rId162" Type="http://schemas.openxmlformats.org/officeDocument/2006/relationships/hyperlink" Target="http://www.sec.gov/Archives/edgar/data/1631574/000119312515341447/d42123dex1012.htm" TargetMode="External"/><Relationship Id="rId163" Type="http://schemas.openxmlformats.org/officeDocument/2006/relationships/hyperlink" Target="http://www.sec.gov/Archives/edgar/data/1631574/000119312515341447/d42123dex1014.htm" TargetMode="External"/><Relationship Id="rId164" Type="http://schemas.openxmlformats.org/officeDocument/2006/relationships/hyperlink" Target="http://www.sec.gov/Archives/edgar/data/1631574/000119312515341447/d42123dex1015.htm" TargetMode="External"/><Relationship Id="rId165" Type="http://schemas.openxmlformats.org/officeDocument/2006/relationships/hyperlink" Target="http://www.sec.gov/Archives/edgar/data/1631574/000156459016028710/wve-ex104_180.htm" TargetMode="External"/><Relationship Id="rId166" Type="http://schemas.openxmlformats.org/officeDocument/2006/relationships/hyperlink" Target="http://www.sec.gov/Archives/edgar/data/1631574/000156459016028710/wve-ex105_181.htm" TargetMode="External"/><Relationship Id="rId167" Type="http://schemas.openxmlformats.org/officeDocument/2006/relationships/hyperlink" Target="http://www.sec.gov/Archives/edgar/data/1631574/000119312516765213/d292427dex101.htm" TargetMode="External"/><Relationship Id="rId168" Type="http://schemas.openxmlformats.org/officeDocument/2006/relationships/hyperlink" Target="http://www.sec.gov/Archives/edgar/data/1631574/000119312515341447/d42123dex1016.htm" TargetMode="External"/><Relationship Id="rId169" Type="http://schemas.openxmlformats.org/officeDocument/2006/relationships/hyperlink" Target="http://www.sec.gov/Archives/edgar/data/1631574/000119312515341447/d42123dex1017.htm" TargetMode="External"/><Relationship Id="rId170" Type="http://schemas.openxmlformats.org/officeDocument/2006/relationships/hyperlink" Target="http://www.sec.gov/Archives/edgar/data/1631574/000156459017023225/wve-ex101_97.htm" TargetMode="External"/><Relationship Id="rId171" Type="http://schemas.openxmlformats.org/officeDocument/2006/relationships/hyperlink" Target="http://www.sec.gov/Archives/edgar/data/1631574/000156459017023225/wve-ex102_96.htm" TargetMode="External"/><Relationship Id="rId172" Type="http://schemas.openxmlformats.org/officeDocument/2006/relationships/hyperlink" Target="http://www.sec.gov/Archives/edgar/data/1631574/000156459017023225/wve-ex103_95.htm" TargetMode="External"/><Relationship Id="rId173" Type="http://schemas.openxmlformats.org/officeDocument/2006/relationships/hyperlink" Target="http://www.sec.gov/Archives/edgar/data/1631574/000156459017023225/wve-ex104_94.htm" TargetMode="External"/><Relationship Id="rId175" Type="http://schemas.openxmlformats.org/officeDocument/2006/relationships/hyperlink" Target="http://www.sec.gov/Archives/edgar/data/1631574/000156459017023225/wve-ex105_3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2019-12-28T23:51:50Z</dcterms:created>
  <dcterms:modified xsi:type="dcterms:W3CDTF">2019-12-28T23:51:50Z</dcterms:modified>
</cp:coreProperties>
</file>