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4"/>
          <w:szCs w:val="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le</w:t>
      </w: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520" w:right="240" w:hanging="512"/>
        <w:spacing w:after="0" w:line="262" w:lineRule="auto"/>
        <w:tabs>
          <w:tab w:leader="none" w:pos="47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21" w:lineRule="exact"/>
        <w:rPr>
          <w:sz w:val="24"/>
          <w:szCs w:val="24"/>
          <w:color w:val="auto"/>
        </w:rPr>
      </w:pPr>
    </w:p>
    <w:p>
      <w:pPr>
        <w:ind w:left="520" w:right="260" w:hanging="512"/>
        <w:spacing w:after="0" w:line="262" w:lineRule="auto"/>
        <w:tabs>
          <w:tab w:leader="none" w:pos="47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WAVE LIFE SCIENCES,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3900" w:type="dxa"/>
            <w:vAlign w:val="bottom"/>
          </w:tcPr>
          <w:p>
            <w:pPr>
              <w:jc w:val="center"/>
              <w:ind w:left="8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spacing w:after="0"/>
              <w:rPr>
                <w:sz w:val="18"/>
                <w:szCs w:val="18"/>
                <w:color w:val="auto"/>
              </w:rPr>
            </w:pPr>
          </w:p>
        </w:tc>
        <w:tc>
          <w:tcPr>
            <w:tcW w:w="3660" w:type="dxa"/>
            <w:vAlign w:val="bottom"/>
          </w:tcPr>
          <w:p>
            <w:pPr>
              <w:jc w:val="right"/>
              <w:ind w:right="1445"/>
              <w:spacing w:after="0"/>
              <w:rPr>
                <w:sz w:val="20"/>
                <w:szCs w:val="20"/>
                <w:color w:val="auto"/>
              </w:rPr>
            </w:pPr>
            <w:r>
              <w:rPr>
                <w:rFonts w:ascii="Times New Roman" w:cs="Times New Roman" w:eastAsia="Times New Roman" w:hAnsi="Times New Roman"/>
                <w:sz w:val="18"/>
                <w:szCs w:val="18"/>
                <w:b w:val="1"/>
                <w:bCs w:val="1"/>
                <w:color w:val="auto"/>
              </w:rPr>
              <w:t>42-2115035</w:t>
            </w:r>
          </w:p>
        </w:tc>
      </w:tr>
      <w:tr>
        <w:trPr>
          <w:trHeight w:val="190"/>
        </w:trPr>
        <w:tc>
          <w:tcPr>
            <w:tcW w:w="7580" w:type="dxa"/>
            <w:vAlign w:val="bottom"/>
            <w:gridSpan w:val="2"/>
          </w:tcPr>
          <w:p>
            <w:pPr>
              <w:jc w:val="center"/>
              <w:ind w:right="270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66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98"/>
        </w:trPr>
        <w:tc>
          <w:tcPr>
            <w:tcW w:w="3900" w:type="dxa"/>
            <w:vAlign w:val="bottom"/>
          </w:tcPr>
          <w:p>
            <w:pPr>
              <w:jc w:val="center"/>
              <w:ind w:left="822"/>
              <w:spacing w:after="0"/>
              <w:rPr>
                <w:sz w:val="20"/>
                <w:szCs w:val="20"/>
                <w:color w:val="auto"/>
              </w:rPr>
            </w:pPr>
            <w:r>
              <w:rPr>
                <w:rFonts w:ascii="Times New Roman" w:cs="Times New Roman" w:eastAsia="Times New Roman" w:hAnsi="Times New Roman"/>
                <w:sz w:val="18"/>
                <w:szCs w:val="18"/>
                <w:b w:val="1"/>
                <w:bCs w:val="1"/>
                <w:color w:val="auto"/>
                <w:w w:val="99"/>
              </w:rPr>
              <w:t>733 Concord Avenue</w:t>
            </w:r>
          </w:p>
        </w:tc>
        <w:tc>
          <w:tcPr>
            <w:tcW w:w="36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4"/>
        </w:trPr>
        <w:tc>
          <w:tcPr>
            <w:tcW w:w="3900" w:type="dxa"/>
            <w:vAlign w:val="bottom"/>
          </w:tcPr>
          <w:p>
            <w:pPr>
              <w:jc w:val="center"/>
              <w:ind w:left="802"/>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3680" w:type="dxa"/>
            <w:vAlign w:val="bottom"/>
          </w:tcPr>
          <w:p>
            <w:pPr>
              <w:spacing w:after="0"/>
              <w:rPr>
                <w:sz w:val="18"/>
                <w:szCs w:val="18"/>
                <w:color w:val="auto"/>
              </w:rPr>
            </w:pPr>
          </w:p>
        </w:tc>
        <w:tc>
          <w:tcPr>
            <w:tcW w:w="3660" w:type="dxa"/>
            <w:vAlign w:val="bottom"/>
          </w:tcPr>
          <w:p>
            <w:pPr>
              <w:jc w:val="right"/>
              <w:ind w:right="1665"/>
              <w:spacing w:after="0"/>
              <w:rPr>
                <w:sz w:val="20"/>
                <w:szCs w:val="20"/>
                <w:color w:val="auto"/>
              </w:rPr>
            </w:pPr>
            <w:r>
              <w:rPr>
                <w:rFonts w:ascii="Times New Roman" w:cs="Times New Roman" w:eastAsia="Times New Roman" w:hAnsi="Times New Roman"/>
                <w:sz w:val="18"/>
                <w:szCs w:val="18"/>
                <w:b w:val="1"/>
                <w:bCs w:val="1"/>
                <w:color w:val="auto"/>
              </w:rPr>
              <w:t>02138</w:t>
            </w:r>
          </w:p>
        </w:tc>
      </w:tr>
      <w:tr>
        <w:trPr>
          <w:trHeight w:val="190"/>
        </w:trPr>
        <w:tc>
          <w:tcPr>
            <w:tcW w:w="3900" w:type="dxa"/>
            <w:vAlign w:val="bottom"/>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366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3900" w:type="dxa"/>
            <w:vAlign w:val="bottom"/>
          </w:tcPr>
          <w:p>
            <w:pPr>
              <w:spacing w:after="0"/>
              <w:rPr>
                <w:sz w:val="24"/>
                <w:szCs w:val="24"/>
                <w:color w:val="auto"/>
              </w:rPr>
            </w:pPr>
          </w:p>
        </w:tc>
        <w:tc>
          <w:tcPr>
            <w:tcW w:w="3680" w:type="dxa"/>
            <w:vAlign w:val="bottom"/>
          </w:tcPr>
          <w:p>
            <w:pPr>
              <w:jc w:val="right"/>
              <w:ind w:right="1327"/>
              <w:spacing w:after="0"/>
              <w:rPr>
                <w:sz w:val="20"/>
                <w:szCs w:val="20"/>
                <w:color w:val="auto"/>
              </w:rPr>
            </w:pPr>
            <w:r>
              <w:rPr>
                <w:rFonts w:ascii="Times New Roman" w:cs="Times New Roman" w:eastAsia="Times New Roman" w:hAnsi="Times New Roman"/>
                <w:sz w:val="18"/>
                <w:szCs w:val="18"/>
                <w:b w:val="1"/>
                <w:bCs w:val="1"/>
                <w:color w:val="auto"/>
              </w:rPr>
              <w:t>(617) 949-2900</w:t>
            </w:r>
          </w:p>
        </w:tc>
        <w:tc>
          <w:tcPr>
            <w:tcW w:w="3660" w:type="dxa"/>
            <w:vAlign w:val="bottom"/>
          </w:tcPr>
          <w:p>
            <w:pPr>
              <w:spacing w:after="0"/>
              <w:rPr>
                <w:sz w:val="24"/>
                <w:szCs w:val="24"/>
                <w:color w:val="auto"/>
              </w:rPr>
            </w:pPr>
          </w:p>
        </w:tc>
      </w:tr>
      <w:tr>
        <w:trPr>
          <w:trHeight w:val="190"/>
        </w:trPr>
        <w:tc>
          <w:tcPr>
            <w:tcW w:w="3900" w:type="dxa"/>
            <w:vAlign w:val="bottom"/>
          </w:tcPr>
          <w:p>
            <w:pPr>
              <w:spacing w:after="0"/>
              <w:rPr>
                <w:sz w:val="16"/>
                <w:szCs w:val="16"/>
                <w:color w:val="auto"/>
              </w:rPr>
            </w:pPr>
          </w:p>
        </w:tc>
        <w:tc>
          <w:tcPr>
            <w:tcW w:w="3680" w:type="dxa"/>
            <w:vAlign w:val="bottom"/>
          </w:tcPr>
          <w:p>
            <w:pPr>
              <w:jc w:val="center"/>
              <w:ind w:right="16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60" w:type="dxa"/>
            <w:vAlign w:val="bottom"/>
          </w:tcPr>
          <w:p>
            <w:pPr>
              <w:spacing w:after="0"/>
              <w:rPr>
                <w:sz w:val="16"/>
                <w:szCs w:val="16"/>
                <w:color w:val="auto"/>
              </w:rPr>
            </w:pPr>
          </w:p>
        </w:tc>
      </w:tr>
      <w:tr>
        <w:trPr>
          <w:trHeight w:val="301"/>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64"/>
        </w:trPr>
        <w:tc>
          <w:tcPr>
            <w:tcW w:w="39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r>
      <w:tr>
        <w:trPr>
          <w:trHeight w:val="122"/>
        </w:trPr>
        <w:tc>
          <w:tcPr>
            <w:tcW w:w="3900" w:type="dxa"/>
            <w:vAlign w:val="bottom"/>
            <w:tcBorders>
              <w:left w:val="single" w:sz="8" w:color="auto"/>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Title of each class</w:t>
            </w:r>
          </w:p>
        </w:tc>
        <w:tc>
          <w:tcPr>
            <w:tcW w:w="3680" w:type="dxa"/>
            <w:vAlign w:val="bottom"/>
            <w:tcBorders>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Trading symbol</w:t>
            </w:r>
          </w:p>
        </w:tc>
        <w:tc>
          <w:tcPr>
            <w:tcW w:w="3660" w:type="dxa"/>
            <w:vAlign w:val="bottom"/>
            <w:tcBorders>
              <w:bottom w:val="single" w:sz="8" w:color="auto"/>
              <w:right w:val="single" w:sz="8" w:color="auto"/>
            </w:tcBorders>
          </w:tcPr>
          <w:p>
            <w:pPr>
              <w:ind w:left="540"/>
              <w:spacing w:after="0" w:line="102" w:lineRule="exact"/>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25"/>
        </w:trPr>
        <w:tc>
          <w:tcPr>
            <w:tcW w:w="390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Common Stock, par value $0.001</w:t>
            </w:r>
          </w:p>
        </w:tc>
        <w:tc>
          <w:tcPr>
            <w:tcW w:w="368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WVE</w:t>
            </w:r>
          </w:p>
        </w:tc>
        <w:tc>
          <w:tcPr>
            <w:tcW w:w="3660" w:type="dxa"/>
            <w:vAlign w:val="bottom"/>
            <w:tcBorders>
              <w:bottom w:val="single" w:sz="8" w:color="auto"/>
              <w:right w:val="single" w:sz="8" w:color="auto"/>
            </w:tcBorders>
          </w:tcPr>
          <w:p>
            <w:pPr>
              <w:ind w:left="980"/>
              <w:spacing w:after="0" w:line="125" w:lineRule="exact"/>
              <w:rPr>
                <w:sz w:val="20"/>
                <w:szCs w:val="20"/>
                <w:color w:val="auto"/>
              </w:rPr>
            </w:pPr>
            <w:r>
              <w:rPr>
                <w:rFonts w:ascii="Times New Roman" w:cs="Times New Roman" w:eastAsia="Times New Roman" w:hAnsi="Times New Roman"/>
                <w:sz w:val="14"/>
                <w:szCs w:val="14"/>
                <w:b w:val="1"/>
                <w:bCs w:val="1"/>
                <w:color w:val="auto"/>
              </w:rPr>
              <w:t>The Nasdaq Global Market</w:t>
            </w:r>
          </w:p>
        </w:tc>
      </w:tr>
    </w:tbl>
    <w:p>
      <w:pPr>
        <w:spacing w:after="0" w:line="108"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9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502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8"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right="2640"/>
        <w:spacing w:after="0" w:line="2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21, 2026, the registrant had 197,228,968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9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77"/>
        </w:trPr>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280" w:type="dxa"/>
            <w:vAlign w:val="bottom"/>
            <w:tcBorders>
              <w:top w:val="single" w:sz="8" w:color="0000FF"/>
            </w:tcBorders>
          </w:tcPr>
          <w:p>
            <w:pPr>
              <w:spacing w:after="0"/>
              <w:rPr>
                <w:sz w:val="24"/>
                <w:szCs w:val="24"/>
                <w:color w:val="auto"/>
              </w:rPr>
            </w:pPr>
          </w:p>
        </w:tc>
        <w:tc>
          <w:tcPr>
            <w:tcW w:w="2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14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Consolidated Statements of Operations and Comprehensive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Consolidated Statements of Series A Preferred Stock and Stockholders' Equity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326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5120" w:type="dxa"/>
            <w:vAlign w:val="bottom"/>
            <w:tcBorders>
              <w:left w:val="single" w:sz="8" w:color="0000FF"/>
            </w:tcBorders>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4"/>
        </w:trPr>
        <w:tc>
          <w:tcPr>
            <w:tcW w:w="280" w:type="dxa"/>
            <w:vAlign w:val="bottom"/>
            <w:tcBorders>
              <w:top w:val="single" w:sz="8" w:color="0000FF"/>
            </w:tcBorders>
          </w:tcPr>
          <w:p>
            <w:pPr>
              <w:spacing w:after="0"/>
              <w:rPr>
                <w:sz w:val="24"/>
                <w:szCs w:val="24"/>
                <w:color w:val="auto"/>
              </w:rPr>
            </w:pPr>
          </w:p>
        </w:tc>
        <w:tc>
          <w:tcPr>
            <w:tcW w:w="25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44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16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700" w:type="dxa"/>
            <w:vAlign w:val="bottom"/>
            <w:gridSpan w:val="1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60" w:type="dxa"/>
            <w:vAlign w:val="bottom"/>
            <w:gridSpan w:val="1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669"/>
        </w:trPr>
        <w:tc>
          <w:tcPr>
            <w:tcW w:w="280" w:type="dxa"/>
            <w:vAlign w:val="bottom"/>
          </w:tcPr>
          <w:p>
            <w:pPr>
              <w:spacing w:after="0"/>
              <w:rPr>
                <w:sz w:val="24"/>
                <w:szCs w:val="24"/>
                <w:color w:val="auto"/>
              </w:rPr>
            </w:pPr>
          </w:p>
        </w:tc>
        <w:tc>
          <w:tcPr>
            <w:tcW w:w="1140" w:type="dxa"/>
            <w:vAlign w:val="bottom"/>
            <w:tcBorders>
              <w:top w:val="single" w:sz="8" w:color="0000FF"/>
            </w:tcBorders>
            <w:gridSpan w:val="2"/>
          </w:tcPr>
          <w:p>
            <w:pPr>
              <w:spacing w:after="0"/>
              <w:rPr>
                <w:sz w:val="24"/>
                <w:szCs w:val="24"/>
                <w:color w:val="auto"/>
              </w:rPr>
            </w:pPr>
          </w:p>
        </w:tc>
        <w:tc>
          <w:tcPr>
            <w:tcW w:w="4660" w:type="dxa"/>
            <w:vAlign w:val="bottom"/>
            <w:gridSpan w:val="12"/>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63"/>
        </w:trPr>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This Quarterly Report on Form 10-Q contains forward-looking statements within the meaning of Section 27A of the Securities Act of 1933, as amended (the “Securities Act”), and Section 21E of the Securities Exchange Act of 1934, as amended (the “Exchange Act”), that relate to future events or to our future operations or financial performance.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although not all forward-looking statements contain these identifying words. Forward-looking statements include statements, other than statements of historical fact, about, among other things: </w:t>
      </w:r>
      <w:r>
        <w:rPr>
          <w:rFonts w:ascii="Times New Roman" w:cs="Times New Roman" w:eastAsia="Times New Roman" w:hAnsi="Times New Roman"/>
          <w:sz w:val="18"/>
          <w:szCs w:val="18"/>
          <w:color w:val="212529"/>
        </w:rPr>
        <w:t>our ability to fund our future operations; our financial position, revenues,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costs, expenses, uses of cash and capital requirements; our need for additional financing or the period for which our existing cash resources will be sufficient to meet our operating requirements; the success, progress, number, scope, cost, duration, timing or results of our research and development activities, preclinical studies and clinical trials, including the timing for initiation or completion of or availability of results from any preclinical studies and clinical trials or for submission, review or approval of any regulatory filing; the timing of, and our ability to, obtain and maintain regulatory approvals for any of our product candidates; the potential benefits that may be derived from any of our product candidates; our strategies, prospects, plans, goals, expectations, forecasts or objectives; the success of our collaborations with third parties; any payment that our collaboration partners may make to us; our ability to identify and develop new product candidates; our intellectual property position; our commercialization, marketing and manufacturing capabilities and strategy; our ability to develop sales and marketing capabilities; our estimates regarding future expenses and needs for additional financing; our ability to identify, recruit and retain key personnel; our financial performance; developments and projections relating to our competitors in the industry; our liquidity and working capital requirements; the expected impact of new accounting standards; </w:t>
      </w:r>
      <w:r>
        <w:rPr>
          <w:rFonts w:ascii="Times New Roman" w:cs="Times New Roman" w:eastAsia="Times New Roman" w:hAnsi="Times New Roman"/>
          <w:sz w:val="18"/>
          <w:szCs w:val="18"/>
          <w:color w:val="000000"/>
        </w:rPr>
        <w:t>and our expectations regarding the impact of any local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global health epidemics on our business, including our research and development activities, preclinical studies and clinical trials, supply of drug product, and workforce.</w:t>
      </w:r>
    </w:p>
    <w:p>
      <w:pPr>
        <w:spacing w:after="0" w:line="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212529"/>
        </w:rPr>
        <w:t xml:space="preserve">Although we believe that we have a reasonable basis for each forward-looking statement contained in this report, we caution you that these statements are based on our estimates or projections of the future that are subject to known and unknown risks and uncertainties and other important factors that may cause our actual results, level of activity, performance or achievements expressed or implied by any forward-looking statement to differ. These risks, uncertainties and other factors include, among other things, our critical accounting policies; the ability of our preclinical studies to produce data sufficient to support the filing of global clinical trial applications and the timing thereof; our ability to continue to build and maintain the company infrastructure and personnel needed to achieve our goals; the clinical results and timing of our programs, which may not support further development of our product candidates; actions of regulatory agencies, which may affect the initiation, timing and progress of clinical trials; our effectiveness in managing current and future clinical trials and regulatory processes; the success of our platform in identifying viable candidates;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enforce our patents against infringers and defend our patent portfolio against challenges from third parties; our ability to fund our operations and to raise additional capital as needed; competition from others developing therapies for similar uses; </w:t>
      </w:r>
      <w:r>
        <w:rPr>
          <w:rFonts w:ascii="Times New Roman" w:cs="Times New Roman" w:eastAsia="Times New Roman" w:hAnsi="Times New Roman"/>
          <w:sz w:val="17"/>
          <w:szCs w:val="17"/>
          <w:color w:val="000000"/>
        </w:rPr>
        <w:t>any impacts on our business as a result of or related to any local and</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 xml:space="preserve">global health epidemics, geopolitical conflicts, global economic uncertainty, the impact of tariffs and changes in economic policies, volatility in inflation, volatility in interest rates or market disruptions on our business; </w:t>
      </w:r>
      <w:r>
        <w:rPr>
          <w:rFonts w:ascii="Times New Roman" w:cs="Times New Roman" w:eastAsia="Times New Roman" w:hAnsi="Times New Roman"/>
          <w:sz w:val="17"/>
          <w:szCs w:val="17"/>
          <w:color w:val="212529"/>
        </w:rPr>
        <w:t>as well as other risks and uncertainties under the caption “Risk Factors” and any other</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12529"/>
        </w:rPr>
        <w:t>disclosures contained in this Quarterly Report on Form 10-Q and in other filings we make with the Securities and Exchange Commission (the “SEC”).</w:t>
      </w:r>
    </w:p>
    <w:p>
      <w:pPr>
        <w:spacing w:after="0" w:line="7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forward-looking statement contained in this report is based on a combination of facts and factors currently known by us and our expectations of the future, about which we cannot be certain. As a result of these factors, we cannot assure you that the forward-looking statements in this Quarterly Report on Form 10-Q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timeframe, or at all. We caution you not to place undue reliance on any forward-looking statement.</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any forward-looking statement in this report represents our views only as of the date of this report and should not be relied upon as representing our views as of any subsequent date. We anticipate that subsequent events and developments may cause our views to change. Although we may elect to update these forward-looking statements publicly at some point in the future, we undertake no obligation to publicly update any forward-looking statements, whether as a result of new information, future events or otherwise, except as required by applicable law. Our forward-looking statements do not reflect the potential impact of any future acquisitions, mergers, dispositions, joint ventures or investments we may make.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 w:name="page4"/>
    <w:bookmarkEnd w:id="3"/>
    <w:p>
      <w:pPr>
        <w:spacing w:after="0" w:line="254"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stated or the context otherwise indicates, references to “Wave,” the “Company,” “we,” “our,” “us” or similar terms refer to Wave Life Sciences, Inc. and our wholly owned subsidiaries. The Wave Life Sciences, Inc. and Wave Life Sciences Pte. Ltd. names, the Wave Life Sciences mark, PRISM and the other registered and pending trademarks, trade names and service marks of Wave Life Sciences, Inc. appearing in this Quarterly Report on Form 10-Q are the property of Wave Life Sciences, Inc. This Quarterly Report on Form 10-Q also contains additional trade names, trademarks and service marks belonging to Wave Life Sciences, Inc.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Quarterly Report on Form 10-Q are referred to without the ® and ™ symbols, but such reference should not be construed as any indicator that their respective owners will not assert, to the fullest extent under applicable law, their rights thereto.</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197,315</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602,068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67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$51,391 and $49,522</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of September 30, 2026 and December 31, 2025, respectively</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6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49,300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507,930</w:t>
            </w:r>
          </w:p>
        </w:tc>
        <w:tc>
          <w:tcPr>
            <w:tcW w:w="12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tcPr>
          <w:p>
            <w:pPr>
              <w:spacing w:after="0"/>
              <w:rPr>
                <w:sz w:val="17"/>
                <w:szCs w:val="17"/>
                <w:color w:val="auto"/>
              </w:rPr>
            </w:pPr>
          </w:p>
        </w:tc>
        <w:tc>
          <w:tcPr>
            <w:tcW w:w="6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Series A preferred stock, and stockholders’ equity</w:t>
            </w: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19,295</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44,440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6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51,234</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105,994</w:t>
            </w:r>
          </w:p>
        </w:tc>
        <w:tc>
          <w:tcPr>
            <w:tcW w:w="12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 w:type="dxa"/>
            <w:vAlign w:val="bottom"/>
          </w:tcPr>
          <w:p>
            <w:pPr>
              <w:spacing w:after="0"/>
              <w:rPr>
                <w:sz w:val="15"/>
                <w:szCs w:val="15"/>
                <w:color w:val="auto"/>
              </w:rPr>
            </w:pPr>
          </w:p>
        </w:tc>
        <w:tc>
          <w:tcPr>
            <w:tcW w:w="67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Series A preferred stock, no par value; nil and 3,901,348 shares</w:t>
            </w:r>
          </w:p>
        </w:tc>
        <w:tc>
          <w:tcPr>
            <w:tcW w:w="800" w:type="dxa"/>
            <w:vAlign w:val="bottom"/>
            <w:gridSpan w:val="2"/>
            <w:vMerge w:val="restart"/>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6760" w:type="dxa"/>
            <w:vAlign w:val="bottom"/>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issued and outstanding at September 30, 2026 and December 31, 2025, respectively</w:t>
            </w:r>
          </w:p>
        </w:tc>
        <w:tc>
          <w:tcPr>
            <w:tcW w:w="800" w:type="dxa"/>
            <w:vAlign w:val="bottom"/>
            <w:gridSpan w:val="2"/>
            <w:vMerge w:val="continue"/>
            <w:shd w:val="clear" w:color="auto" w:fill="CFF0FC"/>
          </w:tcPr>
          <w:p>
            <w:pPr>
              <w:spacing w:after="0"/>
              <w:rPr>
                <w:sz w:val="20"/>
                <w:szCs w:val="20"/>
                <w:color w:val="auto"/>
              </w:rPr>
            </w:pPr>
          </w:p>
        </w:tc>
        <w:tc>
          <w:tcPr>
            <w:tcW w:w="1660" w:type="dxa"/>
            <w:vAlign w:val="bottom"/>
            <w:gridSpan w:val="2"/>
            <w:vMerge w:val="continue"/>
            <w:shd w:val="clear" w:color="auto" w:fill="CFF0FC"/>
          </w:tcPr>
          <w:p>
            <w:pPr>
              <w:spacing w:after="0"/>
              <w:rPr>
                <w:sz w:val="20"/>
                <w:szCs w:val="20"/>
                <w:color w:val="auto"/>
              </w:rPr>
            </w:pPr>
          </w:p>
        </w:tc>
        <w:tc>
          <w:tcPr>
            <w:tcW w:w="260" w:type="dxa"/>
            <w:vAlign w:val="bottom"/>
            <w:gridSpan w:val="2"/>
            <w:vMerge w:val="continue"/>
            <w:shd w:val="clear" w:color="auto" w:fill="CFF0FC"/>
          </w:tcPr>
          <w:p>
            <w:pPr>
              <w:spacing w:after="0"/>
              <w:rPr>
                <w:sz w:val="20"/>
                <w:szCs w:val="20"/>
                <w:color w:val="auto"/>
              </w:rPr>
            </w:pPr>
          </w:p>
        </w:tc>
        <w:tc>
          <w:tcPr>
            <w:tcW w:w="15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6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Stockholders’ equity:</w:t>
            </w:r>
          </w:p>
        </w:tc>
        <w:tc>
          <w:tcPr>
            <w:tcW w:w="6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67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per share; 30,000,000 shares authorized;</w:t>
            </w: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nil shares issued and outstanding at September 30, 2026 and December 31, 2025,</w:t>
            </w:r>
          </w:p>
        </w:tc>
        <w:tc>
          <w:tcPr>
            <w:tcW w:w="800" w:type="dxa"/>
            <w:vAlign w:val="bottom"/>
            <w:gridSpan w:val="2"/>
            <w:vMerge w:val="restart"/>
            <w:shd w:val="clear" w:color="auto" w:fill="CFF0FC"/>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6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respectively</w:t>
            </w:r>
          </w:p>
        </w:tc>
        <w:tc>
          <w:tcPr>
            <w:tcW w:w="800" w:type="dxa"/>
            <w:vAlign w:val="bottom"/>
            <w:gridSpan w:val="2"/>
            <w:vMerge w:val="continue"/>
            <w:shd w:val="clear" w:color="auto" w:fill="CFF0FC"/>
          </w:tcPr>
          <w:p>
            <w:pPr>
              <w:spacing w:after="0"/>
              <w:rPr>
                <w:sz w:val="20"/>
                <w:szCs w:val="20"/>
                <w:color w:val="auto"/>
              </w:rPr>
            </w:pPr>
          </w:p>
        </w:tc>
        <w:tc>
          <w:tcPr>
            <w:tcW w:w="1660" w:type="dxa"/>
            <w:vAlign w:val="bottom"/>
            <w:gridSpan w:val="2"/>
            <w:vMerge w:val="continue"/>
            <w:shd w:val="clear" w:color="auto" w:fill="CFF0FC"/>
          </w:tcPr>
          <w:p>
            <w:pPr>
              <w:spacing w:after="0"/>
              <w:rPr>
                <w:sz w:val="20"/>
                <w:szCs w:val="20"/>
                <w:color w:val="auto"/>
              </w:rPr>
            </w:pPr>
          </w:p>
        </w:tc>
        <w:tc>
          <w:tcPr>
            <w:tcW w:w="260" w:type="dxa"/>
            <w:vAlign w:val="bottom"/>
            <w:gridSpan w:val="2"/>
            <w:vMerge w:val="continue"/>
            <w:shd w:val="clear" w:color="auto" w:fill="CFF0FC"/>
          </w:tcPr>
          <w:p>
            <w:pPr>
              <w:spacing w:after="0"/>
              <w:rPr>
                <w:sz w:val="20"/>
                <w:szCs w:val="20"/>
                <w:color w:val="auto"/>
              </w:rPr>
            </w:pPr>
          </w:p>
        </w:tc>
        <w:tc>
          <w:tcPr>
            <w:tcW w:w="1620" w:type="dxa"/>
            <w:vAlign w:val="bottom"/>
            <w:gridSpan w:val="2"/>
            <w:vMerge w:val="continue"/>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67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500,000,000 shares authorized;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197,213,583 and nil shares issued and outstanding at September 30, 2026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6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1,616,478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1,885,894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228,365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(1,483,590)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(1,326,236)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676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401,936</w:t>
            </w:r>
          </w:p>
        </w:tc>
        <w:tc>
          <w:tcPr>
            <w:tcW w:w="12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 w:type="dxa"/>
            <w:vAlign w:val="bottom"/>
          </w:tcPr>
          <w:p>
            <w:pPr>
              <w:spacing w:after="0"/>
              <w:rPr>
                <w:sz w:val="18"/>
                <w:szCs w:val="18"/>
                <w:color w:val="auto"/>
              </w:rPr>
            </w:pPr>
          </w:p>
        </w:tc>
        <w:tc>
          <w:tcPr>
            <w:tcW w:w="6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liabilities, Series A preferred stock, and stockholders’ equity</w:t>
            </w:r>
          </w:p>
        </w:tc>
        <w:tc>
          <w:tcPr>
            <w:tcW w:w="800" w:type="dxa"/>
            <w:vAlign w:val="bottom"/>
            <w:gridSpan w:val="2"/>
            <w:shd w:val="clear" w:color="auto" w:fill="CFF0FC"/>
          </w:tcPr>
          <w:p>
            <w:pPr>
              <w:ind w:left="6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507,930</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638,499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7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 w:type="dxa"/>
            <w:vAlign w:val="bottom"/>
          </w:tcPr>
          <w:p>
            <w:pPr>
              <w:spacing w:after="0"/>
              <w:rPr>
                <w:sz w:val="18"/>
                <w:szCs w:val="18"/>
                <w:color w:val="auto"/>
              </w:rPr>
            </w:pPr>
          </w:p>
        </w:tc>
        <w:tc>
          <w:tcPr>
            <w:tcW w:w="9220" w:type="dxa"/>
            <w:vAlign w:val="bottom"/>
            <w:gridSpan w:val="5"/>
          </w:tcPr>
          <w:p>
            <w:pPr>
              <w:jc w:val="center"/>
              <w:ind w:left="1770"/>
              <w:spacing w:after="0"/>
              <w:rPr>
                <w:sz w:val="20"/>
                <w:szCs w:val="20"/>
                <w:color w:val="auto"/>
              </w:rPr>
            </w:pPr>
            <w:r>
              <w:rPr>
                <w:rFonts w:ascii="Times New Roman" w:cs="Times New Roman" w:eastAsia="Times New Roman" w:hAnsi="Times New Roman"/>
                <w:sz w:val="18"/>
                <w:szCs w:val="18"/>
                <w:i w:val="1"/>
                <w:iCs w:val="1"/>
                <w:color w:val="auto"/>
                <w:w w:val="99"/>
              </w:rPr>
              <w:t>The accompanying notes are an integral part of the unaudited consolidated financial statements.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84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-6025515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-6025515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-4765675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-4765675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-3625215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-3625215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-3059430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-3059430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-2639695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-2622550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-2639695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-2622550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-1242060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-1242060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-933450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-916305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-933450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-916305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LOSS</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53,676</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53,843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63,961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224,822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184,398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(158,916)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(61,912)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(53,852)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(157,354)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(61,912)</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(53,852)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(157,354)</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(151,199)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share—basic and diluted</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4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(0.78)</w:t>
            </w:r>
          </w:p>
        </w:tc>
        <w:tc>
          <w:tcPr>
            <w:tcW w:w="3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2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stock used in</w:t>
            </w: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computing net loss per share—basic and</w:t>
            </w:r>
          </w:p>
        </w:tc>
        <w:tc>
          <w:tcPr>
            <w:tcW w:w="30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204,222,255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167,739,208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202,814,464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164,773,525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Borders>
              <w:bottom w:val="single" w:sz="8" w:color="CFF0FC"/>
            </w:tcBorders>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(61,912)</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(53,852)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(157,354)</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(62,305)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(53,881)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(157,669)</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-3025140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-3025140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-3025140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-3025140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-2459355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-2459355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-2459355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-2459355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-1893570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-1893570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-1893570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-1893570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-1319530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-1302385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-1319530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-1302385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-1319530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-1302385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-1319530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-1302385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-744855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-728345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-744855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-728345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-744855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-728345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-744855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-728345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-170815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-170815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-170815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-170815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981" w:right="4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SERIES A PREFERRED STOCK AND STOCKHOLDERS’ EQUITY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Accumulate</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w w:val="95"/>
              </w:rPr>
              <w:t>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Series A</w:t>
            </w:r>
          </w:p>
        </w:tc>
        <w:tc>
          <w:tcPr>
            <w:tcW w:w="6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6"/>
        </w:trPr>
        <w:tc>
          <w:tcPr>
            <w:tcW w:w="236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220" w:type="dxa"/>
            <w:vAlign w:val="bottom"/>
          </w:tcPr>
          <w:p>
            <w:pPr>
              <w:spacing w:after="0"/>
              <w:rPr>
                <w:sz w:val="13"/>
                <w:szCs w:val="13"/>
                <w:color w:val="auto"/>
              </w:rPr>
            </w:pPr>
          </w:p>
        </w:tc>
        <w:tc>
          <w:tcPr>
            <w:tcW w:w="1000" w:type="dxa"/>
            <w:vAlign w:val="bottom"/>
            <w:gridSpan w:val="3"/>
          </w:tcPr>
          <w:p>
            <w:pPr>
              <w:jc w:val="center"/>
              <w:ind w:right="160"/>
              <w:spacing w:after="0" w:line="156" w:lineRule="exact"/>
              <w:rPr>
                <w:sz w:val="20"/>
                <w:szCs w:val="20"/>
                <w:color w:val="auto"/>
              </w:rPr>
            </w:pPr>
            <w:r>
              <w:rPr>
                <w:rFonts w:ascii="Times New Roman" w:cs="Times New Roman" w:eastAsia="Times New Roman" w:hAnsi="Times New Roman"/>
                <w:sz w:val="15"/>
                <w:szCs w:val="15"/>
                <w:b w:val="1"/>
                <w:bCs w:val="1"/>
                <w:color w:val="auto"/>
              </w:rPr>
              <w:t>Comprehens</w:t>
            </w:r>
          </w:p>
        </w:tc>
        <w:tc>
          <w:tcPr>
            <w:tcW w:w="80" w:type="dxa"/>
            <w:vAlign w:val="bottom"/>
          </w:tcPr>
          <w:p>
            <w:pPr>
              <w:spacing w:after="0"/>
              <w:rPr>
                <w:sz w:val="13"/>
                <w:szCs w:val="13"/>
                <w:color w:val="auto"/>
              </w:rPr>
            </w:pPr>
          </w:p>
        </w:tc>
        <w:tc>
          <w:tcPr>
            <w:tcW w:w="1000" w:type="dxa"/>
            <w:vAlign w:val="bottom"/>
            <w:gridSpan w:val="3"/>
          </w:tcPr>
          <w:p>
            <w:pPr>
              <w:jc w:val="center"/>
              <w:ind w:right="122"/>
              <w:spacing w:after="0" w:line="156" w:lineRule="exact"/>
              <w:rPr>
                <w:sz w:val="20"/>
                <w:szCs w:val="20"/>
                <w:color w:val="auto"/>
              </w:rPr>
            </w:pPr>
            <w:r>
              <w:rPr>
                <w:rFonts w:ascii="Times New Roman" w:cs="Times New Roman" w:eastAsia="Times New Roman" w:hAnsi="Times New Roman"/>
                <w:sz w:val="15"/>
                <w:szCs w:val="15"/>
                <w:b w:val="1"/>
                <w:bCs w:val="1"/>
                <w:color w:val="auto"/>
              </w:rPr>
              <w:t>Accumulate</w:t>
            </w:r>
          </w:p>
        </w:tc>
        <w:tc>
          <w:tcPr>
            <w:tcW w:w="80" w:type="dxa"/>
            <w:vAlign w:val="bottom"/>
          </w:tcPr>
          <w:p>
            <w:pPr>
              <w:spacing w:after="0"/>
              <w:rPr>
                <w:sz w:val="13"/>
                <w:szCs w:val="13"/>
                <w:color w:val="auto"/>
              </w:rPr>
            </w:pPr>
          </w:p>
        </w:tc>
        <w:tc>
          <w:tcPr>
            <w:tcW w:w="960" w:type="dxa"/>
            <w:vAlign w:val="bottom"/>
            <w:gridSpan w:val="3"/>
          </w:tcPr>
          <w:p>
            <w:pPr>
              <w:jc w:val="center"/>
              <w:ind w:right="120"/>
              <w:spacing w:after="0" w:line="156" w:lineRule="exact"/>
              <w:rPr>
                <w:sz w:val="20"/>
                <w:szCs w:val="20"/>
                <w:color w:val="auto"/>
              </w:rPr>
            </w:pPr>
            <w:r>
              <w:rPr>
                <w:rFonts w:ascii="Times New Roman" w:cs="Times New Roman" w:eastAsia="Times New Roman" w:hAnsi="Times New Roman"/>
                <w:sz w:val="15"/>
                <w:szCs w:val="15"/>
                <w:b w:val="1"/>
                <w:bCs w:val="1"/>
                <w:color w:val="auto"/>
              </w:rPr>
              <w:t>Stockholder</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1960" w:type="dxa"/>
            <w:vAlign w:val="bottom"/>
            <w:tcBorders>
              <w:bottom w:val="single" w:sz="8" w:color="auto"/>
            </w:tcBorders>
            <w:gridSpan w:val="4"/>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ive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2"/>
              <w:spacing w:after="0"/>
              <w:rPr>
                <w:sz w:val="20"/>
                <w:szCs w:val="20"/>
                <w:color w:val="auto"/>
              </w:rPr>
            </w:pPr>
            <w:r>
              <w:rPr>
                <w:rFonts w:ascii="Times New Roman" w:cs="Times New Roman" w:eastAsia="Times New Roman" w:hAnsi="Times New Roman"/>
                <w:sz w:val="15"/>
                <w:szCs w:val="15"/>
                <w:b w:val="1"/>
                <w:bCs w:val="1"/>
                <w:color w:val="auto"/>
                <w:w w:val="95"/>
              </w:rPr>
              <w:t>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w:t>
            </w: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920" w:type="dxa"/>
            <w:vAlign w:val="bottom"/>
            <w:tcBorders>
              <w:bottom w:val="single" w:sz="8" w:color="auto"/>
            </w:tcBorders>
          </w:tcPr>
          <w:p>
            <w:pPr>
              <w:jc w:val="right"/>
              <w:ind w:right="164"/>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right"/>
              <w:ind w:right="244"/>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4"/>
              <w:spacing w:after="0" w:line="156" w:lineRule="exact"/>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4"/>
              <w:spacing w:after="0" w:line="156" w:lineRule="exact"/>
              <w:rPr>
                <w:sz w:val="20"/>
                <w:szCs w:val="20"/>
                <w:color w:val="auto"/>
              </w:rPr>
            </w:pPr>
            <w:r>
              <w:rPr>
                <w:rFonts w:ascii="Times New Roman" w:cs="Times New Roman" w:eastAsia="Times New Roman" w:hAnsi="Times New Roman"/>
                <w:sz w:val="15"/>
                <w:szCs w:val="15"/>
                <w:b w:val="1"/>
                <w:bCs w:val="1"/>
                <w:color w:val="auto"/>
                <w:w w:val="95"/>
              </w:rPr>
              <w:t>Loss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Deficit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84"/>
              <w:spacing w:after="0" w:line="156" w:lineRule="exact"/>
              <w:rPr>
                <w:sz w:val="20"/>
                <w:szCs w:val="20"/>
                <w:color w:val="auto"/>
              </w:rPr>
            </w:pPr>
            <w:r>
              <w:rPr>
                <w:rFonts w:ascii="Times New Roman" w:cs="Times New Roman" w:eastAsia="Times New Roman" w:hAnsi="Times New Roman"/>
                <w:sz w:val="15"/>
                <w:szCs w:val="15"/>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3,901,348</w:t>
            </w:r>
          </w:p>
        </w:tc>
        <w:tc>
          <w:tcPr>
            <w:tcW w:w="3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7,874</w:t>
            </w:r>
          </w:p>
        </w:tc>
        <w:tc>
          <w:tcPr>
            <w:tcW w:w="260" w:type="dxa"/>
            <w:vAlign w:val="bottom"/>
            <w:tcBorders>
              <w:right w:val="single" w:sz="8" w:color="auto"/>
            </w:tcBorders>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153,037,286</w:t>
            </w:r>
          </w:p>
        </w:tc>
        <w:tc>
          <w:tcPr>
            <w:tcW w:w="3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1,175,181</w:t>
            </w:r>
          </w:p>
        </w:tc>
        <w:tc>
          <w:tcPr>
            <w:tcW w:w="3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156,454</w:t>
            </w:r>
          </w:p>
        </w:tc>
        <w:tc>
          <w:tcPr>
            <w:tcW w:w="380" w:type="dxa"/>
            <w:vAlign w:val="bottom"/>
            <w:gridSpan w:val="2"/>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(262)</w:t>
            </w: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ind w:right="62"/>
              <w:spacing w:after="0" w:line="156" w:lineRule="exact"/>
              <w:rPr>
                <w:sz w:val="20"/>
                <w:szCs w:val="20"/>
                <w:color w:val="auto"/>
              </w:rPr>
            </w:pPr>
            <w:r>
              <w:rPr>
                <w:rFonts w:ascii="Times New Roman" w:cs="Times New Roman" w:eastAsia="Times New Roman" w:hAnsi="Times New Roman"/>
                <w:sz w:val="15"/>
                <w:szCs w:val="15"/>
                <w:color w:val="auto"/>
              </w:rPr>
              <w:t>(1,121,858)</w:t>
            </w:r>
          </w:p>
        </w:tc>
        <w:tc>
          <w:tcPr>
            <w:tcW w:w="2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209,515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3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Issuance of common stock</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pursuant to the “at-the-market”</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97,375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equity program, net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4,953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4,953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RSUs</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tcPr>
          <w:p>
            <w:pPr>
              <w:spacing w:after="0"/>
              <w:rPr>
                <w:sz w:val="14"/>
                <w:szCs w:val="14"/>
                <w:color w:val="auto"/>
              </w:rPr>
            </w:pPr>
          </w:p>
        </w:tc>
        <w:tc>
          <w:tcPr>
            <w:tcW w:w="1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18,019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Option exercises</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853,881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2,451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3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Issuance of common stock</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under the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86,752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2"/>
              <w:spacing w:after="0" w:line="162" w:lineRule="exact"/>
              <w:rPr>
                <w:sz w:val="20"/>
                <w:szCs w:val="20"/>
                <w:color w:val="auto"/>
              </w:rPr>
            </w:pPr>
            <w:r>
              <w:rPr>
                <w:rFonts w:ascii="Times New Roman" w:cs="Times New Roman" w:eastAsia="Times New Roman" w:hAnsi="Times New Roman"/>
                <w:sz w:val="15"/>
                <w:szCs w:val="15"/>
                <w:color w:val="auto"/>
              </w:rPr>
              <w:t>(46,878)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(46,878)</w:t>
            </w:r>
          </w:p>
        </w:tc>
        <w:tc>
          <w:tcPr>
            <w:tcW w:w="0" w:type="dxa"/>
            <w:vAlign w:val="bottom"/>
          </w:tcPr>
          <w:p>
            <w:pPr>
              <w:spacing w:after="0"/>
              <w:rPr>
                <w:sz w:val="1"/>
                <w:szCs w:val="1"/>
                <w:color w:val="auto"/>
              </w:rPr>
            </w:pPr>
          </w:p>
        </w:tc>
      </w:tr>
      <w:tr>
        <w:trPr>
          <w:trHeight w:val="195"/>
        </w:trPr>
        <w:tc>
          <w:tcPr>
            <w:tcW w:w="236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March 31, 2025</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3,901,348</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7,874</w:t>
            </w:r>
          </w:p>
        </w:tc>
        <w:tc>
          <w:tcPr>
            <w:tcW w:w="260" w:type="dxa"/>
            <w:vAlign w:val="bottom"/>
            <w:tcBorders>
              <w:bottom w:val="single" w:sz="8" w:color="CFF0FC"/>
              <w:right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154,093,313</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1,179,336</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161,407</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(204)</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(1,168,736</w:t>
            </w:r>
          </w:p>
        </w:tc>
        <w:tc>
          <w:tcPr>
            <w:tcW w:w="140" w:type="dxa"/>
            <w:vAlign w:val="bottom"/>
            <w:tcBorders>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171,803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36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Issuance of common stock</w:t>
            </w: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pursuant to the “at-the-market”</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1,388,934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11,099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equity program, net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6,196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6,196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RSUs</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tcPr>
          <w:p>
            <w:pPr>
              <w:spacing w:after="0"/>
              <w:rPr>
                <w:sz w:val="14"/>
                <w:szCs w:val="14"/>
                <w:color w:val="auto"/>
              </w:rPr>
            </w:pPr>
          </w:p>
        </w:tc>
        <w:tc>
          <w:tcPr>
            <w:tcW w:w="1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40,270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Option exercises</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150,775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2"/>
              <w:spacing w:after="0" w:line="162" w:lineRule="exact"/>
              <w:rPr>
                <w:sz w:val="20"/>
                <w:szCs w:val="20"/>
                <w:color w:val="auto"/>
              </w:rPr>
            </w:pPr>
            <w:r>
              <w:rPr>
                <w:rFonts w:ascii="Times New Roman" w:cs="Times New Roman" w:eastAsia="Times New Roman" w:hAnsi="Times New Roman"/>
                <w:sz w:val="15"/>
                <w:szCs w:val="15"/>
                <w:color w:val="auto"/>
              </w:rPr>
              <w:t>(50,469)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(50,469)</w:t>
            </w:r>
          </w:p>
        </w:tc>
        <w:tc>
          <w:tcPr>
            <w:tcW w:w="0" w:type="dxa"/>
            <w:vAlign w:val="bottom"/>
          </w:tcPr>
          <w:p>
            <w:pPr>
              <w:spacing w:after="0"/>
              <w:rPr>
                <w:sz w:val="1"/>
                <w:szCs w:val="1"/>
                <w:color w:val="auto"/>
              </w:rPr>
            </w:pPr>
          </w:p>
        </w:tc>
      </w:tr>
      <w:tr>
        <w:trPr>
          <w:trHeight w:val="156"/>
        </w:trPr>
        <w:tc>
          <w:tcPr>
            <w:tcW w:w="2360" w:type="dxa"/>
            <w:vAlign w:val="bottom"/>
            <w:tcBorders>
              <w:top w:val="single" w:sz="8" w:color="CFF0FC"/>
              <w:bottom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June 30, 2025</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3,901,348</w:t>
            </w:r>
          </w:p>
        </w:tc>
        <w:tc>
          <w:tcPr>
            <w:tcW w:w="26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7,874</w:t>
            </w:r>
          </w:p>
        </w:tc>
        <w:tc>
          <w:tcPr>
            <w:tcW w:w="260" w:type="dxa"/>
            <w:vAlign w:val="bottom"/>
            <w:tcBorders>
              <w:top w:val="single" w:sz="8" w:color="CFF0FC"/>
              <w:bottom w:val="single" w:sz="8" w:color="CFF0FC"/>
              <w:right w:val="single" w:sz="8" w:color="auto"/>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155,673,292</w:t>
            </w:r>
          </w:p>
        </w:tc>
        <w:tc>
          <w:tcPr>
            <w:tcW w:w="22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1,191,029</w:t>
            </w:r>
          </w:p>
        </w:tc>
        <w:tc>
          <w:tcPr>
            <w:tcW w:w="22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167,603</w:t>
            </w:r>
          </w:p>
        </w:tc>
        <w:tc>
          <w:tcPr>
            <w:tcW w:w="220" w:type="dxa"/>
            <w:vAlign w:val="bottom"/>
            <w:tcBorders>
              <w:top w:val="single" w:sz="8" w:color="CFF0FC"/>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(161)</w:t>
            </w:r>
          </w:p>
        </w:tc>
        <w:tc>
          <w:tcPr>
            <w:tcW w:w="140" w:type="dxa"/>
            <w:vAlign w:val="bottom"/>
            <w:tcBorders>
              <w:top w:val="single" w:sz="8" w:color="CFF0FC"/>
              <w:bottom w:val="single" w:sz="8" w:color="CFF0FC"/>
            </w:tcBorders>
          </w:tcPr>
          <w:p>
            <w:pPr>
              <w:spacing w:after="0"/>
              <w:rPr>
                <w:sz w:val="13"/>
                <w:szCs w:val="13"/>
                <w:color w:val="auto"/>
              </w:rPr>
            </w:pPr>
          </w:p>
        </w:tc>
        <w:tc>
          <w:tcPr>
            <w:tcW w:w="8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(1,219,205</w:t>
            </w:r>
          </w:p>
        </w:tc>
        <w:tc>
          <w:tcPr>
            <w:tcW w:w="140" w:type="dxa"/>
            <w:vAlign w:val="bottom"/>
            <w:tcBorders>
              <w:top w:val="single" w:sz="8" w:color="CFF0FC"/>
              <w:bottom w:val="single" w:sz="8" w:color="CFF0FC"/>
            </w:tcBorders>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FF0FC"/>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139,266</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36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4"/>
                <w:szCs w:val="14"/>
                <w:color w:val="auto"/>
              </w:rPr>
              <w:t>Issuance of common stock</w:t>
            </w:r>
          </w:p>
        </w:tc>
        <w:tc>
          <w:tcPr>
            <w:tcW w:w="9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pursuant to the “at-the-market”</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equity program, net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3,934,128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30,212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30,212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6,472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RSUs</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156,996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Option exercises</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tcPr>
          <w:p>
            <w:pPr>
              <w:spacing w:after="0"/>
              <w:rPr>
                <w:sz w:val="14"/>
                <w:szCs w:val="14"/>
                <w:color w:val="auto"/>
              </w:rPr>
            </w:pPr>
          </w:p>
        </w:tc>
        <w:tc>
          <w:tcPr>
            <w:tcW w:w="1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458,196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2,041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36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Issuance of common stock</w:t>
            </w: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under the ESPP</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65,869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162"/>
        </w:trPr>
        <w:tc>
          <w:tcPr>
            <w:tcW w:w="2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2"/>
              <w:spacing w:after="0" w:line="162" w:lineRule="exact"/>
              <w:rPr>
                <w:sz w:val="20"/>
                <w:szCs w:val="20"/>
                <w:color w:val="auto"/>
              </w:rPr>
            </w:pPr>
            <w:r>
              <w:rPr>
                <w:rFonts w:ascii="Times New Roman" w:cs="Times New Roman" w:eastAsia="Times New Roman" w:hAnsi="Times New Roman"/>
                <w:sz w:val="15"/>
                <w:szCs w:val="15"/>
                <w:color w:val="auto"/>
              </w:rPr>
              <w:t>(53,852)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(53,852)</w:t>
            </w:r>
          </w:p>
        </w:tc>
        <w:tc>
          <w:tcPr>
            <w:tcW w:w="0" w:type="dxa"/>
            <w:vAlign w:val="bottom"/>
          </w:tcPr>
          <w:p>
            <w:pPr>
              <w:spacing w:after="0"/>
              <w:rPr>
                <w:sz w:val="1"/>
                <w:szCs w:val="1"/>
                <w:color w:val="auto"/>
              </w:rPr>
            </w:pPr>
          </w:p>
        </w:tc>
      </w:tr>
      <w:tr>
        <w:trPr>
          <w:trHeight w:val="155"/>
        </w:trPr>
        <w:tc>
          <w:tcPr>
            <w:tcW w:w="2360" w:type="dxa"/>
            <w:vAlign w:val="bottom"/>
            <w:tcBorders>
              <w:top w:val="single" w:sz="8" w:color="CFF0FC"/>
              <w:bottom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September 30, 2025</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3,901,348</w:t>
            </w:r>
          </w:p>
        </w:tc>
        <w:tc>
          <w:tcPr>
            <w:tcW w:w="26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7,874</w:t>
            </w:r>
          </w:p>
        </w:tc>
        <w:tc>
          <w:tcPr>
            <w:tcW w:w="260" w:type="dxa"/>
            <w:vAlign w:val="bottom"/>
            <w:tcBorders>
              <w:top w:val="single" w:sz="8" w:color="CFF0FC"/>
              <w:bottom w:val="single" w:sz="8" w:color="CFF0FC"/>
              <w:right w:val="single" w:sz="8" w:color="auto"/>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160,288,481</w:t>
            </w:r>
          </w:p>
        </w:tc>
        <w:tc>
          <w:tcPr>
            <w:tcW w:w="22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1,223,721</w:t>
            </w:r>
          </w:p>
        </w:tc>
        <w:tc>
          <w:tcPr>
            <w:tcW w:w="22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174,075</w:t>
            </w:r>
          </w:p>
        </w:tc>
        <w:tc>
          <w:tcPr>
            <w:tcW w:w="220" w:type="dxa"/>
            <w:vAlign w:val="bottom"/>
            <w:tcBorders>
              <w:top w:val="single" w:sz="8" w:color="CFF0FC"/>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(190)</w:t>
            </w:r>
          </w:p>
        </w:tc>
        <w:tc>
          <w:tcPr>
            <w:tcW w:w="140" w:type="dxa"/>
            <w:vAlign w:val="bottom"/>
            <w:tcBorders>
              <w:top w:val="single" w:sz="8" w:color="CFF0FC"/>
              <w:bottom w:val="single" w:sz="8" w:color="CFF0FC"/>
            </w:tcBorders>
          </w:tcPr>
          <w:p>
            <w:pPr>
              <w:spacing w:after="0"/>
              <w:rPr>
                <w:sz w:val="13"/>
                <w:szCs w:val="13"/>
                <w:color w:val="auto"/>
              </w:rPr>
            </w:pPr>
          </w:p>
        </w:tc>
        <w:tc>
          <w:tcPr>
            <w:tcW w:w="8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(1,273,057</w:t>
            </w:r>
          </w:p>
        </w:tc>
        <w:tc>
          <w:tcPr>
            <w:tcW w:w="140" w:type="dxa"/>
            <w:vAlign w:val="bottom"/>
            <w:tcBorders>
              <w:top w:val="single" w:sz="8" w:color="CFF0FC"/>
              <w:bottom w:val="single" w:sz="8" w:color="CFF0FC"/>
            </w:tcBorders>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FF0FC"/>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124,549</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-2151380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-2133600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-2151380</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-2133600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-2151380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-2133600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-2151380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-2133600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-2151380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-2133600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-2151380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-2133600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-2151380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-2133600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-2151380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-1302385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-1302385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-1302385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-1302385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-1302385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-1302385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-1302385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-136525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-136525</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-136525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-136525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-136525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-136525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-136525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SERIES A PREFERRED STOCK AND STOCKHOLDERS’ EQUITY CONTINUED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120" w:type="dxa"/>
            <w:vAlign w:val="bottom"/>
            <w:tcBorders>
              <w:right w:val="single" w:sz="8" w:color="auto"/>
            </w:tcBorders>
            <w:gridSpan w:val="5"/>
            <w:vMerge w:val="restart"/>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2120" w:type="dxa"/>
            <w:vAlign w:val="bottom"/>
            <w:tcBorders>
              <w:right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Comprehen</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8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0" w:type="dxa"/>
            <w:vAlign w:val="bottom"/>
          </w:tcPr>
          <w:p>
            <w:pPr>
              <w:spacing w:after="0"/>
              <w:rPr>
                <w:sz w:val="1"/>
                <w:szCs w:val="1"/>
                <w:color w:val="auto"/>
              </w:rPr>
            </w:pPr>
          </w:p>
        </w:tc>
      </w:tr>
      <w:tr>
        <w:trPr>
          <w:trHeight w:val="218"/>
        </w:trPr>
        <w:tc>
          <w:tcPr>
            <w:tcW w:w="2380" w:type="dxa"/>
            <w:vAlign w:val="bottom"/>
          </w:tcPr>
          <w:p>
            <w:pPr>
              <w:spacing w:after="0"/>
              <w:rPr>
                <w:sz w:val="18"/>
                <w:szCs w:val="18"/>
                <w:color w:val="auto"/>
              </w:rPr>
            </w:pPr>
          </w:p>
        </w:tc>
        <w:tc>
          <w:tcPr>
            <w:tcW w:w="2120" w:type="dxa"/>
            <w:vAlign w:val="bottom"/>
            <w:tcBorders>
              <w:right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Pr>
          <w:p>
            <w:pPr>
              <w:spacing w:after="0"/>
              <w:rPr>
                <w:sz w:val="18"/>
                <w:szCs w:val="18"/>
                <w:color w:val="auto"/>
              </w:rPr>
            </w:pPr>
          </w:p>
        </w:tc>
        <w:tc>
          <w:tcPr>
            <w:tcW w:w="236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sive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3,901,348</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2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187,660,263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1,616,478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228,365</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(250)</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 (1,326,236)</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518,357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Series A preferred</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to common stock</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(3,901,348)</w:t>
            </w:r>
          </w:p>
        </w:tc>
        <w:tc>
          <w:tcPr>
            <w:tcW w:w="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(7,874)</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3,901,348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Vesting of RSUs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242,509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 exercises</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442,967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under the ESPP</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(26,087)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(26,087)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192,337,566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1,626,879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237,428</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(254)</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 (1,352,323)</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511,730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80" w:type="dxa"/>
            <w:vAlign w:val="bottom"/>
            <w:tcBorders>
              <w:top w:val="single" w:sz="8" w:color="CFF0FC"/>
            </w:tcBorders>
          </w:tcPr>
          <w:p>
            <w:pPr>
              <w:spacing w:after="0" w:line="169" w:lineRule="exact"/>
              <w:rPr>
                <w:sz w:val="20"/>
                <w:szCs w:val="20"/>
                <w:color w:val="auto"/>
              </w:rPr>
            </w:pPr>
            <w:r>
              <w:rPr>
                <w:rFonts w:ascii="Times New Roman" w:cs="Times New Roman" w:eastAsia="Times New Roman" w:hAnsi="Times New Roman"/>
                <w:sz w:val="16"/>
                <w:szCs w:val="16"/>
                <w:color w:val="auto"/>
              </w:rPr>
              <w:t>Conversion of pre-funded</w:t>
            </w: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CFF0FC"/>
              <w:right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822,638</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vMerge w:val="restart"/>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warrants to common stock</w:t>
            </w: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8"/>
                <w:szCs w:val="8"/>
                <w:color w:val="auto"/>
              </w:rPr>
            </w:pPr>
          </w:p>
        </w:tc>
        <w:tc>
          <w:tcPr>
            <w:tcW w:w="90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1"/>
        </w:trPr>
        <w:tc>
          <w:tcPr>
            <w:tcW w:w="238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Vesting of RSUs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 exercises</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76,469</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(69,355)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(69,355)</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193,277,622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1,627,209</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248,161</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(172)</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(1,421,678)</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Conversion of pre-funded</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3,683,883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3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 to common stock</w:t>
            </w:r>
          </w:p>
        </w:tc>
        <w:tc>
          <w:tcPr>
            <w:tcW w:w="11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8"/>
                <w:szCs w:val="8"/>
                <w:color w:val="auto"/>
              </w:rPr>
            </w:pPr>
          </w:p>
        </w:tc>
        <w:tc>
          <w:tcPr>
            <w:tcW w:w="900" w:type="dxa"/>
            <w:vAlign w:val="bottom"/>
            <w:tcBorders>
              <w:right w:val="single" w:sz="8" w:color="auto"/>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8"/>
                <w:szCs w:val="8"/>
                <w:color w:val="auto"/>
              </w:rPr>
            </w:pPr>
          </w:p>
        </w:tc>
        <w:tc>
          <w:tcPr>
            <w:tcW w:w="1040" w:type="dxa"/>
            <w:vAlign w:val="bottom"/>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4"/>
        </w:trPr>
        <w:tc>
          <w:tcPr>
            <w:tcW w:w="2380" w:type="dxa"/>
            <w:vAlign w:val="bottom"/>
            <w:vMerge w:val="continue"/>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tcBorders>
              <w:right w:val="single" w:sz="8" w:color="auto"/>
            </w:tcBorders>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gridSpan w:val="2"/>
            <w:vMerge w:val="continue"/>
            <w:shd w:val="clear" w:color="auto" w:fill="CFF0FC"/>
          </w:tcPr>
          <w:p>
            <w:pPr>
              <w:spacing w:after="0"/>
              <w:rPr>
                <w:sz w:val="9"/>
                <w:szCs w:val="9"/>
                <w:color w:val="auto"/>
              </w:rPr>
            </w:pPr>
          </w:p>
        </w:tc>
        <w:tc>
          <w:tcPr>
            <w:tcW w:w="100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Exchange of ordinary shares for</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shares of common stock due to the</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Redomiciliation</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(1,627,394)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1,627,394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Vesting of RSUs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166,370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 exercises</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19,562</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under the ESPP</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0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(393)</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02"/>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(61,912)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(61,912)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197,213,583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1,885,894</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(565)</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 (1,483,590)</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401,936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-2794000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-2776855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-2794000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-2776855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-2794000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-2776855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-2794000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-2776855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-2794000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-2776855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-2794000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-2776855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-2794000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-2776855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-2794000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-2776855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-1868170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-1868170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-1868170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-1868170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-1868170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-1868170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-1868170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-1868170</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9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(157,354)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(151,199)</w:t>
            </w: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Accretion of investment premium</w:t>
            </w:r>
          </w:p>
        </w:tc>
        <w:tc>
          <w:tcPr>
            <w:tcW w:w="3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realized loss on sale of marketable securities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(10,724)</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(8,578)</w:t>
            </w:r>
          </w:p>
        </w:tc>
      </w:tr>
      <w:tr>
        <w:trPr>
          <w:trHeight w:val="216"/>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(3,161)</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(2,129)</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(1,717)</w:t>
            </w:r>
          </w:p>
        </w:tc>
      </w:tr>
      <w:tr>
        <w:trPr>
          <w:trHeight w:val="216"/>
        </w:trPr>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(4,585)</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(4,594)</w:t>
            </w:r>
          </w:p>
        </w:tc>
      </w:tr>
      <w:tr>
        <w:trPr>
          <w:trHeight w:val="216"/>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(30,789)</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(13,865)</w:t>
            </w:r>
          </w:p>
        </w:tc>
      </w:tr>
      <w:tr>
        <w:trPr>
          <w:trHeight w:val="216"/>
        </w:trPr>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(5,632)</w:t>
            </w:r>
          </w:p>
        </w:tc>
      </w:tr>
      <w:tr>
        <w:trPr>
          <w:trHeight w:val="20"/>
        </w:trPr>
        <w:tc>
          <w:tcPr>
            <w:tcW w:w="7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(173,277)</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(153,717)</w:t>
            </w:r>
          </w:p>
        </w:tc>
      </w:tr>
      <w:tr>
        <w:trPr>
          <w:trHeight w:val="210"/>
        </w:trPr>
        <w:tc>
          <w:tcPr>
            <w:tcW w:w="7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(1,337)</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(236,499)</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maturities of available-for-sale debt securities</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(234,751)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w:t>
            </w:r>
          </w:p>
        </w:tc>
      </w:tr>
      <w:tr>
        <w:trPr>
          <w:trHeight w:val="21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pursuant to the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“at-the-market” equity program, net of offering costs</w:t>
            </w:r>
          </w:p>
        </w:tc>
        <w:tc>
          <w:tcPr>
            <w:tcW w:w="30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42,573</w:t>
            </w:r>
          </w:p>
        </w:tc>
        <w:tc>
          <w:tcPr>
            <w:tcW w:w="100" w:type="dxa"/>
            <w:vAlign w:val="bottom"/>
          </w:tcPr>
          <w:p>
            <w:pPr>
              <w:spacing w:after="0"/>
              <w:rPr>
                <w:sz w:val="20"/>
                <w:szCs w:val="20"/>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ESPP</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8"/>
                <w:szCs w:val="18"/>
                <w:color w:val="auto"/>
              </w:rPr>
            </w:pPr>
          </w:p>
        </w:tc>
      </w:tr>
      <w:tr>
        <w:trPr>
          <w:trHeight w:val="210"/>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3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(404,744)</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(105,824)</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605,874</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305,838</w:t>
            </w:r>
          </w:p>
        </w:tc>
        <w:tc>
          <w:tcPr>
            <w:tcW w:w="100" w:type="dxa"/>
            <w:vAlign w:val="bottom"/>
          </w:tcPr>
          <w:p>
            <w:pPr>
              <w:spacing w:after="0"/>
              <w:rPr>
                <w:sz w:val="18"/>
                <w:szCs w:val="18"/>
                <w:color w:val="auto"/>
              </w:rPr>
            </w:pPr>
          </w:p>
        </w:tc>
      </w:tr>
      <w:tr>
        <w:trPr>
          <w:trHeight w:val="250"/>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201,130</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9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 (See Note 2)</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(30,015)</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-2442845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-2442845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-1885315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-899795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-325120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-307975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7, 2026, as part of the previously announced plan to restructure the Wave Life Sciences group of companies to cause a Delaware corporation to be the parent company of the group (the “Redomiciliation”), Wave Life Sciences, Inc., a Delaware corporation (“Wave-Delaware”), became the ultimate parent company of the Wave Life Sciences group of companies pursuant to a statutory procedure known as a scheme of arrangement under the Companies Act 1967 of Singapore (the “Scheme of Arrangement”). Pursuant to the Scheme of Arrangement, all issued ordinary shares in the capital of Wave Life Sciences Ltd., a public company limited by shares incorporated under the laws of the Republic of Singapore (“Wave-Singapore”) as of immediately prior to the effective time of the Scheme of Arrangement were exchanged on a one-for-one basis for newly issued shares of common stock, par value $0.001 per share, of Wave-Delaware, and Wave-Singapore became a wholly owned subsidiary of Wave-Delaware.</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Scheme of Arrangement was accounted for as an exchange of equity interests among entities under common control. All assets and liabilities of Wave-Singapore were assumed by Wave-Delaware, resulting in the retention of the historical basis of accounting as if they had always been combined for accounting and financial reporting purposes.</w:t>
      </w:r>
    </w:p>
    <w:p>
      <w:pPr>
        <w:spacing w:after="0" w:line="6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financial statements for periods post August 7, 2026, relate to Wave-Delaware, and for the periods prior to August 7, 2026, the effective date of the Redomiciliation, relate to Wave-Singapore. Unless stated otherwise or the context otherwise requires, references to “Wave”, “our”, or the “Company”, mean Wave Life Sciences, Inc. and its consolidated subsidiaries from and after the effective time of the Redomiciliation and, prior to that time, to our predecessor, Wave-Singapore.</w:t>
      </w:r>
    </w:p>
    <w:p>
      <w:pPr>
        <w:spacing w:after="0" w:line="7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Wave-Delaware (together with its subsidiaries, “Wave” or the “Company”) is a clinical-stage biotechnology company focused on unlocking the broad potential of ribonucleic acid (“RNA”) medicines (also known as oligonucleotides), or those targeting RNA, to transform human health. The Company’s RNA medicines platform, PRISM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combines multiple RNA medicines modalities, chemistry innovation, and deep insights in human genetics to deliver scientific breakthroughs that treat both rare and common disorders. The Company’s toolkit of RNA-targeting modalities, including RNA interference (“RNAi”) (SpiNA) and RNA editing (AIMers), provides the Company with unmatched capabilities for designing and sustainably delivering candidates that optimally address disease biology. The Company’s lead pipeline programs include obesity (WVE-007), alpha-1 antitrypsin deficiency (“AATD”) (WVE-</w:t>
      </w:r>
    </w:p>
    <w:p>
      <w:pPr>
        <w:spacing w:after="0" w:line="1" w:lineRule="exact"/>
        <w:rPr>
          <w:sz w:val="20"/>
          <w:szCs w:val="20"/>
          <w:color w:val="auto"/>
        </w:rPr>
      </w:pPr>
    </w:p>
    <w:p>
      <w:pPr>
        <w:ind w:right="80" w:firstLine="8"/>
        <w:spacing w:after="0" w:line="260" w:lineRule="auto"/>
        <w:tabs>
          <w:tab w:leader="none" w:pos="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PNPLA3 I148M liver disease (WVE-008), and the Company is also advancing several preclinical programs utilizing its versatile RNA medicines platform.</w:t>
      </w:r>
    </w:p>
    <w:p>
      <w:pPr>
        <w:spacing w:after="0" w:line="7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Company’s primary activities have been developing and evolving PRISM to design, develop and commercialize RNA medicines, advancing the Company’s differentiated portfolio, building the Company’s research, development and manufacturing capabilities, advancing programs into the clinic, furthering clinical development of such clinical-stage programs, building the Company’s intellectual property, and assuring adequate capital to support these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Since its inception, the Company has not generated any product revenue and has incurred recurring operating losses. To date, the Company has primarily funded its operations through private placements of debt and equity securities, public and other registered offerings of its equity securities and collaborations with third parties. Until the Company can generate significant revenue from product sales, if ever, the Company expects to continue to finance operations through a combination of public or private equity or debt financings or other sources, which may include upfront and milestone payments from collaborations with third parties. Adequate additional financing may not be available to the Company on acceptable terms, or at all. The inability to raise capital as and when needed would have a negative impact on the Company’s financial condition and ability to pursue its business strategy.</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September 30, 2026, the Company had cash, cash equivalents and marketable securities of $431.0 million. The Company expects that its existing cash, cash equivalents and marketable securities will be sufficient to fund its operations for at least the next twelve months from the issuance date of these financial statements. The Company has based this expectation on the best information available; however, the Company may use its available capital resources sooner than it currently expects. If the Company’s anticipated operating results are not achieved in future periods, planned expenditures may need to be further reduced in order to extend the time period over which the then-available resources would be able to fund the Company’s operations. In addition, the Company may elect to raise additional funds before it needs them if the conditions for raising capital are favorable due to market conditions or strategic considerations, even if the Company expects it has sufficient funds for its current or future operating plans.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maintaining internal manufacturing capabilities, dependence on key personnel, compliance with government regulations and the need to obtain additional financing. The Company’s therapeutic programs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efforts will be successful,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has prepared the accompanying consolidated financial statements in conformity with United States Generally Accepted Accounting Principles (“U.S. GAAP”) and in U.S.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described in the Company’s audited financial statements as of and for the year ended December 31, 2025, and the notes thereto, which are included in the Company’s Annual Report on Form 10-K for the year ended December 31, 2025, filed with the Securities and Exchange Commission (“SEC”) on February 26, 2026, as amended on April 30, 2026 (the “2025 Annual Report on Form 10-K”), have had no material changes to the Company's significant accounting policies during the nine months ended September 30, 2026, except as set forth below under “Fair Value of Financial Instruments,” and “Marketable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follows the provisions of Financial Accounting Standards Board (“FASB”) Accounting Standards Codification (“ASC”) Topic 820, Fair Value Measurements (“ASC 820”), which establishes a fair value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information available in the circumstances. The fair value hierarchy applies only to the valuation inputs used in determining the reported fair value of the investments and is not a measure of the investment credit quality. The hierarchy defines three levels of valuation inputs: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1—Unadjusted quoted prices in active markets that are accessible at the measurement date of identical, unrestricted assets.</w:t>
      </w:r>
    </w:p>
    <w:p>
      <w:pPr>
        <w:spacing w:after="0" w:line="117" w:lineRule="exact"/>
        <w:rPr>
          <w:sz w:val="20"/>
          <w:szCs w:val="20"/>
          <w:color w:val="auto"/>
        </w:rPr>
      </w:pPr>
    </w:p>
    <w:p>
      <w:pPr>
        <w:ind w:left="520" w:right="580"/>
        <w:spacing w:after="0" w:line="266" w:lineRule="auto"/>
        <w:rPr>
          <w:sz w:val="20"/>
          <w:szCs w:val="20"/>
          <w:color w:val="auto"/>
        </w:rPr>
      </w:pPr>
      <w:r>
        <w:rPr>
          <w:rFonts w:ascii="Times New Roman" w:cs="Times New Roman" w:eastAsia="Times New Roman" w:hAnsi="Times New Roman"/>
          <w:sz w:val="18"/>
          <w:szCs w:val="18"/>
          <w:color w:val="auto"/>
        </w:rPr>
        <w:t>Level 2—Quoted prices for similar assets, or inputs that are observable, either directly or indirectly, for substantially the full term through corroboration with observable market data. Level 2 includes investments valued at quoted prices adjusted for legal or contractual restrictions specific to the security.</w:t>
      </w:r>
    </w:p>
    <w:p>
      <w:pPr>
        <w:spacing w:after="0" w:line="68" w:lineRule="exact"/>
        <w:rPr>
          <w:sz w:val="20"/>
          <w:szCs w:val="20"/>
          <w:color w:val="auto"/>
        </w:rPr>
      </w:pPr>
    </w:p>
    <w:p>
      <w:pPr>
        <w:ind w:left="520" w:right="420"/>
        <w:spacing w:after="0" w:line="282" w:lineRule="auto"/>
        <w:rPr>
          <w:sz w:val="20"/>
          <w:szCs w:val="20"/>
          <w:color w:val="auto"/>
        </w:rPr>
      </w:pPr>
      <w:r>
        <w:rPr>
          <w:rFonts w:ascii="Times New Roman" w:cs="Times New Roman" w:eastAsia="Times New Roman" w:hAnsi="Times New Roman"/>
          <w:sz w:val="18"/>
          <w:szCs w:val="18"/>
          <w:color w:val="auto"/>
        </w:rPr>
        <w:t>Level 3—Pricing inputs are unobservable for the asset, that is, inputs that reflect the reporting entity’s own assumptions about the assumptions market participants would use in pricing the asset. Level 3 includes private investments that are supported by little or no market activity.</w:t>
      </w:r>
    </w:p>
    <w:p>
      <w:pPr>
        <w:spacing w:after="0" w:line="54"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accounts for marketable securities in accordance with FASB ASC Topic 320, Investments - Debt and Equity Securities. Marketable securities are classified as available-for-sale and consist of government securities and obligations and corporate bonds with stated maturities of more than three months from the purchase date. Available-for-sale securities are recorded on the balance sheet at fair value with unrealized gains or losses reported as a separate component of other comprehensive income (loss). Realized gains or losses recognized upon the sale of marketable securities will be recorded within net income. Marketable securities are classified as current assets or non-current assets based on each security’s time to maturity as of the balance sheet date.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Lease Update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leases in accordance with ASC Topic 842, Leases (“ASC 842”). 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typically only includes an initial lease term in its assessment of a lease arrangement. Options to renew a lease are not included in the Company’s assessment unless there is reasonable certainty that the Company will renew the lease. The Company monitors its plans to renew its leases on a quarterly basis.</w:t>
      </w:r>
    </w:p>
    <w:p>
      <w:pPr>
        <w:spacing w:after="0" w:line="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2026, the Company entered into an amendment to extend the term of its Lexington, Massachusetts lease for its manufacturing facility through January 2038. As a result, the Company remeasured the related operating lease liability and recorded a corresponding increase of approximately $30.0 million to its operating lease right-of-use asset and operating lease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Data</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accompanying interim consolidated balance sheet as of September 30, 2026, the related interim consolidated statements of operations and comprehensive loss for the three and nine months ended September 30, 2026 and 2025, the consolidated statements of Series A preferred stock and stockholders’ equity for the three months ended March 31, June 30, and September 30, 2026 and 2025, the consolidated statements of cash flows for the nine months ended September 30, 2026 and 2025, and the related interim information contained within the notes to the unaudited consolidated financial statements have been prepared in accordance with the rules and regulations of the SEC for interim financial information. Accordingly, they do not include all of the information and the notes required by U.S. GAAP for complete financial statements. The financial data and other information disclosed in these notes related to the three and nine months ended September 30, 2026 and 2025 are unaudited. In the opinion of management, the unaudited interim consolidated financial statements reflect all adjustments, consisting of normal and recurring adjustments, necessary for the fair presentation of the Company’s financial position and results of operations for the three and nine months ended September 30, 2026 and 2025. The results of operations for the interim periods are not necessarily indicative of the results to be expected for the year ending December 31, 2026 or any other interim period or future year or period.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64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gridSpan w:val="5"/>
          </w:tcPr>
          <w:p>
            <w:pPr>
              <w:ind w:left="4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596,264</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76,382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76,382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101,977</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101,977</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250,933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234,125</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596,264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596,264</w:t>
            </w:r>
          </w:p>
        </w:tc>
        <w:tc>
          <w:tcPr>
            <w:tcW w:w="90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-170815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-170815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-170815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carried at fair value, determined according to the fair value hierarchy. The carrying value of the Company’s accounts payable and accrued expenses approximate their fair values due to the short-term nature of these liabilities. As of December 31, 2025, cash and cash equivalents were comprised of funds held in checking and money market accounts and were classified as Level 1.</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Money market funds included within cash equivalents are classified within Level 1 of the fair value hierarchy because they are valued using quoted market prices in active markets. Government securities and obligations and corporate bonds included within cash equivalents and marketable securities are classified within Level 2 of the fair value hierarchy because pricing inputs are other than quoted prices in active markets, which are either directly or indirectly observable as of the reporting date, and fair value is determined through using models or other valuation methodologies.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There were no transfers into or out of Level 3 in the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available-for-sale marketable securities: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20"/>
                <w:szCs w:val="20"/>
                <w:color w:val="auto"/>
              </w:rPr>
            </w:pP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104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7"/>
                <w:szCs w:val="7"/>
                <w:color w:val="auto"/>
              </w:rPr>
            </w:pPr>
          </w:p>
        </w:tc>
        <w:tc>
          <w:tcPr>
            <w:tcW w:w="82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7"/>
                <w:szCs w:val="7"/>
                <w:color w:val="auto"/>
              </w:rPr>
            </w:pPr>
          </w:p>
        </w:tc>
        <w:tc>
          <w:tcPr>
            <w:tcW w:w="1000" w:type="dxa"/>
            <w:vAlign w:val="bottom"/>
            <w:gridSpan w:val="3"/>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restart"/>
          </w:tcPr>
          <w:p>
            <w:pPr>
              <w:jc w:val="right"/>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7"/>
                <w:szCs w:val="7"/>
                <w:color w:val="auto"/>
              </w:rPr>
            </w:pPr>
          </w:p>
        </w:tc>
        <w:tc>
          <w:tcPr>
            <w:tcW w:w="80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7"/>
                <w:szCs w:val="7"/>
                <w:color w:val="auto"/>
              </w:rPr>
            </w:pPr>
          </w:p>
        </w:tc>
        <w:tc>
          <w:tcPr>
            <w:tcW w:w="940" w:type="dxa"/>
            <w:vAlign w:val="bottom"/>
            <w:gridSpan w:val="3"/>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0"/>
                <w:szCs w:val="10"/>
                <w:color w:val="auto"/>
              </w:rPr>
            </w:pPr>
          </w:p>
        </w:tc>
        <w:tc>
          <w:tcPr>
            <w:tcW w:w="60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76,518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76,382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102,129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101,977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233,697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-170815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the table above at fair value were classified on our consolidated balance sheet as follows:</w:t>
      </w:r>
    </w:p>
    <w:p>
      <w:pPr>
        <w:spacing w:after="0" w:line="354"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2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0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jc w:val="right"/>
              <w:ind w:right="777"/>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jc w:val="center"/>
              <w:ind w:right="197"/>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8"/>
                <w:szCs w:val="18"/>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233,434</w:t>
            </w:r>
          </w:p>
        </w:tc>
        <w:tc>
          <w:tcPr>
            <w:tcW w:w="8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FF0FC"/>
          </w:tcPr>
          <w:p>
            <w:pPr>
              <w:ind w:left="1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0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233,697</w:t>
            </w:r>
          </w:p>
        </w:tc>
        <w:tc>
          <w:tcPr>
            <w:tcW w:w="8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FF0FC"/>
          </w:tcPr>
          <w:p>
            <w:pPr>
              <w:ind w:left="1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amortized cost of marketable debt securities is adjusted for amortization of premiums and accretion of discounts to maturity. There was an insignificant realized loss recognized on the maturity of marketable securities for the three and nine months ended September 30, 2026 and, as a result, the Company did not reclassify the corresponding amount out of accumulated other comprehensive loss for either period. The Company did not hold marketable securities as of December 31, 2025.</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5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w w:val="82"/>
              </w:rPr>
              <w:t>thousands)</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12,907</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related to CROs and CMOs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21,979</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-1079500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-1079500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the period prior to the Redomiciliation, the Company’s stockholders’ equity reflects Wave-Singapore’s outstanding ordinary shares, all of which were publicly traded on The Nasdaq Global Market. After the close of market trading on August 7, 2026, all Wave-Singapore outstanding ordinary shares were exchanged on a one-for-one basis for newly issued shares of Wave-Delaware common stock and Wave-Singapore became a wholly-owned subsidiary of Wave-Delaware. Effective upon the completion of the Redomiciliation, Wave-Delaware assumed Wave-Singapore’s 2014 Plan (as defined below), 2021 Plan (as defined below), Nasdaq Inducement Restricted Share Unit Award Grant Notice and Nasdaq Inducement Restricted Share Unit Agreement, Nasdaq Inducement Non-qualified Share Option Grant Notice and Nasdaq Inducement Non-qualified Share Option Agreement, and ESPP (as defined below), and all outstanding awards and rights thereunder. In addition, the 2021 Plan and the ESPP were amended and restated, and conforming amendments were made to the 2014 Plan (solely to continue administering awards outstanding thereunder) and the Nasdaq Inducement forms, in each case, to provide, among other things, that the securities issuable in connection with awards thereunder (including the purchase rights under the ESPP) are shares of Wave-Delaware common stock rather than ordinary shares of Wave-Singapore. The assumed awards and rights continue to have substantially the same terms and conditions that applied prior to the consummation of the Redomiciliation, provided, that securities issuable in connection with awards thereunder are in shares of Wave-Delaware common stock rather than ordinary shares of Wave-Singapore.</w:t>
      </w:r>
    </w:p>
    <w:p>
      <w:pPr>
        <w:spacing w:after="0" w:line="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Wave-Delaware 2021 Equity Incentive Plan was approved by the Company’s stockholders and went into effect on August 10, 2021 and was amended effective as of August 9, 2022, August 1, 2023, August 6, 2024, August 5, 2025, and August 7, 2026 (as amended, the “2021 Plan”). The 2021 Plan serves as the successor to the Wave Life Sciences, Inc. 2014 Equity Incentive Plan, as amended (the “2014 Plan”), such that outstanding awards granted under the 2014 Plan continue to be governed by the terms of the 2014 Plan, but no awards may be made under the 2014 Plan after August 10, 2021. The aggregate number of shares of common stock authorized for issuance of awards under the 2021 Plan was originally 5,450,000 shares of common stock, and was subsequently increased to 11,450,000, 17,950,000, 22,950,000, and 30,950,000 in August 2022, August 2023, August 2024, and August 2025, respectively, plus the number of shares of common stock underlying any awards under the 2014 Plan that are forfeited, cancelled or otherwise terminated (other than by exercise or withheld by the Company to satisfy any tax withholding obligation) on or after August 10, 2021.</w:t>
      </w:r>
    </w:p>
    <w:p>
      <w:pPr>
        <w:spacing w:after="0" w:line="12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2021 Plan authorizes (and the 2014 Plan previously authorized) the Company’s board of directors or a committee of the board of directors to, among other things, grant non-qualified stock options, restricted awards, which include restricted stock and restricted stock units (“RSUs”), and performance awards to eligible employees, consultants, and non-employee directors of the Company. The Company accounts for grants to its non-employee directors as grants to employees.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Options generally vest over periods of one to four years, and options that are forfeited or cancelled are available to be granted again. The contractual life of options is generally ten years from the grant date. RSUs can be time-based or performance-based. Time-based RSUs generally vest over a period of one to four years. Vesting of the performance-based RSUs is contingent on the occurrence of certain regulatory or commercial milestones. Any RSUs that are forfeited are available to be granted again.</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granted an aggregate of 5,776,284 options to employees and non-employee directors and 1,880,550 time-based RSUs to employees and non-employee directors.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3,901,362 shares of common stock remained available for future grant under the 2021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options and RSUs outstanding as of September 30,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272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00" w:type="dxa"/>
            <w:vAlign w:val="bottom"/>
          </w:tcPr>
          <w:p>
            <w:pPr>
              <w:spacing w:after="0"/>
              <w:rPr>
                <w:sz w:val="12"/>
                <w:szCs w:val="12"/>
                <w:color w:val="auto"/>
              </w:rPr>
            </w:pPr>
          </w:p>
        </w:tc>
        <w:tc>
          <w:tcPr>
            <w:tcW w:w="1860" w:type="dxa"/>
            <w:vAlign w:val="bottom"/>
            <w:tcBorders>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2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24,367,464</w:t>
            </w:r>
          </w:p>
        </w:tc>
        <w:tc>
          <w:tcPr>
            <w:tcW w:w="6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22,295,058</w:t>
            </w:r>
          </w:p>
        </w:tc>
      </w:t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2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3,030,432</w:t>
            </w:r>
          </w:p>
        </w:tc>
        <w:tc>
          <w:tcPr>
            <w:tcW w:w="6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1,794,333</w:t>
            </w:r>
          </w:p>
        </w:tc>
      </w:tr>
    </w:tbl>
    <w:p>
      <w:pPr>
        <w:spacing w:after="0" w:line="1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Wave Life Sciences, Inc. 2019 Employee Stock Purchase Plan, as amended (the “ESPP”), allows full-time and certain part-time employees to purchase shares of the Company’s common stock at a discount to fair market value. Eligible employees may enroll in a six-month offering period beginning every January 15th and July 15th. Shares of common stock are purchased at a price equal to 85% of the lower of the fair market value of the Company’s common stock on the first business day or the last business day of an offering period. The aggregate number of shares of common stock authorized for issuance under the ESPP was originally 1,000,000 and was subsequently increased to 3,000,000 in August 2023. During the nine months ended September 30, 2026, 156,625 shares of common stock were issued under the ESPP. As of September 30, 2026, there were 2,004,756 shares of common stock available for issuance under the ESPP.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GSK Collaboration and Equity Agreements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13, 2022, Wave Life Sciences USA, Inc. and Wave Life Sciences UK Limited entered into a Collaboration and License Agreement (the “GSK Collaboration Agreement”) with GlaxoSmithKline Intellectual Property (No. 3) (“GSK”). Pursuant to the GSK Collaboration Agreement, Wave and GSK agreed to collaborate on the research, development, and commercialization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ind w:right="200"/>
        <w:spacing w:after="0" w:line="261" w:lineRule="auto"/>
        <w:rPr>
          <w:sz w:val="20"/>
          <w:szCs w:val="20"/>
          <w:color w:val="auto"/>
        </w:rPr>
      </w:pPr>
      <w:r>
        <w:rPr>
          <w:rFonts w:ascii="Times New Roman" w:cs="Times New Roman" w:eastAsia="Times New Roman" w:hAnsi="Times New Roman"/>
          <w:sz w:val="18"/>
          <w:szCs w:val="18"/>
          <w:color w:val="auto"/>
        </w:rPr>
        <w:t>oligonucleotide therapeutics, which originally included an exclusive global license to WVE-006. The discovery collaboration component has an initial four-year research term and combines Wave’s proprietary discovery and drug development platform, PRISM, with GSK’s unique genetic insights and its global development and commercial capabilities. On January 27, 2023, the GSK Collaboration Agreement became effective, and GSK paid Wave an upfront payment of $120.0 million.</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Simultaneously with the execution of the GSK Collaboration Agreement, Wave entered into a Share Purchase Agreement (the “SPA”) on December 13, 2022, with Glaxo Group Limited (“GGL”), an affiliate of GSK, pursuant to which Wave agreed to sell 10,683,761 shares of its common stock to GGL at a purchase price of $4.68 per share (the “GSK Equity Investment”). The GSK Equity Investment closed on January 26, 2023, following the completion of customary closing conditions. The shares of common stock purchased by GGL in the GSK Equity Investment carry certain registration rights customary for transactions of this kind. The Company did not incur any material costs in connection with the issuance of the shares of common stock under the SPA.</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GSK Collaboration Agreement originally had three components: (1) a discovery collaboration which enables the Company to advance up to three programs leveraging targets informed by GSK’s novel genetic insights; (2) a discovery collaboration which enables GSK to advance up to eight programs leveraging PRISM and the Company’s oligonucleotide expertise and discovery capabilities (the “Discovery Research Collaboration”); and (3) an exclusive global license for GSK to WVE-006, the Company’s AATD program, that uses the Company’s proprietary AIMer technology (the "AATD Collaboration"). On February 2, 2026, the Company announced that it regained full rights to WVE-006, an investigational GalNAc-conjugated RNA editing oligonucleotide for alpha-1 antitrypsin deficiency, which was originally the subject of an exclusive global license to GSK under the GSK Collaboration Agreement.</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GSK Collaboration Agreement, each party grants to the other party certain licenses to the collaboration products to enable the other party to perform its obligations and exercise its rights under the GSK Collaboration Agreement, including license grants to enable each party to conduct research, development and commercialization activities pursuant to the terms of the GSK Collaboration Agreement. The parties’ exclusivity obligations to each other are limited on a target-by-target basis with regard to targets in the collaboration. GSK may terminate the GSK Collaboration Agreement for convenience, in its entirety or on a target-by-target basis. Subject to certain exceptions, each party has the right to terminate the GSK Collaboration Agreement on a target-by-target basis if the other party, or a related party, challenges the patentability, enforceability or validity of any patents within the licensed technology that cover any product that is subject to the GSK Collaboration Agreement. In the event of any material breach of the GSK Collaboration Agreement by a party, subject to cure rights, the other party may terminate the GSK Collaboration Agreement in its entirety if the breach relates to all targets or on a target-by-target basis if the breach relates to a specific target. In the event that GSK and its affiliates cease development, manufacturing and commercialization activities with respect to compounds or products subject to the GSK Collaboration Agreement and directed to a particular target, the Company may terminate the GSK Collaboration Agreement with respect to such target. Either party may terminate the GSK Collaboration Agreement for the other party’s insolvency. In certain termination circumstances, the Company would receive a license from GSK to continue researching, developing and manufacturing certain products.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GSK Collaboration Agreement, unless terminated earlier, will continue until the date on which: (i) with respect to a validation target, the date on which such validation target is not advanced into a collaboration program; or (ii) with respect to a collaboration target, the royalty term has expired for all collaboration products directed to the applicable collaboration target. The GSK Collaboration Agreement includes options to extend the research term for up to three additional years, which would increase the number of programs available to both parties. The Company will lead all preclinical research for GSK and the Company’s collaboration programs up to investigational new drug (“IND”)-enabling studies. The Company will lead IND-enabling studies, clinical development and commercialization for the Company’s collaboration programs. GSK collaboration programs will transfer to GSK for IND-enabling studies, clinical development and commercialization.</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GSK Collaboration Agreement is managed by a joint steering committee in which both parties are represented equally. In addition, the AATD Collaboration was overseen by a joint development committee, a joint patent committee advises on intellectual property activities, and the Discovery Research Collaboration is overseen by a joint research committee. Both parties are represented equally for these committees and report to the joint steering committee.</w:t>
      </w:r>
    </w:p>
    <w:p>
      <w:pPr>
        <w:spacing w:after="0" w:line="7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assessed this arrangement in accordance with ASC 606, Revenue from Contracts with Customers (“ASC 606”) and concluded that the contract counterparty, GSK, is a customer for the AATD Collaboration prior to GSK exercising its option and for the Discovery Research Collaboration programs during the target validation research term. The Company identified the following material promises under the arrangement: (1) the exclusive global license for WVE-006; (2) the research and development services for WVE-006 through the Phase 1/2 study; (3) the discovery research services under the Discovery Research Collaboration to perform target validation programs; (4) research and development license for the Discovery Research Collaboration; and (5) the research and development services for the GSK collaboration programs through completion of a candidate selection. The research and development services for WVE-006 were determined to not be distinct from the exclusive global license and should therefore be combined into a single performance obligation for the AATD Collaboration. The research and development services for the Discovery Research Collaboration were determined to not be distinct from the research and development license for the Discovery Research Collaboration and should therefore be combined into a single performance obligation. In addition, the Company determined the standalone selling</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price for the option to advance up to eight programs from the Discovery Research Collaboration and determined it did not provide a material right to GSK.</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on these assessments, the Company identified two performance obligations in the GSK Collaboration Agreement: (1) AATD Collaboration consisting of the research and development services through completion of the Phase 1/2 study and research and development license for WVE-006 and (2) Discovery Research Collaboration which consists of research and development services for validating the targets for a research and development license for targets.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outset of the arrangement, the transaction price included fixed consideration of the $120.0 million upfront, the $15.4 million in premium related to the GSK Equity Investment and the fixed consideration related to the additional target validation research funding. The Company allocated the estimated variable consideration relating to the target validation research to the Discovery Research Collaboration and the variable consideration relating to the development milestone to the AATD Collaboration and then allocated the fixed consideration to the performance obligations on a relative standalone selling price basis. The Company determined that the GSK Collaboration Agreement did not contain a significant financing component. The program initiation fees to advance up to eight programs from the Discovery Research Collaboration to preclinically develop the GSK collaboration programs and the additional potential milestone payments were excluded from the transaction price, as all milestone amounts were fully constrained at the inception of the GSK Collaboration Agreement. The Company will reevaluate the transaction price at the end of each reporting period, and as uncertain events are resolved or other changes in circumstances occur, the Company will adjust its estimate of the transaction price.</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GSK Collaboration Agreement, GSK can advance up to eight programs (the “GSK Collaboration Programs”) leveraging the Company's PRISM platform and multiple RNA-targeting modalities (RNAi, RNA editing, splicing, and antisense) with target validation work ongoing across multiple therapy areas. The advancement to a development candidate following the achievement of target validation results in a GSK Collaboration Program performance obligation. In January 2026, GSK selected a fourth program to advance to development candidate following achievement of target validation. Under the GSK Collaboration Agreement, GSK has paid an aggregate of $32.0 million in program initiation payments related to these four programs.</w:t>
      </w:r>
    </w:p>
    <w:p>
      <w:pPr>
        <w:spacing w:after="0" w:line="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total transaction price to the identified performance obligations under the GSK Collaboration Agreement, and the amount of the transaction price unsatisfied as of September 30, 2026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Transaction Price Allocated</w:t>
            </w:r>
          </w:p>
        </w:tc>
        <w:tc>
          <w:tcPr>
            <w:tcW w:w="240" w:type="dxa"/>
            <w:vAlign w:val="bottom"/>
          </w:tcPr>
          <w:p>
            <w:pPr>
              <w:spacing w:after="0"/>
              <w:rPr>
                <w:sz w:val="23"/>
                <w:szCs w:val="23"/>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Transaction Price Unsatisfied </w:t>
            </w:r>
            <w:r>
              <w:rPr>
                <w:rFonts w:ascii="Times New Roman" w:cs="Times New Roman" w:eastAsia="Times New Roman" w:hAnsi="Times New Roman"/>
                <w:sz w:val="24"/>
                <w:szCs w:val="24"/>
                <w:color w:val="auto"/>
                <w:vertAlign w:val="superscript"/>
              </w:rPr>
              <w:t>(1)</w:t>
            </w: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Obligations:</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8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AATD Collaboration</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166,778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Discovery Research Collaboration</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7,792</w:t>
            </w:r>
          </w:p>
        </w:tc>
        <w:tc>
          <w:tcPr>
            <w:tcW w:w="240" w:type="dxa"/>
            <w:vAlign w:val="bottom"/>
            <w:shd w:val="clear" w:color="auto" w:fill="CFF0FC"/>
          </w:tcPr>
          <w:p>
            <w:pPr>
              <w:spacing w:after="0"/>
              <w:rPr>
                <w:sz w:val="18"/>
                <w:szCs w:val="18"/>
                <w:color w:val="auto"/>
              </w:rPr>
            </w:pPr>
          </w:p>
        </w:tc>
        <w:tc>
          <w:tcPr>
            <w:tcW w:w="2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GSK Collaboration Programs</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00" w:type="dxa"/>
            <w:vAlign w:val="bottom"/>
          </w:tcPr>
          <w:p>
            <w:pPr>
              <w:spacing w:after="0"/>
              <w:rPr>
                <w:sz w:val="18"/>
                <w:szCs w:val="18"/>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206,570</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18,893</w:t>
            </w:r>
          </w:p>
        </w:tc>
      </w:tr>
    </w:tbl>
    <w:p>
      <w:pPr>
        <w:ind w:left="760"/>
        <w:spacing w:after="0"/>
        <w:rPr>
          <w:sz w:val="20"/>
          <w:szCs w:val="20"/>
          <w:color w:val="auto"/>
        </w:rPr>
      </w:pPr>
      <w:r>
        <w:rPr>
          <w:rFonts w:ascii="Times New Roman" w:cs="Times New Roman" w:eastAsia="Times New Roman" w:hAnsi="Times New Roman"/>
          <w:sz w:val="18"/>
          <w:szCs w:val="18"/>
          <w:color w:val="auto"/>
        </w:rPr>
        <w:t>(1) The unsatisfied transaction price will be recognized over the remaining applicable research or program term.</w:t>
      </w:r>
    </w:p>
    <w:p>
      <w:pPr>
        <w:spacing w:after="0" w:line="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developed the estimated standalone selling price for the global license for WVE-006, under the AATD Collaboration, using a discounted cash flow model. For the performance obligation associated with the research and development services under the Discovery Research Collaboration and the research and development services for WVE-006 under the AATD Collaboration, the Company determined the standalone selling price using estimates of the costs to perform the research and development services, including expected internal and external costs for services and supplies, adjusted to reflect a profit margin. The total estimated cost of the research and development services reflected the nature of the services to be performed and the Company’s best estimate of the length of time required to perform the services.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Revenue associated with the AATD Collaboration performance obligation was being recognized as the research and development services were provided using an input measure, according to the costs incurred and the total costs expected to be incurred to satisfy the performance obligation. The Company recognized the remaining deferred revenue related to the AATD performance obligation, which was fully satisfied upon the termination of the AATD license, in the first quarter of 2026. The revenue associated with the Discovery Research Collaboration performance obligation is being recognized as the research and development services are provided using an input measure, according to the costs incurred and the total costs expected to be incurred to satisfy the performance obligation. The amounts received that have not yet been recognized as revenue are recorded in deferred revenue on the Company’s consolidated balance sheet. Additional funding related to the Company’s research activities related to Discovery Research Collaboration will be recorded as accounts receivable when contractually enforceable and recorded as deferred revenue, or as revenue as the services are provided.</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achieved a developmental milestone which pertained to the initiation of dosing in healthy volunteers in the RestorAATion clinical trial program, triggering a $20.0 million milestone payment to the Company from GSK, which was collected in the first quarter of 2024. During the year ended December 31, 2025, GSK acknowledged the Company’s achievement of another development milestone for the AATD program, triggering a $10.0 million milestone payment to the Company from GSK, which was collected during the fourth quarter of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was notified that GSK has selected a candidate to transition into GSK’s development pipeline, triggering a $12.0 million milestone payment to the Company from GSK which was included in accounts receivable as of September 30, 2026, and recorded to revenue in the three and nine months ended September 30, 2026,</w:t>
      </w:r>
    </w:p>
    <w:p>
      <w:pPr>
        <w:spacing w:after="0" w:line="6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2026 and 2025, the Company recognized revenue of $13.2 million and $7.6 million, respectively, under the GSK Collaboration Agreement using the input method described above. For the nine months ended September 30, 2026 and 2025, the Company recognized revenue of $53.7 million and $25.5 million, respectively, under the GSK Collaboration Agreement using the input method described above which includes the recognition of the remaining deferred revenue related to the AATD performance obligation ($35.9 million), and the $12.0 million milestone during the nine months ended September 30, 2026. Through September 30, 2026, the Company has recognized collaboration revenue of $199.7 million under the GSK Collaboration Agreement in the Company’s consolidated statements of operations and comprehensive loss.</w:t>
      </w:r>
    </w:p>
    <w:p>
      <w:pPr>
        <w:spacing w:after="0" w:line="7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aggregate amount of the transaction price allocated to the Company’s unsatisfied and partially unsatisfied performance obligations and recorded in deferred revenue on September 30, 2026 is approximately $21.4 million, of which approximately $9.1 million was included in current liabilities and approximately $12.3 million was included in long-term liabilities. The aggregate amount of the transaction price allocated to the Company’s unsatisfied and partially unsatisfied performance obligations and recorded in deferred revenue on December 31, 2025 was approximately $52.2 million, of which approximately $44.4 million was included in current liabilities and $7.8 million was included in long-term liabilities.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LOSS PER SHARE</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connection with various public offerings, the Company sold pre-funded warrants to purchase shares of common stock to certain investors (the “Pre-Funded Warrants”). As of September 30, 2026 and 2025, there were 7,093,656 and 8,968,679, respectively, vested and exercisable Pre-Funded Warrants outstanding to purchase shares of common stock for the exercise price of $0.0001 per share, provided that, unless and until the Company obtains stockholder approval for the issuance of the shares of common stock underlying the Pre-Funded Warrants, a holder will not be entitled to exercise any portion of any Pre-Funded Warrant, which, upon giving effect to such exercise, would cause (i) the aggregate number of shares of our common stock beneficially owned by the holder (together with its affiliates) to exceed 4.99% (or at the election of such holder, 9.99% or 19.99%) of the number of shares of our common stock outstanding immediately after giving effect to the exercise, or (ii) the combined voting power of our securities beneficially owned by the holder (together with its affiliates) to exceed 4.99% (or at the election of such holder, 9.99% or 19.99%) of the combined voting power of all of our securities then outstanding immediately after giving effect to the exercise, as such percentage ownership is determined in accordance with the terms of the Pre-Funded Warrants. The Pre-Funded Warrants are included in the weighted-average common shares outstanding used in the calculation of basic net loss per share as the exercise price is negligible and the warrants are fully vested and exercisable.</w:t>
      </w:r>
    </w:p>
    <w:p>
      <w:pPr>
        <w:spacing w:after="0" w:line="8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common stockholders and Pre-Funded Warrant holders by the weighted-average number of shares of common stock and Pre-Funded Warrants outstanding.</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potentially dilutive shares, which include outstanding stock options to purchase shares of common stock and RSUs, are considered to be common stock equivalents and are only included in the calculation of diluted net loss per share when their effect is dilutive. In March 2026, the Company’s previously outstanding Series A preferred stock was converted to shares of common stock on a one-to-one basis and included in the calculation of net loss per share as of the date of conversion.</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potential shares of common stock, presented based on amounts outstanding at each period end, were excluded from the calculation of diluted net loss per share attributable to common stock for the periods indicated because including them would have had an anti-dilutive effect: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276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60" w:type="dxa"/>
            <w:vAlign w:val="bottom"/>
          </w:tcPr>
          <w:p>
            <w:pPr>
              <w:spacing w:after="0"/>
              <w:rPr>
                <w:sz w:val="12"/>
                <w:szCs w:val="12"/>
                <w:color w:val="auto"/>
              </w:rPr>
            </w:pPr>
          </w:p>
        </w:tc>
        <w:tc>
          <w:tcPr>
            <w:tcW w:w="1860" w:type="dxa"/>
            <w:vAlign w:val="bottom"/>
            <w:tcBorders>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24,367,464</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22,295,058</w:t>
            </w:r>
          </w:p>
        </w:tc>
        <w:tc>
          <w:tcPr>
            <w:tcW w:w="100" w:type="dxa"/>
            <w:vAlign w:val="bottom"/>
            <w:shd w:val="clear" w:color="auto" w:fill="CFF0FC"/>
          </w:tcPr>
          <w:p>
            <w:pPr>
              <w:spacing w:after="0"/>
              <w:rPr>
                <w:sz w:val="18"/>
                <w:szCs w:val="18"/>
                <w:color w:val="auto"/>
              </w:rPr>
            </w:pP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3,030,432</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1,794,333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recorded no income tax benefit or provision. The Company maintained a full valuation allowance for the three and nine months ended September 30, 2026 and 2025 in all jurisdictions due to uncertainty regarding future taxable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10. GEOGRAPHIC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long-lived assets were located in the United States as of September 30, 2026 and December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related party transactions:</w:t>
      </w:r>
    </w:p>
    <w:p>
      <w:pPr>
        <w:spacing w:after="0" w:line="117" w:lineRule="exact"/>
        <w:rPr>
          <w:sz w:val="20"/>
          <w:szCs w:val="20"/>
          <w:color w:val="auto"/>
        </w:rPr>
      </w:pPr>
    </w:p>
    <w:p>
      <w:pPr>
        <w:ind w:left="1020" w:right="120" w:hanging="503"/>
        <w:spacing w:after="0" w:line="254"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various contract research service agreements with Shin Nippon Biomedical Laboratories Ltd., a contract research organization and one of the Company’s stockholders, and its affiliates (together, “SNBL”), the Company paid SNBL $0.7 million and $5.5 million, respectively, during the three and nine months ended September 30, 2026. The Company paid SNBL $0.6 million during the three and nine months ended September 30, 2025. Through September 30, 2026, the Company has paid an aggregate of $8.9 million to SNBL for the aforementioned various service agreements. During the three and nine months ended September 30, 2026, the Company incurred expenses of approximately $0.9 million and $3.1 million, respectively, related to the aforementioned various service agreements. During the three and nine months ended September 30, 2025, the Company incurred expenses of approximately $1.5 million and $3.1 million, respectively, related to the aforementioned various service agreements.</w:t>
      </w:r>
    </w:p>
    <w:p>
      <w:pPr>
        <w:spacing w:after="0" w:line="29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 operates as a single reporting segment, focused on developing its proprietary RNA medicines platform, PRISM, to develop and commercialize a broad pipeline of RNA medicines in a variety of therapeutic areas. Consistent with the Company’s operational structure, the Company’s chief executive officer (“CEO”), as the CODM, manages and allocates resources on a consolidated basis at the global corporate level. The results of our operations are reported on a consolidated basis for purposes of segment reporting. The CEO uses consolidated net loss that is reported on the consolidated statements of operations and comprehensive loss for the purposes of assessing performance, allocating resources and planning, monitoring budget versus actual results, and forecasting future periods.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is representative of the significant expense categories regularly provided to the CODM when managing the Company's single reporting segment. A reconciliation to consolidated operating expenses as the Company’s single segment operating loss for the three and nine months ended September 30, 2026 and 2025 is included in the table below:</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60" w:type="dxa"/>
            <w:vAlign w:val="bottom"/>
            <w:tcBorders>
              <w:bottom w:val="single" w:sz="8" w:color="auto"/>
            </w:tcBorders>
            <w:gridSpan w:val="5"/>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(in thousands)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INHBE program</w:t>
            </w:r>
          </w:p>
        </w:tc>
        <w:tc>
          <w:tcPr>
            <w:tcW w:w="1300" w:type="dxa"/>
            <w:vAlign w:val="bottom"/>
            <w:gridSpan w:val="2"/>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6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AATD program</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DMD program</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HD program</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80" w:type="dxa"/>
            <w:vAlign w:val="bottom"/>
          </w:tcPr>
          <w:p>
            <w:pPr>
              <w:spacing w:after="0" w:line="198" w:lineRule="exact"/>
              <w:rPr>
                <w:sz w:val="20"/>
                <w:szCs w:val="20"/>
                <w:color w:val="auto"/>
              </w:rPr>
            </w:pPr>
            <w:r>
              <w:rPr>
                <w:rFonts w:ascii="Times New Roman" w:cs="Times New Roman" w:eastAsia="Times New Roman" w:hAnsi="Times New Roman"/>
                <w:sz w:val="17"/>
                <w:szCs w:val="17"/>
                <w:color w:val="auto"/>
              </w:rPr>
              <w:t>Other research and development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including</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40,529</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34,873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114,506</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PNPLA3, additional preclinical programs, PRISM</w:t>
            </w:r>
          </w:p>
        </w:tc>
        <w:tc>
          <w:tcPr>
            <w:tcW w:w="4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53,843</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45,874</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152,576</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72,246</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79,205</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63,961</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224,822</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-316865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-316865</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-316865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right="160" w:hanging="3"/>
        <w:spacing w:after="0" w:line="266" w:lineRule="auto"/>
        <w:tabs>
          <w:tab w:leader="none" w:pos="10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expenses related to other research and development programs, identification of potential drug discovery candidates, compensation-related expenses, internal manufacturing expenses, equipment repairs and maintenance expense, facility-related expenses, and other operating expenses, which are not allocated to specific programs.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Quarterly Report on Form 10-Q and in our Annual Report on Form 10-K for the year ended December 31, 2025, filed with the Securities and Exchange Commission (“SEC”) on February 26, 2026, as amended (the “2025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the “Risk Factors” section of our 2025 Annual Report on Form 10-K, our actual results could differ materially from the results described in, or implied by,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We are a clinical-stage biotechnology company focused on unlocking the broad potential of ribonucleic acid (“RNA”) medicines (also known as oligonucleotides), or those targeting RNA, to transform human health. Our RNA medicines platform, PRISM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combines multiple RNA medicine modalities, chemistry innovation, and deep insights in human genetics to deliver scientific breakthroughs that treat both rare and common disorders. Our toolkit of RNA-targeting modalities, including RNA interference (“RNAi”) (SpiNA) and RNA editing (AIMers), provides us with unmatched capabilities for designing and sustainably delivering candidates that optimally address disease biology. Our lead pipeline programs include obesity (WVE-007), alpha-1 antitrypsin deficiency (“AATD”) (WVE-006), and PNPLA3 I148M liver disease (WVE-008), and we are also advancing several preclinical programs utilizing our versatile RNA medicines platform.</w:t>
      </w:r>
    </w:p>
    <w:p>
      <w:pPr>
        <w:spacing w:after="0" w:line="9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were founded on the recognition that there was a significant, untapped opportunity to use chemistry innovation to tune the pharmacological properties of oligonucleotides. We have more than a decade of experience challenging convention related to oligonucleotide design and pioneering novel chemistry modifications to optimize the pharmacological properties of our molecules. We have seen in clinical trials that these chemistry modifications enhance potency, distribution, and durability of effect of our molecules. Our novel chemistry also allows us to avoid using complex delivery vehicles, such as lipid nanoparticles and viruses, and instead use clinically proven conjugates (</w:t>
      </w:r>
      <w:r>
        <w:rPr>
          <w:rFonts w:ascii="Times New Roman" w:cs="Times New Roman" w:eastAsia="Times New Roman" w:hAnsi="Times New Roman"/>
          <w:sz w:val="18"/>
          <w:szCs w:val="18"/>
          <w:i w:val="1"/>
          <w:iCs w:val="1"/>
          <w:color w:val="auto"/>
        </w:rPr>
        <w:t>e.g., N</w:t>
      </w:r>
      <w:r>
        <w:rPr>
          <w:rFonts w:ascii="Times New Roman" w:cs="Times New Roman" w:eastAsia="Times New Roman" w:hAnsi="Times New Roman"/>
          <w:sz w:val="18"/>
          <w:szCs w:val="18"/>
          <w:color w:val="auto"/>
        </w:rPr>
        <w:t>-acetylgalactosamine or (“GalNAc”)) or free uptake for delivery to a variety of cell and tissue types. We maintain strong and broad intellectual property, including for our novel chemistry modifications.</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best-in-class chemistry capabilities have also unlocked new areas of biology, such as harnessing adenosine deaminases acting on RNA (“ADAR”) enzymes for messenger RNA (“mRNA”) correction and upregulation, selectively silencing a mutant allele, and more. By opening up new areas of biology, we have also opened up new opportunities to slow, stop, or reverse disease and have expanded the possibilities offered through our platform.</w:t>
      </w:r>
    </w:p>
    <w:p>
      <w:pPr>
        <w:spacing w:after="0" w:line="6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The inspiration for our multimodal platform is based on the recognition that the biological machinery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enzymes) needed to address human disease already exists within our cells and can be harnessed for therapeutic purposes with the right tools. We believe that we have built the most versatile toolkit of RNA-targeting modalities in the industry, with multiple means of repairing, restoring, or reducing proteins and designing best-fit solutions based on the unique biology of a given disease target. We are actively advancing programs across modalities, including RNAi (silencing), RNA editing, which uses novel A-to-I RNA editing oligonucleotides (“AIMers”), antisense silencing, and splicing. We have also advanced novel bifunctional modalities designed to silence multiple targets or silence one target while simultaneously editing or upregulating another unique target.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706120</wp:posOffset>
            </wp:positionV>
            <wp:extent cx="6172200" cy="2802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intentionally focus on targeting the transcriptome using oligonucleotides rather than other nucleic acid modalities such as gene therapy and DNA editing. This focus enables us to:</w:t>
      </w:r>
    </w:p>
    <w:p>
      <w:pPr>
        <w:spacing w:after="0" w:line="162" w:lineRule="exact"/>
        <w:rPr>
          <w:sz w:val="20"/>
          <w:szCs w:val="20"/>
          <w:color w:val="auto"/>
        </w:rPr>
      </w:pPr>
    </w:p>
    <w:p>
      <w:pPr>
        <w:ind w:left="880" w:right="540" w:hanging="378"/>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diversity of expression across cell types by modulating the many regulatory pathways that impact gene expression, including transcription, endogenous RNAi pathways, splicing, and translation;</w:t>
      </w:r>
    </w:p>
    <w:p>
      <w:pPr>
        <w:spacing w:after="0" w:line="161"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diseases that have historically been difficult to treat with small molecules or biologics;</w:t>
      </w:r>
    </w:p>
    <w:p>
      <w:pPr>
        <w:spacing w:after="0" w:line="225" w:lineRule="exact"/>
        <w:rPr>
          <w:rFonts w:ascii="Times New Roman" w:cs="Times New Roman" w:eastAsia="Times New Roman" w:hAnsi="Times New Roman"/>
          <w:sz w:val="18"/>
          <w:szCs w:val="18"/>
          <w:color w:val="auto"/>
        </w:rPr>
      </w:pPr>
    </w:p>
    <w:p>
      <w:pPr>
        <w:ind w:left="880" w:right="140" w:hanging="378"/>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 variety of tissue types or cell types throughout the body and modulate the frequency of dosing for broad distribution in tissues over time;</w:t>
      </w:r>
    </w:p>
    <w:p>
      <w:pPr>
        <w:spacing w:after="0" w:line="161"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risk of permanent off-target genetic changes and other challenges associated with DNA editing or gene therapy approaches; and</w:t>
      </w:r>
    </w:p>
    <w:p>
      <w:pPr>
        <w:spacing w:after="0" w:line="225"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well-established industry manufacturing processes and regulatory, access, and reimbursement pathways.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currently prioritizing lead programs that use GalNAc delivery for hepatic and metabolic diseases, each of which has potential to translate powerful human genetic insights into potentially transformational RNA medicines:</w:t>
      </w:r>
    </w:p>
    <w:p>
      <w:pPr>
        <w:spacing w:after="0" w:line="162" w:lineRule="exact"/>
        <w:rPr>
          <w:sz w:val="20"/>
          <w:szCs w:val="20"/>
          <w:color w:val="auto"/>
        </w:rPr>
      </w:pPr>
    </w:p>
    <w:p>
      <w:pPr>
        <w:ind w:left="880" w:hanging="37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WVE-007 is a GalNAc-conjugated siRNA (SpiNA design) targeting inhibin βE (“INHBE”) for obesity;</w:t>
      </w:r>
    </w:p>
    <w:p>
      <w:pPr>
        <w:spacing w:after="0" w:line="225"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WVE-006 is a GalNAc-conjugated RNA editing oligonucleotide (AIMer) for AATD; and</w:t>
      </w:r>
    </w:p>
    <w:p>
      <w:pPr>
        <w:spacing w:after="0" w:line="225"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WVE-008 is a GalNAc-conjugated RNA editing oligonucleotide (AIMer) for PNPLA3 I148M liver disease.</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clinical-stage portfolio also includes WVE-N531, an exon 53 splicing oligonucleotide for DMD, and WVE-003, an allele-selective oligonucleotide designed to lower mutant huntingtin (“mHTT”) protein and preserve healthy, wild-type huntingtin (“wtHTT”) protein. We are also advancing several emerging siRNA and RNA editing programs targeting both hepatic and extra-hepatic tissues.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225425</wp:posOffset>
            </wp:positionV>
            <wp:extent cx="6172200" cy="2820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7220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details regarding our lead therapeutic programs are set forth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Obesity</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WVE-007 is a GalNAc-siRNA that utilizes our proprietary design (“SpiNA”). WVE-007 is designed to silence INHBE mRNA to induce fat loss by stimulating lipolysis (fat breakdown) while preserving muscle mass to promote and maintain a healthy metabolic profile. There are approximately 175 million people in the United States and Europe, and over one billion people globally, living with obesity, and therapeutic options beyond GLP-1 receptor agonists are needed. GLP-1 receptor agonists lead to weight loss at the expense of muscle, suppress the general reward system, and are associated with a poor tolerability profile and high discontinuation rates. Heterozygous INHBE loss-of-function (“LoF”) human carriers exhibit a healthy metabolic profile, including reduced waist-to-hip ratio and reduced odds of developing type 2 diabetes or coronary artery disease, and reduction of INHBE by 50% or more is expected to promote a healthy metabolic profile.</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preclinical diet-induced obesity (“DIO”) mouse models, a single dose of our INHBE GalNAc-siRNA has demonstrated highly potent and durable INHBE silencing (and &gt;70% Activin E reductions), supporting once or twice a year subcutaneous dosing in humans. Weight loss was driven by visceral fat loss, and muscle mass was preserved in the mice, which is consistent with the profile of human INHBE LoF carriers. In DIO mice studies, a single dose of our INHBE GalNAc-siRNA led to a weight loss effect that was similar to daily subcutaneous injections of semaglutide for 28 days. We also observed a decrease in high fat diet-induced expansion of visceral adipose mass. This reduction of visceral fat mass was associated with significant shrinkage of adipocyte enlargement induced by a high fat diet compared with phosphate-buffered saline (“PBS”) treatment. Collectively, these results support the promotion of healthy adipose tissue with this mechanism of action, while muscle mass was preserved. In a head-to-head study in DIO mice, treatment with our INHBE GalNAc-siRNA prior to cessation of semaglutide treatment curtailed expected rebound weight gain. When administered as an add-on to semaglutide, a single dose of our INHBE GalNAc-siRNA doubled the weight loss observed with semaglutide alone, and this effect was sustained throughout the duration of the preclinical study.</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preclinical studies, we have also observed that infiltration of macrophages into visceral adipose was significantly decreased by a single dose of INHBE GalNAc-siRNA compared with PBS controls. INHBE GalNAc-siRNA also significantly reduced proinflammatory M1 macrophage (CD11c positive) while sustaining levels of anti-inflammatory M2 macrophages in visceral fat, indicating an overall shift away from a pro-inflammatory state. Further, RNA sequencing data from subcutaneous adipose tissue indicates that INHBE GalNAc-siRNA leads to the upregulation of genes promoting insulin sensitivity, fatty acid utilization and beiging of white adipose, while downregulating adipose inflammation and fibrosis pathways. RNA sequencing data from visceral adipose tissue demonstrate that our INHBE GalNAc-siRNA increased glucose and fatty acid utilization, and reduced inflammation and fibrosis in adipose tissue.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ind w:right="280"/>
        <w:spacing w:after="0" w:line="266" w:lineRule="auto"/>
        <w:rPr>
          <w:sz w:val="20"/>
          <w:szCs w:val="20"/>
          <w:color w:val="auto"/>
        </w:rPr>
      </w:pPr>
      <w:r>
        <w:rPr>
          <w:rFonts w:ascii="Times New Roman" w:cs="Times New Roman" w:eastAsia="Times New Roman" w:hAnsi="Times New Roman"/>
          <w:sz w:val="18"/>
          <w:szCs w:val="18"/>
          <w:color w:val="auto"/>
        </w:rPr>
        <w:t>The INLIGHT™ trial is our first-in-human clinical study of WVE-007 in individuals living with obesity. The Phase 1 single ascending dose (“SAD”) portion of the INLIGHT trial includes otherwise healthy adults living with overweight or obesity to assess safety, tolerability, pharmacokinetics (“PK”), Activin E, body weight, biomarkers and body composition as measured by Dual-Energy X-ray Absorptiometry (“DEXA”).</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2025, we announced positive interim data from the ongoing Phase 1, SAD portion of the INLIGHT trial, including three-month follow-up from the single subcutaneous 240 mg dose cohort in 32 individuals. These data demonstrated improvements in body composition including reduction in visceral fat, reduction in total fat mass, and preservation of muscle as measured by DEXA. Additionally, we shared that we observed consistent and durable serum Activin E reductions across participants, which support WVE-007’s potential for once or twice-yearly dosing. WVE-007 was generally safe and well tolerated across all dose levels (75 mg, 240 mg, 400 mg, and 600 mg).</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March 2026, we announced additional interim data from the Phase 1, SAD portion of the INLIGHT trial. Participants had an average BMI of 32 kg/m², a population with less fat and lower BMI than those in Phase 2 and 3 obesity studies. Key highlights from the update in March 2026 include:</w:t>
      </w:r>
    </w:p>
    <w:p>
      <w:pPr>
        <w:ind w:left="380" w:right="200" w:hanging="372"/>
        <w:spacing w:after="0" w:line="250"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six-month follow-up, a single 240 mg dose of WVE-007 demonstrated significant placebo-adjusted reductions in visceral fat (-14%; p&lt;0.05) and total fat (-5%), stabilization of lean mass (+2%), and reductions in waist circumference (-3%) and body weight (-1%).</w:t>
      </w:r>
    </w:p>
    <w:p>
      <w:pPr>
        <w:ind w:left="380" w:right="80" w:hanging="372"/>
        <w:spacing w:after="0" w:line="250"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400 mg cohort had a leaner baseline body composition, with lower BMI and more participants (10 out of 24 individuals) with healthy levels of visceral fat (≤500 g). A post-hoc analysis of the three-month 400 mg cohort results demonstrated robust and statistically significant average reduction in visceral fat (-7.8%, p&lt;0.05) in individuals with higher baseline visceral fat (&gt;500 g), emphasizing the impact of baseline body composition on therapeutic effect.</w:t>
      </w:r>
    </w:p>
    <w:p>
      <w:pPr>
        <w:spacing w:after="0" w:line="1"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durable, and dose-dependent serum Activin E reductions sustained through at least seven months continue to support WVE-007’s potential for once or twice-yearly dosing, with a mean maximum reduction of up to 88%.</w:t>
      </w: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WVE-007 was generally safe and well tolerated across all dose levels (75 mg, 240 mg, 400 mg, and 600 mg).</w:t>
      </w:r>
    </w:p>
    <w:p>
      <w:pPr>
        <w:spacing w:after="0" w:line="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INLIGHT clinical trial is currently ongoing with 240 mg (n=32), 400 mg (n=32), and 600 mg (n=32) cohorts fully dosed. The INLIGHT trial is ongoing at multiple trial sites including in the United States, following clearance of an Investigational New Drug (“IND”) application. Additional data from the INLIGHT trial, including data from the 600 mg Phase 1 SAD cohort, are expected in the fourth quarter of 2026.</w:t>
      </w:r>
    </w:p>
    <w:p>
      <w:pPr>
        <w:spacing w:after="0" w:line="8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Dosing in the Phase 2a multidose portion of the INLIGHT trial of WVE-007 (INHBE GalNAc-siRNA) in individuals with higher BMI (35-50 kg/m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with and without type 2 diabetes is ongoing. This placebo-controlled (3:1) Phase 2a study includes multiple assessments over a 12-month period, including body weight, waist circumference, body composition (MRI and DEXA), liver fat (MRI-PDFF), HbA1c, lipid levels, CRP, and muscle function. The results will inform further development of WVE-007 in obesity, as well as metabolic dysfunction-associated steatohepatitis (“MASH”), type 2 diabetes, and other cardiometabolic diseases. The first assessment in this portion of the trial is planned for three months after participants have received their first dose.</w:t>
      </w:r>
    </w:p>
    <w:p>
      <w:pPr>
        <w:spacing w:after="0" w:line="93" w:lineRule="exact"/>
        <w:rPr>
          <w:sz w:val="20"/>
          <w:szCs w:val="20"/>
          <w:color w:val="auto"/>
        </w:rPr>
      </w:pPr>
    </w:p>
    <w:p>
      <w:pPr>
        <w:ind w:right="780"/>
        <w:spacing w:after="0" w:line="267" w:lineRule="auto"/>
        <w:rPr>
          <w:sz w:val="20"/>
          <w:szCs w:val="20"/>
          <w:color w:val="auto"/>
        </w:rPr>
      </w:pPr>
      <w:r>
        <w:rPr>
          <w:rFonts w:ascii="Times New Roman" w:cs="Times New Roman" w:eastAsia="Times New Roman" w:hAnsi="Times New Roman"/>
          <w:sz w:val="18"/>
          <w:szCs w:val="18"/>
          <w:color w:val="auto"/>
        </w:rPr>
        <w:t>The INLIGHT clinical program is also evaluating WVE-007 in combination with tirzepatide as a treatment for obesity and other cardiometabolic indications, including MASH. The placebo-controlled (3:1) Phase 2a combination trial will evaluate 240 mg and 400 mg doses of WVE-007 in combination with weekly tirzepatide compared to tirzepatide alone in individuals living with obesity (BMI 35-50 kg/m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type 2 diabetes.</w:t>
      </w:r>
    </w:p>
    <w:p>
      <w:pPr>
        <w:spacing w:after="0" w:line="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also expect to initiate a clinical trial of WVE-007 as a maintenance therapy to preserve weight loss following discontinuation of incretin treatment in the fourth quarter of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Alpha-1 antitrypsin deficiency (“AATD”)</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AATD program uses our novel GalNAc-conjugated AIMers (RNA editing oligonucleotides) and endogenous ADAR enzymes to correct a single base in the mutant SERPINA1 mRNA. By correcting the single RNA base mutation that causes a majority of AATD cases with the Pi*ZZ genotype (approximately 200,000 in the United States and Europe), RNA editing may provide an ideal approach for increasing circulating levels of wild-type AAT protein and reducing mutant protein aggregation in the liver, thus simultaneously addressing both the lung and liver manifestations of the disease. WVE-006 does not require lipid nanoparticle (“LNP”) delivery, which may be associated with systemic and liver toxicities, and comes without the risk of irreversible, collateral bystander edits and indels, which are associated with DNA base editing.</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WVE-006 is first-in-class in AATD and is the most advanced program currently in clinical development using an oligonucleotide to harness an endogenous enzyme for RNA editing. Preclinical data show that treatment with WVE-006 resulted in serum AAT protein levels of up to 30 µM (7-fold increase) in an established AATD mouse model (NSG-PiZ). WVE-006 also led to restoration of approximately 50% wild-type M-AAT protein in serum and a 3-fold increase in neutrophil elastase inhibition activity, indicating that the restored M-AAT protein was functional. Our AATD AIMers are highly specific to SERPINA1 RNA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based on transcriptome-wide analyses.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40"/>
        <w:spacing w:after="0" w:line="261" w:lineRule="auto"/>
        <w:rPr>
          <w:sz w:val="20"/>
          <w:szCs w:val="20"/>
          <w:color w:val="auto"/>
        </w:rPr>
      </w:pPr>
      <w:r>
        <w:rPr>
          <w:rFonts w:ascii="Times New Roman" w:cs="Times New Roman" w:eastAsia="Times New Roman" w:hAnsi="Times New Roman"/>
          <w:sz w:val="18"/>
          <w:szCs w:val="18"/>
          <w:color w:val="auto"/>
        </w:rPr>
        <w:t>Our RestorAATion clinical program investigating WVE-006 as a treatment for AATD is comprised of two parts: RestorAATion-1, a study of healthy volunteers, and RestorAATion-2, a Phase 1b/2a open label study designed to evaluate the safety, tolerability, pharmacodynamics and pharmacokinetics of WVE-006 in patients with AATD. The trial includes both single ascending dose and multiple ascending dose portions. The RestorAATion-2 clinical trial is fully enrolled and dosing is complete in all cohorts (200 mg, 400 mg, and 600 mg).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shared interim data from the 200 mg and 400 mg single and multidose cohorts, as well as data from the 600 mg single dose cohort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RestorAATion-2. Key highlights include:</w:t>
      </w:r>
    </w:p>
    <w:p>
      <w:pPr>
        <w:spacing w:after="0" w:line="9" w:lineRule="exact"/>
        <w:rPr>
          <w:sz w:val="20"/>
          <w:szCs w:val="20"/>
          <w:color w:val="auto"/>
        </w:rPr>
      </w:pPr>
    </w:p>
    <w:p>
      <w:pPr>
        <w:ind w:left="760" w:right="240" w:hanging="378"/>
        <w:spacing w:after="0" w:line="25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dose-dependent reductions of circulating, mutant Z-AAT from baseline: 70.5% in the 200 mg biweekly dose cohort (seven doses) and 67.7% in the 400 mg monthly dose cohort (four doses).</w:t>
      </w:r>
    </w:p>
    <w:p>
      <w:pPr>
        <w:ind w:left="760" w:right="80" w:hanging="378"/>
        <w:spacing w:after="0" w:line="25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dose-dependent restoration of wild-type M-AAT protein (canonical M-AAT) as a percentage of total circulating AAT: 64.4% in the 200 mg biweekly dose cohort (seven doses) and 58.7% in the 400 mg monthly dose cohort (four doses).</w:t>
      </w:r>
    </w:p>
    <w:p>
      <w:pPr>
        <w:jc w:val="both"/>
        <w:ind w:left="760" w:right="320" w:hanging="378"/>
        <w:spacing w:after="0" w:line="25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Restoration of dynamic AAT response: Three instances of dynamic and rapid production of serum AAT protein due to acute phase responses were observed across RestorAATion-2 as indicated by concurrent C-reactive protein (“CRP”) and AAT elevation; this included a total AAT level of 20.6 µM and M-AAT level of 10.3 µM observed in one individual during an acute phase response due to a kidney stone following a single 200 mg dose of WVE-006. Across all available RestorAATion-2 data, CRP increases were strongly correlated with increases in AAT (r=0.73, p&lt;0.001, n=19).</w:t>
      </w:r>
    </w:p>
    <w:p>
      <w:pPr>
        <w:spacing w:after="0" w:line="1" w:lineRule="exact"/>
        <w:rPr>
          <w:rFonts w:ascii="Times New Roman" w:cs="Times New Roman" w:eastAsia="Times New Roman" w:hAnsi="Times New Roman"/>
          <w:sz w:val="18"/>
          <w:szCs w:val="18"/>
          <w:color w:val="auto"/>
        </w:rPr>
      </w:pPr>
    </w:p>
    <w:p>
      <w:pPr>
        <w:ind w:left="760" w:right="80" w:hanging="378"/>
        <w:spacing w:after="0" w:line="25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durability: Data support monthly subcutaneous dosing, with editing sustained at least three months following the last dose in both the 200 mg and 400 mg multidose cohorts. WVE-006 continued to be well tolerated with a favorable safety profile. All adverse events (AEs) were mild to moderate in intensity, and there were no SAEs or clinically meaningful liver function test elevations.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share data from the 600 mg monthly multidose cohort of RestorAATion-2 in the fourth quarter of 2026.</w:t>
      </w:r>
    </w:p>
    <w:p>
      <w:pPr>
        <w:spacing w:after="0" w:line="9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October 2026, we announced alignment with the U.S. Food and Drug Administration (“FDA”) on key aspects of our planned registrational pathway for WVE-006. Planning is underway for a two-year registrational trial to support potential full approval, with a one-year interim analysis to support potential accelerated approval based on AATD biomarkers.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PNPLA3 I148M liver disease</w:t>
      </w:r>
    </w:p>
    <w:p>
      <w:pPr>
        <w:spacing w:after="0" w:line="1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To effectively address the manifestations of PNPLA3 I148M liver disease, we use our novel RNA editing approach and have advanced WVE-008, a GalNAc-conjugated AIMer, as our clinical candidate.</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PNPLA3 I148M is a genetic driver of liver disease, including metabolic dysfunction-associated fatty liver disease (“MAFLD”), MASH, and alcoholic steatohepatitis (“ASH”). There are an estimated nine million homozygous PNPLA3 I148M individuals with liver disease in the United States and Europe. Homozygous carriers have a near nine-fold higher risk of liver-related death compared to non-carriers. Additionally, homozygous PNPLA3 I148M carriers with MASH may experience more severe disease with faster progression to advanced fibrosis and end-stage liver disease.</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PNPLA3 protein plays a critical role in hepatic lipid metabolism by balancing triglyceride storage and secretion, and supporting lipid remodeling, lipid mobilization, and retinol metabolism. The PNPLA3 I148M variant leads to a gain-of-function and contributes to liver disease by aggravating steatosis, inflammation, fibrosis, and ballooning. Therapeutic approaches aimed at silencing PNPLA3 may address liver fat accumulation, but they provide limited benefit in restoring retinol metabolism; fibrosis, ballooning, and inflammation are expected to persist. In contrast, an RNA editing approach to restore, rather than silence, PNPLA3 function in homozygous PNPLA3 I148M carriers should address liver disease by restoring lipid metabolism and reversing steatosis, fibrosis, ballooning, and inflammation.</w:t>
      </w:r>
    </w:p>
    <w:p>
      <w:pPr>
        <w:spacing w:after="0" w:line="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preclinical studies, we have demonstrated that our PNPLA3 GalNAc-AIMer restores functional PNPLA3 protein and decreases lipid accumulation. We expect to file a clinical trial application for WVE-008 in the fourth quarter of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Huntington’s disease (“HD”) and Duchenne muscular dystrophy (“DMD”)</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HD, WVE-003 is our clinical-stage stereopure allele-selective oligonucleotide that incorporates our proprietary PN chemistry and is designed to selectively target rs362273, a variant of the single nucleotide polymorphism (“SNP”), “mHTT SNP3”, associated with the disease-causing mHTT mRNA transcript within the HTT gene (Iwamoto et al., MTNA). In DMD, WVE-N531 is our clinical-stage compound designed to skip exon 53 within the dystrophin gene – a therapeutic approach that would address approximately 8-10% of DMD cases. We continue partnering discussions for WVE-003 and WVE-N531.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Discovery Pipeline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advancing new targets across multiple disease areas to expand our pipeline of wholly owned programs. Our compelling preclinical data demonstrate that our oligonucleotides can distribute to various tissues and cells without complex delivery vehicles, enabling us to address a wide variety of diseases. Within RNA editing, we have demonstrated clinically that we can address monogenic diseases by correcting the disease-causing mutation, as evidenced by restoration of healthy protein function for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60"/>
        <w:spacing w:after="0" w:line="255" w:lineRule="auto"/>
        <w:rPr>
          <w:sz w:val="20"/>
          <w:szCs w:val="20"/>
          <w:color w:val="auto"/>
        </w:rPr>
      </w:pPr>
      <w:r>
        <w:rPr>
          <w:rFonts w:ascii="Times New Roman" w:cs="Times New Roman" w:eastAsia="Times New Roman" w:hAnsi="Times New Roman"/>
          <w:sz w:val="18"/>
          <w:szCs w:val="18"/>
          <w:color w:val="auto"/>
        </w:rPr>
        <w:t>treatment of AATD. Beyond correction, we have preclinical data demonstrating our ability to increase the stability of the mRNA transcript to upregulate protein levels. Within RNAi, we have shared preclinical data which show that our SpiNA designs enable RNAi-mediated silencing by further improving Ago2 loading and pharmacokinetics, leading to increased potency and durability compared to industry benchmarks. With our SpiNA designs, our preclinical data demonstrate we can silence targets in extra-hepatic tissues including adipose, skeletal muscle, heart, central nervous system (“CNS”), and kidney. We are utilizing a combination of human genetics and artificial intelligence (“AI”) for target discovery and oligonucleotide design, and we have initiated a number of preclinical RNA editing and RNAi programs supported by evidence from human genetics, that leverage easily accessible biomarkers, offer efficient paths to proof-of-concept in humans, and represent meaningful commercial opportunities.</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have applied learnings from across our platform and chemistry optimization to investigate new bifunctional modalities which combine RNAi and RNA editing or dual RNAi silencing into a single oligonucleotide construct. These constructs are designed to silence multiple targets or silence one target while simultaneously editing or upregulating another distinct target. We demonstrated the ability of a single bifunctional oligonucleotide to engage in silencing and editing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mice using a GalNAc-conjugated oligonucleotide that is designed to edit UGP2 and silence TTR. In a separate preclinical study, we also demonstrated that we were able to upregulate low-density lipoprotein receptor and silence PCSK9 using a single construct in primary human hepatocytes.</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Through our collaboration with GlaxoSmithKline Intellectual Property (No. 3) (“GSK”), we are actively working on multiple target validation programs as GSK-partnered programs, for which all of our costs and expenses are prepaid by GSK. In September 2026, GSK selected a GalNAc-siRNA candidate to transition into GSK’s pipeline, resulting in a $12 million milestone to Wave. With this new hepatic program now transitioning to candidate, our collaboration momentum continues as we have three additional programs rapidly advancing towards candidate selection, all leveraging our proprietary PRISM chemistry.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7, 2026, as part of the previously announced plan to restructure the Wave Life Sciences group of companies to cause a Delaware corporation to be the parent company of the group (the “Redomiciliation”), Wave Life Sciences, Inc., a Delaware corporation (“Wave-Delaware”), became the ultimate parent company of the Wave Life Sciences group of companies pursuant to a statutory procedure known as a scheme of arrangement under the Companies Act 1967 of Singapore (the “Scheme of Arrangement”). Pursuant to the Scheme of Arrangement, all issued ordinary shares in the capital of Wave Life Sciences Ltd., a public company limited by shares incorporated under the laws of the Republic of Singapore (“Wave-Singapore”) as of immediately prior to the effective time of the Scheme of Arrangement were exchanged on a one-for-one basis for newly issued shares of common stock, par value $0.001 per share, of Wave-Delaware, and Wave-Singapore became a wholly owned subsidiary of Wave-Delaware.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never been profitable, and since our inception, we have incurred significant operating losses. Our net loss for the three months ended September 30, 2026 and 2025 was $61.9 million and $53.9 million, respectively. Our net loss for the nine months ended September 30, 2026 and 2025 was $157.4 million and $151.2 million, respectively. As of September 30, 2026 and December 31, 2025, we had an accumulated deficit of $1,483.6 million and $1,326.2 million, respectively. We expect to continue to incur significant expenses and operating losses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recognize collaboration revenue under the GSK Collaboration Agreement (as defined in Note 7 in the notes to our unaudited consolidated financial statements appearing elsewhere in this Quarterly Report on Form 10-Q), which became effective in January 2023. We have not generated any product revenue since our inception and do not expect to generate any revenue from the sale of products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which include:</w:t>
      </w:r>
    </w:p>
    <w:p>
      <w:pPr>
        <w:spacing w:after="0" w:line="54"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compensation-related expenses, including employee salaries, bonuses, stock-based compensation expense and other related benefits expenses for personnel in our research and development organization;</w:t>
      </w:r>
    </w:p>
    <w:p>
      <w:pPr>
        <w:spacing w:after="0" w:line="53"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(“CROs”) that conduct research, preclinical and clinical activities on our behalf, as well as contract manufacturing organizations (“CMOs”) that manufacture drug product for use in our preclinical studies and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related to our internal manufacturing of drug substance for use in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third-party consultants;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supplies and services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including rent, maintenance and other general operating expenses.</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recognize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expenses.</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primary research and development focus has been the development of our RNA medicines platform, PRISM. We are using PRISM, which combines multiple modalities, chemistry innovation and deep insights in human genetics, to deliver scientific breakthroughs that treat both rare and common disorders, and advance our pipeline of RNA medicines.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expenses related to our CROs, CMOs, consultants, other external vendors and fees paid to global regulatory agencies to conduct our clinical trials, in addition to compensation-related expenses, internal manufacturing expenses, facility-related expenses and other general operating expenses. These expenses are incurred in connection with research and development efforts and our preclinical studies and clinical trials. We track certain external expenses on a program-by-program basis. However, we do not allocate compensation-related expenses, internal manufacturing expenses, equipment repairs and maintenance expenses, facility-related expenses or other operating expenses to specific programs. These expenses, which are not allocated on a program-by-program basis, are included in the “Other research and development expenses, including PNPLA3, additional preclinical programs, PRISM” category along with other external expenses related to our discovery and development programs, as well as platform development and identification of potential drug discovery candidates.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5" w:name="page26"/>
    <w:bookmarkEnd w:id="25"/>
    <w:p>
      <w:pPr>
        <w:ind w:right="120"/>
        <w:spacing w:after="0" w:line="258"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to continue to incur significant research and development expenses in the foreseeable future as we continue to manage our existing clinical trials, initiate additional clinical trials for certain product candidates, pursue later stages of clinical development for certain product candidates, maintain our manufacturing capabilities and continue to discover and develop additional product candidates in multiple therapeutic areas.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compensation-related expenses, including salaries, bonuses, stock-based compensation and other related benefits costs for personnel in our executive, finance, corporate, legal and administrative functions, as well as compensation-related expenses for our board of directors. General and administrative expenses also include legal fees; expenses associated with being a public company; professional fees for accounting, auditing, tax and consulting services; insurance costs; travel expenses; other operating costs; and facility-related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Other income, net is comprised primarily of interest income on cash, cash equivalents and marketable securities and, refundable tax credits from tax authorities. We recognize refundable tax credits when there is reasonable assurance that we will comply with the requirements of the refundable tax credit and that the refundable tax credit will be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Following the Redomiciliation, we are a Delaware corporation subject to taxation in the United States and various other jurisdictions, including Singapore, where our wholly owned subsidiary, Wave Life Sciences Pte. Ltd., is incorporated.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of America. The preparation of our financial statements and related disclosures requires us to make estimates and assumptions that affect the reported amount of assets, liabilities, revenue, costs and expenses and related disclosures. Management considers many factors in selecting appropriate financial accounting policies and in developing the estimates and assumptions that are used in the preparation of the financial statements. Management must apply significant judgment in this process. We believe that our revenue recognition policy, particularly (a) assessing the number of performance obligations; (b) determining the transaction price; (c) allocating the transaction price to the performance obligations in the contract; and (d) determining the pattern over which performance obligations are satisfied, including estimates to complete performance obligations, and the assumptions and estimates used in our analysis of contracts with CROs and CMOs to estimate the contract expense, involve a greater degree of judgment, and therefore we consider them to be our critical accounting policies. We evaluate our estimates and assumptions on an ongoing basis. Our actual results may differ from these estimates under different assumptions and conditions.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4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53,843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79,205</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63,961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(66,047)</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(9,694)</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4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(61,912)</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(8,060)</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(53,852)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(8,060)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26</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-1645285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-1645285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-1362075</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-1362075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-1079500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-1079500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Revenue for the three months ended September 30, 2026 and 2025 was $13.2 million and $7.6 million, respectively, and is comprised of revenue earned under the GSK Collaboration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3320" w:type="dxa"/>
            <w:vAlign w:val="bottom"/>
            <w:tcBorders>
              <w:bottom w:val="single" w:sz="8" w:color="auto"/>
            </w:tcBorders>
            <w:gridSpan w:val="5"/>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INHBE program</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AATD program</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DMD program</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HD program</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198"/>
        </w:trPr>
        <w:tc>
          <w:tcPr>
            <w:tcW w:w="6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7"/>
                <w:szCs w:val="17"/>
                <w:color w:val="auto"/>
              </w:rPr>
              <w:t>Other research and development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including PNPLA3,</w:t>
            </w:r>
          </w:p>
        </w:tc>
        <w:tc>
          <w:tcPr>
            <w:tcW w:w="960" w:type="dxa"/>
            <w:vAlign w:val="bottom"/>
            <w:shd w:val="clear" w:color="auto" w:fill="CFF0FC"/>
          </w:tcPr>
          <w:p>
            <w:pPr>
              <w:spacing w:after="0"/>
              <w:rPr>
                <w:sz w:val="17"/>
                <w:szCs w:val="17"/>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40,529</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34,873</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preclinical programs, PRISM</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45,874</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-170815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right="160" w:hanging="3"/>
        <w:spacing w:after="0" w:line="266"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expenses related to other research and development programs, identification of potential drug discovery candidates, compensation-related expenses, internal manufacturing expenses, equipment repairs and maintenance expense, facility-related expenses, and other operating expenses, which are not allocated to specific programs.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$53.8 million for the three months ended September 30, 2026, compared to $45.9 million for the three months ended September 30, 2025. The increase of $8.0 million was due to the following:</w:t>
      </w:r>
    </w:p>
    <w:p>
      <w:pPr>
        <w:spacing w:after="0" w:line="270"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$1.8 million in external expenses related to our INHBE program, including WVE-007 (RNAi);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$2.1 million in external expenses related to our AATD program, WVE-006 (RNA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$1.3 million in external expenses related to our DMD program, including WVE-N531 (splicing);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$0.2 million in external expenses related to our HD program, including WVE-003 (silencing); and</w:t>
      </w:r>
    </w:p>
    <w:p>
      <w:pPr>
        <w:spacing w:after="0" w:line="117" w:lineRule="exact"/>
        <w:rPr>
          <w:rFonts w:ascii="Times New Roman" w:cs="Times New Roman" w:eastAsia="Times New Roman" w:hAnsi="Times New Roman"/>
          <w:sz w:val="18"/>
          <w:szCs w:val="18"/>
          <w:color w:val="auto"/>
        </w:rPr>
      </w:pPr>
    </w:p>
    <w:p>
      <w:pPr>
        <w:jc w:val="both"/>
        <w:ind w:left="1020" w:right="14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approximately $5.7 million in other research and development expenses, including PNPLA3, additional preclinical programs, PRISM, and internal and external research and development expenses that are not allocated on a program-by-program basis or are related to other discovery and development programs, and the identification of potential drug discovery candidates. This is mainly due to increases in compensation-related expenses, partially offset by decreases in other external research and development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$25.4 million for the three months ended September 30, 2026, as compared to approximately $18.1 million for the three months ended September 30, 2025. The increase of approximately $7.3 million was primarily driven by increases in compensation-related and other external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September 30, 2026 and 2025 was $4.1 million and $2.5 million, respectively, and consisted primarily of interest income on cash, cash equivalents and marketable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and 2025, we recorded no income tax benefit or provision. We maintained a full valuation allowance for the three months ended September 30, 2026 and 2025 in all jurisdictions due to uncertainty regarding future taxable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53,676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152,576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129,965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72,246</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224,822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184,398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(171,146)</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(158,916)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(12,230)</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(157,354)</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(151,199)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(157,354)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(151,199)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-736600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-736600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-453390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-453390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 for the nine months ended September 30, 2026 and 2025 was $53.7 million and $25.5 million, respectively, and is comprised of revenue earned under the GSK Collaboration Agreement. The year-over-year change in revenue was primarily driven by the recognition of the remaining deferred revenue related to the AATD performance obligation ($35.9 million), which was fully satisfied upon the termination of the AATD license, and the $12.0 million milestone in the nine months ended September 30, 2026.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3320" w:type="dxa"/>
            <w:vAlign w:val="bottom"/>
            <w:tcBorders>
              <w:bottom w:val="single" w:sz="8" w:color="auto"/>
            </w:tcBorders>
            <w:gridSpan w:val="5"/>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INHBE program</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AATD program</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DMD program</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HD program</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198"/>
        </w:trPr>
        <w:tc>
          <w:tcPr>
            <w:tcW w:w="6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7"/>
                <w:szCs w:val="17"/>
                <w:color w:val="auto"/>
              </w:rPr>
              <w:t>Other research and development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including PNPLA3,</w:t>
            </w:r>
          </w:p>
        </w:tc>
        <w:tc>
          <w:tcPr>
            <w:tcW w:w="92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114,506</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101,943</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preclinical programs, PRISM</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152,576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129,965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-170815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right="160" w:hanging="3"/>
        <w:spacing w:after="0" w:line="266" w:lineRule="auto"/>
        <w:tabs>
          <w:tab w:leader="none" w:pos="10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expenses related to other research and development programs, identification of potential drug discovery candidates, compensation-related expenses, internal manufacturing expenses, equipment repairs and maintenance expense, facility-related expenses, and other operating expenses, which are not allocated to specific programs.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$152.6 million for the nine months ended September 30, 2026, compared to $130.0 million for the nine months ended September 30, 2025. The increase of $22.6 million was due to the following:</w:t>
      </w:r>
    </w:p>
    <w:p>
      <w:pPr>
        <w:spacing w:after="0" w:line="270"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$7.5 million in external expenses related to our INHBE program, including WVE-007 (RNAi);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$3.5 million in external expenses related to our AATD program, WVE-006 (RNA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 million in external expenses related to our DMD program, including WVE-N531 (splicing);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$2.0 million in external expenses related to our HD program, including WVE-003 (silencing);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approximately $12.6 million in other research and development expenses, including PNPLA3, additional preclinical programs, PRISM, and internal and external research and development expenses that are not allocated on a program-by-program basis or are related to other discovery and development programs, and the identification of potential drug discovery candidates. This is mainly due to increases in compensation-related expenses, partially offset by decreases in other external research and development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$72.2 million for the nine months ended September 30, 2026, as compared to approximately $54.4 million for the nine months ended September 30, 2025. The increase of approximately $17.8 million was primarily driven by increases in compensation-related and other external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income, net for the nine months ended September 30, 2026 and 2025 was $13.8 million and $7.7 million, respectively, and consisted primarily of interest income on cash, cash equivalents and marketable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and 2025, we recorded no income tax benefit or provision. We maintained a full valuation allowance for the nine months ended September 30, 2026 and 2025 in all jurisdictions due to uncertainty regarding future taxable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Since our inception, we have not generated any product revenue and have incurred recurring net operating losses. To date, we have primarily funded our operations through public and other registered offerings of our common stock and other securities, collaborations with third parties and private placements of debt and equity securities. Through September 30, 2026, we have received an aggregate of approximately $2,086.7 million in net proceeds from these transactions, consisting of approximately $1,450.5 million in net proceeds from public and other registered offerings of our common stock and other securities, $546.9 million from our collaborations and $89.3 million in net proceeds from private placements of our debt and equity securities.</w:t>
      </w:r>
    </w:p>
    <w:p>
      <w:pPr>
        <w:spacing w:after="0" w:line="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September 30, 2026, we had cash and cash equivalents totaling $197.3 million, marketable securities of $233.4 million, restricted cash of $3.8 million and an accumulated deficit of $1,483.6 million.</w:t>
      </w:r>
    </w:p>
    <w:p>
      <w:pPr>
        <w:spacing w:after="0" w:line="5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will be sufficient to fund our operations for at least the next twelve months from the issuance date of these financial statements. We have based this expectation on assumptions that may prove to be incorrect, and we may use our available capital resources sooner than we currently expect. In addition, we may elect to raise additional funds before we need them if the conditions for raising capital are favorable due to market conditions or strategic considerations, even if we expect we have sufficient funds for our current or future operating plans.</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operating lease commitments as of September 30, 2026 total approximately $64.4 million, of which approximately $2.0 million is related to payments in 2026 and approximately $62.4 million is related to payments beyond 2026.</w:t>
      </w:r>
    </w:p>
    <w:p>
      <w:pPr>
        <w:spacing w:after="0" w:line="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November 12, 2024, Wave-Singapore filed a shelf registration statement on Form S-3ASR with the SEC, which we refer to as the “2024 WKSI Shelf,” covering the offering, issuance and sale from time to time of an indeterminate amount of common stock, debt securities, warrants, rights and/or units. In connection with the Redomiciliation, Wave-Delaware, as successor to Wave-Singapore, filed Post-Effective Amendment No. 1 to the 2024 WKSI Shelf pursuant to Rule 414(d) under the Securities Act to adopt the 2024 WKSI Shelf as its own. The 2024 WKSI Shelf includes a prospectus covering the offer and sale of up to $250.0 million of our common stock pursuant to our “at-the-market” equity program through Jefferies LLC, as sales agent, under the Amended and Restated Open Market Sale Agreement, dated August 7, 2026. For the three and nine months ended September 30, 2026, we made no sales under our “at-the-market" equity program.</w:t>
      </w:r>
    </w:p>
    <w:p>
      <w:pPr>
        <w:spacing w:after="0" w:line="8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1280" w:type="dxa"/>
            <w:vAlign w:val="bottom"/>
            <w:gridSpan w:val="3"/>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w w:val="85"/>
              </w:rPr>
              <w:t>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w w:val="99"/>
              </w:rPr>
              <w:t>(173,277)</w:t>
            </w:r>
          </w:p>
        </w:tc>
        <w:tc>
          <w:tcPr>
            <w:tcW w:w="11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(153,717)</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8"/>
                <w:szCs w:val="18"/>
                <w:color w:val="auto"/>
              </w:rPr>
            </w:pP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99"/>
              </w:rPr>
              <w:t>(234,751)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3,290</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48,540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1000" w:type="dxa"/>
            <w:vAlign w:val="bottom"/>
          </w:tcPr>
          <w:p>
            <w:pPr>
              <w:spacing w:after="0"/>
              <w:rPr>
                <w:sz w:val="18"/>
                <w:szCs w:val="18"/>
                <w:color w:val="auto"/>
              </w:rPr>
            </w:pP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7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w w:val="99"/>
              </w:rPr>
              <w:t>(404,744)</w:t>
            </w:r>
          </w:p>
        </w:tc>
        <w:tc>
          <w:tcPr>
            <w:tcW w:w="11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(105,824)</w:t>
            </w:r>
          </w:p>
        </w:tc>
      </w:tr>
      <w:tr>
        <w:trPr>
          <w:trHeight w:val="629"/>
        </w:trPr>
        <w:tc>
          <w:tcPr>
            <w:tcW w:w="754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29</w:t>
            </w:r>
          </w:p>
        </w:tc>
        <w:tc>
          <w:tcPr>
            <w:tcW w:w="10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7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-933450</wp:posOffset>
            </wp:positionV>
            <wp:extent cx="768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-916305</wp:posOffset>
            </wp:positionV>
            <wp:extent cx="768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operating activities used $173.3 million of cash, due to our net loss of $157.4 million and changes in operating assets and liabilities of $52.4 million, partially offset by non-cash charges of $36.5 million. The largest changes in operating assets and liabilities were the $30.8 million decrease in deferred revenue and the $10.7 million increase in accounts receivable.</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operating activities used $153.7 million of cash, due to our net loss of $151.2 million and changes in operating assets and liabilities of $26.7 million, partially offset by non-cash charges of $24.2 million. The largest changes in operating assets and liabilities were the $13.9 million decrease in deferred revenue and the $8.6 million increase in accounts receivable.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investing activities used $234.8 million of cash, which was primarily related to purchases of marketable securities.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investing activities used $0.7 million of cash, related to purchases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net cash provided by financing activities was $3.3 million, which was primarily due to $2.4 million in proceeds from the exercise of stock options.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financing activities was $48.5 million, which was primarily due to $42.6 million in net proceeds from sales under our “at-the-market” equity program and $5.1 million in proceeds from the exercise of stock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in connection with our ongoing research and development activities and our internal cGMP manufacturing activities. Furthermore, we anticipate that our expenses will continue to vary if and as we:</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our clinical trials evaluating our product candidates in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research and preclinical development of discovery targets and advance additional programs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clinical trial applications with global regulatory agencies and conduct clinical trials for our programs;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continuing to innovate our research and development platform, PRISM, and in optimizing our manufacturing processes and formulations;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manufacturing capabilities through our internal facility and our CMOs;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intellectual property portfolio and consider the acquisition of complementary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the impacts of local and global health epidemics, geopolitical conflicts, global economic uncertainty, rising inflation, tariffs, rising interest rates or market disruptions on our business;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build capabilities to market, distribute and sell our product candidates.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4" w:right="359" w:bottom="1440" w:gutter="0" w:footer="0" w:header="0"/>
        </w:sectPr>
      </w:pPr>
    </w:p>
    <w:bookmarkStart w:id="30" w:name="page31"/>
    <w:bookmarkEnd w:id="30"/>
    <w:p>
      <w:pPr>
        <w:ind w:right="380"/>
        <w:spacing w:after="0" w:line="282" w:lineRule="auto"/>
        <w:rPr>
          <w:sz w:val="20"/>
          <w:szCs w:val="20"/>
          <w:color w:val="auto"/>
        </w:rPr>
      </w:pPr>
      <w:r>
        <w:rPr>
          <w:rFonts w:ascii="Times New Roman" w:cs="Times New Roman" w:eastAsia="Times New Roman" w:hAnsi="Times New Roman"/>
          <w:sz w:val="18"/>
          <w:szCs w:val="18"/>
          <w:color w:val="auto"/>
        </w:rPr>
        <w:t>We may experience delays or encounter issues with any of the above, including but not limited to failed studies, complex results, safety issues or other regulatory challenges.</w:t>
      </w:r>
    </w:p>
    <w:p>
      <w:pPr>
        <w:spacing w:after="0" w:line="5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drug candidates and because the extent to which we may enter into collaborations with third parties for development of product candidates is unknown, we are unable to estimate the amounts of future capital outlays and operating expenses associated with completing the research and development for our therapeutic programs. Our future capital requirements for our therapeutic programs will depend on many factors, including:</w:t>
      </w:r>
    </w:p>
    <w:p>
      <w:pPr>
        <w:spacing w:after="0" w:line="72" w:lineRule="exact"/>
        <w:rPr>
          <w:sz w:val="20"/>
          <w:szCs w:val="20"/>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and costs of conducting research and continued preclinical and clinical development for our therapeutic programs and future potential pipeline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and programs that we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milestone events are achieved under our collaboration with GSK or any potential future licensee or collaborator;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local and global health epidemics, geopolitical conflicts, global economic uncertainty, tariffs, rising inflation, rising interest rates or market disruptions on our business;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 to the extent any are approved for commercial sale, and the revenue, if any, received from commercial sales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when we need them, or at all. We do not currently have any committed external source of funds, except for possible future payments from GSK under our collaboration with them. To the extent that we raise additional capital through the sale of equity or convertible debt securities, the ownership interest of our existing stockholders will be diluted, and the terms may include liquidation or other preferences that adversely affect the rights of our stockholders.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stockholders’ ownership interests.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are exposed to interest rate risk in the ordinary course of our business. Our cash, cash equivalents and marketable securities consist of funds held in checking accounts and money market accounts, as well as corporate bonds, U.S. government securities and treasury bills. The primary objective of our investment activities is to preserve our capital for the purpose of funding operations and we do not enter into investments for trading or speculative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 our results of operations or our cash flows. For the three and nine months ended September 30, 2026 and 2025, changes in foreign currency exchange rates did not have a material impact on our historical financial position, our business, our financial condition, our results of operations or our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had a material effect on our business, financial condition, results of operations or cash flows in the last two years. If global inflation trends continue, we expect appreciable increases in clinical trial, labor, and other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 Risk</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currently have no product revenues and depend on funds raised through other sources. One possible source of funding is through further equity offerings. Our ability to raise funds in this manner depends upon capital market forces affecting our share price, including impacts of global economic uncertainty on the capital markets.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September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its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2026, our principal executive officer and principal financial officer concluded that, as of such date,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required by Rules 13a-15(d) and 15d-15(d) of the Exchange Act that occurred during the three months ended September 30, 2026 that have materially affected, or are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under the caption “Risk Factors” that appear in Item 1A of our 2025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three months ended September 30,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certain of our officers (as defined in Rule 16a-1(f) of the Exchange Act) and directors entered into contracts, instructions or written plans (each, a “Rule 10b5-1 Trading Plan” and collectively, the “Rule 10b5-1 Trading Plans”) for the purchase or sale of our securities that are intended to satisfy the conditions specified in Rule 10b5-1(c) under the Exchange Act for an affirmative defense against liability for trading in securities on the basis of material nonpublic information. We describe the material terms of these Rule 10b5-1 Trading Plans below.</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7, 2026, Chris Wright, M.D., Ph.D., our Chief Medical Officer, adopted a Rule 10b5-1 Trading Plan providing for the sale of up to an aggregate of 60,000 shares of our common stock pursuant to the terms of such Rule 10b5-1 Trading Plan. Dr. Wright’s Rule 10b5-1 Trading Plan is active until November 23, 2027, or earlier, if and when all transactions under the Rule 10b5-1 Trading Plan are completed.</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July 30, 2026, Paul B. Bolno, M.D., MBA, our President and Chief Executive Officer, terminated a Rule 10b5-1 Trading Plan that was originally adopted on May 26, 2026. Dr. Bolno’s former Rule 10b5-1 Trading Plan provided for the sale of up to an aggregate of 2,924,270 shares of our common stock. No shares were sold under Dr. Bolno’s Rule 10b5-1 Trading Plan prior to its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20" w:type="dxa"/>
            <w:vAlign w:val="bottom"/>
            <w:gridSpan w:val="16"/>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5360" w:type="dxa"/>
            <w:vAlign w:val="bottom"/>
            <w:gridSpan w:val="21"/>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Amended and Restated Certificate of Incorporation of Wave Life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Sciences, Inc., adopted as of August 6, 2026.</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360" w:type="dxa"/>
            <w:vAlign w:val="bottom"/>
            <w:gridSpan w:val="21"/>
          </w:tcPr>
          <w:p>
            <w:pPr>
              <w:spacing w:after="0"/>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Amended and Restated Bylaws of Wave Life Sciences, Inc., adopted as of</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August 7, 2026.</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5360" w:type="dxa"/>
            <w:vAlign w:val="bottom"/>
            <w:gridSpan w:val="21"/>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Form of Indemnification Agreement.</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5360" w:type="dxa"/>
            <w:vAlign w:val="bottom"/>
            <w:gridSpan w:val="21"/>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Amendment to Wave Life Sciences Ltd. 2014 Equity Incentive Plan, as</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amended, effective as of August 7, 2026.</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5360" w:type="dxa"/>
            <w:vAlign w:val="bottom"/>
            <w:gridSpan w:val="21"/>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Wave Life Sciences, Inc. Amended and Restated 2021 Equity Incentive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Plan, effective as of August 7, 2026.</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360" w:type="dxa"/>
            <w:vAlign w:val="bottom"/>
            <w:gridSpan w:val="21"/>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Amendment to the Wave Life Sciences, Inc. Nasdaq Inducement</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Restricted Stock Unit Award Grant Notice and Nasdaq Inducement</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Restricted Stock Unit Agreement, effective as of August 7, 2026.</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5360" w:type="dxa"/>
            <w:vAlign w:val="bottom"/>
            <w:gridSpan w:val="21"/>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Amendment to the Wave Life Sciences, Inc. Nasdaq Inducement Non-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qualified Stock Option Grant Notice and Nasdaq Inducement Non-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qualified Stock Option Agreement, effective as of August 7, 2026.</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5360" w:type="dxa"/>
            <w:vAlign w:val="bottom"/>
            <w:gridSpan w:val="21"/>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Amended and Restated Wave Life Sciences, Inc. 2019 Employee Stock</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Purchase Plan, effective as of August 7, 2026.</w:t>
              </w:r>
            </w:hyperlink>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10.7</w:t>
            </w: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gridSpan w:val="21"/>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Form of Non-qualified Stock Option Agreement under the Amended and</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Restated 2021 Equity Incentive Plan, effective as of August 7, 2026.</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5360" w:type="dxa"/>
            <w:vAlign w:val="bottom"/>
            <w:gridSpan w:val="21"/>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Form of Restricted Stock Unit Agreement under the Amended and</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Restated 2021 Equity Incentive Plan, effective as of August 7, 2026.</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5360" w:type="dxa"/>
            <w:vAlign w:val="bottom"/>
            <w:gridSpan w:val="21"/>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of Non-qualified Stock Option Agreement for UK Participants</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under the Amended and Restated 2021 Equity Incentive Plan, effective as</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of August 7, 2026.</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5360" w:type="dxa"/>
            <w:vAlign w:val="bottom"/>
            <w:gridSpan w:val="21"/>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Form of Restricted Stock Unit Agreement for UK Participants under the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140" w:type="dxa"/>
            <w:vAlign w:val="bottom"/>
            <w:tcBorders>
              <w:right w:val="single" w:sz="8" w:color="0000FF"/>
            </w:tcBorders>
            <w:gridSpan w:val="6"/>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Amended and Restated 2021 Equity Incentive Plan, effective as of August</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spacing w:after="0" w:line="196" w:lineRule="exact"/>
              <w:rPr>
                <w:rFonts w:ascii="Times New Roman" w:cs="Times New Roman" w:eastAsia="Times New Roman" w:hAnsi="Times New Roman"/>
                <w:sz w:val="18"/>
                <w:szCs w:val="18"/>
                <w:color w:val="0000FF"/>
                <w:w w:val="92"/>
              </w:rPr>
            </w:pPr>
            <w:hyperlink r:id="rId258">
              <w:r>
                <w:rPr>
                  <w:rFonts w:ascii="Times New Roman" w:cs="Times New Roman" w:eastAsia="Times New Roman" w:hAnsi="Times New Roman"/>
                  <w:sz w:val="18"/>
                  <w:szCs w:val="18"/>
                  <w:color w:val="0000FF"/>
                  <w:w w:val="92"/>
                </w:rPr>
                <w:t>7, 2026.</w:t>
              </w:r>
            </w:hyperlink>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5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Assignment, Assumption and Amendment to Share Purchase Agreement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140" w:type="dxa"/>
            <w:vAlign w:val="bottom"/>
            <w:tcBorders>
              <w:right w:val="single" w:sz="8" w:color="0000FF"/>
            </w:tcBorders>
            <w:gridSpan w:val="6"/>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by and between Wave Life Sciences, Inc. and C.P. Pharmaceuticals</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140" w:type="dxa"/>
            <w:vAlign w:val="bottom"/>
            <w:tcBorders>
              <w:right w:val="single" w:sz="8" w:color="0000FF"/>
            </w:tcBorders>
            <w:gridSpan w:val="6"/>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International C.V., dated as of August 7, 2026.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140" w:type="dxa"/>
            <w:vAlign w:val="bottom"/>
            <w:tcBorders>
              <w:right w:val="single" w:sz="8" w:color="0000EE"/>
            </w:tcBorders>
            <w:gridSpan w:val="6"/>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vMerge w:val="restart"/>
          </w:tcPr>
          <w:p>
            <w:pPr>
              <w:spacing w:after="0"/>
              <w:rPr>
                <w:rFonts w:ascii="Times New Roman" w:cs="Times New Roman" w:eastAsia="Times New Roman" w:hAnsi="Times New Roman"/>
                <w:sz w:val="12"/>
                <w:szCs w:val="12"/>
                <w:color w:val="0000FF"/>
                <w:w w:val="91"/>
              </w:rPr>
            </w:pPr>
            <w:hyperlink r:id="rId259">
              <w:r>
                <w:rPr>
                  <w:rFonts w:ascii="Times New Roman" w:cs="Times New Roman" w:eastAsia="Times New Roman" w:hAnsi="Times New Roman"/>
                  <w:sz w:val="12"/>
                  <w:szCs w:val="12"/>
                  <w:color w:val="0000FF"/>
                  <w:w w:val="91"/>
                </w:rPr>
                <w:t>SM</w:t>
              </w:r>
            </w:hyperlink>
          </w:p>
        </w:tc>
        <w:tc>
          <w:tcPr>
            <w:tcW w:w="9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0"/>
                <w:szCs w:val="20"/>
                <w:color w:val="auto"/>
              </w:rPr>
            </w:pPr>
          </w:p>
        </w:tc>
        <w:tc>
          <w:tcPr>
            <w:tcW w:w="3840" w:type="dxa"/>
            <w:vAlign w:val="bottom"/>
            <w:gridSpan w:val="11"/>
            <w:vMerge w:val="restart"/>
          </w:tcPr>
          <w:p>
            <w:pPr>
              <w:spacing w:after="0"/>
              <w:rPr>
                <w:rFonts w:ascii="Times New Roman" w:cs="Times New Roman" w:eastAsia="Times New Roman" w:hAnsi="Times New Roman"/>
                <w:sz w:val="18"/>
                <w:szCs w:val="18"/>
                <w:color w:val="0000FF"/>
                <w:w w:val="98"/>
              </w:rPr>
            </w:pPr>
            <w:hyperlink r:id="rId259">
              <w:r>
                <w:rPr>
                  <w:rFonts w:ascii="Times New Roman" w:cs="Times New Roman" w:eastAsia="Times New Roman" w:hAnsi="Times New Roman"/>
                  <w:sz w:val="18"/>
                  <w:szCs w:val="18"/>
                  <w:color w:val="0000FF"/>
                  <w:w w:val="98"/>
                </w:rPr>
                <w:t>Amended and Restated Open Market Sale Agreement</w:t>
              </w:r>
            </w:hyperlink>
          </w:p>
        </w:tc>
        <w:tc>
          <w:tcPr>
            <w:tcW w:w="180" w:type="dxa"/>
            <w:vAlign w:val="bottom"/>
            <w:tcBorders>
              <w:bottom w:val="single" w:sz="8" w:color="0000FF"/>
            </w:tcBorders>
            <w:vMerge w:val="continue"/>
          </w:tcPr>
          <w:p>
            <w:pPr>
              <w:spacing w:after="0"/>
              <w:rPr>
                <w:sz w:val="20"/>
                <w:szCs w:val="20"/>
                <w:color w:val="auto"/>
              </w:rPr>
            </w:pPr>
          </w:p>
        </w:tc>
        <w:tc>
          <w:tcPr>
            <w:tcW w:w="1340" w:type="dxa"/>
            <w:vAlign w:val="bottom"/>
            <w:gridSpan w:val="9"/>
            <w:vMerge w:val="restart"/>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 dated as of</w:t>
              </w:r>
            </w:hyperlink>
          </w:p>
        </w:tc>
        <w:tc>
          <w:tcPr>
            <w:tcW w:w="0" w:type="dxa"/>
            <w:vAlign w:val="bottom"/>
          </w:tcPr>
          <w:p>
            <w:pPr>
              <w:spacing w:after="0"/>
              <w:rPr>
                <w:sz w:val="1"/>
                <w:szCs w:val="1"/>
                <w:color w:val="auto"/>
              </w:rPr>
            </w:pPr>
          </w:p>
        </w:tc>
      </w:tr>
      <w:tr>
        <w:trPr>
          <w:trHeight w:val="61"/>
        </w:trPr>
        <w:tc>
          <w:tcPr>
            <w:tcW w:w="9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840" w:type="dxa"/>
            <w:vAlign w:val="bottom"/>
            <w:gridSpan w:val="11"/>
            <w:vMerge w:val="continue"/>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62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August 7, 2026, by and between Wave Life Sciences, Inc. and Jefferies</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70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LLC.</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70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5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Executive Officer</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70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700" w:type="dxa"/>
            <w:vAlign w:val="bottom"/>
            <w:gridSpan w:val="1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Section 1350 Certifications of Principal Executive Officer and Principal</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4000" w:type="dxa"/>
            <w:vAlign w:val="bottom"/>
            <w:gridSpan w:val="1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w:t>
            </w:r>
          </w:p>
        </w:tc>
        <w:tc>
          <w:tcPr>
            <w:tcW w:w="0" w:type="dxa"/>
            <w:vAlign w:val="bottom"/>
          </w:tcPr>
          <w:p>
            <w:pPr>
              <w:spacing w:after="0"/>
              <w:rPr>
                <w:sz w:val="1"/>
                <w:szCs w:val="1"/>
                <w:color w:val="auto"/>
              </w:rPr>
            </w:pPr>
          </w:p>
        </w:tc>
      </w:tr>
      <w:tr>
        <w:trPr>
          <w:trHeight w:val="453"/>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Borders>
              <w:top w:val="single" w:sz="8" w:color="0000FF"/>
            </w:tcBorders>
            <w:gridSpan w:val="4"/>
          </w:tcPr>
          <w:p>
            <w:pPr>
              <w:spacing w:after="0"/>
              <w:rPr>
                <w:sz w:val="24"/>
                <w:szCs w:val="24"/>
                <w:color w:val="auto"/>
              </w:rPr>
            </w:pPr>
          </w:p>
        </w:tc>
        <w:tc>
          <w:tcPr>
            <w:tcW w:w="346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14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13"/>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8-K12B</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8/7/2026</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8-K12B</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8/7/2026</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8-K12B</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8/7/2026</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10.1)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8-K12B</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8/7/2026</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10.2)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8-K12B</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8/7/2026</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10.3)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8-K12B</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8/7/2026</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10.4)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8-K12B</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8/7/2026</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10.5)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8-K12B</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8/7/2026</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10.6)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S-8 POS</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8/10/2026</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333-291409</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99.4.1)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S-8 POS</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8/10/2026</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333-291409</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99.6.1)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S-8 POS</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8/10/2026</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333-291409</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99.7.1)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S-8 POS</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8/10/2026</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333-291409</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99.7.2)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POSASR</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8/10/2026</w:t>
            </w: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333-283122</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400" w:space="120"/>
            <w:col w:w="4720"/>
          </w:cols>
          <w:pgMar w:left="320" w:top="98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appear in the interactive data file because its Inline XBRL tags are</w:t>
            </w:r>
          </w:p>
        </w:tc>
        <w:tc>
          <w:tcPr>
            <w:tcW w:w="60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600" w:type="dxa"/>
            <w:vAlign w:val="bottom"/>
          </w:tcPr>
          <w:p>
            <w:pPr>
              <w:spacing w:after="0"/>
              <w:rPr>
                <w:sz w:val="20"/>
                <w:szCs w:val="20"/>
                <w:color w:val="auto"/>
              </w:rPr>
            </w:pPr>
          </w:p>
        </w:tc>
      </w:tr>
      <w:tr>
        <w:trPr>
          <w:trHeight w:val="33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X</w:t>
            </w:r>
          </w:p>
        </w:tc>
      </w:tr>
      <w:tr>
        <w:trPr>
          <w:trHeight w:val="31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contained in Exhibit 101)</w:t>
            </w:r>
          </w:p>
        </w:tc>
        <w:tc>
          <w:tcPr>
            <w:tcW w:w="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p>
      <w:pPr>
        <w:jc w:val="both"/>
        <w:ind w:firstLine="8"/>
        <w:spacing w:after="0" w:line="26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 that accompany this Quarterly Report on Form 10-Q are not deemed filed with the Securities and Exchange Commission and are not to be incorporated by reference into any filing of Wave Life Sciences, Inc. under the Securities Act of 1933, as amended, or the Securities Exchange Act of 1934, as amended (whether made before or after the date of such Form 10-Q), irrespective of any general incorporation language contained in such filing.</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07" w:right="5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WAVE LIFE SCIENCES,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B. Bolno, M.D., MBA</w:t>
            </w:r>
          </w:p>
        </w:tc>
      </w:tr>
      <w:tr>
        <w:trPr>
          <w:trHeight w:val="191"/>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B. Bolno, M.D., MBA</w:t>
            </w:r>
          </w:p>
        </w:tc>
      </w:tr>
      <w:tr>
        <w:trPr>
          <w:trHeight w:val="216"/>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 Moran, CFA</w:t>
            </w:r>
          </w:p>
        </w:tc>
      </w:tr>
      <w:tr>
        <w:trPr>
          <w:trHeight w:val="191"/>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Kyle Moran, CFA</w:t>
            </w:r>
          </w:p>
        </w:tc>
      </w:tr>
      <w:tr>
        <w:trPr>
          <w:trHeight w:val="216"/>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r>
      <w:tr>
        <w:trPr>
          <w:trHeight w:val="234"/>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648"/>
        </w:trPr>
        <w:tc>
          <w:tcPr>
            <w:tcW w:w="3620" w:type="dxa"/>
            <w:vAlign w:val="bottom"/>
          </w:tcPr>
          <w:p>
            <w:pPr>
              <w:spacing w:after="0"/>
              <w:rPr>
                <w:sz w:val="24"/>
                <w:szCs w:val="24"/>
                <w:color w:val="auto"/>
              </w:rPr>
            </w:pPr>
          </w:p>
        </w:tc>
        <w:tc>
          <w:tcPr>
            <w:tcW w:w="2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36</w:t>
            </w:r>
          </w:p>
        </w:tc>
        <w:tc>
          <w:tcPr>
            <w:tcW w:w="5160" w:type="dxa"/>
            <w:vAlign w:val="bottom"/>
          </w:tcPr>
          <w:p>
            <w:pPr>
              <w:spacing w:after="0"/>
              <w:rPr>
                <w:sz w:val="24"/>
                <w:szCs w:val="24"/>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ind w:left="10220"/>
        <w:spacing w:after="0"/>
        <w:rPr>
          <w:sz w:val="20"/>
          <w:szCs w:val="20"/>
          <w:color w:val="auto"/>
        </w:rPr>
      </w:pPr>
      <w:r>
        <w:rPr>
          <w:rFonts w:ascii="Times New Roman" w:cs="Times New Roman" w:eastAsia="Times New Roman" w:hAnsi="Times New Roman"/>
          <w:sz w:val="17"/>
          <w:szCs w:val="17"/>
          <w:b w:val="1"/>
          <w:bCs w:val="1"/>
          <w:color w:val="auto"/>
        </w:rPr>
        <w:t>Exhibit 10.11</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ASSIGNMENT, ASSUMPTION AND AMENDMENT AGREEMENT</w:t>
      </w:r>
    </w:p>
    <w:p>
      <w:pPr>
        <w:spacing w:after="0" w:line="38"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THIS ASSIGNMENT, ASSUMPTION AND AMENDMENT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August 7, 2026, by and among Wave Life Sciences Ltd., a Singapore public limited company (the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Wave Life Sciences, Inc., a Delaware corporation (the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xml:space="preserve"> ” or “</w:t>
      </w:r>
      <w:r>
        <w:rPr>
          <w:rFonts w:ascii="Times New Roman" w:cs="Times New Roman" w:eastAsia="Times New Roman" w:hAnsi="Times New Roman"/>
          <w:sz w:val="22"/>
          <w:szCs w:val="22"/>
          <w:u w:val="single" w:color="auto"/>
          <w:color w:val="auto"/>
        </w:rPr>
        <w:t>Wave-Delaware</w:t>
      </w:r>
      <w:r>
        <w:rPr>
          <w:rFonts w:ascii="Times New Roman" w:cs="Times New Roman" w:eastAsia="Times New Roman" w:hAnsi="Times New Roman"/>
          <w:sz w:val="22"/>
          <w:szCs w:val="22"/>
          <w:color w:val="auto"/>
        </w:rPr>
        <w:t>”), and Pfizer Ventures (US) LLC (as successor by assignment to C.P. Pharmaceuticals International C.V., a Netherlands limited partnership (commanditaire vennootschap))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The Company, Wave-Delaware, and Purchaser are sometimes referred to herein, collectively, as the “Parties” and each individually as a “Party”. Terms used but not otherwise defined herein shall have their respective meanings given in the Purchase Agreement (as defined below).</w:t>
      </w:r>
    </w:p>
    <w:p>
      <w:pPr>
        <w:spacing w:after="0" w:line="15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Company and Purchaser are party to that certain Share Purchase Agreement, dated as of May 5, 2016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pursuant to which the Purchaser subscribed for and the Company allotted and issued 1,875,000 ordinary shares of the Company (“</w:t>
      </w:r>
      <w:r>
        <w:rPr>
          <w:rFonts w:ascii="Times New Roman" w:cs="Times New Roman" w:eastAsia="Times New Roman" w:hAnsi="Times New Roman"/>
          <w:sz w:val="22"/>
          <w:szCs w:val="22"/>
          <w:u w:val="single" w:color="auto"/>
          <w:color w:val="auto"/>
        </w:rPr>
        <w:t>Ordinary Shares</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WHEREAS, pursuant to a scheme of arrangement under Singapore law (the “</w:t>
      </w:r>
      <w:r>
        <w:rPr>
          <w:rFonts w:ascii="Times New Roman" w:cs="Times New Roman" w:eastAsia="Times New Roman" w:hAnsi="Times New Roman"/>
          <w:sz w:val="22"/>
          <w:szCs w:val="22"/>
          <w:u w:val="single" w:color="auto"/>
          <w:color w:val="auto"/>
        </w:rPr>
        <w:t>Scheme of Arrangement</w:t>
      </w:r>
      <w:r>
        <w:rPr>
          <w:rFonts w:ascii="Times New Roman" w:cs="Times New Roman" w:eastAsia="Times New Roman" w:hAnsi="Times New Roman"/>
          <w:sz w:val="22"/>
          <w:szCs w:val="22"/>
          <w:color w:val="auto"/>
        </w:rPr>
        <w:t>”), effective as of the date hereof, among other things, (i) Wave-Delaware became the ultimate parent company of the Wave group of companies and the Company became a wholly owned subsidiary of Wave-Delaware, and (ii) each issued Ordinary Share was exchanged for one (1) share of common stock of Wave Delaware (“</w:t>
      </w:r>
      <w:r>
        <w:rPr>
          <w:rFonts w:ascii="Times New Roman" w:cs="Times New Roman" w:eastAsia="Times New Roman" w:hAnsi="Times New Roman"/>
          <w:sz w:val="22"/>
          <w:szCs w:val="22"/>
          <w:u w:val="single" w:color="auto"/>
          <w:color w:val="auto"/>
        </w:rPr>
        <w:t>Wave-Delaware Common Stock</w:t>
      </w:r>
      <w:r>
        <w:rPr>
          <w:rFonts w:ascii="Times New Roman" w:cs="Times New Roman" w:eastAsia="Times New Roman" w:hAnsi="Times New Roman"/>
          <w:sz w:val="22"/>
          <w:szCs w:val="22"/>
          <w:color w:val="auto"/>
        </w:rPr>
        <w:t>”), such that Purchaser’s 1,875,000 Ordinary Shares were exchanged for 1,875,000 shares of Wave-Delaware Common Stock;</w:t>
      </w:r>
    </w:p>
    <w:p>
      <w:pPr>
        <w:spacing w:after="0" w:line="13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Company wishes to assign to Wave-Delaware, and Wave-Delaware wishes to accept and assume from the Company, all of its rights, title, obligations, duties, liabilities and interest in, to and under the Purchase Agreement (the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Purchaser has agreed to consent to the Assignment; and</w:t>
      </w:r>
    </w:p>
    <w:p>
      <w:pPr>
        <w:spacing w:after="0" w:line="16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WHEREAS, Section 7(e) of the Purchase Agreement provides that the Purchase Agreement may be amended only by the written agreement of the Company and Purchaser, and the Parties wish to amend the Purchase Agreement as set forth herein.</w:t>
      </w:r>
    </w:p>
    <w:p>
      <w:pPr>
        <w:spacing w:after="0" w:line="9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terms and conditions set out herein, and for other good and valuable consideration, the receipt and sufficiency of which are hereby acknowledged, the Parties, intending to be legally bound, hereby agree as follows:</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Article I.</w:t>
      </w:r>
      <w:r>
        <w:rPr>
          <w:rFonts w:ascii="Times New Roman" w:cs="Times New Roman" w:eastAsia="Times New Roman" w:hAnsi="Times New Roman"/>
          <w:sz w:val="22"/>
          <w:szCs w:val="22"/>
          <w:u w:val="single" w:color="auto"/>
          <w:color w:val="auto"/>
        </w:rPr>
        <w:t>Assignment and Assumption.</w:t>
      </w:r>
    </w:p>
    <w:p>
      <w:pPr>
        <w:spacing w:after="0" w:line="166" w:lineRule="exact"/>
        <w:rPr>
          <w:sz w:val="20"/>
          <w:szCs w:val="20"/>
          <w:color w:val="auto"/>
        </w:rPr>
      </w:pPr>
    </w:p>
    <w:p>
      <w:pPr>
        <w:jc w:val="both"/>
        <w:ind w:firstLine="1131"/>
        <w:spacing w:after="0" w:line="244" w:lineRule="auto"/>
        <w:tabs>
          <w:tab w:leader="none" w:pos="152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immediately following the effective time of the Scheme of Arrangement (the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Assignor hereby transfers and assigns to Assignee all of Assignor’s right, title, obligations, duties, liabilities, responsibilities and interest in, to and under the Purchase Agreement (collectively, the “</w:t>
      </w:r>
      <w:r>
        <w:rPr>
          <w:rFonts w:ascii="Times New Roman" w:cs="Times New Roman" w:eastAsia="Times New Roman" w:hAnsi="Times New Roman"/>
          <w:sz w:val="22"/>
          <w:szCs w:val="22"/>
          <w:u w:val="single" w:color="auto"/>
          <w:color w:val="auto"/>
        </w:rPr>
        <w:t>Assigned Rights and Obligations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980440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both"/>
        <w:ind w:firstLine="1131"/>
        <w:spacing w:after="0" w:line="251" w:lineRule="auto"/>
        <w:tabs>
          <w:tab w:leader="none" w:pos="1527"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as of immediately following the Effective Time, Assignee hereby irrevocably accepts such transfer and assignment of the Assigned Rights and Obligations to itself and irrevocably agrees and undertakes to duly perform and discharge all of the duties, liabilities, responsibilities and obligations arising out of, related to or under the Purchase Agreement, agrees to be bound by the terms and conditions of the Purchase Agreement, and shall be entitled to the rights and benefits of the Purchase Agreement, in each case as if Assignee were named as a party to the Purchase Agreement in the place of Assignor.</w:t>
      </w:r>
    </w:p>
    <w:p>
      <w:pPr>
        <w:spacing w:after="0" w:line="127" w:lineRule="exact"/>
        <w:rPr>
          <w:rFonts w:ascii="Times New Roman" w:cs="Times New Roman" w:eastAsia="Times New Roman" w:hAnsi="Times New Roman"/>
          <w:sz w:val="21"/>
          <w:szCs w:val="21"/>
          <w:color w:val="auto"/>
        </w:rPr>
      </w:pPr>
    </w:p>
    <w:p>
      <w:pPr>
        <w:jc w:val="both"/>
        <w:ind w:firstLine="1131"/>
        <w:spacing w:after="0" w:line="235" w:lineRule="auto"/>
        <w:tabs>
          <w:tab w:leader="none" w:pos="152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hereby (i) consents to the Assignment, (ii) waives any rights it may have under the Purchase Agreement in connection with the Assignment, including, without limitation, any rights to notification, and (iii) acknowledges and agrees that the Assignment will not constitute a breach of the Purchase Agreement or entitle Purchaser to any remedies that may otherwise be available thereunder in connection with a breach of the Purchase Agreement. Purchaser further acknowledges and agrees that Assignor shall have no further liability or obligation to Purchaser under the Purchase Agreement and Purchaser shall look only to Assignee with respect to the performance of all duties and obligations under or with respect to the Purchase Agreement.</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Article II.</w:t>
      </w:r>
      <w:r>
        <w:rPr>
          <w:rFonts w:ascii="Times New Roman" w:cs="Times New Roman" w:eastAsia="Times New Roman" w:hAnsi="Times New Roman"/>
          <w:sz w:val="22"/>
          <w:szCs w:val="22"/>
          <w:u w:val="single" w:color="auto"/>
          <w:color w:val="auto"/>
        </w:rPr>
        <w:t>Amendments to the Purchase Agreement</w:t>
      </w:r>
      <w:r>
        <w:rPr>
          <w:rFonts w:ascii="Times New Roman" w:cs="Times New Roman" w:eastAsia="Times New Roman" w:hAnsi="Times New Roman"/>
          <w:sz w:val="22"/>
          <w:szCs w:val="22"/>
          <w:color w:val="auto"/>
        </w:rPr>
        <w:t>. Effective as of immediately following the Effective Time,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 Agreement is hereby amended as follows:</w:t>
      </w:r>
    </w:p>
    <w:p>
      <w:pPr>
        <w:spacing w:after="0" w:line="142" w:lineRule="exact"/>
        <w:rPr>
          <w:sz w:val="20"/>
          <w:szCs w:val="20"/>
          <w:color w:val="auto"/>
        </w:rPr>
      </w:pPr>
    </w:p>
    <w:p>
      <w:pPr>
        <w:jc w:val="both"/>
        <w:ind w:firstLine="1131"/>
        <w:spacing w:after="0" w:line="248" w:lineRule="auto"/>
        <w:tabs>
          <w:tab w:leader="none" w:pos="1527"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references to “Wave Life Sciences Ltd.” or “Wave Life Sciences Ltd., a Singapore public limited company” in the Purchase Agreement shall, with respect to all rights, obligations, covenants and agreements to be performed from and after the date hereof, be deemed to refer to “Wave Life Sciences, Inc.” or “Wave Life Sciences, Inc., a Delaware corporation,” as applicable, and Wave-Delaware shall hereafter constitute the “Company” for all purposes under the Purchase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representations and warranties of Assignor set forth in Section 3 of the Purchase Agreement shall continue to speak as of the Effective Date on which they were made and shall not be deemed remade by Assignee and references to “the Company” for purposes of Section 3 of the Purchase Agreement shall continue to refer to Wave Life Sciences Ltd.</w:t>
      </w:r>
    </w:p>
    <w:p>
      <w:pPr>
        <w:spacing w:after="0" w:line="129" w:lineRule="exact"/>
        <w:rPr>
          <w:rFonts w:ascii="Times New Roman" w:cs="Times New Roman" w:eastAsia="Times New Roman" w:hAnsi="Times New Roman"/>
          <w:sz w:val="21"/>
          <w:szCs w:val="21"/>
          <w:color w:val="auto"/>
        </w:rPr>
      </w:pPr>
    </w:p>
    <w:p>
      <w:pPr>
        <w:jc w:val="both"/>
        <w:ind w:firstLine="1131"/>
        <w:spacing w:after="0" w:line="239" w:lineRule="auto"/>
        <w:tabs>
          <w:tab w:leader="none" w:pos="15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“Ordinary Shares” and “Shares” shall be deemed to refer to the shares of Wave-Delaware Common Stock issued in exchange therefor in the Scheme of Arrangement. For the avoidance of doubt, the shares of Wave-Delaware Common Stock issued in respect of the Ordinary Shares in the Scheme of Arrangement constitute “Registrable Securities” for purposes of Section 6 of the Purchase Agreement.</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Article III.</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jc w:val="both"/>
        <w:ind w:firstLine="1131"/>
        <w:spacing w:after="0" w:line="241" w:lineRule="auto"/>
        <w:tabs>
          <w:tab w:leader="none" w:pos="152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each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successors and assigns of the Parties and, except as otherwise expressly provided in the Purchase Agreement, each other person who shall become a registered holder named in a certificate evidencing Shares transferred to such holder by Purchaser or its permitted transferees, and (except as aforesaid) its legal representatives, successors and assigns.</w:t>
      </w:r>
    </w:p>
    <w:p>
      <w:pPr>
        <w:spacing w:after="0" w:line="131" w:lineRule="exact"/>
        <w:rPr>
          <w:rFonts w:ascii="Times New Roman" w:cs="Times New Roman" w:eastAsia="Times New Roman" w:hAnsi="Times New Roman"/>
          <w:sz w:val="22"/>
          <w:szCs w:val="22"/>
          <w:color w:val="auto"/>
        </w:rPr>
      </w:pPr>
    </w:p>
    <w:p>
      <w:pPr>
        <w:jc w:val="both"/>
        <w:ind w:right="20" w:firstLine="1131"/>
        <w:spacing w:after="0" w:line="246" w:lineRule="auto"/>
        <w:tabs>
          <w:tab w:leader="none" w:pos="152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Assignment</w:t>
      </w:r>
      <w:r>
        <w:rPr>
          <w:rFonts w:ascii="Times New Roman" w:cs="Times New Roman" w:eastAsia="Times New Roman" w:hAnsi="Times New Roman"/>
          <w:sz w:val="22"/>
          <w:szCs w:val="22"/>
          <w:color w:val="auto"/>
        </w:rPr>
        <w:t>. Neither this Agreement nor any of the rights or obligations hereunder may be assigned by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Party without the prior written consent of the non-assigning Party; provided, however, that Purchaser may assign this Agreement and its rights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spacing w:after="0" w:line="258" w:lineRule="auto"/>
        <w:rPr>
          <w:sz w:val="20"/>
          <w:szCs w:val="20"/>
          <w:color w:val="auto"/>
        </w:rPr>
      </w:pPr>
      <w:r>
        <w:rPr>
          <w:rFonts w:ascii="Times New Roman" w:cs="Times New Roman" w:eastAsia="Times New Roman" w:hAnsi="Times New Roman"/>
          <w:sz w:val="22"/>
          <w:szCs w:val="22"/>
          <w:color w:val="auto"/>
        </w:rPr>
        <w:t>hereunder without the other party’s consent to an Affiliate of Purchaser, provided that Purchaser shall remain liable to Assignee for the performance of all such obligations by such Affiliate.</w:t>
      </w:r>
    </w:p>
    <w:p>
      <w:pPr>
        <w:spacing w:after="0" w:line="114" w:lineRule="exact"/>
        <w:rPr>
          <w:sz w:val="20"/>
          <w:szCs w:val="20"/>
          <w:color w:val="auto"/>
        </w:rPr>
      </w:pPr>
    </w:p>
    <w:p>
      <w:pPr>
        <w:ind w:right="20" w:firstLine="1131"/>
        <w:spacing w:after="0" w:line="262" w:lineRule="auto"/>
        <w:tabs>
          <w:tab w:leader="none" w:pos="15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substantive laws of the State of New York without regard to its principles of conflicts of laws.</w:t>
      </w:r>
    </w:p>
    <w:p>
      <w:pPr>
        <w:spacing w:after="0" w:line="122" w:lineRule="exact"/>
        <w:rPr>
          <w:rFonts w:ascii="Times New Roman" w:cs="Times New Roman" w:eastAsia="Times New Roman" w:hAnsi="Times New Roman"/>
          <w:sz w:val="22"/>
          <w:szCs w:val="22"/>
          <w:color w:val="auto"/>
        </w:rPr>
      </w:pPr>
    </w:p>
    <w:p>
      <w:pPr>
        <w:jc w:val="both"/>
        <w:ind w:firstLine="1131"/>
        <w:spacing w:after="0" w:line="246" w:lineRule="auto"/>
        <w:tabs>
          <w:tab w:leader="none" w:pos="15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Entire Agreement</w:t>
      </w:r>
      <w:r>
        <w:rPr>
          <w:rFonts w:ascii="Times New Roman" w:cs="Times New Roman" w:eastAsia="Times New Roman" w:hAnsi="Times New Roman"/>
          <w:sz w:val="22"/>
          <w:szCs w:val="22"/>
          <w:color w:val="auto"/>
        </w:rPr>
        <w:t>. This Agreement, the Purchase Agreement and the Research Agreement contain the entire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among the Parties with respect to the transactions contemplated hereby and thereby and supersede all prior negotiations, commitments, agreements and understandings among them with respect thereto.</w:t>
      </w:r>
    </w:p>
    <w:p>
      <w:pPr>
        <w:spacing w:after="0" w:line="126" w:lineRule="exact"/>
        <w:rPr>
          <w:rFonts w:ascii="Times New Roman" w:cs="Times New Roman" w:eastAsia="Times New Roman" w:hAnsi="Times New Roman"/>
          <w:sz w:val="22"/>
          <w:szCs w:val="22"/>
          <w:color w:val="auto"/>
        </w:rPr>
      </w:pPr>
    </w:p>
    <w:p>
      <w:pPr>
        <w:jc w:val="both"/>
        <w:ind w:firstLine="1131"/>
        <w:spacing w:after="0" w:line="238" w:lineRule="auto"/>
        <w:tabs>
          <w:tab w:leader="none" w:pos="15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 Other Amendments</w:t>
      </w:r>
      <w:r>
        <w:rPr>
          <w:rFonts w:ascii="Times New Roman" w:cs="Times New Roman" w:eastAsia="Times New Roman" w:hAnsi="Times New Roman"/>
          <w:sz w:val="22"/>
          <w:szCs w:val="22"/>
          <w:color w:val="auto"/>
        </w:rPr>
        <w:t>. The Parties agree that, except as expressly provided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Purchase Agreement shall remain unchanged and in full force and effect and nothing contained herein shall abrogate, prejudice, diminish or otherwise affect any powers, rights or remedies or obligations of any party thereunder. Each reference in the Purchase Agreement to “this Agreement,” “hereunder,” “hereof,” “herein,” or words of like import will mean and be a reference to the Purchase Agreement as amended by this Agreement.</w:t>
      </w:r>
    </w:p>
    <w:p>
      <w:pPr>
        <w:spacing w:after="0" w:line="136" w:lineRule="exact"/>
        <w:rPr>
          <w:rFonts w:ascii="Times New Roman" w:cs="Times New Roman" w:eastAsia="Times New Roman" w:hAnsi="Times New Roman"/>
          <w:sz w:val="22"/>
          <w:szCs w:val="22"/>
          <w:color w:val="auto"/>
        </w:rPr>
      </w:pPr>
    </w:p>
    <w:p>
      <w:pPr>
        <w:jc w:val="both"/>
        <w:ind w:firstLine="1131"/>
        <w:spacing w:after="0" w:line="241" w:lineRule="auto"/>
        <w:tabs>
          <w:tab w:leader="none" w:pos="15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Severability</w:t>
      </w:r>
      <w:r>
        <w:rPr>
          <w:rFonts w:ascii="Times New Roman" w:cs="Times New Roman" w:eastAsia="Times New Roman" w:hAnsi="Times New Roman"/>
          <w:sz w:val="22"/>
          <w:szCs w:val="22"/>
          <w:color w:val="auto"/>
        </w:rPr>
        <w:t>. Any provision of this Agreement that is prohibited or unenforceable in any jurisdiction shall, as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4" w:lineRule="exact"/>
        <w:rPr>
          <w:rFonts w:ascii="Times New Roman" w:cs="Times New Roman" w:eastAsia="Times New Roman" w:hAnsi="Times New Roman"/>
          <w:sz w:val="22"/>
          <w:szCs w:val="22"/>
          <w:color w:val="auto"/>
        </w:rPr>
      </w:pPr>
    </w:p>
    <w:p>
      <w:pPr>
        <w:ind w:right="20" w:firstLine="1131"/>
        <w:spacing w:after="0" w:line="262" w:lineRule="auto"/>
        <w:tabs>
          <w:tab w:leader="none" w:pos="15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Headings</w:t>
      </w:r>
      <w:r>
        <w:rPr>
          <w:rFonts w:ascii="Times New Roman" w:cs="Times New Roman" w:eastAsia="Times New Roman" w:hAnsi="Times New Roman"/>
          <w:sz w:val="22"/>
          <w:szCs w:val="22"/>
          <w:color w:val="auto"/>
        </w:rPr>
        <w:t>. The headings of the various sections of this Agreement have been inserted for convenience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reference only and shall not be deemed to be a part of this Agreement.</w:t>
      </w:r>
    </w:p>
    <w:p>
      <w:pPr>
        <w:spacing w:after="0" w:line="109" w:lineRule="exact"/>
        <w:rPr>
          <w:rFonts w:ascii="Times New Roman" w:cs="Times New Roman" w:eastAsia="Times New Roman" w:hAnsi="Times New Roman"/>
          <w:sz w:val="22"/>
          <w:szCs w:val="22"/>
          <w:color w:val="auto"/>
        </w:rPr>
      </w:pPr>
    </w:p>
    <w:p>
      <w:pPr>
        <w:ind w:firstLine="1131"/>
        <w:spacing w:after="0" w:line="262" w:lineRule="auto"/>
        <w:tabs>
          <w:tab w:leader="none" w:pos="15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Amendments</w:t>
      </w:r>
      <w:r>
        <w:rPr>
          <w:rFonts w:ascii="Times New Roman" w:cs="Times New Roman" w:eastAsia="Times New Roman" w:hAnsi="Times New Roman"/>
          <w:sz w:val="22"/>
          <w:szCs w:val="22"/>
          <w:color w:val="auto"/>
        </w:rPr>
        <w:t>. This Agreement may be amended, and compliance with the provisions of this Agreement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omitted or waived, only by the written agreement of the Parties.</w:t>
      </w:r>
    </w:p>
    <w:p>
      <w:pPr>
        <w:spacing w:after="0" w:line="109" w:lineRule="exact"/>
        <w:rPr>
          <w:rFonts w:ascii="Times New Roman" w:cs="Times New Roman" w:eastAsia="Times New Roman" w:hAnsi="Times New Roman"/>
          <w:sz w:val="22"/>
          <w:szCs w:val="22"/>
          <w:color w:val="auto"/>
        </w:rPr>
      </w:pPr>
    </w:p>
    <w:p>
      <w:pPr>
        <w:jc w:val="both"/>
        <w:ind w:firstLine="1131"/>
        <w:spacing w:after="0" w:line="238" w:lineRule="auto"/>
        <w:tabs>
          <w:tab w:leader="none" w:pos="15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such counterpart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deemed to be an original instrument, and all such counterparts together shall constitute but one agreement. Any such counterpart may contain one or more signature pages. This Agreement may be executed and delivered by facsimile, or by email in portable document format (.pdf), and upon such delivery of the signature page by such method will be deemed to have the same effect as if the original signature had been delivered to the other Parties.</w:t>
      </w:r>
    </w:p>
    <w:p>
      <w:pPr>
        <w:spacing w:after="0" w:line="149" w:lineRule="exact"/>
        <w:rPr>
          <w:rFonts w:ascii="Times New Roman" w:cs="Times New Roman" w:eastAsia="Times New Roman" w:hAnsi="Times New Roman"/>
          <w:sz w:val="22"/>
          <w:szCs w:val="22"/>
          <w:color w:val="auto"/>
        </w:rPr>
      </w:pPr>
    </w:p>
    <w:p>
      <w:pPr>
        <w:jc w:val="both"/>
        <w:ind w:firstLine="1131"/>
        <w:spacing w:after="0" w:line="241" w:lineRule="auto"/>
        <w:tabs>
          <w:tab w:leader="none" w:pos="15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Further Assurances</w:t>
      </w:r>
      <w:r>
        <w:rPr>
          <w:rFonts w:ascii="Times New Roman" w:cs="Times New Roman" w:eastAsia="Times New Roman" w:hAnsi="Times New Roman"/>
          <w:sz w:val="22"/>
          <w:szCs w:val="22"/>
          <w:color w:val="auto"/>
        </w:rPr>
        <w:t>. Each Party agrees that it shall, promptly upon request of another Party, execute,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acknowledge (as appropriate) and deliver to the other such further assurances and take such further actions as may be reasonably required or appropriate to perfect the assignment and assumption of the Purchase Agreement and otherwise carry out the intent and purpose of this Agreement.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as of the date first written above.</w:t>
      </w:r>
    </w:p>
    <w:p>
      <w:pPr>
        <w:spacing w:after="0" w:line="1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u w:val="single" w:color="auto"/>
          <w:color w:val="auto"/>
        </w:rPr>
        <w:t>ASSIGNOR:</w:t>
      </w:r>
    </w:p>
    <w:p>
      <w:pPr>
        <w:spacing w:after="0" w:line="1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WAVE LIFE SCIENCES LTD.</w:t>
      </w:r>
    </w:p>
    <w:p>
      <w:pPr>
        <w:spacing w:after="0" w:line="1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Paul B. Bolno</w:t>
      </w:r>
    </w:p>
    <w:p>
      <w:pPr>
        <w:spacing w:after="0" w:line="1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Paul B. Bolno, M.D., MBA</w:t>
      </w:r>
    </w:p>
    <w:p>
      <w:pPr>
        <w:spacing w:after="0" w:line="1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u w:val="single" w:color="auto"/>
          <w:color w:val="auto"/>
        </w:rPr>
        <w:t>ASSIGNEE:</w:t>
      </w:r>
    </w:p>
    <w:p>
      <w:pPr>
        <w:spacing w:after="0" w:line="1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WAVE LIFE SCIENCES, INC.</w:t>
      </w:r>
    </w:p>
    <w:p>
      <w:pPr>
        <w:spacing w:after="0" w:line="1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Linda Rockett</w:t>
      </w:r>
    </w:p>
    <w:p>
      <w:pPr>
        <w:spacing w:after="0" w:line="1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Linda Rockett, JD</w:t>
      </w:r>
    </w:p>
    <w:p>
      <w:pPr>
        <w:spacing w:after="0" w:line="1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Title: SVP, General Counsel</w:t>
      </w: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u w:val="single" w:color="auto"/>
          <w:color w:val="auto"/>
        </w:rPr>
        <w:t>PURCHASER:</w:t>
      </w:r>
    </w:p>
    <w:p>
      <w:pPr>
        <w:spacing w:after="0" w:line="1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PFIZER VENTURES (US) LLC</w:t>
      </w:r>
    </w:p>
    <w:p>
      <w:pPr>
        <w:spacing w:after="0" w:line="1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Andrew J. Muratore</w:t>
      </w:r>
    </w:p>
    <w:p>
      <w:pPr>
        <w:spacing w:after="0" w:line="1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Andrew J. Muratore</w:t>
      </w:r>
    </w:p>
    <w:p>
      <w:pPr>
        <w:spacing w:after="0" w:line="1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367"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22"/>
          <w:szCs w:val="22"/>
          <w:i w:val="1"/>
          <w:iCs w:val="1"/>
          <w:color w:val="auto"/>
        </w:rPr>
        <w:t>[Signature Page to Assignment, Assumption and Amendment Agreement – Pfizer]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B. Bolno, M.D., MBA, certify that:</w:t>
      </w:r>
    </w:p>
    <w:p>
      <w:pPr>
        <w:spacing w:after="0" w:line="225"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Wave Life Sciences,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760" w:right="320" w:hanging="378"/>
        <w:spacing w:after="0" w:line="266" w:lineRule="auto"/>
        <w:tabs>
          <w:tab w:leader="none" w:pos="7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340" w:hanging="378"/>
        <w:spacing w:after="0" w:line="266" w:lineRule="auto"/>
        <w:tabs>
          <w:tab w:leader="none" w:pos="7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October 27, 2026</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Paul B. Bolno,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Paul B. Bolno, M.D., MBA</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Moran, certify that:</w:t>
      </w:r>
    </w:p>
    <w:p>
      <w:pPr>
        <w:spacing w:after="0" w:line="117"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Wave Life Sciences,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760" w:right="320" w:hanging="378"/>
        <w:spacing w:after="0" w:line="266"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340" w:hanging="378"/>
        <w:spacing w:after="0" w:line="266"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81" w:right="339" w:bottom="1440" w:gutter="0" w:footer="0" w:header="0"/>
        </w:sectPr>
      </w:pP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October 27, 2026</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Kyle Moran,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5546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Kyle Moran, CFA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2">
            <w:col w:w="7020" w:space="200"/>
            <w:col w:w="4020"/>
          </w:cols>
          <w:pgMar w:left="320" w:top="981" w:right="339" w:bottom="1440" w:gutter="0" w:footer="0" w:header="0"/>
          <w:type w:val="continuous"/>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Wave Life Sciences, Inc. (the “Company”), does hereby certify, to such officer’s knowledge, that:</w:t>
      </w:r>
    </w:p>
    <w:p>
      <w:pPr>
        <w:spacing w:after="0" w:line="162"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September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October 27, 2026</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B. Bolno, M.D., MBA</w:t>
            </w:r>
          </w:p>
        </w:tc>
      </w:tr>
      <w:tr>
        <w:trPr>
          <w:trHeight w:val="191"/>
        </w:trPr>
        <w:tc>
          <w:tcPr>
            <w:tcW w:w="56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B. Bolno, M.D., MBA</w:t>
            </w:r>
          </w:p>
        </w:tc>
      </w:tr>
      <w:tr>
        <w:trPr>
          <w:trHeight w:val="216"/>
        </w:trPr>
        <w:tc>
          <w:tcPr>
            <w:tcW w:w="5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October 27, 2026</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 Moran, CFA</w:t>
            </w:r>
          </w:p>
        </w:tc>
      </w:tr>
      <w:tr>
        <w:trPr>
          <w:trHeight w:val="191"/>
        </w:trPr>
        <w:tc>
          <w:tcPr>
            <w:tcW w:w="56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Kyle Moran, CFA</w:t>
            </w:r>
          </w:p>
        </w:tc>
      </w:tr>
      <w:tr>
        <w:trPr>
          <w:trHeight w:val="216"/>
        </w:trPr>
        <w:tc>
          <w:tcPr>
            <w:tcW w:w="5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195"/>
        </w:trPr>
        <w:tc>
          <w:tcPr>
            <w:tcW w:w="56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6"/>
    </w:lvl>
  </w:abstractNum>
  <w:abstractNum w:abstractNumId="3">
    <w:nsid w:val="DED7263"/>
    <w:multiLevelType w:val="hybridMultilevel"/>
    <w:lvl w:ilvl="0">
      <w:lvlJc w:val="left"/>
      <w:lvlText w:val="%1."/>
      <w:numFmt w:val="decimal"/>
      <w:start w:val="11"/>
    </w:lvl>
    <w:lvl w:ilvl="1">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2"/>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3"/>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47" Type="http://schemas.openxmlformats.org/officeDocument/2006/relationships/hyperlink" Target="https://www.sec.gov/Archives/edgar/data/1631574/000119312526340430/d122282dex31.htm" TargetMode="External"/><Relationship Id="rId248" Type="http://schemas.openxmlformats.org/officeDocument/2006/relationships/hyperlink" Target="https://www.sec.gov/Archives/edgar/data/1631574/000119312526340430/d122282dex32.htm" TargetMode="External"/><Relationship Id="rId249" Type="http://schemas.openxmlformats.org/officeDocument/2006/relationships/hyperlink" Target="https://www.sec.gov/Archives/edgar/data/1631574/000119312526340430/d122282dex101.htm" TargetMode="External"/><Relationship Id="rId250" Type="http://schemas.openxmlformats.org/officeDocument/2006/relationships/hyperlink" Target="https://www.sec.gov/Archives/edgar/data/1631574/000119312526340430/d122282dex102.htm" TargetMode="External"/><Relationship Id="rId251" Type="http://schemas.openxmlformats.org/officeDocument/2006/relationships/hyperlink" Target="https://www.sec.gov/Archives/edgar/data/1631574/000119312526340430/d122282dex103.htm" TargetMode="External"/><Relationship Id="rId252" Type="http://schemas.openxmlformats.org/officeDocument/2006/relationships/hyperlink" Target="https://www.sec.gov/Archives/edgar/data/1631574/000119312526340430/d122282dex104.htm" TargetMode="External"/><Relationship Id="rId253" Type="http://schemas.openxmlformats.org/officeDocument/2006/relationships/hyperlink" Target="https://www.sec.gov/Archives/edgar/data/1631574/000119312526340430/d122282dex105.htm" TargetMode="External"/><Relationship Id="rId254" Type="http://schemas.openxmlformats.org/officeDocument/2006/relationships/hyperlink" Target="https://www.sec.gov/Archives/edgar/data/1631574/000119312526340430/d122282dex106.htm" TargetMode="External"/><Relationship Id="rId255" Type="http://schemas.openxmlformats.org/officeDocument/2006/relationships/hyperlink" Target="https://www.sec.gov/Archives/edgar/data/1631574/000119312526340640/d367205dex9941.htm" TargetMode="External"/><Relationship Id="rId256" Type="http://schemas.openxmlformats.org/officeDocument/2006/relationships/hyperlink" Target="https://www.sec.gov/Archives/edgar/data/1631574/000119312526340640/d367205dex9961.htm" TargetMode="External"/><Relationship Id="rId257" Type="http://schemas.openxmlformats.org/officeDocument/2006/relationships/hyperlink" Target="https://www.sec.gov/Archives/edgar/data/1631574/000119312526340640/d367205dex9971.htm" TargetMode="External"/><Relationship Id="rId258" Type="http://schemas.openxmlformats.org/officeDocument/2006/relationships/hyperlink" Target="https://www.sec.gov/Archives/edgar/data/1631574/000119312526340640/d367205dex9972.htm" TargetMode="External"/><Relationship Id="rId259" Type="http://schemas.openxmlformats.org/officeDocument/2006/relationships/hyperlink" Target="https://www.sec.gov/Archives/edgar/data/1631574/000119312526340679/d137806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2026-10-27T07:02:00Z</dcterms:created>
  <dcterms:modified xsi:type="dcterms:W3CDTF">2026-10-27T07:02:00Z</dcterms:modified>
</cp:coreProperties>
</file>